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8"/>
        <w:gridCol w:w="90"/>
        <w:gridCol w:w="5670"/>
      </w:tblGrid>
      <w:tr w:rsidR="00BF195C" w14:paraId="54DBFD10" w14:textId="77777777" w:rsidTr="00C36B33">
        <w:trPr>
          <w:cantSplit/>
        </w:trPr>
        <w:tc>
          <w:tcPr>
            <w:tcW w:w="3888" w:type="dxa"/>
            <w:gridSpan w:val="2"/>
          </w:tcPr>
          <w:p w14:paraId="64CF835F" w14:textId="77777777" w:rsidR="00BF195C" w:rsidRDefault="003440DC" w:rsidP="00BF195C">
            <w:pPr>
              <w:rPr>
                <w:b/>
              </w:rPr>
            </w:pPr>
            <w:r>
              <w:rPr>
                <w:b/>
              </w:rPr>
              <w:t>ACETALDEHYDE</w:t>
            </w:r>
          </w:p>
          <w:p w14:paraId="07EFADF4" w14:textId="77777777" w:rsidR="00BF195C" w:rsidRDefault="00BF195C" w:rsidP="00960A48"/>
          <w:p w14:paraId="10F12656" w14:textId="77777777" w:rsidR="00BF195C" w:rsidRDefault="00BF195C" w:rsidP="00960A48">
            <w:r>
              <w:t xml:space="preserve">CASRN:  </w:t>
            </w:r>
            <w:r w:rsidR="003440DC" w:rsidRPr="008704E1">
              <w:t>75</w:t>
            </w:r>
            <w:r w:rsidRPr="008704E1">
              <w:t>-</w:t>
            </w:r>
            <w:r w:rsidR="003440DC" w:rsidRPr="008704E1">
              <w:t>07</w:t>
            </w:r>
            <w:r w:rsidRPr="008704E1">
              <w:t>-</w:t>
            </w:r>
            <w:r w:rsidR="003440DC" w:rsidRPr="008704E1">
              <w:t>0</w:t>
            </w:r>
          </w:p>
          <w:p w14:paraId="0E5869AB" w14:textId="77777777" w:rsidR="00BF195C" w:rsidRDefault="00BF195C" w:rsidP="00960A48"/>
          <w:p w14:paraId="70DA6FFA" w14:textId="77777777" w:rsidR="00BF195C" w:rsidRDefault="00BF195C" w:rsidP="00960A48">
            <w:r>
              <w:t>Update</w:t>
            </w:r>
            <w:r w:rsidRPr="005A1D52">
              <w:t xml:space="preserve">:  </w:t>
            </w:r>
            <w:r w:rsidR="007F6666">
              <w:t xml:space="preserve">December </w:t>
            </w:r>
            <w:r w:rsidR="009B58D3">
              <w:t>8,</w:t>
            </w:r>
            <w:r w:rsidR="005A1D52" w:rsidRPr="005A1D52">
              <w:t xml:space="preserve"> </w:t>
            </w:r>
            <w:r w:rsidR="003440DC" w:rsidRPr="005A1D52">
              <w:t>2014</w:t>
            </w:r>
          </w:p>
          <w:p w14:paraId="0706C621" w14:textId="77777777" w:rsidR="00BF195C" w:rsidRDefault="00BF195C" w:rsidP="00960A48"/>
        </w:tc>
        <w:tc>
          <w:tcPr>
            <w:tcW w:w="5670" w:type="dxa"/>
          </w:tcPr>
          <w:p w14:paraId="29EBA0A7" w14:textId="77777777" w:rsidR="00BF195C" w:rsidRDefault="00BF195C" w:rsidP="00960A48">
            <w:r>
              <w:t xml:space="preserve">      </w:t>
            </w:r>
          </w:p>
          <w:p w14:paraId="4F7EF724" w14:textId="0B95C1AB" w:rsidR="002A4892" w:rsidRPr="00E43A7A" w:rsidRDefault="00E43A7A" w:rsidP="00960A48">
            <w:pPr>
              <w:rPr>
                <w:rFonts w:ascii="Arial" w:hAnsi="Arial"/>
                <w:b/>
              </w:rPr>
            </w:pPr>
            <w:r>
              <w:t xml:space="preserve">     </w:t>
            </w:r>
            <w:r w:rsidR="003908B5">
              <w:t xml:space="preserve">        </w:t>
            </w:r>
            <w:r>
              <w:t xml:space="preserve"> </w:t>
            </w:r>
            <w:r w:rsidR="003440DC">
              <w:t xml:space="preserve">       </w:t>
            </w:r>
            <w:r>
              <w:t xml:space="preserve">       </w:t>
            </w:r>
            <w:r w:rsidR="0015013C">
              <w:rPr>
                <w:rFonts w:ascii="Arial" w:hAnsi="Arial"/>
                <w:b/>
                <w:noProof/>
              </w:rPr>
              <w:drawing>
                <wp:inline distT="0" distB="0" distL="0" distR="0" wp14:anchorId="19480171" wp14:editId="665CA794">
                  <wp:extent cx="1048385" cy="10483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0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7C5" w14:paraId="004E5EFC" w14:textId="77777777" w:rsidTr="00C36B33">
        <w:tc>
          <w:tcPr>
            <w:tcW w:w="9558" w:type="dxa"/>
            <w:gridSpan w:val="3"/>
            <w:tcBorders>
              <w:bottom w:val="single" w:sz="4" w:space="0" w:color="auto"/>
            </w:tcBorders>
          </w:tcPr>
          <w:p w14:paraId="1688389D" w14:textId="77777777" w:rsidR="0095256B" w:rsidRDefault="007D17C5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 xml:space="preserve">Massachusetts </w:t>
            </w:r>
            <w:r w:rsidR="00494EDE">
              <w:rPr>
                <w:b/>
                <w:bCs/>
                <w:u w:val="single"/>
              </w:rPr>
              <w:t>Air Guideline</w:t>
            </w:r>
            <w:r w:rsidR="0095256B">
              <w:rPr>
                <w:b/>
                <w:bCs/>
                <w:u w:val="single"/>
              </w:rPr>
              <w:t>s</w:t>
            </w:r>
            <w:r w:rsidR="00323440" w:rsidRPr="009106E6">
              <w:rPr>
                <w:rStyle w:val="FootnoteReference"/>
                <w:bCs/>
                <w:u w:val="single"/>
              </w:rPr>
              <w:footnoteReference w:id="1"/>
            </w:r>
            <w:r w:rsidR="009106E6" w:rsidRPr="009106E6">
              <w:rPr>
                <w:bCs/>
                <w:u w:val="single"/>
                <w:vertAlign w:val="superscript"/>
              </w:rPr>
              <w:t>,</w:t>
            </w:r>
            <w:r>
              <w:rPr>
                <w:b/>
                <w:bCs/>
              </w:rPr>
              <w:t xml:space="preserve">:  </w:t>
            </w:r>
          </w:p>
          <w:p w14:paraId="02F0A4CC" w14:textId="77777777" w:rsidR="00014B9B" w:rsidRDefault="00014B9B" w:rsidP="00950151">
            <w:pPr>
              <w:ind w:left="1440"/>
            </w:pPr>
          </w:p>
          <w:p w14:paraId="64EEDDB4" w14:textId="77777777" w:rsidR="0095256B" w:rsidRPr="00FB4372" w:rsidRDefault="0095256B" w:rsidP="00327F4F">
            <w:pPr>
              <w:ind w:left="1440" w:hanging="720"/>
            </w:pPr>
            <w:r w:rsidRPr="00014B9B">
              <w:rPr>
                <w:b/>
              </w:rPr>
              <w:t>AAL</w:t>
            </w:r>
            <w:r w:rsidR="00950151" w:rsidRPr="00014B9B">
              <w:rPr>
                <w:b/>
              </w:rPr>
              <w:t xml:space="preserve"> </w:t>
            </w:r>
            <w:r w:rsidRPr="00014B9B">
              <w:rPr>
                <w:b/>
              </w:rPr>
              <w:t xml:space="preserve"> = </w:t>
            </w:r>
            <w:r w:rsidR="00950151" w:rsidRPr="00014B9B">
              <w:rPr>
                <w:b/>
              </w:rPr>
              <w:t xml:space="preserve"> </w:t>
            </w:r>
            <w:r w:rsidR="00381156">
              <w:rPr>
                <w:b/>
              </w:rPr>
              <w:t>0.4</w:t>
            </w:r>
            <w:r w:rsidRPr="00DF7ECF">
              <w:rPr>
                <w:b/>
              </w:rPr>
              <w:t xml:space="preserve"> ug/m</w:t>
            </w:r>
            <w:r w:rsidRPr="00DF7ECF">
              <w:rPr>
                <w:b/>
                <w:vertAlign w:val="superscript"/>
              </w:rPr>
              <w:t>3</w:t>
            </w:r>
            <w:r w:rsidRPr="00DF7ECF">
              <w:t xml:space="preserve">  </w:t>
            </w:r>
            <w:r w:rsidR="00FB4372" w:rsidRPr="005A1D52">
              <w:t>(</w:t>
            </w:r>
            <w:r w:rsidR="00C86060" w:rsidRPr="005A1D52">
              <w:t>0.2</w:t>
            </w:r>
            <w:r w:rsidR="00FB4372" w:rsidRPr="005A1D52">
              <w:t xml:space="preserve"> ppb)</w:t>
            </w:r>
            <w:r w:rsidR="00746850" w:rsidRPr="005A1D52">
              <w:rPr>
                <w:rStyle w:val="FootnoteReference"/>
              </w:rPr>
              <w:t xml:space="preserve"> </w:t>
            </w:r>
            <w:r w:rsidR="00746850" w:rsidRPr="005A1D52">
              <w:rPr>
                <w:rStyle w:val="FootnoteReference"/>
              </w:rPr>
              <w:footnoteReference w:id="2"/>
            </w:r>
            <w:r w:rsidR="00FB4372" w:rsidRPr="00DF7ECF">
              <w:t xml:space="preserve"> </w:t>
            </w:r>
            <w:r w:rsidRPr="00DF7ECF">
              <w:t>(</w:t>
            </w:r>
            <w:r w:rsidRPr="00FB4372">
              <w:t>annual average concentration)</w:t>
            </w:r>
          </w:p>
          <w:p w14:paraId="3ABC3A0E" w14:textId="77777777" w:rsidR="0095256B" w:rsidRDefault="0095256B" w:rsidP="00327F4F">
            <w:pPr>
              <w:ind w:left="1440" w:hanging="720"/>
            </w:pPr>
            <w:r w:rsidRPr="00FB4372">
              <w:rPr>
                <w:b/>
              </w:rPr>
              <w:t>TEL</w:t>
            </w:r>
            <w:r w:rsidR="00950151" w:rsidRPr="00FB4372">
              <w:rPr>
                <w:b/>
              </w:rPr>
              <w:t xml:space="preserve">  </w:t>
            </w:r>
            <w:r w:rsidRPr="00FB4372">
              <w:rPr>
                <w:b/>
              </w:rPr>
              <w:t xml:space="preserve">= </w:t>
            </w:r>
            <w:r w:rsidR="00950151" w:rsidRPr="00FB4372">
              <w:rPr>
                <w:b/>
              </w:rPr>
              <w:t xml:space="preserve"> </w:t>
            </w:r>
            <w:r w:rsidR="004B0C78">
              <w:rPr>
                <w:b/>
              </w:rPr>
              <w:t>30</w:t>
            </w:r>
            <w:r w:rsidRPr="00DF7ECF">
              <w:rPr>
                <w:b/>
              </w:rPr>
              <w:t xml:space="preserve"> ug/m</w:t>
            </w:r>
            <w:r w:rsidRPr="00DF7ECF">
              <w:rPr>
                <w:b/>
                <w:vertAlign w:val="superscript"/>
              </w:rPr>
              <w:t>3</w:t>
            </w:r>
            <w:r w:rsidRPr="00DF7ECF">
              <w:t xml:space="preserve">  </w:t>
            </w:r>
            <w:r w:rsidR="00FB4372" w:rsidRPr="005A1D52">
              <w:t>(</w:t>
            </w:r>
            <w:r w:rsidR="00C86060" w:rsidRPr="005A1D52">
              <w:t>20</w:t>
            </w:r>
            <w:r w:rsidR="00FB4372" w:rsidRPr="005A1D52">
              <w:t xml:space="preserve"> ppb)</w:t>
            </w:r>
            <w:r w:rsidR="00FB4372" w:rsidRPr="00DF7ECF">
              <w:t xml:space="preserve"> </w:t>
            </w:r>
            <w:r w:rsidRPr="00DF7ECF">
              <w:t>(2</w:t>
            </w:r>
            <w:r>
              <w:t>4 hour average concentration)</w:t>
            </w:r>
          </w:p>
          <w:p w14:paraId="620BF8A3" w14:textId="77777777" w:rsidR="00506848" w:rsidRPr="00506848" w:rsidRDefault="00506848" w:rsidP="00323440">
            <w:pPr>
              <w:rPr>
                <w:sz w:val="20"/>
                <w:szCs w:val="20"/>
              </w:rPr>
            </w:pPr>
          </w:p>
        </w:tc>
      </w:tr>
      <w:tr w:rsidR="007D2FD7" w14:paraId="32B61AFA" w14:textId="77777777" w:rsidTr="00C36B33">
        <w:trPr>
          <w:trHeight w:val="180"/>
        </w:trPr>
        <w:tc>
          <w:tcPr>
            <w:tcW w:w="9558" w:type="dxa"/>
            <w:gridSpan w:val="3"/>
            <w:tcBorders>
              <w:bottom w:val="nil"/>
            </w:tcBorders>
          </w:tcPr>
          <w:p w14:paraId="599E8DE3" w14:textId="77777777" w:rsidR="007D2FD7" w:rsidRPr="005C11F6" w:rsidRDefault="007D2FD7" w:rsidP="003440DC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u w:val="single"/>
              </w:rPr>
            </w:pPr>
            <w:r w:rsidRPr="005C11F6">
              <w:rPr>
                <w:b/>
                <w:u w:val="single"/>
              </w:rPr>
              <w:t>Chemical Properties:</w:t>
            </w:r>
            <w:r w:rsidR="001D732A" w:rsidRPr="001F56A0">
              <w:t xml:space="preserve">  (</w:t>
            </w:r>
            <w:r w:rsidR="003440DC">
              <w:t xml:space="preserve">HSDB 2014 </w:t>
            </w:r>
            <w:r w:rsidR="001D732A" w:rsidRPr="001F56A0">
              <w:t>)</w:t>
            </w:r>
          </w:p>
        </w:tc>
      </w:tr>
      <w:tr w:rsidR="007D2FD7" w14:paraId="49A56511" w14:textId="77777777" w:rsidTr="00C36B33">
        <w:trPr>
          <w:trHeight w:val="180"/>
        </w:trPr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14:paraId="0F35C50F" w14:textId="77777777" w:rsidR="007D2FD7" w:rsidRPr="007D2FD7" w:rsidRDefault="007D2FD7" w:rsidP="00566979">
            <w:pPr>
              <w:tabs>
                <w:tab w:val="left" w:pos="-720"/>
                <w:tab w:val="left" w:pos="1425"/>
                <w:tab w:val="left" w:pos="2160"/>
                <w:tab w:val="left" w:pos="2835"/>
              </w:tabs>
              <w:suppressAutoHyphens/>
              <w:spacing w:line="240" w:lineRule="atLeast"/>
            </w:pPr>
            <w:r>
              <w:t xml:space="preserve">Odor </w:t>
            </w:r>
            <w:r w:rsidR="00E44A6A">
              <w:t>C</w:t>
            </w:r>
            <w:r>
              <w:t>haracteristics</w:t>
            </w:r>
            <w:r w:rsidRPr="00345406">
              <w:t>: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</w:tcBorders>
          </w:tcPr>
          <w:p w14:paraId="1CD59AEE" w14:textId="77777777" w:rsidR="007D2FD7" w:rsidRPr="00F84548" w:rsidRDefault="0034544C" w:rsidP="003440DC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highlight w:val="yellow"/>
                <w:u w:val="single"/>
              </w:rPr>
            </w:pPr>
            <w:r>
              <w:t>Green, sweet</w:t>
            </w:r>
            <w:r w:rsidR="003440DC">
              <w:t>, fruity</w:t>
            </w:r>
            <w:r>
              <w:t xml:space="preserve"> </w:t>
            </w:r>
            <w:r w:rsidRPr="0034544C">
              <w:t>(Ruth 1986)</w:t>
            </w:r>
          </w:p>
        </w:tc>
      </w:tr>
      <w:tr w:rsidR="007D2FD7" w14:paraId="31BBA478" w14:textId="77777777" w:rsidTr="00C36B33">
        <w:trPr>
          <w:trHeight w:val="180"/>
        </w:trPr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14:paraId="69231763" w14:textId="77777777" w:rsidR="007D2FD7" w:rsidRDefault="007D2FD7" w:rsidP="00566979">
            <w:pPr>
              <w:tabs>
                <w:tab w:val="left" w:pos="-720"/>
                <w:tab w:val="left" w:pos="1425"/>
                <w:tab w:val="left" w:pos="2835"/>
              </w:tabs>
              <w:suppressAutoHyphens/>
              <w:spacing w:line="240" w:lineRule="atLeast"/>
              <w:rPr>
                <w:b/>
                <w:bCs/>
                <w:u w:val="single"/>
              </w:rPr>
            </w:pPr>
            <w:r w:rsidRPr="00345406">
              <w:t xml:space="preserve">Odor </w:t>
            </w:r>
            <w:r w:rsidR="00E44A6A">
              <w:t>T</w:t>
            </w:r>
            <w:r w:rsidRPr="00345406">
              <w:t>hreshold: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</w:tcBorders>
          </w:tcPr>
          <w:p w14:paraId="0245257C" w14:textId="77777777" w:rsidR="007D2FD7" w:rsidRPr="00FE1983" w:rsidRDefault="008704E1" w:rsidP="008704E1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u w:val="single"/>
              </w:rPr>
            </w:pPr>
            <w:r w:rsidRPr="00FE1983">
              <w:t>0.2</w:t>
            </w:r>
            <w:r w:rsidR="007D2FD7" w:rsidRPr="00FE1983">
              <w:t xml:space="preserve"> ug/m</w:t>
            </w:r>
            <w:r w:rsidR="007D2FD7" w:rsidRPr="00FE1983">
              <w:rPr>
                <w:vertAlign w:val="superscript"/>
              </w:rPr>
              <w:t>3</w:t>
            </w:r>
            <w:r w:rsidR="007D2FD7" w:rsidRPr="00FE1983">
              <w:t xml:space="preserve">  (</w:t>
            </w:r>
            <w:r w:rsidRPr="00FE1983">
              <w:t>Ruth 1986</w:t>
            </w:r>
            <w:r w:rsidR="007D2FD7" w:rsidRPr="00FE1983">
              <w:t>)</w:t>
            </w:r>
          </w:p>
        </w:tc>
      </w:tr>
      <w:tr w:rsidR="00E44A6A" w:rsidRPr="007D2FD7" w14:paraId="0DE8FA8A" w14:textId="77777777" w:rsidTr="00C36B33">
        <w:trPr>
          <w:trHeight w:val="180"/>
        </w:trPr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14:paraId="06A15FB3" w14:textId="77777777" w:rsidR="00E44A6A" w:rsidRPr="007D2FD7" w:rsidRDefault="00E44A6A" w:rsidP="00566979">
            <w:pPr>
              <w:tabs>
                <w:tab w:val="left" w:pos="-720"/>
                <w:tab w:val="left" w:pos="1425"/>
                <w:tab w:val="left" w:pos="2835"/>
              </w:tabs>
              <w:suppressAutoHyphens/>
              <w:spacing w:line="240" w:lineRule="atLeast"/>
              <w:rPr>
                <w:b/>
                <w:bCs/>
                <w:u w:val="single"/>
              </w:rPr>
            </w:pPr>
            <w:r w:rsidRPr="007D2FD7">
              <w:t>Irrit</w:t>
            </w:r>
            <w:r>
              <w:t>ant:</w:t>
            </w:r>
            <w:r w:rsidRPr="007D2FD7">
              <w:t xml:space="preserve"> 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</w:tcBorders>
          </w:tcPr>
          <w:p w14:paraId="77E100CF" w14:textId="77777777" w:rsidR="00E44A6A" w:rsidRPr="00FE1983" w:rsidRDefault="00E44A6A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u w:val="single"/>
              </w:rPr>
            </w:pPr>
            <w:r w:rsidRPr="00FE1983">
              <w:t xml:space="preserve">Yes, to respiratory tract, eyes, skin </w:t>
            </w:r>
          </w:p>
        </w:tc>
      </w:tr>
      <w:tr w:rsidR="00E44A6A" w:rsidRPr="007D2FD7" w14:paraId="6E2B34FD" w14:textId="77777777" w:rsidTr="00C36B33">
        <w:trPr>
          <w:trHeight w:val="180"/>
        </w:trPr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14:paraId="3DE044FE" w14:textId="77777777" w:rsidR="00E44A6A" w:rsidRPr="007D2FD7" w:rsidRDefault="00E44A6A" w:rsidP="00566979">
            <w:pPr>
              <w:tabs>
                <w:tab w:val="left" w:pos="-720"/>
                <w:tab w:val="left" w:pos="1425"/>
                <w:tab w:val="left" w:pos="2835"/>
              </w:tabs>
              <w:suppressAutoHyphens/>
              <w:spacing w:line="240" w:lineRule="atLeast"/>
              <w:rPr>
                <w:bCs/>
              </w:rPr>
            </w:pPr>
            <w:r>
              <w:t>S</w:t>
            </w:r>
            <w:r w:rsidRPr="007D2FD7">
              <w:t>ensit</w:t>
            </w:r>
            <w:r>
              <w:t>izer: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</w:tcBorders>
          </w:tcPr>
          <w:p w14:paraId="5FC39B57" w14:textId="77777777" w:rsidR="00E44A6A" w:rsidRPr="00FE1983" w:rsidRDefault="00E44A6A" w:rsidP="005B3287">
            <w:pPr>
              <w:tabs>
                <w:tab w:val="left" w:pos="-720"/>
              </w:tabs>
              <w:suppressAutoHyphens/>
              <w:spacing w:line="240" w:lineRule="atLeast"/>
              <w:rPr>
                <w:bCs/>
              </w:rPr>
            </w:pPr>
            <w:r w:rsidRPr="00FE1983">
              <w:rPr>
                <w:bCs/>
              </w:rPr>
              <w:t>No information</w:t>
            </w:r>
          </w:p>
        </w:tc>
      </w:tr>
      <w:tr w:rsidR="007D2FD7" w14:paraId="1886EEB9" w14:textId="77777777" w:rsidTr="00C36B33">
        <w:trPr>
          <w:trHeight w:val="180"/>
        </w:trPr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14:paraId="0A9CCCB1" w14:textId="77777777" w:rsidR="007D2FD7" w:rsidRPr="007D2FD7" w:rsidRDefault="007D2FD7" w:rsidP="00566979">
            <w:pPr>
              <w:tabs>
                <w:tab w:val="left" w:pos="-720"/>
                <w:tab w:val="left" w:pos="1425"/>
                <w:tab w:val="left" w:pos="2835"/>
              </w:tabs>
              <w:suppressAutoHyphens/>
              <w:spacing w:line="240" w:lineRule="atLeast"/>
              <w:rPr>
                <w:bCs/>
              </w:rPr>
            </w:pPr>
            <w:r w:rsidRPr="007D2FD7">
              <w:t xml:space="preserve">Chemical </w:t>
            </w:r>
            <w:r w:rsidR="00E44A6A">
              <w:t>C</w:t>
            </w:r>
            <w:r w:rsidRPr="007D2FD7">
              <w:t>lass: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</w:tcBorders>
          </w:tcPr>
          <w:p w14:paraId="3C6562AA" w14:textId="77777777" w:rsidR="007D2FD7" w:rsidRPr="00F84548" w:rsidRDefault="008704E1" w:rsidP="000522B1">
            <w:pPr>
              <w:tabs>
                <w:tab w:val="left" w:pos="-720"/>
              </w:tabs>
              <w:suppressAutoHyphens/>
              <w:spacing w:line="240" w:lineRule="atLeast"/>
              <w:rPr>
                <w:highlight w:val="yellow"/>
              </w:rPr>
            </w:pPr>
            <w:r>
              <w:t>Colorless v</w:t>
            </w:r>
            <w:r w:rsidR="003440DC">
              <w:t>olatile liquid or gas</w:t>
            </w:r>
            <w:r>
              <w:t xml:space="preserve"> above 20</w:t>
            </w:r>
            <w:r w:rsidRPr="008704E1">
              <w:rPr>
                <w:vertAlign w:val="superscript"/>
              </w:rPr>
              <w:t>o</w:t>
            </w:r>
            <w:r w:rsidRPr="008704E1">
              <w:t>C</w:t>
            </w:r>
          </w:p>
        </w:tc>
      </w:tr>
      <w:tr w:rsidR="00EF3353" w14:paraId="6D031AA1" w14:textId="77777777" w:rsidTr="00C36B33">
        <w:trPr>
          <w:trHeight w:val="180"/>
        </w:trPr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14:paraId="0B80F651" w14:textId="77777777" w:rsidR="00EF3353" w:rsidRPr="005C11F6" w:rsidRDefault="00EF3353" w:rsidP="00566979">
            <w:pPr>
              <w:tabs>
                <w:tab w:val="left" w:pos="-720"/>
                <w:tab w:val="left" w:pos="1425"/>
                <w:tab w:val="left" w:pos="2835"/>
              </w:tabs>
              <w:suppressAutoHyphens/>
              <w:spacing w:line="240" w:lineRule="atLeast"/>
              <w:rPr>
                <w:bCs/>
              </w:rPr>
            </w:pPr>
            <w:r>
              <w:rPr>
                <w:bCs/>
              </w:rPr>
              <w:t>Boiling Point</w:t>
            </w:r>
            <w:r w:rsidR="00E44A6A">
              <w:rPr>
                <w:bCs/>
              </w:rPr>
              <w:t>: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</w:tcBorders>
          </w:tcPr>
          <w:p w14:paraId="6D76435C" w14:textId="77777777" w:rsidR="00EF3353" w:rsidRPr="00FE1983" w:rsidRDefault="003440DC" w:rsidP="005B3287">
            <w:pPr>
              <w:tabs>
                <w:tab w:val="left" w:pos="-720"/>
              </w:tabs>
              <w:suppressAutoHyphens/>
              <w:spacing w:line="240" w:lineRule="atLeast"/>
            </w:pPr>
            <w:r w:rsidRPr="00FE1983">
              <w:t>20.1</w:t>
            </w:r>
            <w:r w:rsidR="00EF3353" w:rsidRPr="00FE1983">
              <w:rPr>
                <w:vertAlign w:val="superscript"/>
              </w:rPr>
              <w:t>o</w:t>
            </w:r>
            <w:r w:rsidR="00EF3353" w:rsidRPr="00FE1983">
              <w:t>C</w:t>
            </w:r>
          </w:p>
        </w:tc>
      </w:tr>
      <w:tr w:rsidR="00EF3353" w14:paraId="330A1844" w14:textId="77777777" w:rsidTr="00C36B33">
        <w:trPr>
          <w:trHeight w:val="180"/>
        </w:trPr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14:paraId="2B217638" w14:textId="77777777" w:rsidR="00EF3353" w:rsidRPr="005C11F6" w:rsidRDefault="00EF3353" w:rsidP="00566979">
            <w:pPr>
              <w:tabs>
                <w:tab w:val="left" w:pos="-720"/>
                <w:tab w:val="left" w:pos="1425"/>
                <w:tab w:val="left" w:pos="2835"/>
              </w:tabs>
              <w:suppressAutoHyphens/>
              <w:spacing w:line="240" w:lineRule="atLeast"/>
              <w:rPr>
                <w:bCs/>
              </w:rPr>
            </w:pPr>
            <w:r>
              <w:rPr>
                <w:bCs/>
              </w:rPr>
              <w:t>Melting Point</w:t>
            </w:r>
            <w:r w:rsidR="00E44A6A">
              <w:rPr>
                <w:bCs/>
              </w:rPr>
              <w:t>: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</w:tcBorders>
          </w:tcPr>
          <w:p w14:paraId="3DC11331" w14:textId="77777777" w:rsidR="00EF3353" w:rsidRPr="00FE1983" w:rsidRDefault="003440DC" w:rsidP="005B3287">
            <w:pPr>
              <w:tabs>
                <w:tab w:val="left" w:pos="-720"/>
              </w:tabs>
              <w:suppressAutoHyphens/>
              <w:spacing w:line="240" w:lineRule="atLeast"/>
            </w:pPr>
            <w:r w:rsidRPr="00FE1983">
              <w:t>-123.37</w:t>
            </w:r>
            <w:r w:rsidR="00EF3353" w:rsidRPr="00FE1983">
              <w:rPr>
                <w:vertAlign w:val="superscript"/>
              </w:rPr>
              <w:t>o</w:t>
            </w:r>
            <w:r w:rsidR="00EF3353" w:rsidRPr="00FE1983">
              <w:t>C</w:t>
            </w:r>
          </w:p>
        </w:tc>
      </w:tr>
      <w:tr w:rsidR="007D2FD7" w14:paraId="274E45CB" w14:textId="77777777" w:rsidTr="00C36B33">
        <w:trPr>
          <w:trHeight w:val="180"/>
        </w:trPr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14:paraId="2551BDE6" w14:textId="77777777" w:rsidR="007D2FD7" w:rsidRPr="005C11F6" w:rsidRDefault="007D2FD7" w:rsidP="00566979">
            <w:pPr>
              <w:tabs>
                <w:tab w:val="left" w:pos="-720"/>
                <w:tab w:val="left" w:pos="1425"/>
                <w:tab w:val="left" w:pos="2835"/>
              </w:tabs>
              <w:suppressAutoHyphens/>
              <w:spacing w:line="240" w:lineRule="atLeast"/>
            </w:pPr>
            <w:r w:rsidRPr="005C11F6">
              <w:rPr>
                <w:bCs/>
              </w:rPr>
              <w:t xml:space="preserve">Vapor </w:t>
            </w:r>
            <w:r w:rsidR="00E44A6A">
              <w:rPr>
                <w:bCs/>
              </w:rPr>
              <w:t>P</w:t>
            </w:r>
            <w:r w:rsidRPr="005C11F6">
              <w:rPr>
                <w:bCs/>
              </w:rPr>
              <w:t>ressure: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</w:tcBorders>
          </w:tcPr>
          <w:p w14:paraId="4BEEE830" w14:textId="77777777" w:rsidR="007D2FD7" w:rsidRPr="00FE1983" w:rsidRDefault="008704E1" w:rsidP="008704E1">
            <w:pPr>
              <w:tabs>
                <w:tab w:val="left" w:pos="-720"/>
              </w:tabs>
              <w:suppressAutoHyphens/>
              <w:spacing w:line="240" w:lineRule="atLeast"/>
            </w:pPr>
            <w:r w:rsidRPr="00FE1983">
              <w:t>902</w:t>
            </w:r>
            <w:r w:rsidR="005C11F6" w:rsidRPr="00FE1983">
              <w:t xml:space="preserve"> </w:t>
            </w:r>
            <w:r w:rsidR="00333F6E" w:rsidRPr="00FE1983">
              <w:t>mm Hg</w:t>
            </w:r>
            <w:r w:rsidR="005C11F6" w:rsidRPr="00FE1983">
              <w:t xml:space="preserve"> </w:t>
            </w:r>
            <w:r w:rsidR="00EF3353" w:rsidRPr="00FE1983">
              <w:t>at</w:t>
            </w:r>
            <w:r w:rsidR="005C11F6" w:rsidRPr="00FE1983">
              <w:t xml:space="preserve"> 2</w:t>
            </w:r>
            <w:r w:rsidRPr="00FE1983">
              <w:t>5</w:t>
            </w:r>
            <w:r w:rsidR="005C11F6" w:rsidRPr="00FE1983">
              <w:rPr>
                <w:vertAlign w:val="superscript"/>
              </w:rPr>
              <w:t>o</w:t>
            </w:r>
            <w:r w:rsidR="005C11F6" w:rsidRPr="00FE1983">
              <w:t>C</w:t>
            </w:r>
          </w:p>
        </w:tc>
      </w:tr>
      <w:tr w:rsidR="00C36B33" w14:paraId="71A0EF7D" w14:textId="77777777" w:rsidTr="00C36B33">
        <w:trPr>
          <w:trHeight w:val="180"/>
        </w:trPr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14:paraId="00D833BF" w14:textId="77777777" w:rsidR="00C36B33" w:rsidRDefault="00C36B33" w:rsidP="00566979">
            <w:pPr>
              <w:tabs>
                <w:tab w:val="left" w:pos="-720"/>
                <w:tab w:val="left" w:pos="1425"/>
                <w:tab w:val="left" w:pos="2835"/>
              </w:tabs>
              <w:suppressAutoHyphens/>
              <w:spacing w:line="240" w:lineRule="atLeast"/>
            </w:pPr>
            <w:r>
              <w:t>Molecular Weight: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</w:tcBorders>
          </w:tcPr>
          <w:p w14:paraId="0145E64E" w14:textId="77777777" w:rsidR="00C36B33" w:rsidRPr="00FE1983" w:rsidRDefault="003440DC">
            <w:pPr>
              <w:tabs>
                <w:tab w:val="left" w:pos="-720"/>
              </w:tabs>
              <w:suppressAutoHyphens/>
              <w:spacing w:line="240" w:lineRule="atLeast"/>
            </w:pPr>
            <w:r w:rsidRPr="00FE1983">
              <w:t>44.05</w:t>
            </w:r>
          </w:p>
        </w:tc>
      </w:tr>
      <w:tr w:rsidR="007D2FD7" w14:paraId="2D7EA4B6" w14:textId="77777777" w:rsidTr="00C36B33">
        <w:trPr>
          <w:trHeight w:val="180"/>
        </w:trPr>
        <w:tc>
          <w:tcPr>
            <w:tcW w:w="3798" w:type="dxa"/>
            <w:tcBorders>
              <w:top w:val="nil"/>
              <w:right w:val="nil"/>
            </w:tcBorders>
          </w:tcPr>
          <w:p w14:paraId="461079BE" w14:textId="77777777" w:rsidR="007D2FD7" w:rsidRPr="00A6791A" w:rsidRDefault="00DE69B8" w:rsidP="00566979">
            <w:pPr>
              <w:tabs>
                <w:tab w:val="left" w:pos="-720"/>
                <w:tab w:val="left" w:pos="1425"/>
                <w:tab w:val="left" w:pos="2835"/>
              </w:tabs>
              <w:suppressAutoHyphens/>
              <w:spacing w:line="240" w:lineRule="atLeast"/>
              <w:rPr>
                <w:highlight w:val="yellow"/>
              </w:rPr>
            </w:pPr>
            <w:r>
              <w:t xml:space="preserve">Unit </w:t>
            </w:r>
            <w:r w:rsidR="007D2FD7">
              <w:t xml:space="preserve">Conversion factor:  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</w:tcBorders>
          </w:tcPr>
          <w:p w14:paraId="011B4BC3" w14:textId="77777777" w:rsidR="007D2FD7" w:rsidRPr="00FE1983" w:rsidRDefault="003440DC">
            <w:pPr>
              <w:tabs>
                <w:tab w:val="left" w:pos="-720"/>
              </w:tabs>
              <w:suppressAutoHyphens/>
              <w:spacing w:line="240" w:lineRule="atLeast"/>
            </w:pPr>
            <w:r w:rsidRPr="00FE1983">
              <w:t>1.8</w:t>
            </w:r>
            <w:r w:rsidR="005C11F6" w:rsidRPr="00FE1983">
              <w:t xml:space="preserve"> ug/m</w:t>
            </w:r>
            <w:r w:rsidR="005C11F6" w:rsidRPr="00FE1983">
              <w:rPr>
                <w:vertAlign w:val="superscript"/>
              </w:rPr>
              <w:t>3</w:t>
            </w:r>
            <w:r w:rsidR="005C11F6" w:rsidRPr="00FE1983">
              <w:t xml:space="preserve"> per ppb at 25</w:t>
            </w:r>
            <w:r w:rsidR="005C11F6" w:rsidRPr="00FE1983">
              <w:rPr>
                <w:vertAlign w:val="superscript"/>
              </w:rPr>
              <w:t>o</w:t>
            </w:r>
            <w:r w:rsidR="005C11F6" w:rsidRPr="00FE1983">
              <w:t>C</w:t>
            </w:r>
          </w:p>
          <w:p w14:paraId="0F36343C" w14:textId="77777777" w:rsidR="00327F4F" w:rsidRPr="00FE1983" w:rsidRDefault="00327F4F">
            <w:pPr>
              <w:tabs>
                <w:tab w:val="left" w:pos="-720"/>
              </w:tabs>
              <w:suppressAutoHyphens/>
              <w:spacing w:line="240" w:lineRule="atLeast"/>
            </w:pPr>
          </w:p>
        </w:tc>
      </w:tr>
      <w:tr w:rsidR="00E92A5D" w14:paraId="73131C3B" w14:textId="77777777" w:rsidTr="00C36B33">
        <w:tc>
          <w:tcPr>
            <w:tcW w:w="9558" w:type="dxa"/>
            <w:gridSpan w:val="3"/>
          </w:tcPr>
          <w:p w14:paraId="6E81A0F6" w14:textId="77777777" w:rsidR="00E92A5D" w:rsidRPr="00074448" w:rsidRDefault="00E92A5D" w:rsidP="009D5354">
            <w:pPr>
              <w:rPr>
                <w:b/>
                <w:bCs/>
              </w:rPr>
            </w:pPr>
            <w:r w:rsidRPr="00074448">
              <w:rPr>
                <w:b/>
                <w:bCs/>
                <w:u w:val="single"/>
              </w:rPr>
              <w:t>Critical Effects</w:t>
            </w:r>
            <w:r w:rsidR="00CD1B4C" w:rsidRPr="00746850">
              <w:rPr>
                <w:rStyle w:val="FootnoteReference"/>
                <w:bCs/>
                <w:u w:val="single"/>
              </w:rPr>
              <w:footnoteReference w:id="3"/>
            </w:r>
            <w:r w:rsidRPr="00074448">
              <w:rPr>
                <w:b/>
                <w:bCs/>
              </w:rPr>
              <w:t>:</w:t>
            </w:r>
          </w:p>
          <w:p w14:paraId="7E08E075" w14:textId="77777777" w:rsidR="00E92A5D" w:rsidRPr="009773E6" w:rsidRDefault="009773E6" w:rsidP="009773E6">
            <w:pPr>
              <w:numPr>
                <w:ilvl w:val="0"/>
                <w:numId w:val="1"/>
              </w:numPr>
              <w:rPr>
                <w:bCs/>
              </w:rPr>
            </w:pPr>
            <w:r w:rsidRPr="009773E6">
              <w:rPr>
                <w:bCs/>
              </w:rPr>
              <w:t>Irritation, inflammation and injury to nose, larynx and trachea</w:t>
            </w:r>
            <w:r w:rsidR="00511D59">
              <w:rPr>
                <w:bCs/>
              </w:rPr>
              <w:t>, including degeneration, hyperplasia and metaplasia of the mucosal tissues</w:t>
            </w:r>
            <w:r w:rsidRPr="009773E6">
              <w:rPr>
                <w:bCs/>
              </w:rPr>
              <w:t xml:space="preserve">.  </w:t>
            </w:r>
          </w:p>
          <w:p w14:paraId="3597DE11" w14:textId="77777777" w:rsidR="00E92A5D" w:rsidRPr="000F56E7" w:rsidRDefault="00E92A5D" w:rsidP="00AD56D2">
            <w:pPr>
              <w:numPr>
                <w:ilvl w:val="0"/>
                <w:numId w:val="1"/>
              </w:numPr>
              <w:rPr>
                <w:bCs/>
              </w:rPr>
            </w:pPr>
            <w:r w:rsidRPr="006F3DDB">
              <w:rPr>
                <w:bCs/>
              </w:rPr>
              <w:t xml:space="preserve">Target organ systems affected include </w:t>
            </w:r>
            <w:r w:rsidRPr="000F56E7">
              <w:rPr>
                <w:bCs/>
              </w:rPr>
              <w:t>the upper respiratory tract</w:t>
            </w:r>
            <w:r w:rsidR="004C531A">
              <w:rPr>
                <w:bCs/>
              </w:rPr>
              <w:t>, eyes, and skin</w:t>
            </w:r>
            <w:r w:rsidRPr="000F56E7">
              <w:rPr>
                <w:bCs/>
              </w:rPr>
              <w:t>.</w:t>
            </w:r>
          </w:p>
          <w:p w14:paraId="1E2F0BDE" w14:textId="77777777" w:rsidR="00E92A5D" w:rsidRPr="009E3FAC" w:rsidRDefault="009E3FAC" w:rsidP="009E3FA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u w:val="single"/>
              </w:rPr>
            </w:pPr>
            <w:r w:rsidRPr="009E3FAC">
              <w:rPr>
                <w:bCs/>
              </w:rPr>
              <w:t>Probable human carcinogen.</w:t>
            </w:r>
          </w:p>
          <w:p w14:paraId="0DE70763" w14:textId="77777777" w:rsidR="009E3FAC" w:rsidRPr="009E3FAC" w:rsidRDefault="009E3FAC" w:rsidP="009E3FAC">
            <w:pPr>
              <w:rPr>
                <w:b/>
                <w:bCs/>
                <w:u w:val="single"/>
              </w:rPr>
            </w:pPr>
          </w:p>
        </w:tc>
      </w:tr>
      <w:tr w:rsidR="00E92A5D" w14:paraId="21B375F5" w14:textId="77777777" w:rsidTr="00C36B33">
        <w:tc>
          <w:tcPr>
            <w:tcW w:w="9558" w:type="dxa"/>
            <w:gridSpan w:val="3"/>
            <w:tcBorders>
              <w:bottom w:val="single" w:sz="4" w:space="0" w:color="auto"/>
            </w:tcBorders>
          </w:tcPr>
          <w:p w14:paraId="3F2EF746" w14:textId="77777777" w:rsidR="00E92A5D" w:rsidRPr="00233EBB" w:rsidRDefault="00E92A5D" w:rsidP="009D5354">
            <w:pPr>
              <w:rPr>
                <w:b/>
                <w:bCs/>
              </w:rPr>
            </w:pPr>
            <w:r w:rsidRPr="00233EBB">
              <w:rPr>
                <w:b/>
                <w:bCs/>
                <w:u w:val="single"/>
              </w:rPr>
              <w:t>Potentially Susceptible Populations</w:t>
            </w:r>
            <w:r w:rsidRPr="00233EBB">
              <w:rPr>
                <w:b/>
                <w:bCs/>
              </w:rPr>
              <w:t>:</w:t>
            </w:r>
          </w:p>
          <w:p w14:paraId="07D10B61" w14:textId="77777777" w:rsidR="00262E90" w:rsidRPr="005F2924" w:rsidRDefault="00511D59" w:rsidP="00262E90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233EBB">
              <w:rPr>
                <w:bCs/>
              </w:rPr>
              <w:t>Infants, c</w:t>
            </w:r>
            <w:r w:rsidR="00E92A5D" w:rsidRPr="00233EBB">
              <w:rPr>
                <w:bCs/>
              </w:rPr>
              <w:t>hildren, people with asthma or a compromised respiratory system may be suscepti</w:t>
            </w:r>
            <w:r w:rsidR="009773E6" w:rsidRPr="00233EBB">
              <w:rPr>
                <w:bCs/>
              </w:rPr>
              <w:t xml:space="preserve">ble members of the population. </w:t>
            </w:r>
            <w:r w:rsidRPr="00233EBB">
              <w:rPr>
                <w:bCs/>
              </w:rPr>
              <w:t xml:space="preserve">  Exposure to high concentrations has caused </w:t>
            </w:r>
            <w:r w:rsidRPr="005F2924">
              <w:rPr>
                <w:bCs/>
              </w:rPr>
              <w:t>bronchoconstriction in people with asthma.</w:t>
            </w:r>
          </w:p>
          <w:p w14:paraId="79AE3EA2" w14:textId="77777777" w:rsidR="001A6A38" w:rsidRPr="005F2924" w:rsidRDefault="00233EBB" w:rsidP="00262E90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5F2924">
              <w:rPr>
                <w:bCs/>
              </w:rPr>
              <w:t>P</w:t>
            </w:r>
            <w:r w:rsidR="001A6A38" w:rsidRPr="005F2924">
              <w:rPr>
                <w:bCs/>
              </w:rPr>
              <w:t>eople with exposure to other sources of acetaldehyde</w:t>
            </w:r>
            <w:r w:rsidRPr="005F2924">
              <w:rPr>
                <w:bCs/>
              </w:rPr>
              <w:t xml:space="preserve">, e.g., </w:t>
            </w:r>
            <w:r w:rsidR="005F2924" w:rsidRPr="005F2924">
              <w:rPr>
                <w:bCs/>
              </w:rPr>
              <w:t>cigarettes</w:t>
            </w:r>
            <w:r w:rsidRPr="005F2924">
              <w:rPr>
                <w:bCs/>
              </w:rPr>
              <w:t xml:space="preserve"> and alcohol</w:t>
            </w:r>
            <w:r w:rsidR="005F2924">
              <w:rPr>
                <w:bCs/>
              </w:rPr>
              <w:t>.</w:t>
            </w:r>
          </w:p>
          <w:p w14:paraId="2CA5C81C" w14:textId="77777777" w:rsidR="00E92A5D" w:rsidRPr="00233EBB" w:rsidRDefault="00233EBB" w:rsidP="005834F2">
            <w:pPr>
              <w:pStyle w:val="Pa7"/>
              <w:numPr>
                <w:ilvl w:val="0"/>
                <w:numId w:val="2"/>
              </w:numPr>
              <w:rPr>
                <w:rFonts w:ascii="Times New Roman" w:hAnsi="Times New Roman"/>
                <w:color w:val="221E1F"/>
              </w:rPr>
            </w:pPr>
            <w:r w:rsidRPr="00233EBB">
              <w:rPr>
                <w:rFonts w:ascii="Times New Roman" w:hAnsi="Times New Roman"/>
                <w:bCs/>
              </w:rPr>
              <w:t>People with variant</w:t>
            </w:r>
            <w:r w:rsidR="005834F2">
              <w:rPr>
                <w:rFonts w:ascii="Times New Roman" w:hAnsi="Times New Roman"/>
                <w:bCs/>
              </w:rPr>
              <w:t>s</w:t>
            </w:r>
            <w:r w:rsidRPr="00233EBB">
              <w:rPr>
                <w:rFonts w:ascii="Times New Roman" w:hAnsi="Times New Roman"/>
                <w:bCs/>
              </w:rPr>
              <w:t xml:space="preserve"> of </w:t>
            </w:r>
            <w:r w:rsidRPr="00233EBB">
              <w:rPr>
                <w:rFonts w:ascii="Times New Roman" w:hAnsi="Times New Roman"/>
                <w:color w:val="221E1F"/>
              </w:rPr>
              <w:t xml:space="preserve">aldehyde dehydrogenase (ALDH) </w:t>
            </w:r>
            <w:r w:rsidR="005834F2">
              <w:rPr>
                <w:rFonts w:ascii="Times New Roman" w:hAnsi="Times New Roman"/>
                <w:color w:val="221E1F"/>
              </w:rPr>
              <w:t xml:space="preserve">that increase internal concentration of </w:t>
            </w:r>
            <w:r>
              <w:rPr>
                <w:rFonts w:ascii="Times New Roman" w:hAnsi="Times New Roman"/>
                <w:color w:val="221E1F"/>
              </w:rPr>
              <w:t xml:space="preserve">acetaldehyde, </w:t>
            </w:r>
            <w:r w:rsidR="005834F2">
              <w:rPr>
                <w:rFonts w:ascii="Times New Roman" w:hAnsi="Times New Roman"/>
                <w:color w:val="221E1F"/>
              </w:rPr>
              <w:t xml:space="preserve">including </w:t>
            </w:r>
            <w:r>
              <w:rPr>
                <w:rFonts w:ascii="Times New Roman" w:hAnsi="Times New Roman"/>
                <w:color w:val="221E1F"/>
              </w:rPr>
              <w:t>a variant common in people of Asian de</w:t>
            </w:r>
            <w:r w:rsidR="005F2924">
              <w:rPr>
                <w:rFonts w:ascii="Times New Roman" w:hAnsi="Times New Roman"/>
                <w:color w:val="221E1F"/>
              </w:rPr>
              <w:t>s</w:t>
            </w:r>
            <w:r>
              <w:rPr>
                <w:rFonts w:ascii="Times New Roman" w:hAnsi="Times New Roman"/>
                <w:color w:val="221E1F"/>
              </w:rPr>
              <w:t>cent.</w:t>
            </w:r>
          </w:p>
          <w:p w14:paraId="6EFAAC5E" w14:textId="77777777" w:rsidR="00511D59" w:rsidRPr="00233EBB" w:rsidRDefault="00511D59" w:rsidP="00511D59">
            <w:pPr>
              <w:rPr>
                <w:bCs/>
              </w:rPr>
            </w:pPr>
          </w:p>
        </w:tc>
      </w:tr>
      <w:tr w:rsidR="00FD2072" w14:paraId="198A701B" w14:textId="77777777" w:rsidTr="0099450C">
        <w:tblPrEx>
          <w:tblCellMar>
            <w:left w:w="115" w:type="dxa"/>
            <w:right w:w="115" w:type="dxa"/>
          </w:tblCellMar>
        </w:tblPrEx>
        <w:tc>
          <w:tcPr>
            <w:tcW w:w="9558" w:type="dxa"/>
            <w:gridSpan w:val="3"/>
          </w:tcPr>
          <w:p w14:paraId="7CC0E961" w14:textId="77777777" w:rsidR="00FD2072" w:rsidRDefault="00FD2072" w:rsidP="006747D6">
            <w:pPr>
              <w:tabs>
                <w:tab w:val="left" w:pos="-720"/>
              </w:tabs>
              <w:suppressAutoHyphens/>
              <w:spacing w:line="240" w:lineRule="atLeast"/>
            </w:pPr>
            <w:r>
              <w:rPr>
                <w:b/>
                <w:bCs/>
                <w:u w:val="single"/>
              </w:rPr>
              <w:lastRenderedPageBreak/>
              <w:t>TEL Basis for Criteria</w:t>
            </w:r>
            <w:r>
              <w:rPr>
                <w:b/>
                <w:bCs/>
              </w:rPr>
              <w:t>:</w:t>
            </w:r>
          </w:p>
          <w:p w14:paraId="0FC622FB" w14:textId="77777777" w:rsidR="00FD2072" w:rsidRDefault="00FD2072" w:rsidP="006747D6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bCs/>
                <w:u w:val="single"/>
              </w:rPr>
            </w:pPr>
            <w:r>
              <w:t>Available chronic inhalation noncancer toxicity values:</w:t>
            </w:r>
          </w:p>
          <w:p w14:paraId="3F38AAA9" w14:textId="77777777" w:rsidR="00FD2072" w:rsidRPr="005C6EC0" w:rsidRDefault="00FD2072" w:rsidP="00566979">
            <w:pPr>
              <w:tabs>
                <w:tab w:val="left" w:pos="1463"/>
                <w:tab w:val="left" w:pos="2528"/>
              </w:tabs>
              <w:suppressAutoHyphens/>
              <w:spacing w:line="240" w:lineRule="atLeast"/>
              <w:ind w:left="720" w:right="-468"/>
              <w:rPr>
                <w:bCs/>
                <w:u w:val="single"/>
              </w:rPr>
            </w:pPr>
            <w:r>
              <w:t>RfC</w:t>
            </w:r>
            <w:r w:rsidR="00566979">
              <w:rPr>
                <w:bCs/>
              </w:rPr>
              <w:t xml:space="preserve">   </w:t>
            </w:r>
            <w:r w:rsidRPr="00FD2072">
              <w:rPr>
                <w:bCs/>
              </w:rPr>
              <w:t xml:space="preserve">  </w:t>
            </w:r>
            <w:r w:rsidR="000522B1">
              <w:t>9</w:t>
            </w:r>
            <w:r>
              <w:t xml:space="preserve"> ug/m</w:t>
            </w:r>
            <w:r w:rsidRPr="00D910FB">
              <w:rPr>
                <w:vertAlign w:val="superscript"/>
              </w:rPr>
              <w:t>3</w:t>
            </w:r>
            <w:r w:rsidR="00566979">
              <w:t xml:space="preserve">  </w:t>
            </w:r>
            <w:r>
              <w:t>(USEPA 1991)</w:t>
            </w:r>
          </w:p>
          <w:p w14:paraId="7BF7E710" w14:textId="77777777" w:rsidR="00FD2072" w:rsidRPr="00ED747B" w:rsidRDefault="00566979" w:rsidP="00566979">
            <w:pPr>
              <w:tabs>
                <w:tab w:val="left" w:pos="1418"/>
                <w:tab w:val="left" w:pos="2070"/>
                <w:tab w:val="left" w:pos="2513"/>
              </w:tabs>
              <w:suppressAutoHyphens/>
              <w:spacing w:line="240" w:lineRule="atLeast"/>
              <w:ind w:left="720" w:right="-468"/>
            </w:pPr>
            <w:r>
              <w:t xml:space="preserve">REL  </w:t>
            </w:r>
            <w:r w:rsidR="00FD2072">
              <w:t xml:space="preserve">  </w:t>
            </w:r>
            <w:r w:rsidR="000522B1">
              <w:t>14</w:t>
            </w:r>
            <w:r w:rsidR="00FD2072">
              <w:t>0 ug/m</w:t>
            </w:r>
            <w:r w:rsidR="00FD2072" w:rsidRPr="00790627">
              <w:rPr>
                <w:vertAlign w:val="superscript"/>
              </w:rPr>
              <w:t>3</w:t>
            </w:r>
            <w:r>
              <w:t xml:space="preserve"> </w:t>
            </w:r>
            <w:r w:rsidR="00FD2072">
              <w:t xml:space="preserve"> (CalEPA 200</w:t>
            </w:r>
            <w:r w:rsidR="000522B1">
              <w:t>8</w:t>
            </w:r>
            <w:r w:rsidR="00FD2072">
              <w:t>)</w:t>
            </w:r>
          </w:p>
          <w:p w14:paraId="70685090" w14:textId="77777777" w:rsidR="00FD2072" w:rsidRDefault="00FD2072" w:rsidP="007277B0"/>
          <w:p w14:paraId="6CE798F9" w14:textId="77777777" w:rsidR="00FD2072" w:rsidRPr="00E66693" w:rsidRDefault="00FD2072" w:rsidP="007277B0">
            <w:r w:rsidRPr="00E66693">
              <w:t>The R</w:t>
            </w:r>
            <w:r w:rsidR="000522B1" w:rsidRPr="00E66693">
              <w:t>EL</w:t>
            </w:r>
            <w:r w:rsidRPr="00E66693">
              <w:t xml:space="preserve"> of 1</w:t>
            </w:r>
            <w:r w:rsidR="000522B1" w:rsidRPr="00E66693">
              <w:t>4</w:t>
            </w:r>
            <w:r w:rsidRPr="00E66693">
              <w:t>0 ug/m</w:t>
            </w:r>
            <w:r w:rsidRPr="00E66693">
              <w:rPr>
                <w:vertAlign w:val="superscript"/>
              </w:rPr>
              <w:t>3</w:t>
            </w:r>
            <w:r w:rsidRPr="00E66693">
              <w:t xml:space="preserve"> derived by </w:t>
            </w:r>
            <w:r w:rsidR="000522B1" w:rsidRPr="00E66693">
              <w:t>CalEPA (2008</w:t>
            </w:r>
            <w:r w:rsidRPr="00E66693">
              <w:t>) was selected as the basis of the TEL.</w:t>
            </w:r>
            <w:r w:rsidR="005A1D52">
              <w:t xml:space="preserve"> </w:t>
            </w:r>
            <w:r w:rsidR="006C004C" w:rsidRPr="00E66693">
              <w:t>A relative source contribution factor (RSC) of 0.2 is incorporated into the final value.</w:t>
            </w:r>
          </w:p>
          <w:p w14:paraId="0BE4819F" w14:textId="77777777" w:rsidR="00FD2072" w:rsidRPr="00E66693" w:rsidRDefault="00FD2072" w:rsidP="0095256B"/>
          <w:p w14:paraId="584D594C" w14:textId="77777777" w:rsidR="00FD2072" w:rsidRPr="004B0C78" w:rsidRDefault="00FD2072" w:rsidP="00315392">
            <w:pPr>
              <w:ind w:firstLine="720"/>
            </w:pPr>
            <w:r w:rsidRPr="00E66693">
              <w:t>TEL = 1</w:t>
            </w:r>
            <w:r w:rsidR="000522B1" w:rsidRPr="00E66693">
              <w:t>40</w:t>
            </w:r>
            <w:r w:rsidRPr="00E66693">
              <w:t xml:space="preserve"> ug/m</w:t>
            </w:r>
            <w:r w:rsidRPr="00E66693">
              <w:rPr>
                <w:vertAlign w:val="superscript"/>
              </w:rPr>
              <w:t>3</w:t>
            </w:r>
            <w:r w:rsidRPr="00E66693">
              <w:t xml:space="preserve"> x </w:t>
            </w:r>
            <w:r w:rsidR="006C004C" w:rsidRPr="00E66693">
              <w:t>0.2</w:t>
            </w:r>
            <w:r w:rsidRPr="00E66693">
              <w:t xml:space="preserve"> (RSC) = </w:t>
            </w:r>
            <w:r w:rsidR="00E66693" w:rsidRPr="00E66693">
              <w:t>28</w:t>
            </w:r>
            <w:r w:rsidRPr="00E66693">
              <w:t xml:space="preserve"> ug/m</w:t>
            </w:r>
            <w:r w:rsidRPr="00E66693">
              <w:rPr>
                <w:vertAlign w:val="superscript"/>
              </w:rPr>
              <w:t>3</w:t>
            </w:r>
            <w:r w:rsidR="004B0C78">
              <w:t xml:space="preserve">, rounded to 30 </w:t>
            </w:r>
            <w:r w:rsidR="004B0C78" w:rsidRPr="004B0C78">
              <w:t>ug/m</w:t>
            </w:r>
            <w:r w:rsidR="004B0C78" w:rsidRPr="004B0C78">
              <w:rPr>
                <w:vertAlign w:val="superscript"/>
              </w:rPr>
              <w:t>3</w:t>
            </w:r>
          </w:p>
          <w:p w14:paraId="2A679CB7" w14:textId="77777777" w:rsidR="00FD2072" w:rsidRPr="0098798F" w:rsidRDefault="00FD2072" w:rsidP="00315392">
            <w:pPr>
              <w:ind w:firstLine="720"/>
            </w:pPr>
          </w:p>
          <w:p w14:paraId="63F3E5BB" w14:textId="77777777" w:rsidR="00C860D0" w:rsidRDefault="004C531A" w:rsidP="00C860D0">
            <w:r>
              <w:t>The USEPA RfC and CalEPA REL are more than an order</w:t>
            </w:r>
            <w:r w:rsidR="005A1D52">
              <w:t xml:space="preserve"> of magnitude from each other. </w:t>
            </w:r>
            <w:r>
              <w:t>Because they are more than a factor of 3 from each other, both values were evaluated as de</w:t>
            </w:r>
            <w:r w:rsidR="005A1D52">
              <w:t xml:space="preserve">scribed in MassDEP (2011). </w:t>
            </w:r>
            <w:r w:rsidR="008C6DCE">
              <w:t xml:space="preserve">USEPA and CalEPA used different methods for estimating the human equivalent concentration for the point of departure </w:t>
            </w:r>
            <w:r w:rsidR="005A1D52">
              <w:t xml:space="preserve">and </w:t>
            </w:r>
            <w:r w:rsidR="008C6DCE">
              <w:t xml:space="preserve">different uncertainty factors. </w:t>
            </w:r>
            <w:r w:rsidR="00C860D0" w:rsidRPr="00C860D0">
              <w:t>The CalEPA (2008) REL was selected as the basis of the TEL because it used a chemical specific animal to human extrapolation method</w:t>
            </w:r>
            <w:r w:rsidR="00AC3581">
              <w:t xml:space="preserve"> and dose response modeling to estimate the point of departure</w:t>
            </w:r>
            <w:r w:rsidR="00C860D0" w:rsidRPr="00C860D0">
              <w:t>.</w:t>
            </w:r>
          </w:p>
          <w:p w14:paraId="1EC11B31" w14:textId="77777777" w:rsidR="00C860D0" w:rsidRDefault="00C860D0" w:rsidP="00C860D0"/>
          <w:p w14:paraId="713CDB9F" w14:textId="77777777" w:rsidR="00742211" w:rsidRDefault="00063DAE" w:rsidP="00C860D0">
            <w:r w:rsidRPr="00063DAE">
              <w:t xml:space="preserve">The USEPA RfC and CalEPA REL are based on the same </w:t>
            </w:r>
            <w:r w:rsidR="00FB7EC7">
              <w:t xml:space="preserve">two </w:t>
            </w:r>
            <w:r w:rsidRPr="00063DAE">
              <w:t xml:space="preserve">subchronic inhalation studies in </w:t>
            </w:r>
            <w:r w:rsidR="00BC3EEF">
              <w:t xml:space="preserve">Wistar </w:t>
            </w:r>
            <w:r w:rsidRPr="00063DAE">
              <w:t>rats by Appleman et al. (1982; 198</w:t>
            </w:r>
            <w:r w:rsidR="006B27B1">
              <w:t>6</w:t>
            </w:r>
            <w:r w:rsidRPr="00063DAE">
              <w:t>)</w:t>
            </w:r>
            <w:r w:rsidR="0090640E">
              <w:t xml:space="preserve"> where rats were exposed to acetaldehyde for 6 hours per </w:t>
            </w:r>
            <w:r w:rsidR="0090640E" w:rsidRPr="0090640E">
              <w:t>day, 5 day</w:t>
            </w:r>
            <w:r w:rsidR="0090640E">
              <w:t xml:space="preserve">s per </w:t>
            </w:r>
            <w:r w:rsidR="0090640E" w:rsidRPr="0090640E">
              <w:t xml:space="preserve">week </w:t>
            </w:r>
            <w:r w:rsidR="0090640E">
              <w:t>for four weeks</w:t>
            </w:r>
            <w:r w:rsidR="005A1D52">
              <w:t xml:space="preserve">. </w:t>
            </w:r>
            <w:r w:rsidR="0090640E">
              <w:t>Male and female rats</w:t>
            </w:r>
            <w:r w:rsidR="00BC3EEF">
              <w:t xml:space="preserve"> were</w:t>
            </w:r>
            <w:r w:rsidR="0090640E">
              <w:t xml:space="preserve"> exposed to 400, 1000, 2200 or 5000 ppm acetaldehyde (728, 1820, 4004 or 9100 mg/m</w:t>
            </w:r>
            <w:r w:rsidR="0090640E" w:rsidRPr="0090640E">
              <w:rPr>
                <w:vertAlign w:val="superscript"/>
              </w:rPr>
              <w:t>3</w:t>
            </w:r>
            <w:r w:rsidR="0090640E">
              <w:t>) in the Appleman et al. (1982) study</w:t>
            </w:r>
            <w:r w:rsidR="00BC3EEF">
              <w:t xml:space="preserve"> resulting in degeneration of olfactory nasal tissues at all exposure concentrations</w:t>
            </w:r>
            <w:r w:rsidR="005A1D52">
              <w:t xml:space="preserve">. </w:t>
            </w:r>
            <w:r w:rsidR="00742211">
              <w:t>As the exposure concentration increased</w:t>
            </w:r>
            <w:r w:rsidR="005A1D52">
              <w:t>,</w:t>
            </w:r>
            <w:r w:rsidR="00742211">
              <w:t xml:space="preserve"> damage was observed deeper in the respiratory tract</w:t>
            </w:r>
            <w:r w:rsidR="005A1D52">
              <w:t>. D</w:t>
            </w:r>
            <w:r w:rsidR="00BC3EEF">
              <w:t xml:space="preserve">egeneration of nasal respiratory tissues </w:t>
            </w:r>
            <w:r w:rsidR="00742211">
              <w:t xml:space="preserve">was observed </w:t>
            </w:r>
            <w:r w:rsidR="00BC3EEF">
              <w:t>at the three highest exposure</w:t>
            </w:r>
            <w:r w:rsidR="005A1D52">
              <w:t xml:space="preserve"> levels</w:t>
            </w:r>
            <w:r w:rsidR="00BC3EEF">
              <w:t xml:space="preserve">, </w:t>
            </w:r>
            <w:r w:rsidR="00742211">
              <w:t>tracheal and laryngeal lesions were observed at the two highest exposure</w:t>
            </w:r>
            <w:r w:rsidR="005A1D52">
              <w:t xml:space="preserve"> levels</w:t>
            </w:r>
            <w:r w:rsidR="00742211">
              <w:t>, and mild injury to the lower respiratory tract was observed only at the highest exposure level (</w:t>
            </w:r>
            <w:r w:rsidR="00F756AF">
              <w:t xml:space="preserve">USEPA 1991; </w:t>
            </w:r>
            <w:r w:rsidR="00F756AF" w:rsidRPr="00F756AF">
              <w:t>CalEPA 2008</w:t>
            </w:r>
            <w:r w:rsidR="00742211">
              <w:t>).</w:t>
            </w:r>
          </w:p>
          <w:p w14:paraId="46C26523" w14:textId="77777777" w:rsidR="00F756AF" w:rsidRDefault="00F756AF" w:rsidP="00C860D0"/>
          <w:p w14:paraId="2AAECBA7" w14:textId="77777777" w:rsidR="00063DAE" w:rsidRDefault="00FB7EC7" w:rsidP="00C860D0">
            <w:r>
              <w:t>The</w:t>
            </w:r>
            <w:r w:rsidR="00BC3EEF">
              <w:t xml:space="preserve"> subsequent study by</w:t>
            </w:r>
            <w:r w:rsidR="0090640E">
              <w:t xml:space="preserve"> Appleman et al. (1986) exposed male rats to 150 or 500 ppm acetaldehyde (273 or 910 mg/m</w:t>
            </w:r>
            <w:r w:rsidR="0090640E" w:rsidRPr="0090640E">
              <w:rPr>
                <w:vertAlign w:val="superscript"/>
              </w:rPr>
              <w:t>3</w:t>
            </w:r>
            <w:r w:rsidR="0090640E">
              <w:t>)</w:t>
            </w:r>
            <w:r w:rsidR="00742211">
              <w:t xml:space="preserve"> using the same </w:t>
            </w:r>
            <w:r w:rsidR="00F756AF">
              <w:t>experimental</w:t>
            </w:r>
            <w:r w:rsidR="003175C0">
              <w:t xml:space="preserve"> conditions </w:t>
            </w:r>
            <w:r>
              <w:t>as the earlier study. D</w:t>
            </w:r>
            <w:r w:rsidR="003175C0">
              <w:t xml:space="preserve">egeneration of the olfactory nasal tissue </w:t>
            </w:r>
            <w:r>
              <w:t xml:space="preserve">was observed </w:t>
            </w:r>
            <w:r w:rsidR="003175C0">
              <w:t xml:space="preserve">at the 500 ppm exposure level, but not at the 150 ppm exposure </w:t>
            </w:r>
            <w:r>
              <w:t>level</w:t>
            </w:r>
            <w:r w:rsidR="003175C0">
              <w:t xml:space="preserve">. </w:t>
            </w:r>
            <w:r w:rsidR="00F756AF">
              <w:t xml:space="preserve">USEPA (1991) and CalEPA (2008) identified </w:t>
            </w:r>
            <w:r>
              <w:t xml:space="preserve">a NOAEL of </w:t>
            </w:r>
            <w:r w:rsidR="00F756AF">
              <w:t>150 ppm (273 mg/m</w:t>
            </w:r>
            <w:r w:rsidR="00F756AF" w:rsidRPr="00F756AF">
              <w:rPr>
                <w:vertAlign w:val="superscript"/>
              </w:rPr>
              <w:t>3</w:t>
            </w:r>
            <w:r w:rsidR="00F756AF">
              <w:t xml:space="preserve">) </w:t>
            </w:r>
            <w:r>
              <w:t>from Appleman et al. (1986)</w:t>
            </w:r>
            <w:r w:rsidR="00F756AF">
              <w:t xml:space="preserve"> and </w:t>
            </w:r>
            <w:r>
              <w:t xml:space="preserve">a LOAEL of </w:t>
            </w:r>
            <w:r w:rsidR="00F756AF">
              <w:t>400 ppm (728 mg/m</w:t>
            </w:r>
            <w:r w:rsidR="00F756AF" w:rsidRPr="00F756AF">
              <w:rPr>
                <w:vertAlign w:val="superscript"/>
              </w:rPr>
              <w:t>3</w:t>
            </w:r>
            <w:r w:rsidR="005A1D52">
              <w:t xml:space="preserve">) </w:t>
            </w:r>
            <w:r>
              <w:t xml:space="preserve">from </w:t>
            </w:r>
            <w:r w:rsidRPr="00FB7EC7">
              <w:t>Appleman et al. (1982)</w:t>
            </w:r>
            <w:r w:rsidR="005A1D52">
              <w:t>.</w:t>
            </w:r>
          </w:p>
          <w:p w14:paraId="0EC79AA4" w14:textId="77777777" w:rsidR="00F756AF" w:rsidRDefault="00F756AF" w:rsidP="00C860D0"/>
          <w:p w14:paraId="1A84384F" w14:textId="77777777" w:rsidR="00F756AF" w:rsidRDefault="00F756AF" w:rsidP="00C860D0">
            <w:r>
              <w:t xml:space="preserve">Although the </w:t>
            </w:r>
            <w:r w:rsidRPr="00F756AF">
              <w:t>Appleman et al. (1982, 1986) studies</w:t>
            </w:r>
            <w:r>
              <w:t xml:space="preserve"> only exposed the rats for 4 weeks</w:t>
            </w:r>
            <w:r w:rsidR="008F25E7">
              <w:t xml:space="preserve">, </w:t>
            </w:r>
            <w:r w:rsidR="00B45A8E">
              <w:t>a</w:t>
            </w:r>
            <w:r>
              <w:t xml:space="preserve">dditional studies </w:t>
            </w:r>
            <w:r w:rsidR="008F25E7">
              <w:t xml:space="preserve">exposing </w:t>
            </w:r>
            <w:r w:rsidR="005D1E0B">
              <w:t>rat</w:t>
            </w:r>
            <w:r w:rsidR="008F25E7">
              <w:t>s</w:t>
            </w:r>
            <w:r w:rsidR="005D1E0B">
              <w:t xml:space="preserve"> (Wouterson et al. 1984</w:t>
            </w:r>
            <w:r w:rsidR="006B27B1">
              <w:t>a</w:t>
            </w:r>
            <w:r w:rsidR="005D1E0B">
              <w:t>, Dor</w:t>
            </w:r>
            <w:r w:rsidR="006B27B1">
              <w:t>man et al. 2008) or hamsters (Kr</w:t>
            </w:r>
            <w:r w:rsidR="005D1E0B">
              <w:t>uyesse et al. 1975; Feron et al. 1982)</w:t>
            </w:r>
            <w:r w:rsidR="008F25E7">
              <w:t xml:space="preserve"> </w:t>
            </w:r>
            <w:r w:rsidR="005D1E0B">
              <w:t xml:space="preserve">for </w:t>
            </w:r>
            <w:r w:rsidR="008F25E7">
              <w:t>up</w:t>
            </w:r>
            <w:r w:rsidR="005D1E0B">
              <w:t xml:space="preserve"> </w:t>
            </w:r>
            <w:r w:rsidR="008F25E7">
              <w:t>to</w:t>
            </w:r>
            <w:r w:rsidR="005D1E0B">
              <w:t xml:space="preserve"> 28 months</w:t>
            </w:r>
            <w:r w:rsidR="008F25E7">
              <w:t xml:space="preserve"> </w:t>
            </w:r>
            <w:r>
              <w:t>support the finding observed in the Appleman et al. (1982, 1986) studies</w:t>
            </w:r>
            <w:r w:rsidR="005A1D52">
              <w:t xml:space="preserve">. </w:t>
            </w:r>
            <w:r w:rsidR="005D1E0B">
              <w:t>The nasal olfactory tissues wer</w:t>
            </w:r>
            <w:r w:rsidR="005A1D52">
              <w:t xml:space="preserve">e the most sensitive endpoint. </w:t>
            </w:r>
            <w:r w:rsidR="005D1E0B">
              <w:t>In studies w</w:t>
            </w:r>
            <w:r w:rsidR="003A3B0F">
              <w:t>h</w:t>
            </w:r>
            <w:r w:rsidR="005D1E0B">
              <w:t>ere exposures were selected such t</w:t>
            </w:r>
            <w:r w:rsidR="00B45A8E">
              <w:t xml:space="preserve">hat a NOAEL </w:t>
            </w:r>
            <w:r w:rsidR="00B45A8E" w:rsidRPr="006B27B1">
              <w:rPr>
                <w:i/>
              </w:rPr>
              <w:t>and</w:t>
            </w:r>
            <w:r w:rsidR="00B45A8E">
              <w:t xml:space="preserve"> LOAEL were observed, </w:t>
            </w:r>
            <w:r w:rsidR="005D1E0B">
              <w:t xml:space="preserve">LOAELs of 150 ppm </w:t>
            </w:r>
            <w:r w:rsidR="005D1E0B" w:rsidRPr="005D1E0B">
              <w:t>(Dorman et al. 2008)</w:t>
            </w:r>
            <w:r w:rsidR="005D1E0B">
              <w:t xml:space="preserve"> </w:t>
            </w:r>
            <w:r w:rsidR="00B45A8E">
              <w:t>and</w:t>
            </w:r>
            <w:r w:rsidR="005D1E0B">
              <w:t xml:space="preserve"> 390 ppm (</w:t>
            </w:r>
            <w:r w:rsidR="005D1E0B" w:rsidRPr="005D1E0B">
              <w:t>K</w:t>
            </w:r>
            <w:r w:rsidR="006B27B1">
              <w:t>r</w:t>
            </w:r>
            <w:r w:rsidR="005D1E0B" w:rsidRPr="005D1E0B">
              <w:t>uyesse et al. 1975</w:t>
            </w:r>
            <w:r w:rsidR="005D1E0B">
              <w:t xml:space="preserve">) </w:t>
            </w:r>
            <w:r w:rsidR="005A1D52">
              <w:t xml:space="preserve">were identified. </w:t>
            </w:r>
            <w:r w:rsidR="00B45A8E">
              <w:t xml:space="preserve">The study by Dorman et al. 2008 was not included as a critical study because </w:t>
            </w:r>
            <w:r w:rsidR="005A1D52">
              <w:t>there was no</w:t>
            </w:r>
            <w:r w:rsidR="00E978DA">
              <w:t xml:space="preserve"> gradation of response </w:t>
            </w:r>
            <w:r w:rsidR="005A1D52">
              <w:t>with no</w:t>
            </w:r>
            <w:r w:rsidR="00FB7EC7">
              <w:t>ne of the</w:t>
            </w:r>
            <w:r w:rsidR="005A1D52">
              <w:t xml:space="preserve"> animals a</w:t>
            </w:r>
            <w:r w:rsidR="00E978DA">
              <w:t>ffect</w:t>
            </w:r>
            <w:r w:rsidR="005A1D52">
              <w:t>ed</w:t>
            </w:r>
            <w:r w:rsidR="00E978DA">
              <w:t xml:space="preserve"> at the NOAEL and </w:t>
            </w:r>
            <w:r w:rsidR="00B45A8E">
              <w:t xml:space="preserve">all animals </w:t>
            </w:r>
            <w:r w:rsidR="005A1D52">
              <w:t>having</w:t>
            </w:r>
            <w:r w:rsidR="00E978DA">
              <w:t xml:space="preserve"> </w:t>
            </w:r>
            <w:r w:rsidR="00B45A8E">
              <w:t xml:space="preserve">nasal olfactory tissue lesions </w:t>
            </w:r>
            <w:r w:rsidR="00E978DA" w:rsidRPr="00E978DA">
              <w:t>at the L</w:t>
            </w:r>
            <w:r w:rsidR="00E978DA">
              <w:t xml:space="preserve">OAEL </w:t>
            </w:r>
            <w:r w:rsidR="00B45A8E">
              <w:t>(CalEPA 2008).</w:t>
            </w:r>
          </w:p>
          <w:p w14:paraId="5D70E10D" w14:textId="77777777" w:rsidR="00063DAE" w:rsidRDefault="00063DAE" w:rsidP="00C860D0"/>
          <w:p w14:paraId="4E768BF5" w14:textId="77777777" w:rsidR="004C531A" w:rsidRDefault="008C6DCE" w:rsidP="000E7755">
            <w:r>
              <w:lastRenderedPageBreak/>
              <w:t>USEPA (1991) used the methods described in the 1994 RfC guidance (USEPA 1994</w:t>
            </w:r>
            <w:r w:rsidR="003A3B0F">
              <w:t xml:space="preserve">) citing a </w:t>
            </w:r>
            <w:r>
              <w:t>1989 draft</w:t>
            </w:r>
            <w:r w:rsidR="003A3B0F">
              <w:t xml:space="preserve"> version</w:t>
            </w:r>
            <w:r>
              <w:t xml:space="preserve"> to estimate the HEC from the </w:t>
            </w:r>
            <w:r w:rsidRPr="008C6DCE">
              <w:t>NOAEL</w:t>
            </w:r>
            <w:r>
              <w:t xml:space="preserve"> of </w:t>
            </w:r>
            <w:r w:rsidR="00C9753E">
              <w:t>273 mg/m</w:t>
            </w:r>
            <w:r w:rsidR="00C9753E" w:rsidRPr="00C9753E">
              <w:rPr>
                <w:vertAlign w:val="superscript"/>
              </w:rPr>
              <w:t>3</w:t>
            </w:r>
            <w:r>
              <w:t xml:space="preserve"> </w:t>
            </w:r>
            <w:r w:rsidR="00BC3EEF">
              <w:t>(150 ppm) observed</w:t>
            </w:r>
            <w:r>
              <w:t xml:space="preserve"> </w:t>
            </w:r>
            <w:r w:rsidR="00991C20">
              <w:t>i</w:t>
            </w:r>
            <w:r>
              <w:t>n the Appleman et a</w:t>
            </w:r>
            <w:r w:rsidR="00991C20">
              <w:t>l.</w:t>
            </w:r>
            <w:r>
              <w:t xml:space="preserve"> 198</w:t>
            </w:r>
            <w:r w:rsidR="003A3B0F">
              <w:t>6</w:t>
            </w:r>
            <w:r>
              <w:t xml:space="preserve"> study.</w:t>
            </w:r>
            <w:r w:rsidR="005A1D52">
              <w:t xml:space="preserve"> </w:t>
            </w:r>
            <w:r w:rsidR="00A450EE">
              <w:t>US</w:t>
            </w:r>
            <w:r w:rsidR="00A450EE" w:rsidRPr="002216EB">
              <w:t xml:space="preserve">EPA assumed that </w:t>
            </w:r>
            <w:r w:rsidR="00A450EE">
              <w:t>acetaldehyde</w:t>
            </w:r>
            <w:r w:rsidR="00A450EE" w:rsidRPr="002216EB">
              <w:t xml:space="preserve"> is a highly reactive gas, Category 1, and calculated a regional gas dosimetry ratio</w:t>
            </w:r>
            <w:r w:rsidR="00A450EE" w:rsidRPr="002216EB">
              <w:rPr>
                <w:vertAlign w:val="superscript"/>
              </w:rPr>
              <w:footnoteReference w:id="4"/>
            </w:r>
            <w:r w:rsidR="00A450EE" w:rsidRPr="002216EB">
              <w:t xml:space="preserve"> (RGDR</w:t>
            </w:r>
            <w:r w:rsidR="00A450EE" w:rsidRPr="002216EB">
              <w:rPr>
                <w:vertAlign w:val="subscript"/>
              </w:rPr>
              <w:t>ET</w:t>
            </w:r>
            <w:r w:rsidR="00A450EE" w:rsidRPr="002216EB">
              <w:t xml:space="preserve">) </w:t>
            </w:r>
            <w:r w:rsidR="00A450EE" w:rsidRPr="000523BA">
              <w:t>of 0.1</w:t>
            </w:r>
            <w:r w:rsidR="00C9753E">
              <w:t>8</w:t>
            </w:r>
            <w:r w:rsidR="00A450EE" w:rsidRPr="000523BA">
              <w:t xml:space="preserve"> </w:t>
            </w:r>
            <w:r w:rsidR="00A450EE" w:rsidRPr="002216EB">
              <w:t xml:space="preserve">for the extrathoractic region (nose, larynx and pharynx) taking into account the relative surface area and ventilation rates of </w:t>
            </w:r>
            <w:r w:rsidR="00AC3581">
              <w:t xml:space="preserve">male </w:t>
            </w:r>
            <w:r w:rsidR="00A450EE" w:rsidRPr="002216EB">
              <w:t xml:space="preserve">rats and adult humans. </w:t>
            </w:r>
            <w:r w:rsidR="00A450EE" w:rsidRPr="00365CF9">
              <w:t xml:space="preserve">The </w:t>
            </w:r>
            <w:r w:rsidR="000E44E5" w:rsidRPr="00365CF9">
              <w:t>N</w:t>
            </w:r>
            <w:r w:rsidR="00A450EE" w:rsidRPr="00365CF9">
              <w:t xml:space="preserve">OAEL of </w:t>
            </w:r>
            <w:r w:rsidR="00C9753E" w:rsidRPr="00365CF9">
              <w:t xml:space="preserve">273 </w:t>
            </w:r>
            <w:r w:rsidR="007C1AE6">
              <w:t>m</w:t>
            </w:r>
            <w:r w:rsidR="00C9753E" w:rsidRPr="00365CF9">
              <w:t xml:space="preserve">g </w:t>
            </w:r>
            <w:r w:rsidR="00A450EE" w:rsidRPr="00365CF9">
              <w:t>/m</w:t>
            </w:r>
            <w:r w:rsidR="00A450EE" w:rsidRPr="00365CF9">
              <w:rPr>
                <w:vertAlign w:val="superscript"/>
              </w:rPr>
              <w:t>3</w:t>
            </w:r>
            <w:r w:rsidR="00A450EE" w:rsidRPr="00365CF9">
              <w:t xml:space="preserve">, duration adjusted from 6 hr/day, 5 day/week exposure to 24 hour/day, 7 day/week exposure to a </w:t>
            </w:r>
            <w:r w:rsidR="000E44E5" w:rsidRPr="00365CF9">
              <w:t>N</w:t>
            </w:r>
            <w:r w:rsidR="00A450EE" w:rsidRPr="00365CF9">
              <w:t>OAEL</w:t>
            </w:r>
            <w:r w:rsidR="00A450EE" w:rsidRPr="00365CF9">
              <w:rPr>
                <w:vertAlign w:val="subscript"/>
              </w:rPr>
              <w:t>adj</w:t>
            </w:r>
            <w:r w:rsidR="00A450EE" w:rsidRPr="00365CF9">
              <w:t xml:space="preserve"> of </w:t>
            </w:r>
            <w:r w:rsidR="00C9753E" w:rsidRPr="00365CF9">
              <w:t>48</w:t>
            </w:r>
            <w:r w:rsidR="003A3B0F">
              <w:t>.</w:t>
            </w:r>
            <w:r w:rsidR="00C9753E" w:rsidRPr="00365CF9">
              <w:t>75</w:t>
            </w:r>
            <w:r w:rsidR="00A450EE" w:rsidRPr="00365CF9">
              <w:t xml:space="preserve"> </w:t>
            </w:r>
            <w:r w:rsidR="007C1AE6">
              <w:t>m</w:t>
            </w:r>
            <w:r w:rsidR="00A450EE" w:rsidRPr="00365CF9">
              <w:t>g/m</w:t>
            </w:r>
            <w:r w:rsidR="00A450EE" w:rsidRPr="00365CF9">
              <w:rPr>
                <w:vertAlign w:val="superscript"/>
              </w:rPr>
              <w:t>3</w:t>
            </w:r>
            <w:r w:rsidR="00A450EE" w:rsidRPr="00365CF9">
              <w:t>, was multiplied by the RGDR</w:t>
            </w:r>
            <w:r w:rsidR="00A450EE" w:rsidRPr="00365CF9">
              <w:rPr>
                <w:vertAlign w:val="subscript"/>
              </w:rPr>
              <w:t>ET</w:t>
            </w:r>
            <w:r w:rsidR="00A450EE" w:rsidRPr="00365CF9">
              <w:t xml:space="preserve"> of 0.1</w:t>
            </w:r>
            <w:r w:rsidR="00C9753E" w:rsidRPr="00365CF9">
              <w:t>8</w:t>
            </w:r>
            <w:r w:rsidR="00A450EE" w:rsidRPr="00365CF9">
              <w:t xml:space="preserve"> to estimate the </w:t>
            </w:r>
            <w:r w:rsidR="00C9753E" w:rsidRPr="00365CF9">
              <w:t>N</w:t>
            </w:r>
            <w:r w:rsidR="00A450EE" w:rsidRPr="00365CF9">
              <w:t>OAEL</w:t>
            </w:r>
            <w:r w:rsidR="00A450EE" w:rsidRPr="00365CF9">
              <w:rPr>
                <w:vertAlign w:val="subscript"/>
              </w:rPr>
              <w:t>HEC</w:t>
            </w:r>
            <w:r w:rsidR="00A450EE" w:rsidRPr="00365CF9">
              <w:t xml:space="preserve"> of </w:t>
            </w:r>
            <w:r w:rsidR="00C9753E" w:rsidRPr="00365CF9">
              <w:t>8</w:t>
            </w:r>
            <w:r w:rsidR="007C1AE6">
              <w:t>.</w:t>
            </w:r>
            <w:r w:rsidR="00C9753E" w:rsidRPr="00365CF9">
              <w:t>7</w:t>
            </w:r>
            <w:r w:rsidR="00A450EE" w:rsidRPr="00365CF9">
              <w:t xml:space="preserve"> </w:t>
            </w:r>
            <w:r w:rsidR="007C1AE6">
              <w:t>m</w:t>
            </w:r>
            <w:r w:rsidR="00A450EE" w:rsidRPr="00365CF9">
              <w:t>g/m</w:t>
            </w:r>
            <w:r w:rsidR="00A450EE" w:rsidRPr="00365CF9">
              <w:rPr>
                <w:vertAlign w:val="superscript"/>
              </w:rPr>
              <w:t>3</w:t>
            </w:r>
            <w:r w:rsidR="00365CF9">
              <w:t xml:space="preserve">. </w:t>
            </w:r>
            <w:r w:rsidR="00A450EE" w:rsidRPr="00365CF9">
              <w:t xml:space="preserve">The </w:t>
            </w:r>
            <w:r w:rsidR="00C9753E" w:rsidRPr="00365CF9">
              <w:t>N</w:t>
            </w:r>
            <w:r w:rsidR="00A450EE" w:rsidRPr="00365CF9">
              <w:t>OAEL</w:t>
            </w:r>
            <w:r w:rsidR="00A450EE" w:rsidRPr="00365CF9">
              <w:rPr>
                <w:vertAlign w:val="subscript"/>
              </w:rPr>
              <w:t>HEC</w:t>
            </w:r>
            <w:r w:rsidR="00A450EE" w:rsidRPr="00365CF9">
              <w:t xml:space="preserve"> was divided by a composite uncertainty factor of 1,000 (UF</w:t>
            </w:r>
            <w:r w:rsidR="00A450EE" w:rsidRPr="00365CF9">
              <w:rPr>
                <w:vertAlign w:val="subscript"/>
              </w:rPr>
              <w:t>A</w:t>
            </w:r>
            <w:r w:rsidR="00A450EE" w:rsidRPr="00365CF9">
              <w:t>=3, UF</w:t>
            </w:r>
            <w:r w:rsidR="00A450EE" w:rsidRPr="00365CF9">
              <w:rPr>
                <w:vertAlign w:val="subscript"/>
              </w:rPr>
              <w:t>H</w:t>
            </w:r>
            <w:r w:rsidR="00A450EE" w:rsidRPr="00365CF9">
              <w:t>=10, UF</w:t>
            </w:r>
            <w:r w:rsidR="00A450EE" w:rsidRPr="00365CF9">
              <w:rPr>
                <w:vertAlign w:val="subscript"/>
              </w:rPr>
              <w:t>S</w:t>
            </w:r>
            <w:r w:rsidR="00A450EE" w:rsidRPr="00365CF9">
              <w:t>=10, UF</w:t>
            </w:r>
            <w:r w:rsidR="00A450EE" w:rsidRPr="00365CF9">
              <w:rPr>
                <w:vertAlign w:val="subscript"/>
              </w:rPr>
              <w:t>L</w:t>
            </w:r>
            <w:r w:rsidR="00A450EE" w:rsidRPr="00365CF9">
              <w:t>=</w:t>
            </w:r>
            <w:r w:rsidR="00C9753E" w:rsidRPr="00365CF9">
              <w:t>1, UF</w:t>
            </w:r>
            <w:r w:rsidR="00C9753E" w:rsidRPr="00365CF9">
              <w:rPr>
                <w:vertAlign w:val="subscript"/>
              </w:rPr>
              <w:t>D</w:t>
            </w:r>
            <w:r w:rsidR="00C9753E" w:rsidRPr="00365CF9">
              <w:t>=3</w:t>
            </w:r>
            <w:r w:rsidR="00A450EE" w:rsidRPr="00365CF9">
              <w:t xml:space="preserve">) to derive an RfC of </w:t>
            </w:r>
            <w:r w:rsidR="00365CF9" w:rsidRPr="00365CF9">
              <w:t>8.7</w:t>
            </w:r>
            <w:r w:rsidR="00A450EE" w:rsidRPr="00365CF9">
              <w:t xml:space="preserve"> ug/m</w:t>
            </w:r>
            <w:r w:rsidR="00A450EE" w:rsidRPr="00365CF9">
              <w:rPr>
                <w:vertAlign w:val="superscript"/>
              </w:rPr>
              <w:t>3</w:t>
            </w:r>
            <w:r w:rsidR="00AC3581">
              <w:t>,</w:t>
            </w:r>
            <w:r w:rsidR="00365CF9" w:rsidRPr="00365CF9">
              <w:t xml:space="preserve"> rounded to 9 ug/m</w:t>
            </w:r>
            <w:r w:rsidR="00365CF9" w:rsidRPr="00365CF9">
              <w:rPr>
                <w:vertAlign w:val="superscript"/>
              </w:rPr>
              <w:t>3</w:t>
            </w:r>
            <w:r w:rsidR="00A450EE" w:rsidRPr="00365CF9">
              <w:t>.</w:t>
            </w:r>
          </w:p>
          <w:p w14:paraId="34E426D9" w14:textId="77777777" w:rsidR="004C531A" w:rsidRDefault="004C531A" w:rsidP="000E7755"/>
          <w:p w14:paraId="2FB31B70" w14:textId="77777777" w:rsidR="00605976" w:rsidRPr="00605976" w:rsidRDefault="007D503E" w:rsidP="00605976">
            <w:r>
              <w:t xml:space="preserve">CalEPA (2008) </w:t>
            </w:r>
            <w:r w:rsidR="00474783">
              <w:t>used benchmark dose modeling to estimate the point of departure instead of the NOAEL used by USEPA.</w:t>
            </w:r>
            <w:r w:rsidR="002A67E0">
              <w:t xml:space="preserve"> </w:t>
            </w:r>
            <w:r w:rsidR="00781EDA">
              <w:t>They</w:t>
            </w:r>
            <w:r w:rsidR="006D7179">
              <w:t xml:space="preserve"> used a scale</w:t>
            </w:r>
            <w:r w:rsidR="006B27B1">
              <w:t>,</w:t>
            </w:r>
            <w:r w:rsidR="006D7179">
              <w:t xml:space="preserve"> rating the severity</w:t>
            </w:r>
            <w:r w:rsidR="002A67E0">
              <w:t xml:space="preserve"> of the</w:t>
            </w:r>
            <w:r w:rsidR="006D7179">
              <w:t xml:space="preserve"> </w:t>
            </w:r>
            <w:r w:rsidR="009D1364" w:rsidRPr="009D1364">
              <w:t xml:space="preserve">olfactory epithelium </w:t>
            </w:r>
            <w:r w:rsidR="006D7179">
              <w:t>degeneration in the individual animals at each exposure level</w:t>
            </w:r>
            <w:r w:rsidR="006B27B1">
              <w:t>,</w:t>
            </w:r>
            <w:r w:rsidR="006D7179">
              <w:t xml:space="preserve"> to </w:t>
            </w:r>
            <w:r w:rsidR="005A1D52">
              <w:t>convert</w:t>
            </w:r>
            <w:r w:rsidR="006D7179" w:rsidRPr="006D7179">
              <w:t xml:space="preserve"> </w:t>
            </w:r>
            <w:r w:rsidR="009D1364">
              <w:t xml:space="preserve">incidence </w:t>
            </w:r>
            <w:r w:rsidR="006D7179">
              <w:t>into a continuous mea</w:t>
            </w:r>
            <w:r w:rsidR="005A1D52">
              <w:t xml:space="preserve">sure. </w:t>
            </w:r>
            <w:r w:rsidR="00781EDA">
              <w:t>R</w:t>
            </w:r>
            <w:r w:rsidR="00861058">
              <w:t>esponse</w:t>
            </w:r>
            <w:r w:rsidR="00781EDA">
              <w:t>s</w:t>
            </w:r>
            <w:r w:rsidR="00861058">
              <w:t xml:space="preserve"> at each exposure level </w:t>
            </w:r>
            <w:r w:rsidR="00781EDA">
              <w:t>were</w:t>
            </w:r>
            <w:r w:rsidR="00861058">
              <w:t xml:space="preserve"> categoriz</w:t>
            </w:r>
            <w:r w:rsidR="00781EDA">
              <w:t>ed</w:t>
            </w:r>
            <w:r w:rsidR="00861058">
              <w:t xml:space="preserve"> into </w:t>
            </w:r>
            <w:r w:rsidR="00781EDA">
              <w:t xml:space="preserve">one of eight </w:t>
            </w:r>
            <w:r w:rsidR="00861058">
              <w:t xml:space="preserve">categories from a score of zero for no effect to a score of 7 for </w:t>
            </w:r>
            <w:r w:rsidR="00E978DA">
              <w:t>very severe</w:t>
            </w:r>
            <w:r w:rsidR="00861058">
              <w:t xml:space="preserve"> </w:t>
            </w:r>
            <w:r w:rsidR="005A1D52">
              <w:t xml:space="preserve">degeneration with hyperplasia. </w:t>
            </w:r>
            <w:r w:rsidR="00605976" w:rsidRPr="00605976">
              <w:t>The means and standard deviations for each dose group</w:t>
            </w:r>
            <w:r w:rsidR="005A1D52">
              <w:t>,</w:t>
            </w:r>
            <w:r w:rsidR="00605976" w:rsidRPr="00605976">
              <w:t xml:space="preserve"> male and female</w:t>
            </w:r>
            <w:r w:rsidR="005A1D52">
              <w:t>,</w:t>
            </w:r>
            <w:r w:rsidR="00605976" w:rsidRPr="00605976">
              <w:t xml:space="preserve"> from both Appleman et al. </w:t>
            </w:r>
            <w:r w:rsidR="00BA5A4C">
              <w:t>(</w:t>
            </w:r>
            <w:r w:rsidR="00605976" w:rsidRPr="00605976">
              <w:t>198</w:t>
            </w:r>
            <w:r w:rsidR="00BA5A4C">
              <w:t xml:space="preserve">2, </w:t>
            </w:r>
            <w:r w:rsidR="00605976" w:rsidRPr="00605976">
              <w:t>1986</w:t>
            </w:r>
            <w:r w:rsidR="00BA5A4C">
              <w:t>)</w:t>
            </w:r>
            <w:r w:rsidR="00605976" w:rsidRPr="00605976">
              <w:t xml:space="preserve"> studies were evaluated togeth</w:t>
            </w:r>
            <w:r w:rsidR="005A1D52">
              <w:t xml:space="preserve">er for dose response modeling. </w:t>
            </w:r>
            <w:r w:rsidR="00781EDA">
              <w:t>T</w:t>
            </w:r>
            <w:r w:rsidR="009D1364">
              <w:t xml:space="preserve">he point of departure </w:t>
            </w:r>
            <w:r w:rsidR="00781EDA">
              <w:t xml:space="preserve">was estimated </w:t>
            </w:r>
            <w:r w:rsidR="009D1364">
              <w:t xml:space="preserve">using </w:t>
            </w:r>
            <w:r w:rsidR="00781EDA">
              <w:t>USEPA’s</w:t>
            </w:r>
            <w:r w:rsidR="002A67E0">
              <w:t xml:space="preserve"> </w:t>
            </w:r>
            <w:r w:rsidR="005A1D52">
              <w:t>(2003)</w:t>
            </w:r>
            <w:r w:rsidR="00781EDA">
              <w:t xml:space="preserve"> </w:t>
            </w:r>
            <w:r w:rsidR="009D1364">
              <w:t xml:space="preserve">benchmark dose software (BMDS) models for continuous responses, averaging the lower confidence </w:t>
            </w:r>
            <w:r w:rsidR="00781EDA">
              <w:t xml:space="preserve">limit of the </w:t>
            </w:r>
            <w:r w:rsidR="009D1364">
              <w:t>concentration expected to produce a response rate of 5% across the three best fitting model forms</w:t>
            </w:r>
            <w:r w:rsidR="00781EDA">
              <w:t xml:space="preserve"> (CalEPA 2008)</w:t>
            </w:r>
            <w:r w:rsidR="005A1D52">
              <w:t xml:space="preserve">. </w:t>
            </w:r>
            <w:r w:rsidR="009D1364">
              <w:t>The BMCL</w:t>
            </w:r>
            <w:r w:rsidR="009D1364" w:rsidRPr="00781EDA">
              <w:rPr>
                <w:vertAlign w:val="subscript"/>
              </w:rPr>
              <w:t>05</w:t>
            </w:r>
            <w:r w:rsidR="009D1364">
              <w:t xml:space="preserve"> was calculated to be 99 </w:t>
            </w:r>
            <w:r w:rsidR="009D1364" w:rsidRPr="009D1364">
              <w:rPr>
                <w:u w:val="single"/>
              </w:rPr>
              <w:t>+</w:t>
            </w:r>
            <w:r w:rsidR="009D1364">
              <w:t xml:space="preserve"> 1.20 ppm (178 </w:t>
            </w:r>
            <w:r w:rsidR="009D1364" w:rsidRPr="009D1364">
              <w:rPr>
                <w:u w:val="single"/>
              </w:rPr>
              <w:t>+</w:t>
            </w:r>
            <w:r w:rsidR="009D1364">
              <w:t xml:space="preserve"> 2.16 </w:t>
            </w:r>
            <w:r w:rsidR="009D1364" w:rsidRPr="009D1364">
              <w:t>mg/m</w:t>
            </w:r>
            <w:r w:rsidR="009D1364" w:rsidRPr="009D1364">
              <w:rPr>
                <w:vertAlign w:val="superscript"/>
              </w:rPr>
              <w:t>3</w:t>
            </w:r>
            <w:r w:rsidR="009D1364">
              <w:t>)</w:t>
            </w:r>
            <w:r w:rsidR="00781EDA">
              <w:t>.</w:t>
            </w:r>
          </w:p>
          <w:p w14:paraId="053071E8" w14:textId="77777777" w:rsidR="00474783" w:rsidRDefault="00474783" w:rsidP="000E7755"/>
          <w:p w14:paraId="2E8E7912" w14:textId="77777777" w:rsidR="003842CD" w:rsidRDefault="00B60A0B" w:rsidP="00B70AF9">
            <w:r>
              <w:t>T</w:t>
            </w:r>
            <w:r w:rsidR="007D503E">
              <w:t xml:space="preserve">he output of the </w:t>
            </w:r>
            <w:r>
              <w:t xml:space="preserve">physiologically based </w:t>
            </w:r>
            <w:r w:rsidR="007D503E">
              <w:t xml:space="preserve">pharmacokinetic </w:t>
            </w:r>
            <w:r>
              <w:t xml:space="preserve">(PBPK) </w:t>
            </w:r>
            <w:r w:rsidR="007D503E">
              <w:t xml:space="preserve">model developed by Teeguarden et al. (2008) </w:t>
            </w:r>
            <w:r>
              <w:t xml:space="preserve">was used by CalEPA </w:t>
            </w:r>
            <w:r w:rsidR="007D503E">
              <w:t>to extrapolate the rat expos</w:t>
            </w:r>
            <w:r w:rsidR="005A1D52">
              <w:t>ure</w:t>
            </w:r>
            <w:r>
              <w:t xml:space="preserve"> concentration</w:t>
            </w:r>
            <w:r w:rsidR="007D503E">
              <w:t xml:space="preserve"> </w:t>
            </w:r>
            <w:r w:rsidR="005A1D52">
              <w:t>(BMCL</w:t>
            </w:r>
            <w:r w:rsidR="005A1D52" w:rsidRPr="005A1D52">
              <w:rPr>
                <w:vertAlign w:val="subscript"/>
              </w:rPr>
              <w:t>05</w:t>
            </w:r>
            <w:r w:rsidR="005A1D52">
              <w:t xml:space="preserve">) </w:t>
            </w:r>
            <w:r w:rsidR="007D503E">
              <w:t xml:space="preserve">to an </w:t>
            </w:r>
            <w:r>
              <w:t xml:space="preserve">exposure </w:t>
            </w:r>
            <w:r w:rsidR="007D503E">
              <w:t>concentration for humans</w:t>
            </w:r>
            <w:r w:rsidR="00287942">
              <w:t xml:space="preserve"> that results in the same concentration in the olfactory epithelium in rats and humans</w:t>
            </w:r>
            <w:r w:rsidR="005A1D52">
              <w:t xml:space="preserve">. </w:t>
            </w:r>
            <w:r w:rsidR="003842CD">
              <w:t xml:space="preserve">CalEPA used the ratio of the rat (8.41) and human (6.20) internal concentrations estimated for </w:t>
            </w:r>
            <w:r w:rsidR="003842CD" w:rsidRPr="003842CD">
              <w:t>olfactory</w:t>
            </w:r>
            <w:r w:rsidR="003842CD">
              <w:t xml:space="preserve"> epithelia cells from the same external exposure concentration of acetaldehyde yielding a </w:t>
            </w:r>
            <w:r w:rsidR="003842CD" w:rsidRPr="003842CD">
              <w:t>dosimetric adjustment factor (DAF</w:t>
            </w:r>
            <w:r w:rsidR="005A1D52">
              <w:t>) of 1.36.</w:t>
            </w:r>
          </w:p>
          <w:p w14:paraId="2AC76C53" w14:textId="77777777" w:rsidR="003842CD" w:rsidRDefault="003842CD" w:rsidP="00B70AF9"/>
          <w:p w14:paraId="3F937C40" w14:textId="77777777" w:rsidR="007C1AE6" w:rsidRDefault="003842CD" w:rsidP="00B70AF9">
            <w:r>
              <w:t>Acetaldehyde is metabolized</w:t>
            </w:r>
            <w:r w:rsidR="00640497">
              <w:t xml:space="preserve"> </w:t>
            </w:r>
            <w:r>
              <w:t xml:space="preserve">by the enzyme </w:t>
            </w:r>
            <w:r w:rsidR="00640497">
              <w:t>aldehyde dehydrogenase (ALDH</w:t>
            </w:r>
            <w:r>
              <w:t>)</w:t>
            </w:r>
            <w:r w:rsidR="00640497">
              <w:t>; a detoxifying pathway present in many tissues of rodents and humans</w:t>
            </w:r>
            <w:r w:rsidR="00BA5A4C">
              <w:t xml:space="preserve"> (Teeguarden et al. 2008)</w:t>
            </w:r>
            <w:r w:rsidR="005A1D52">
              <w:t xml:space="preserve">. </w:t>
            </w:r>
            <w:r w:rsidR="00640497">
              <w:t>Humans and rodents have two forms of this enzyme, low-affinity AL</w:t>
            </w:r>
            <w:r w:rsidR="005A1D52">
              <w:t xml:space="preserve">DH*1 and high-affinity ALDH*2. </w:t>
            </w:r>
            <w:r w:rsidR="00640497">
              <w:t>While ALDH*2 has not been studied or measured specifical</w:t>
            </w:r>
            <w:r w:rsidR="00904D29">
              <w:t>ly in human nasal tissues, given the similarity in</w:t>
            </w:r>
            <w:r w:rsidR="00640497">
              <w:t xml:space="preserve"> tissue</w:t>
            </w:r>
            <w:r w:rsidR="00904D29">
              <w:t xml:space="preserve"> distribution in rodents and humans, it is plausible that it is expressed in human nasal tissues</w:t>
            </w:r>
            <w:r w:rsidR="00102A25">
              <w:t xml:space="preserve"> (CalEPA 2008)</w:t>
            </w:r>
            <w:r w:rsidR="00904D29">
              <w:t xml:space="preserve">. </w:t>
            </w:r>
            <w:r>
              <w:t xml:space="preserve">Humans </w:t>
            </w:r>
            <w:r w:rsidR="00640497">
              <w:t xml:space="preserve">are </w:t>
            </w:r>
            <w:r w:rsidR="00904D29">
              <w:t xml:space="preserve">well </w:t>
            </w:r>
            <w:r w:rsidR="00640497">
              <w:t xml:space="preserve">known to </w:t>
            </w:r>
            <w:r>
              <w:t xml:space="preserve">vary in the activity of </w:t>
            </w:r>
            <w:r w:rsidR="00904D29">
              <w:t>ALDH*2, as the absence of its activity</w:t>
            </w:r>
            <w:r w:rsidR="005A1D52">
              <w:t xml:space="preserve"> [in the liver]</w:t>
            </w:r>
            <w:r w:rsidR="00904D29">
              <w:t xml:space="preserve"> is the basis of alcohol sensitivity particularly in people of Asian descent (Teeguarden et al. </w:t>
            </w:r>
            <w:r w:rsidR="005A1D52">
              <w:t xml:space="preserve">2008). </w:t>
            </w:r>
            <w:r w:rsidRPr="00102A25">
              <w:t xml:space="preserve">Teeguarden et al. (2008) </w:t>
            </w:r>
            <w:r w:rsidR="00102A25" w:rsidRPr="00102A25">
              <w:t xml:space="preserve">modeled the influence of ALDH*2 activity, full, intermediate or zero, on the </w:t>
            </w:r>
            <w:r w:rsidR="00904D29" w:rsidRPr="00102A25">
              <w:t xml:space="preserve">metabolism of acetaldehyde in nasal tissues </w:t>
            </w:r>
            <w:r w:rsidR="005A1D52">
              <w:t>and found very limited impact.</w:t>
            </w:r>
          </w:p>
          <w:p w14:paraId="181283C3" w14:textId="77777777" w:rsidR="00FD2072" w:rsidRDefault="00FD2072" w:rsidP="00B70AF9"/>
          <w:p w14:paraId="19558185" w14:textId="77777777" w:rsidR="00E8465D" w:rsidRPr="00690891" w:rsidRDefault="00FD2072" w:rsidP="00690891">
            <w:r>
              <w:t>The BMC</w:t>
            </w:r>
            <w:r w:rsidR="007C1AE6">
              <w:t>L</w:t>
            </w:r>
            <w:r w:rsidR="00540041" w:rsidRPr="00540041">
              <w:rPr>
                <w:vertAlign w:val="subscript"/>
              </w:rPr>
              <w:t>05</w:t>
            </w:r>
            <w:r>
              <w:t xml:space="preserve"> of </w:t>
            </w:r>
            <w:r w:rsidR="007C1AE6">
              <w:t>178</w:t>
            </w:r>
            <w:r>
              <w:t xml:space="preserve"> mg/m</w:t>
            </w:r>
            <w:r w:rsidRPr="002A4892">
              <w:rPr>
                <w:vertAlign w:val="superscript"/>
              </w:rPr>
              <w:t>3</w:t>
            </w:r>
            <w:r>
              <w:t xml:space="preserve"> </w:t>
            </w:r>
            <w:r w:rsidR="0081283C">
              <w:t>estimated from the rat studies</w:t>
            </w:r>
            <w:r w:rsidR="00F009BE">
              <w:t xml:space="preserve"> (Appleman et al</w:t>
            </w:r>
            <w:r w:rsidR="00BA5A4C">
              <w:t>.</w:t>
            </w:r>
            <w:r w:rsidR="00F009BE">
              <w:t xml:space="preserve"> 1982, 1986)</w:t>
            </w:r>
            <w:r w:rsidR="0081283C">
              <w:t xml:space="preserve"> </w:t>
            </w:r>
            <w:r>
              <w:t xml:space="preserve">was adjusted to a human equivalent concentration </w:t>
            </w:r>
            <w:r w:rsidR="007D3E9A">
              <w:t>of 242.1 mg/m</w:t>
            </w:r>
            <w:r w:rsidR="007D3E9A" w:rsidRPr="007D3E9A">
              <w:rPr>
                <w:vertAlign w:val="superscript"/>
              </w:rPr>
              <w:t>3</w:t>
            </w:r>
            <w:r w:rsidR="007D3E9A">
              <w:t xml:space="preserve"> </w:t>
            </w:r>
            <w:r>
              <w:t xml:space="preserve">from animal to human </w:t>
            </w:r>
            <w:r w:rsidR="007C1AE6">
              <w:t xml:space="preserve">using </w:t>
            </w:r>
            <w:r w:rsidR="005A1D52">
              <w:t>the</w:t>
            </w:r>
            <w:r w:rsidR="0081283C">
              <w:t xml:space="preserve"> </w:t>
            </w:r>
            <w:r w:rsidR="00640497">
              <w:lastRenderedPageBreak/>
              <w:t>DAF</w:t>
            </w:r>
            <w:r w:rsidR="0081283C">
              <w:t xml:space="preserve"> of 1.36 from </w:t>
            </w:r>
            <w:r w:rsidR="007C1AE6">
              <w:t>the PBPK model of Teeguarden et al. (2008)</w:t>
            </w:r>
            <w:r w:rsidR="00690891">
              <w:t>,</w:t>
            </w:r>
            <w:r>
              <w:t xml:space="preserve"> </w:t>
            </w:r>
            <w:r w:rsidR="0081283C">
              <w:t>and</w:t>
            </w:r>
            <w:r>
              <w:t xml:space="preserve"> </w:t>
            </w:r>
            <w:r w:rsidR="00690891">
              <w:t xml:space="preserve">duration adjusted to a </w:t>
            </w:r>
            <w:r w:rsidR="00027237" w:rsidRPr="00027237">
              <w:t>BMCL</w:t>
            </w:r>
            <w:r w:rsidR="00027237" w:rsidRPr="00027237">
              <w:rPr>
                <w:vertAlign w:val="subscript"/>
              </w:rPr>
              <w:t>HEC</w:t>
            </w:r>
            <w:r w:rsidR="00027237">
              <w:t xml:space="preserve"> </w:t>
            </w:r>
            <w:r w:rsidR="00690891" w:rsidRPr="00690891">
              <w:t xml:space="preserve">of </w:t>
            </w:r>
            <w:r w:rsidR="007D3E9A">
              <w:t>43.2</w:t>
            </w:r>
            <w:r w:rsidR="00690891" w:rsidRPr="00690891">
              <w:t xml:space="preserve"> mg/m</w:t>
            </w:r>
            <w:r w:rsidR="00690891" w:rsidRPr="00690891">
              <w:rPr>
                <w:vertAlign w:val="superscript"/>
              </w:rPr>
              <w:t>3</w:t>
            </w:r>
            <w:r>
              <w:t xml:space="preserve">, </w:t>
            </w:r>
            <w:r w:rsidR="00690891">
              <w:t xml:space="preserve">where </w:t>
            </w:r>
            <w:r w:rsidR="007D3E9A" w:rsidRPr="007D3E9A">
              <w:t xml:space="preserve">43.2 </w:t>
            </w:r>
            <w:r w:rsidR="00690891">
              <w:t>mg/m</w:t>
            </w:r>
            <w:r w:rsidR="00690891" w:rsidRPr="00690891">
              <w:rPr>
                <w:vertAlign w:val="superscript"/>
              </w:rPr>
              <w:t>3</w:t>
            </w:r>
            <w:r w:rsidR="00857C36">
              <w:t xml:space="preserve"> </w:t>
            </w:r>
            <w:r w:rsidR="00690891">
              <w:t>=</w:t>
            </w:r>
            <w:r w:rsidR="00857C36">
              <w:t xml:space="preserve"> </w:t>
            </w:r>
            <w:r w:rsidR="007D3E9A" w:rsidRPr="007D3E9A">
              <w:t xml:space="preserve">242.1 </w:t>
            </w:r>
            <w:r w:rsidR="00690891">
              <w:t>mg/m</w:t>
            </w:r>
            <w:r w:rsidR="00690891" w:rsidRPr="00690891">
              <w:rPr>
                <w:vertAlign w:val="superscript"/>
              </w:rPr>
              <w:t>3</w:t>
            </w:r>
            <w:r w:rsidR="00690891">
              <w:t xml:space="preserve"> x </w:t>
            </w:r>
            <w:r w:rsidR="00690891" w:rsidRPr="007D3E9A">
              <w:t>6</w:t>
            </w:r>
            <w:r w:rsidR="00690891">
              <w:t xml:space="preserve"> hours/</w:t>
            </w:r>
            <w:r>
              <w:t>24 hours</w:t>
            </w:r>
            <w:r w:rsidR="00690891">
              <w:t xml:space="preserve"> x</w:t>
            </w:r>
            <w:r>
              <w:t xml:space="preserve"> 5</w:t>
            </w:r>
            <w:r w:rsidR="00575860">
              <w:t xml:space="preserve"> </w:t>
            </w:r>
            <w:r w:rsidR="00690891">
              <w:t>days/</w:t>
            </w:r>
            <w:r>
              <w:t>7</w:t>
            </w:r>
            <w:r w:rsidR="00690891">
              <w:t xml:space="preserve"> days</w:t>
            </w:r>
            <w:r>
              <w:t xml:space="preserve">.  The </w:t>
            </w:r>
            <w:r w:rsidR="007D3E9A" w:rsidRPr="007D3E9A">
              <w:t>BMCL</w:t>
            </w:r>
            <w:r w:rsidR="007D3E9A" w:rsidRPr="007D3E9A">
              <w:rPr>
                <w:vertAlign w:val="subscript"/>
              </w:rPr>
              <w:t>HEC</w:t>
            </w:r>
            <w:r>
              <w:t xml:space="preserve"> was divided by a composite uncertainty factor of </w:t>
            </w:r>
            <w:r w:rsidRPr="007D3E9A">
              <w:t>30</w:t>
            </w:r>
            <w:r w:rsidR="007D3E9A" w:rsidRPr="007D3E9A">
              <w:t>0</w:t>
            </w:r>
            <w:r w:rsidRPr="007D3E9A">
              <w:t>.</w:t>
            </w:r>
          </w:p>
          <w:p w14:paraId="00568F35" w14:textId="77777777" w:rsidR="00FD2072" w:rsidRDefault="00FD2072" w:rsidP="00025EEC"/>
          <w:p w14:paraId="13C08719" w14:textId="77777777" w:rsidR="00FD2072" w:rsidRPr="0081283C" w:rsidRDefault="00FD2072" w:rsidP="00512A55">
            <w:pPr>
              <w:ind w:left="713"/>
            </w:pPr>
            <w:r>
              <w:t>R</w:t>
            </w:r>
            <w:r w:rsidR="0081283C">
              <w:t>EL</w:t>
            </w:r>
            <w:r>
              <w:t xml:space="preserve"> =</w:t>
            </w:r>
            <w:r w:rsidR="0081283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="007D3E9A" w:rsidRPr="0081283C">
              <w:rPr>
                <w:u w:val="single"/>
              </w:rPr>
              <w:t xml:space="preserve">43.2 </w:t>
            </w:r>
            <w:r w:rsidRPr="0081283C">
              <w:rPr>
                <w:u w:val="single"/>
              </w:rPr>
              <w:t>mg/m</w:t>
            </w:r>
            <w:r w:rsidRPr="0081283C">
              <w:rPr>
                <w:u w:val="single"/>
                <w:vertAlign w:val="superscript"/>
              </w:rPr>
              <w:t>3</w:t>
            </w:r>
            <w:r w:rsidRPr="0081283C">
              <w:rPr>
                <w:u w:val="single"/>
              </w:rPr>
              <w:t xml:space="preserve"> </w:t>
            </w:r>
            <w:r w:rsidR="00575860">
              <w:rPr>
                <w:u w:val="single"/>
              </w:rPr>
              <w:t>x 10</w:t>
            </w:r>
            <w:r w:rsidR="00575860" w:rsidRPr="00575860">
              <w:rPr>
                <w:u w:val="single"/>
                <w:vertAlign w:val="superscript"/>
              </w:rPr>
              <w:t>3</w:t>
            </w:r>
            <w:r w:rsidR="00575860">
              <w:rPr>
                <w:u w:val="single"/>
              </w:rPr>
              <w:t xml:space="preserve"> ug/mg </w:t>
            </w:r>
            <w:r w:rsidRPr="0081283C">
              <w:rPr>
                <w:u w:val="single"/>
              </w:rPr>
              <w:t xml:space="preserve">  </w:t>
            </w:r>
            <w:r w:rsidRPr="0081283C">
              <w:t xml:space="preserve">=  </w:t>
            </w:r>
            <w:r w:rsidR="0081283C">
              <w:t>144</w:t>
            </w:r>
            <w:r w:rsidRPr="0081283C">
              <w:t xml:space="preserve"> ug/m</w:t>
            </w:r>
            <w:r w:rsidRPr="0081283C">
              <w:rPr>
                <w:vertAlign w:val="superscript"/>
              </w:rPr>
              <w:t>3</w:t>
            </w:r>
            <w:r w:rsidRPr="0081283C">
              <w:t xml:space="preserve">, rounded to </w:t>
            </w:r>
            <w:r w:rsidR="0081283C">
              <w:t>140</w:t>
            </w:r>
            <w:r w:rsidRPr="0081283C">
              <w:t xml:space="preserve"> ug/m</w:t>
            </w:r>
            <w:r w:rsidRPr="0081283C">
              <w:rPr>
                <w:vertAlign w:val="superscript"/>
              </w:rPr>
              <w:t>3</w:t>
            </w:r>
          </w:p>
          <w:p w14:paraId="5C0B8F51" w14:textId="77777777" w:rsidR="00FD2072" w:rsidRDefault="0081283C" w:rsidP="00512A55">
            <w:pPr>
              <w:ind w:left="713"/>
            </w:pPr>
            <w:r w:rsidRPr="0081283C">
              <w:t xml:space="preserve">         </w:t>
            </w:r>
            <w:r w:rsidR="00575860">
              <w:t xml:space="preserve">    </w:t>
            </w:r>
            <w:r w:rsidR="0042328F">
              <w:t xml:space="preserve"> </w:t>
            </w:r>
            <w:r w:rsidRPr="0081283C">
              <w:t xml:space="preserve">    </w:t>
            </w:r>
            <w:r w:rsidR="007D3E9A" w:rsidRPr="0081283C">
              <w:t xml:space="preserve">1 x </w:t>
            </w:r>
            <w:r w:rsidR="00FD2072" w:rsidRPr="0081283C">
              <w:t xml:space="preserve">3 </w:t>
            </w:r>
            <w:r w:rsidR="007D3E9A" w:rsidRPr="0081283C">
              <w:t xml:space="preserve">x 3 x 10 </w:t>
            </w:r>
            <w:r w:rsidR="00FD2072" w:rsidRPr="0081283C">
              <w:t xml:space="preserve">x </w:t>
            </w:r>
            <w:r w:rsidR="007D3E9A" w:rsidRPr="0081283C">
              <w:t>3</w:t>
            </w:r>
          </w:p>
          <w:p w14:paraId="4285F857" w14:textId="77777777" w:rsidR="00FD2072" w:rsidRDefault="00FD2072" w:rsidP="00512A55">
            <w:pPr>
              <w:rPr>
                <w:b/>
                <w:bCs/>
              </w:rPr>
            </w:pPr>
          </w:p>
          <w:p w14:paraId="2894EC76" w14:textId="77777777" w:rsidR="00FD2072" w:rsidRPr="00976DE0" w:rsidRDefault="00FD2072" w:rsidP="00CA2C3C">
            <w:pPr>
              <w:tabs>
                <w:tab w:val="left" w:pos="2893"/>
                <w:tab w:val="left" w:pos="5746"/>
              </w:tabs>
              <w:ind w:left="720"/>
              <w:rPr>
                <w:b/>
                <w:i/>
              </w:rPr>
            </w:pPr>
            <w:r w:rsidRPr="00976DE0">
              <w:rPr>
                <w:b/>
                <w:i/>
              </w:rPr>
              <w:t>Uncertainty factors:</w:t>
            </w:r>
          </w:p>
          <w:p w14:paraId="74402FF3" w14:textId="77777777" w:rsidR="00F02DC9" w:rsidRPr="00F02DC9" w:rsidRDefault="00F02DC9" w:rsidP="00474783">
            <w:pPr>
              <w:tabs>
                <w:tab w:val="left" w:pos="5760"/>
                <w:tab w:val="left" w:pos="7030"/>
              </w:tabs>
              <w:ind w:left="1440" w:hanging="720"/>
              <w:rPr>
                <w:b/>
              </w:rPr>
            </w:pPr>
            <w:r w:rsidRPr="00F02DC9">
              <w:t>UF</w:t>
            </w:r>
            <w:r>
              <w:rPr>
                <w:vertAlign w:val="subscript"/>
              </w:rPr>
              <w:t>A</w:t>
            </w:r>
            <w:r w:rsidRPr="00F02DC9">
              <w:rPr>
                <w:vertAlign w:val="subscript"/>
              </w:rPr>
              <w:t>-k</w:t>
            </w:r>
            <w:r w:rsidRPr="00F02DC9">
              <w:t xml:space="preserve"> (extrapolation from animals to humans </w:t>
            </w:r>
            <w:r>
              <w:t>toxico</w:t>
            </w:r>
            <w:r w:rsidR="001470A2">
              <w:t xml:space="preserve">kinetics)    </w:t>
            </w:r>
            <w:r w:rsidR="00474783">
              <w:t xml:space="preserve"> </w:t>
            </w:r>
            <w:r w:rsidR="001470A2">
              <w:t xml:space="preserve">    = 1</w:t>
            </w:r>
          </w:p>
          <w:p w14:paraId="5D7C693F" w14:textId="77777777" w:rsidR="00F02DC9" w:rsidRPr="00F02DC9" w:rsidRDefault="00F02DC9" w:rsidP="00F02DC9">
            <w:pPr>
              <w:tabs>
                <w:tab w:val="left" w:pos="5775"/>
              </w:tabs>
              <w:ind w:left="1440" w:hanging="720"/>
            </w:pPr>
            <w:r w:rsidRPr="00F02DC9">
              <w:t>UF</w:t>
            </w:r>
            <w:r>
              <w:rPr>
                <w:vertAlign w:val="subscript"/>
              </w:rPr>
              <w:t>A</w:t>
            </w:r>
            <w:r w:rsidRPr="00F02DC9">
              <w:rPr>
                <w:vertAlign w:val="subscript"/>
              </w:rPr>
              <w:t>-d</w:t>
            </w:r>
            <w:r w:rsidRPr="00F02DC9">
              <w:t xml:space="preserve"> (extrapolation from animals to humans </w:t>
            </w:r>
            <w:r>
              <w:t>toxicodynamics</w:t>
            </w:r>
            <w:r w:rsidRPr="00F02DC9">
              <w:t xml:space="preserve">)      = </w:t>
            </w:r>
            <w:r w:rsidR="001470A2">
              <w:t>3</w:t>
            </w:r>
          </w:p>
          <w:p w14:paraId="08DE8C5A" w14:textId="77777777" w:rsidR="00FD2072" w:rsidRPr="00D96D4A" w:rsidRDefault="00FD2072" w:rsidP="00CA2C3C">
            <w:pPr>
              <w:tabs>
                <w:tab w:val="left" w:pos="5760"/>
              </w:tabs>
              <w:ind w:left="720"/>
              <w:rPr>
                <w:b/>
              </w:rPr>
            </w:pPr>
            <w:r>
              <w:t>UF</w:t>
            </w:r>
            <w:r w:rsidRPr="004D70E5">
              <w:rPr>
                <w:vertAlign w:val="subscript"/>
              </w:rPr>
              <w:t>H</w:t>
            </w:r>
            <w:r w:rsidR="00642C28">
              <w:rPr>
                <w:vertAlign w:val="subscript"/>
              </w:rPr>
              <w:t>-</w:t>
            </w:r>
            <w:r w:rsidRPr="004D70E5">
              <w:rPr>
                <w:vertAlign w:val="subscript"/>
              </w:rPr>
              <w:t>k</w:t>
            </w:r>
            <w:r>
              <w:t xml:space="preserve"> </w:t>
            </w:r>
            <w:r w:rsidRPr="00EB24C2">
              <w:t>(</w:t>
            </w:r>
            <w:r>
              <w:t xml:space="preserve">human population variability in kinetics)      </w:t>
            </w:r>
            <w:r w:rsidR="00474783">
              <w:t xml:space="preserve">                     </w:t>
            </w:r>
            <w:r>
              <w:t xml:space="preserve">  </w:t>
            </w:r>
            <w:r w:rsidRPr="00D96D4A">
              <w:t xml:space="preserve">= </w:t>
            </w:r>
            <w:r w:rsidR="001470A2">
              <w:t>3</w:t>
            </w:r>
          </w:p>
          <w:p w14:paraId="5CBB12D7" w14:textId="77777777" w:rsidR="00FD2072" w:rsidRDefault="00FD2072" w:rsidP="00330022">
            <w:pPr>
              <w:tabs>
                <w:tab w:val="left" w:pos="5775"/>
              </w:tabs>
              <w:ind w:left="1350" w:hanging="630"/>
            </w:pPr>
            <w:r>
              <w:t>UF</w:t>
            </w:r>
            <w:r w:rsidRPr="00A35F36">
              <w:rPr>
                <w:vertAlign w:val="subscript"/>
              </w:rPr>
              <w:t>H</w:t>
            </w:r>
            <w:r w:rsidR="00642C28">
              <w:rPr>
                <w:vertAlign w:val="subscript"/>
              </w:rPr>
              <w:t>-</w:t>
            </w:r>
            <w:r w:rsidRPr="00A35F36">
              <w:rPr>
                <w:vertAlign w:val="subscript"/>
              </w:rPr>
              <w:t>d</w:t>
            </w:r>
            <w:r>
              <w:t xml:space="preserve"> (human populati</w:t>
            </w:r>
            <w:r w:rsidR="00330022">
              <w:t xml:space="preserve">on variability in response)    </w:t>
            </w:r>
            <w:r w:rsidR="00474783">
              <w:t xml:space="preserve">                      </w:t>
            </w:r>
            <w:r>
              <w:t xml:space="preserve">  </w:t>
            </w:r>
            <w:r w:rsidRPr="00D96D4A">
              <w:t>= 1</w:t>
            </w:r>
            <w:r w:rsidR="001470A2">
              <w:t>0</w:t>
            </w:r>
          </w:p>
          <w:p w14:paraId="0FCE9A26" w14:textId="77777777" w:rsidR="00FD2072" w:rsidRPr="00D96D4A" w:rsidRDefault="00FD2072" w:rsidP="00CA2C3C">
            <w:pPr>
              <w:tabs>
                <w:tab w:val="left" w:pos="5775"/>
              </w:tabs>
              <w:ind w:left="900" w:hanging="180"/>
              <w:rPr>
                <w:b/>
              </w:rPr>
            </w:pPr>
            <w:r w:rsidRPr="001470A2">
              <w:t>to account for potential as</w:t>
            </w:r>
            <w:r w:rsidR="00474783">
              <w:t>thma exacerbation in children</w:t>
            </w:r>
          </w:p>
          <w:p w14:paraId="03FC67B2" w14:textId="77777777" w:rsidR="00690891" w:rsidRPr="00690891" w:rsidRDefault="00690891" w:rsidP="00690891">
            <w:pPr>
              <w:ind w:left="720"/>
            </w:pPr>
            <w:r w:rsidRPr="00690891">
              <w:t>UF</w:t>
            </w:r>
            <w:r w:rsidRPr="00690891">
              <w:rPr>
                <w:vertAlign w:val="subscript"/>
              </w:rPr>
              <w:t>L</w:t>
            </w:r>
            <w:r w:rsidRPr="00690891">
              <w:t xml:space="preserve"> (LOAEL to NOAEL)                                       </w:t>
            </w:r>
            <w:r w:rsidR="00474783">
              <w:t xml:space="preserve">                        </w:t>
            </w:r>
            <w:r w:rsidRPr="00690891">
              <w:t xml:space="preserve"> = 1</w:t>
            </w:r>
          </w:p>
          <w:p w14:paraId="0522BA82" w14:textId="77777777" w:rsidR="00FD2072" w:rsidRPr="00D96D4A" w:rsidRDefault="00FD2072" w:rsidP="00CA2C3C">
            <w:pPr>
              <w:ind w:left="720"/>
            </w:pPr>
            <w:r>
              <w:t>UF</w:t>
            </w:r>
            <w:r>
              <w:rPr>
                <w:vertAlign w:val="subscript"/>
              </w:rPr>
              <w:t xml:space="preserve">S </w:t>
            </w:r>
            <w:r w:rsidRPr="00315392">
              <w:t>(subchronic to chronic)</w:t>
            </w:r>
            <w:r>
              <w:t xml:space="preserve">                                </w:t>
            </w:r>
            <w:r w:rsidR="00474783">
              <w:t xml:space="preserve">                   </w:t>
            </w:r>
            <w:r w:rsidR="002C3BD6">
              <w:t xml:space="preserve"> </w:t>
            </w:r>
            <w:r w:rsidR="00474783">
              <w:t xml:space="preserve">         </w:t>
            </w:r>
            <w:r>
              <w:t xml:space="preserve"> = </w:t>
            </w:r>
            <w:r w:rsidR="001470A2">
              <w:t>3</w:t>
            </w:r>
          </w:p>
          <w:p w14:paraId="2059D276" w14:textId="77777777" w:rsidR="00FD2072" w:rsidRDefault="00FD2072" w:rsidP="00CA2C3C">
            <w:pPr>
              <w:tabs>
                <w:tab w:val="left" w:pos="5760"/>
              </w:tabs>
              <w:ind w:left="720"/>
              <w:rPr>
                <w:b/>
                <w:bCs/>
              </w:rPr>
            </w:pPr>
            <w:r>
              <w:t>UF</w:t>
            </w:r>
            <w:r>
              <w:rPr>
                <w:vertAlign w:val="subscript"/>
              </w:rPr>
              <w:t>D</w:t>
            </w:r>
            <w:r>
              <w:t xml:space="preserve"> (</w:t>
            </w:r>
            <w:r w:rsidRPr="00004027">
              <w:t>combined data deficiencies</w:t>
            </w:r>
            <w:r>
              <w:t xml:space="preserve">)                     </w:t>
            </w:r>
            <w:r w:rsidR="00474783">
              <w:t xml:space="preserve">                      </w:t>
            </w:r>
            <w:r>
              <w:t xml:space="preserve">         </w:t>
            </w:r>
            <w:r w:rsidRPr="00D96D4A">
              <w:t>= 1</w:t>
            </w:r>
            <w:r w:rsidR="00690891">
              <w:t xml:space="preserve"> </w:t>
            </w:r>
          </w:p>
          <w:p w14:paraId="30EBCC6A" w14:textId="77777777" w:rsidR="00E8465D" w:rsidRDefault="00E8465D" w:rsidP="00F6086A"/>
          <w:p w14:paraId="610DC64A" w14:textId="77777777" w:rsidR="003D4AD2" w:rsidRPr="00A4664D" w:rsidRDefault="00AF63DA" w:rsidP="00F6086A">
            <w:r>
              <w:t xml:space="preserve">A DAF from the </w:t>
            </w:r>
            <w:r w:rsidRPr="00AF63DA">
              <w:t>PBPK model of Teeguarden et al. (2008)</w:t>
            </w:r>
            <w:r>
              <w:t xml:space="preserve"> was used to adjust the toxicokinetic portion of the interspecies uncertainty factor (</w:t>
            </w:r>
            <w:r w:rsidRPr="00AF63DA">
              <w:t>UF</w:t>
            </w:r>
            <w:r w:rsidRPr="00AF63DA">
              <w:rPr>
                <w:vertAlign w:val="subscript"/>
              </w:rPr>
              <w:t>A-k</w:t>
            </w:r>
            <w:r>
              <w:t xml:space="preserve">), so a value of one was used for </w:t>
            </w:r>
            <w:r w:rsidRPr="00AF63DA">
              <w:t>UF</w:t>
            </w:r>
            <w:r w:rsidRPr="00AF63DA">
              <w:rPr>
                <w:vertAlign w:val="subscript"/>
              </w:rPr>
              <w:t>A-k</w:t>
            </w:r>
            <w:r>
              <w:t xml:space="preserve">.  Toxicodynamic differences across species are not known and the key studies are in non-primates, thus CalEPA (2008) used a factor of 3 for the toxicodynamic portion of interspecies uncertainty factor </w:t>
            </w:r>
            <w:r w:rsidRPr="00AF63DA">
              <w:t>(UF</w:t>
            </w:r>
            <w:r w:rsidRPr="00AF63DA">
              <w:rPr>
                <w:vertAlign w:val="subscript"/>
              </w:rPr>
              <w:t>A-</w:t>
            </w:r>
            <w:r>
              <w:rPr>
                <w:vertAlign w:val="subscript"/>
              </w:rPr>
              <w:t>d</w:t>
            </w:r>
            <w:r w:rsidRPr="00AF63DA">
              <w:t>)</w:t>
            </w:r>
            <w:r>
              <w:t xml:space="preserve">.  </w:t>
            </w:r>
            <w:r w:rsidR="00A4664D">
              <w:t>A value of 3 was selected for the to</w:t>
            </w:r>
            <w:r w:rsidR="007035B4">
              <w:t>xicokinetic portion of the intra</w:t>
            </w:r>
            <w:r w:rsidR="00A4664D">
              <w:t xml:space="preserve">species uncertainty factor </w:t>
            </w:r>
            <w:r w:rsidR="00A4664D" w:rsidRPr="00A4664D">
              <w:t>(UF</w:t>
            </w:r>
            <w:r w:rsidR="007035B4">
              <w:rPr>
                <w:vertAlign w:val="subscript"/>
              </w:rPr>
              <w:t>H</w:t>
            </w:r>
            <w:r w:rsidR="00A4664D" w:rsidRPr="00A4664D">
              <w:rPr>
                <w:vertAlign w:val="subscript"/>
              </w:rPr>
              <w:t>-</w:t>
            </w:r>
            <w:r w:rsidR="00A4664D">
              <w:rPr>
                <w:vertAlign w:val="subscript"/>
              </w:rPr>
              <w:t>k</w:t>
            </w:r>
            <w:r w:rsidR="00A4664D" w:rsidRPr="00A4664D">
              <w:t>)</w:t>
            </w:r>
            <w:r w:rsidR="00A4664D">
              <w:t xml:space="preserve"> because acetaldehyde is a reactive substance with effects occurring at the portal of entry</w:t>
            </w:r>
            <w:r w:rsidR="00365CA3">
              <w:t>,</w:t>
            </w:r>
            <w:r w:rsidR="00A4664D">
              <w:t xml:space="preserve"> thus CalEPA (2008) expects less kinetic differences between children and adults.  A value of 10 was selected for the toxicodynamics portion of the intraspecies uncertainty factor (</w:t>
            </w:r>
            <w:r w:rsidR="00A4664D" w:rsidRPr="00A4664D">
              <w:t>UF</w:t>
            </w:r>
            <w:r w:rsidR="00A4664D" w:rsidRPr="00A4664D">
              <w:rPr>
                <w:vertAlign w:val="subscript"/>
              </w:rPr>
              <w:t>H-d</w:t>
            </w:r>
            <w:r w:rsidR="00A4664D">
              <w:t>) to account for the potential for greater susceptibility among children and people with asthma.</w:t>
            </w:r>
          </w:p>
          <w:p w14:paraId="687CDF2B" w14:textId="77777777" w:rsidR="00F6086A" w:rsidRPr="00857C36" w:rsidRDefault="00F6086A" w:rsidP="003D4AD2"/>
        </w:tc>
      </w:tr>
      <w:tr w:rsidR="00FD654F" w14:paraId="3B603787" w14:textId="77777777" w:rsidTr="00C36B33">
        <w:tc>
          <w:tcPr>
            <w:tcW w:w="9558" w:type="dxa"/>
            <w:gridSpan w:val="3"/>
          </w:tcPr>
          <w:p w14:paraId="6EFB7C78" w14:textId="77777777" w:rsidR="00FD654F" w:rsidRPr="00734ED4" w:rsidRDefault="00FD654F" w:rsidP="001A71A3">
            <w:pPr>
              <w:tabs>
                <w:tab w:val="left" w:pos="-720"/>
              </w:tabs>
              <w:suppressAutoHyphens/>
              <w:spacing w:line="240" w:lineRule="atLeast"/>
              <w:rPr>
                <w:b/>
                <w:u w:val="single"/>
              </w:rPr>
            </w:pPr>
            <w:r w:rsidRPr="00734ED4">
              <w:rPr>
                <w:b/>
                <w:u w:val="single"/>
              </w:rPr>
              <w:lastRenderedPageBreak/>
              <w:t>Cancer Classification:</w:t>
            </w:r>
          </w:p>
          <w:p w14:paraId="40E2FE6E" w14:textId="77777777" w:rsidR="005C3087" w:rsidRDefault="00AB1A97" w:rsidP="00CB1902">
            <w:pPr>
              <w:tabs>
                <w:tab w:val="left" w:pos="-720"/>
              </w:tabs>
              <w:suppressAutoHyphens/>
              <w:spacing w:line="240" w:lineRule="atLeast"/>
              <w:rPr>
                <w:bCs/>
              </w:rPr>
            </w:pPr>
            <w:r w:rsidRPr="00381156">
              <w:rPr>
                <w:bCs/>
              </w:rPr>
              <w:t>USEPA</w:t>
            </w:r>
            <w:r w:rsidR="005C3087" w:rsidRPr="00381156">
              <w:rPr>
                <w:bCs/>
              </w:rPr>
              <w:t xml:space="preserve"> (</w:t>
            </w:r>
            <w:r w:rsidR="00965209" w:rsidRPr="00381156">
              <w:rPr>
                <w:bCs/>
              </w:rPr>
              <w:t>1991</w:t>
            </w:r>
            <w:r w:rsidR="005C3087" w:rsidRPr="00381156">
              <w:rPr>
                <w:bCs/>
              </w:rPr>
              <w:t>):</w:t>
            </w:r>
            <w:r w:rsidR="005C3087">
              <w:rPr>
                <w:bCs/>
              </w:rPr>
              <w:t xml:space="preserve"> </w:t>
            </w:r>
            <w:r w:rsidR="00965209">
              <w:rPr>
                <w:bCs/>
              </w:rPr>
              <w:t>B2, probable human carcinogen</w:t>
            </w:r>
          </w:p>
          <w:p w14:paraId="5F479F18" w14:textId="77777777" w:rsidR="005C3087" w:rsidRDefault="005C3087" w:rsidP="00CB1902">
            <w:pPr>
              <w:tabs>
                <w:tab w:val="left" w:pos="-720"/>
              </w:tabs>
              <w:suppressAutoHyphens/>
              <w:spacing w:line="240" w:lineRule="atLeast"/>
            </w:pPr>
            <w:r w:rsidRPr="00D05963">
              <w:t>IARC (</w:t>
            </w:r>
            <w:r w:rsidR="00965209">
              <w:t>1999</w:t>
            </w:r>
            <w:r w:rsidRPr="00D05963">
              <w:t xml:space="preserve">): Group </w:t>
            </w:r>
            <w:r>
              <w:t>2B</w:t>
            </w:r>
            <w:r w:rsidRPr="00D05963">
              <w:t xml:space="preserve">, </w:t>
            </w:r>
            <w:r>
              <w:rPr>
                <w:bCs/>
              </w:rPr>
              <w:t>possibly carcinogenic to humans</w:t>
            </w:r>
            <w:r w:rsidRPr="00D05963">
              <w:t>.</w:t>
            </w:r>
          </w:p>
          <w:p w14:paraId="59AF5374" w14:textId="77777777" w:rsidR="005C3087" w:rsidRDefault="005C3087" w:rsidP="00CB1902">
            <w:pPr>
              <w:tabs>
                <w:tab w:val="left" w:pos="-720"/>
              </w:tabs>
              <w:suppressAutoHyphens/>
              <w:spacing w:line="240" w:lineRule="atLeast"/>
              <w:rPr>
                <w:bCs/>
              </w:rPr>
            </w:pPr>
            <w:r>
              <w:rPr>
                <w:bCs/>
              </w:rPr>
              <w:t>NTP (20</w:t>
            </w:r>
            <w:r w:rsidR="00965209">
              <w:rPr>
                <w:bCs/>
              </w:rPr>
              <w:t>1</w:t>
            </w:r>
            <w:r w:rsidR="00233EBB">
              <w:rPr>
                <w:bCs/>
              </w:rPr>
              <w:t>4</w:t>
            </w:r>
            <w:r>
              <w:rPr>
                <w:bCs/>
              </w:rPr>
              <w:t>): Reasonably anticipated to be a human carcinogen.</w:t>
            </w:r>
          </w:p>
          <w:p w14:paraId="36216D05" w14:textId="77777777" w:rsidR="00FD654F" w:rsidRPr="00734ED4" w:rsidRDefault="00FD654F" w:rsidP="001A71A3">
            <w:pPr>
              <w:tabs>
                <w:tab w:val="left" w:pos="-720"/>
              </w:tabs>
              <w:suppressAutoHyphens/>
              <w:spacing w:line="240" w:lineRule="atLeast"/>
              <w:rPr>
                <w:bCs/>
              </w:rPr>
            </w:pPr>
          </w:p>
        </w:tc>
      </w:tr>
      <w:tr w:rsidR="007D17C5" w14:paraId="0921A69B" w14:textId="77777777" w:rsidTr="00C36B33">
        <w:tc>
          <w:tcPr>
            <w:tcW w:w="9558" w:type="dxa"/>
            <w:gridSpan w:val="3"/>
          </w:tcPr>
          <w:p w14:paraId="753F004B" w14:textId="77777777" w:rsidR="0095256B" w:rsidRDefault="0095256B">
            <w:pPr>
              <w:tabs>
                <w:tab w:val="left" w:pos="-720"/>
              </w:tabs>
              <w:suppressAutoHyphens/>
              <w:spacing w:line="240" w:lineRule="atLeast"/>
            </w:pPr>
            <w:r>
              <w:rPr>
                <w:b/>
                <w:bCs/>
                <w:u w:val="single"/>
              </w:rPr>
              <w:t xml:space="preserve">NTEL Basis for </w:t>
            </w:r>
            <w:r w:rsidR="007D17C5">
              <w:rPr>
                <w:b/>
                <w:bCs/>
                <w:u w:val="single"/>
              </w:rPr>
              <w:t>Cancer Assessment</w:t>
            </w:r>
            <w:r w:rsidR="007D17C5">
              <w:rPr>
                <w:b/>
                <w:bCs/>
              </w:rPr>
              <w:t>:</w:t>
            </w:r>
            <w:r w:rsidR="007D17C5">
              <w:t xml:space="preserve">  </w:t>
            </w:r>
          </w:p>
          <w:p w14:paraId="0CFB3DAD" w14:textId="77777777" w:rsidR="005C3087" w:rsidRDefault="00711A85" w:rsidP="005C3087">
            <w:r>
              <w:t>Available e</w:t>
            </w:r>
            <w:r w:rsidR="005C3087">
              <w:t xml:space="preserve">stimates of cancer </w:t>
            </w:r>
            <w:r>
              <w:t xml:space="preserve">inhalation </w:t>
            </w:r>
            <w:r w:rsidR="005C3087">
              <w:t>unit risks</w:t>
            </w:r>
            <w:r>
              <w:t>:</w:t>
            </w:r>
          </w:p>
          <w:p w14:paraId="1D79D637" w14:textId="77777777" w:rsidR="00F727AB" w:rsidRDefault="00F727AB" w:rsidP="005C3087"/>
          <w:p w14:paraId="661BB094" w14:textId="77777777" w:rsidR="005C3087" w:rsidRPr="00A21BD3" w:rsidRDefault="005C3087" w:rsidP="005C3087">
            <w:r>
              <w:tab/>
            </w:r>
            <w:r w:rsidR="00A21BD3" w:rsidRPr="00A21BD3">
              <w:t>2.2x</w:t>
            </w:r>
            <w:r w:rsidRPr="00A21BD3">
              <w:t>10</w:t>
            </w:r>
            <w:r w:rsidRPr="00A21BD3">
              <w:rPr>
                <w:vertAlign w:val="superscript"/>
              </w:rPr>
              <w:t>-</w:t>
            </w:r>
            <w:r w:rsidR="00A21BD3" w:rsidRPr="00A21BD3">
              <w:rPr>
                <w:vertAlign w:val="superscript"/>
              </w:rPr>
              <w:t>6</w:t>
            </w:r>
            <w:r w:rsidRPr="00A21BD3">
              <w:t xml:space="preserve"> </w:t>
            </w:r>
            <w:r w:rsidR="003422EF" w:rsidRPr="00A21BD3">
              <w:t>per ug/m</w:t>
            </w:r>
            <w:r w:rsidR="003422EF" w:rsidRPr="00A21BD3">
              <w:rPr>
                <w:vertAlign w:val="superscript"/>
              </w:rPr>
              <w:t>3</w:t>
            </w:r>
            <w:r w:rsidR="003422EF" w:rsidRPr="00A21BD3">
              <w:t xml:space="preserve"> </w:t>
            </w:r>
            <w:r w:rsidR="00AB1A97" w:rsidRPr="00A21BD3">
              <w:t xml:space="preserve">derived in </w:t>
            </w:r>
            <w:r w:rsidR="00A21BD3" w:rsidRPr="00A21BD3">
              <w:t>19</w:t>
            </w:r>
            <w:r w:rsidR="001968C3">
              <w:t>87</w:t>
            </w:r>
            <w:r w:rsidRPr="00A21BD3">
              <w:t xml:space="preserve"> (USEPA 1991)</w:t>
            </w:r>
          </w:p>
          <w:p w14:paraId="4F520B3C" w14:textId="77777777" w:rsidR="005C3087" w:rsidRDefault="005C3087" w:rsidP="005C3087">
            <w:r w:rsidRPr="00A21BD3">
              <w:tab/>
            </w:r>
            <w:r w:rsidR="00A21BD3" w:rsidRPr="00A21BD3">
              <w:t>2.7</w:t>
            </w:r>
            <w:r w:rsidRPr="00A21BD3">
              <w:t>x10</w:t>
            </w:r>
            <w:r w:rsidRPr="00A21BD3">
              <w:rPr>
                <w:vertAlign w:val="superscript"/>
              </w:rPr>
              <w:t>-6</w:t>
            </w:r>
            <w:r w:rsidRPr="00A21BD3">
              <w:t xml:space="preserve"> </w:t>
            </w:r>
            <w:r w:rsidR="003422EF" w:rsidRPr="00A21BD3">
              <w:t>per ug/m</w:t>
            </w:r>
            <w:r w:rsidR="003422EF" w:rsidRPr="00A21BD3">
              <w:rPr>
                <w:vertAlign w:val="superscript"/>
              </w:rPr>
              <w:t>3</w:t>
            </w:r>
            <w:r w:rsidR="003422EF" w:rsidRPr="00A21BD3">
              <w:t xml:space="preserve"> </w:t>
            </w:r>
            <w:r w:rsidR="00AB1A97" w:rsidRPr="00A21BD3">
              <w:t xml:space="preserve">derived in </w:t>
            </w:r>
            <w:r w:rsidR="00A21BD3" w:rsidRPr="00A21BD3">
              <w:t>1993</w:t>
            </w:r>
            <w:r w:rsidR="00AB1A97" w:rsidRPr="00A21BD3">
              <w:t xml:space="preserve"> </w:t>
            </w:r>
            <w:r w:rsidR="00A21BD3" w:rsidRPr="00A21BD3">
              <w:t>(CalEPA 2011</w:t>
            </w:r>
            <w:r w:rsidR="00381156">
              <w:t>)</w:t>
            </w:r>
          </w:p>
          <w:p w14:paraId="1985E51A" w14:textId="77777777" w:rsidR="005C3087" w:rsidRDefault="005C3087" w:rsidP="005C3087"/>
          <w:p w14:paraId="40B2C3ED" w14:textId="77777777" w:rsidR="005C3087" w:rsidRPr="0019221D" w:rsidRDefault="005C3087" w:rsidP="005C3087">
            <w:r w:rsidRPr="0019221D">
              <w:t xml:space="preserve">The </w:t>
            </w:r>
            <w:r>
              <w:t>UR</w:t>
            </w:r>
            <w:r w:rsidRPr="0019221D">
              <w:t xml:space="preserve"> of </w:t>
            </w:r>
            <w:r w:rsidR="009B0EE2" w:rsidRPr="009B0EE2">
              <w:t>2.2x10</w:t>
            </w:r>
            <w:r w:rsidR="009B0EE2" w:rsidRPr="009B0EE2">
              <w:rPr>
                <w:vertAlign w:val="superscript"/>
              </w:rPr>
              <w:t>-6</w:t>
            </w:r>
            <w:r w:rsidR="009B0EE2" w:rsidRPr="009B0EE2">
              <w:t xml:space="preserve"> </w:t>
            </w:r>
            <w:r>
              <w:t xml:space="preserve">per </w:t>
            </w:r>
            <w:r w:rsidRPr="0019221D">
              <w:t>ug/m</w:t>
            </w:r>
            <w:r w:rsidRPr="0019221D">
              <w:rPr>
                <w:vertAlign w:val="superscript"/>
              </w:rPr>
              <w:t>3</w:t>
            </w:r>
            <w:r w:rsidRPr="0019221D">
              <w:t xml:space="preserve"> derived by </w:t>
            </w:r>
            <w:r w:rsidR="009B0EE2" w:rsidRPr="009B0EE2">
              <w:t>USEPA</w:t>
            </w:r>
            <w:r w:rsidRPr="0019221D">
              <w:t xml:space="preserve"> (</w:t>
            </w:r>
            <w:r w:rsidR="009B0EE2" w:rsidRPr="009B0EE2">
              <w:t>1991</w:t>
            </w:r>
            <w:r w:rsidRPr="0019221D">
              <w:t xml:space="preserve">) was selected as the basis of the </w:t>
            </w:r>
            <w:r>
              <w:t>N</w:t>
            </w:r>
            <w:r w:rsidRPr="0019221D">
              <w:t>TEL.</w:t>
            </w:r>
            <w:r w:rsidR="00AB1A97">
              <w:t xml:space="preserve"> </w:t>
            </w:r>
            <w:r w:rsidR="00AB1A97" w:rsidRPr="00BD6D75">
              <w:rPr>
                <w:bCs/>
              </w:rPr>
              <w:t>The NTEL is the ambient air concentration estimated to be associated with a 1 in a million risk of cancer.</w:t>
            </w:r>
          </w:p>
          <w:p w14:paraId="25133EC1" w14:textId="77777777" w:rsidR="005C3087" w:rsidRDefault="005C3087" w:rsidP="005C3087">
            <w:pPr>
              <w:tabs>
                <w:tab w:val="left" w:pos="-720"/>
              </w:tabs>
              <w:suppressAutoHyphens/>
              <w:spacing w:line="240" w:lineRule="atLeast"/>
            </w:pPr>
          </w:p>
          <w:p w14:paraId="6E5B3BEA" w14:textId="77777777" w:rsidR="005C3087" w:rsidRDefault="005C3087" w:rsidP="00512A55">
            <w:pPr>
              <w:ind w:firstLine="720"/>
            </w:pPr>
            <w:r>
              <w:t>NTEL = 1 x 10</w:t>
            </w:r>
            <w:r w:rsidRPr="00EB2B86">
              <w:rPr>
                <w:vertAlign w:val="superscript"/>
              </w:rPr>
              <w:t>-6</w:t>
            </w:r>
            <w:r>
              <w:t xml:space="preserve"> / </w:t>
            </w:r>
            <w:r w:rsidR="009B0EE2" w:rsidRPr="009B0EE2">
              <w:t>2.2x10</w:t>
            </w:r>
            <w:r w:rsidR="009B0EE2" w:rsidRPr="009B0EE2">
              <w:rPr>
                <w:vertAlign w:val="superscript"/>
              </w:rPr>
              <w:t>-6</w:t>
            </w:r>
            <w:r w:rsidR="009B0EE2" w:rsidRPr="009B0EE2">
              <w:t xml:space="preserve"> </w:t>
            </w:r>
            <w:r w:rsidRPr="009B0EE2">
              <w:t>per</w:t>
            </w:r>
            <w:r>
              <w:t xml:space="preserve"> ug/m</w:t>
            </w:r>
            <w:r w:rsidRPr="004445F4">
              <w:rPr>
                <w:vertAlign w:val="superscript"/>
              </w:rPr>
              <w:t>3</w:t>
            </w:r>
            <w:r>
              <w:t xml:space="preserve"> </w:t>
            </w:r>
            <w:r w:rsidRPr="009B0EE2">
              <w:t>= 0.</w:t>
            </w:r>
            <w:r w:rsidR="009B0EE2" w:rsidRPr="009B0EE2">
              <w:t>45</w:t>
            </w:r>
            <w:r w:rsidRPr="009B0EE2">
              <w:t xml:space="preserve"> ug/m</w:t>
            </w:r>
            <w:r w:rsidRPr="009B0EE2">
              <w:rPr>
                <w:vertAlign w:val="superscript"/>
              </w:rPr>
              <w:t>3</w:t>
            </w:r>
            <w:r w:rsidRPr="009B0EE2">
              <w:t>, rounded to 0.</w:t>
            </w:r>
            <w:r w:rsidR="009B0EE2" w:rsidRPr="009B0EE2">
              <w:t>4</w:t>
            </w:r>
            <w:r w:rsidRPr="009B0EE2">
              <w:t xml:space="preserve"> ug/m</w:t>
            </w:r>
            <w:r w:rsidRPr="009B0EE2">
              <w:rPr>
                <w:vertAlign w:val="superscript"/>
              </w:rPr>
              <w:t>3</w:t>
            </w:r>
          </w:p>
          <w:p w14:paraId="3D167CFD" w14:textId="77777777" w:rsidR="00E72775" w:rsidRDefault="00E72775" w:rsidP="005C3087">
            <w:pPr>
              <w:tabs>
                <w:tab w:val="left" w:pos="-720"/>
              </w:tabs>
              <w:suppressAutoHyphens/>
              <w:spacing w:line="240" w:lineRule="atLeast"/>
            </w:pPr>
          </w:p>
          <w:p w14:paraId="22C5CEDA" w14:textId="77777777" w:rsidR="005B32BA" w:rsidRPr="005B32BA" w:rsidRDefault="005B32BA" w:rsidP="005B32BA">
            <w:pPr>
              <w:rPr>
                <w:bCs/>
              </w:rPr>
            </w:pPr>
            <w:r w:rsidRPr="001968C3">
              <w:rPr>
                <w:bCs/>
              </w:rPr>
              <w:t>The two available cancer potency estimates are essentially the same and after</w:t>
            </w:r>
            <w:r w:rsidR="005A1D52">
              <w:rPr>
                <w:bCs/>
              </w:rPr>
              <w:t xml:space="preserve"> rounding yield the </w:t>
            </w:r>
            <w:r w:rsidR="005A1D52">
              <w:rPr>
                <w:bCs/>
              </w:rPr>
              <w:lastRenderedPageBreak/>
              <w:t xml:space="preserve">same NTEL. </w:t>
            </w:r>
            <w:r w:rsidR="00F669CB">
              <w:rPr>
                <w:bCs/>
              </w:rPr>
              <w:t xml:space="preserve"> </w:t>
            </w:r>
            <w:r w:rsidR="005A1D52">
              <w:rPr>
                <w:bCs/>
              </w:rPr>
              <w:t xml:space="preserve">The </w:t>
            </w:r>
            <w:r w:rsidRPr="001968C3">
              <w:rPr>
                <w:bCs/>
              </w:rPr>
              <w:t xml:space="preserve">NTEL based on </w:t>
            </w:r>
            <w:r w:rsidR="005A1D52">
              <w:rPr>
                <w:bCs/>
              </w:rPr>
              <w:t xml:space="preserve">the </w:t>
            </w:r>
            <w:r w:rsidRPr="001968C3">
              <w:rPr>
                <w:bCs/>
              </w:rPr>
              <w:t xml:space="preserve">CalEPA </w:t>
            </w:r>
            <w:r w:rsidR="005A1D52">
              <w:rPr>
                <w:bCs/>
              </w:rPr>
              <w:t xml:space="preserve">unit risk </w:t>
            </w:r>
            <w:r w:rsidRPr="001968C3">
              <w:rPr>
                <w:bCs/>
              </w:rPr>
              <w:t>value</w:t>
            </w:r>
            <w:r w:rsidR="00D02B8B">
              <w:rPr>
                <w:bCs/>
              </w:rPr>
              <w:t>,</w:t>
            </w:r>
            <w:r w:rsidRPr="001968C3">
              <w:rPr>
                <w:bCs/>
              </w:rPr>
              <w:t xml:space="preserve"> 2.7x10</w:t>
            </w:r>
            <w:r w:rsidRPr="001968C3">
              <w:rPr>
                <w:bCs/>
                <w:vertAlign w:val="superscript"/>
              </w:rPr>
              <w:t>-6</w:t>
            </w:r>
            <w:r w:rsidRPr="001968C3">
              <w:rPr>
                <w:bCs/>
              </w:rPr>
              <w:t xml:space="preserve"> per ug/m</w:t>
            </w:r>
            <w:r w:rsidRPr="001968C3">
              <w:rPr>
                <w:bCs/>
                <w:vertAlign w:val="superscript"/>
              </w:rPr>
              <w:t>3</w:t>
            </w:r>
            <w:r w:rsidR="00D02B8B">
              <w:rPr>
                <w:bCs/>
              </w:rPr>
              <w:t>, is</w:t>
            </w:r>
            <w:r w:rsidRPr="001968C3">
              <w:rPr>
                <w:bCs/>
              </w:rPr>
              <w:t xml:space="preserve"> 0.37 ug/m</w:t>
            </w:r>
            <w:r w:rsidRPr="001968C3">
              <w:rPr>
                <w:bCs/>
                <w:vertAlign w:val="superscript"/>
              </w:rPr>
              <w:t>3</w:t>
            </w:r>
            <w:r w:rsidRPr="001968C3">
              <w:rPr>
                <w:bCs/>
              </w:rPr>
              <w:t>, rounded to 0.4 ug/m</w:t>
            </w:r>
            <w:r w:rsidRPr="001968C3">
              <w:rPr>
                <w:bCs/>
                <w:vertAlign w:val="superscript"/>
              </w:rPr>
              <w:t>3</w:t>
            </w:r>
            <w:r w:rsidRPr="001968C3">
              <w:rPr>
                <w:bCs/>
              </w:rPr>
              <w:t>.</w:t>
            </w:r>
            <w:r w:rsidR="00D02B8B">
              <w:rPr>
                <w:bCs/>
              </w:rPr>
              <w:t xml:space="preserve"> </w:t>
            </w:r>
            <w:r w:rsidRPr="001968C3">
              <w:rPr>
                <w:bCs/>
              </w:rPr>
              <w:t xml:space="preserve">USEPA and CalEPA based </w:t>
            </w:r>
            <w:r w:rsidR="00AC7FE8" w:rsidRPr="001968C3">
              <w:rPr>
                <w:bCs/>
              </w:rPr>
              <w:t xml:space="preserve">their values </w:t>
            </w:r>
            <w:r w:rsidRPr="001968C3">
              <w:rPr>
                <w:bCs/>
              </w:rPr>
              <w:t>on animal studies conducted by the same researchers</w:t>
            </w:r>
            <w:r w:rsidR="00AC7FE8" w:rsidRPr="001968C3">
              <w:rPr>
                <w:bCs/>
              </w:rPr>
              <w:t xml:space="preserve">, </w:t>
            </w:r>
            <w:r w:rsidR="001968C3">
              <w:rPr>
                <w:bCs/>
              </w:rPr>
              <w:t xml:space="preserve">but </w:t>
            </w:r>
            <w:r w:rsidR="00AC7FE8" w:rsidRPr="001968C3">
              <w:rPr>
                <w:bCs/>
              </w:rPr>
              <w:t>us</w:t>
            </w:r>
            <w:r w:rsidR="005F09C3" w:rsidRPr="001968C3">
              <w:rPr>
                <w:bCs/>
              </w:rPr>
              <w:t>ed</w:t>
            </w:r>
            <w:r w:rsidR="00AC7FE8" w:rsidRPr="001968C3">
              <w:rPr>
                <w:bCs/>
              </w:rPr>
              <w:t xml:space="preserve"> different subsets of </w:t>
            </w:r>
            <w:r w:rsidR="001968C3" w:rsidRPr="001968C3">
              <w:rPr>
                <w:bCs/>
              </w:rPr>
              <w:t xml:space="preserve">available </w:t>
            </w:r>
            <w:r w:rsidR="00AC7FE8" w:rsidRPr="001968C3">
              <w:rPr>
                <w:bCs/>
              </w:rPr>
              <w:t>data, different dose-response models</w:t>
            </w:r>
            <w:r w:rsidR="00F669CB">
              <w:rPr>
                <w:bCs/>
              </w:rPr>
              <w:t>,</w:t>
            </w:r>
            <w:r w:rsidR="00AC7FE8" w:rsidRPr="001968C3">
              <w:rPr>
                <w:bCs/>
              </w:rPr>
              <w:t xml:space="preserve"> and different approaches </w:t>
            </w:r>
            <w:r w:rsidR="00F669CB">
              <w:rPr>
                <w:bCs/>
              </w:rPr>
              <w:t>for</w:t>
            </w:r>
            <w:r w:rsidR="00AC7FE8" w:rsidRPr="001968C3">
              <w:rPr>
                <w:bCs/>
              </w:rPr>
              <w:t xml:space="preserve"> extrapolating from animal to human exposure concentrations</w:t>
            </w:r>
            <w:r w:rsidRPr="001968C3">
              <w:rPr>
                <w:bCs/>
              </w:rPr>
              <w:t>.</w:t>
            </w:r>
            <w:r>
              <w:rPr>
                <w:bCs/>
              </w:rPr>
              <w:t xml:space="preserve">  </w:t>
            </w:r>
            <w:r w:rsidR="001968C3">
              <w:rPr>
                <w:bCs/>
              </w:rPr>
              <w:t xml:space="preserve">The similarity of the unit risk values lends confidence to the NTEL.  </w:t>
            </w:r>
            <w:r w:rsidR="00575860">
              <w:rPr>
                <w:bCs/>
              </w:rPr>
              <w:t>While the updated AAL/TEL methodology (MassDEP 2011) indicates that the most recent value will be selected when values are less than 3-fold apart, in this case the values are so close that they result in the same AAL</w:t>
            </w:r>
            <w:r w:rsidR="00F669CB">
              <w:rPr>
                <w:bCs/>
              </w:rPr>
              <w:t>.  T</w:t>
            </w:r>
            <w:r w:rsidR="001968C3">
              <w:rPr>
                <w:bCs/>
              </w:rPr>
              <w:t xml:space="preserve">he UR derived by USEPA was identified as the </w:t>
            </w:r>
            <w:r w:rsidR="00D02B8B">
              <w:rPr>
                <w:bCs/>
              </w:rPr>
              <w:t>basis of the NTEL</w:t>
            </w:r>
            <w:r w:rsidR="001968C3">
              <w:rPr>
                <w:bCs/>
              </w:rPr>
              <w:t xml:space="preserve"> </w:t>
            </w:r>
            <w:r w:rsidR="00F669CB">
              <w:rPr>
                <w:bCs/>
              </w:rPr>
              <w:t>for consistency</w:t>
            </w:r>
            <w:r w:rsidR="001968C3">
              <w:rPr>
                <w:bCs/>
              </w:rPr>
              <w:t xml:space="preserve"> with USEPA.</w:t>
            </w:r>
            <w:r w:rsidR="00F669CB">
              <w:rPr>
                <w:bCs/>
              </w:rPr>
              <w:t xml:space="preserve"> </w:t>
            </w:r>
          </w:p>
          <w:p w14:paraId="199D4BFA" w14:textId="77777777" w:rsidR="005B32BA" w:rsidRPr="005B32BA" w:rsidRDefault="005B32BA" w:rsidP="005B32BA">
            <w:pPr>
              <w:rPr>
                <w:bCs/>
              </w:rPr>
            </w:pPr>
          </w:p>
          <w:p w14:paraId="427873F0" w14:textId="77777777" w:rsidR="00C8374C" w:rsidRDefault="00584926" w:rsidP="00AB1A97">
            <w:r>
              <w:t xml:space="preserve">Cancer risk estimates are based on several studies conducted by the same group as described in Woutersen and Appleman (1984), </w:t>
            </w:r>
            <w:r w:rsidR="00575860">
              <w:t xml:space="preserve">and </w:t>
            </w:r>
            <w:r>
              <w:t xml:space="preserve">Woutersen et al. </w:t>
            </w:r>
            <w:r w:rsidR="00D02B8B">
              <w:t>(</w:t>
            </w:r>
            <w:r>
              <w:t>1985</w:t>
            </w:r>
            <w:r w:rsidR="00D02B8B">
              <w:t xml:space="preserve">). </w:t>
            </w:r>
            <w:r>
              <w:t xml:space="preserve">Briefly, summarized from USEPA (1991), </w:t>
            </w:r>
            <w:r w:rsidR="00116D32">
              <w:t xml:space="preserve">groups of 105 </w:t>
            </w:r>
            <w:r>
              <w:t xml:space="preserve">male and female SPF Wistar rats were exposed to </w:t>
            </w:r>
            <w:r w:rsidR="00116D32">
              <w:t xml:space="preserve">0, 750, 1500 or 3000 ppm </w:t>
            </w:r>
            <w:r>
              <w:t>acetaldehyde by inhalation</w:t>
            </w:r>
            <w:r w:rsidR="00116D32">
              <w:t xml:space="preserve"> for 6 hours per day, 5</w:t>
            </w:r>
            <w:r w:rsidR="00D02B8B">
              <w:t xml:space="preserve"> days per week, for 27 months. </w:t>
            </w:r>
            <w:r w:rsidR="00116D32">
              <w:t>Incidence of respiratory tract tumors increased with increased exposure concentration</w:t>
            </w:r>
            <w:r w:rsidR="00D02B8B">
              <w:t xml:space="preserve"> in both male and female rats. </w:t>
            </w:r>
            <w:r w:rsidR="009443F9">
              <w:t>Nasal adenocarcinomas were significantly increased in both males and female a</w:t>
            </w:r>
            <w:r w:rsidR="00D02B8B">
              <w:t xml:space="preserve">t all exposure concentrations. </w:t>
            </w:r>
            <w:r w:rsidR="009443F9">
              <w:t xml:space="preserve">Nasal squamous cell carcinomas were significantly increased in male rats at middle and high concentrations, </w:t>
            </w:r>
            <w:r w:rsidR="00A8038F">
              <w:t xml:space="preserve">but </w:t>
            </w:r>
            <w:r w:rsidR="009443F9">
              <w:t>only at the highest</w:t>
            </w:r>
            <w:r w:rsidR="00D02B8B">
              <w:t xml:space="preserve"> concentration in female rats. </w:t>
            </w:r>
            <w:r w:rsidR="009443F9">
              <w:t xml:space="preserve">A </w:t>
            </w:r>
            <w:r w:rsidR="004D59FE">
              <w:t>clear</w:t>
            </w:r>
            <w:r w:rsidR="009443F9">
              <w:t xml:space="preserve"> dose dependent trend was observed for squamous cell carcinoma</w:t>
            </w:r>
            <w:r w:rsidR="004D59FE">
              <w:t xml:space="preserve"> incidence</w:t>
            </w:r>
            <w:r w:rsidR="009443F9">
              <w:t xml:space="preserve"> in male rats</w:t>
            </w:r>
            <w:r w:rsidR="00A8038F">
              <w:t xml:space="preserve"> </w:t>
            </w:r>
            <w:r w:rsidR="00D02B8B">
              <w:t>(</w:t>
            </w:r>
            <w:r w:rsidR="00A8038F">
              <w:t>USEPA 1991)</w:t>
            </w:r>
            <w:r w:rsidR="00D02B8B">
              <w:t>.</w:t>
            </w:r>
          </w:p>
          <w:p w14:paraId="220487EB" w14:textId="77777777" w:rsidR="00C8374C" w:rsidRDefault="00C8374C" w:rsidP="00AB1A97"/>
          <w:p w14:paraId="22DF1206" w14:textId="77777777" w:rsidR="00E8465D" w:rsidRDefault="00ED7F88" w:rsidP="007F6D90">
            <w:r>
              <w:t>I</w:t>
            </w:r>
            <w:r w:rsidR="004D59FE">
              <w:t>ncidence of</w:t>
            </w:r>
            <w:r>
              <w:t xml:space="preserve"> nasal squamous cell carcinoma or ade</w:t>
            </w:r>
            <w:r w:rsidR="007035B4">
              <w:t>noma</w:t>
            </w:r>
            <w:r w:rsidR="00A8038F">
              <w:t xml:space="preserve"> in male rats</w:t>
            </w:r>
            <w:r w:rsidR="00796588">
              <w:t>,</w:t>
            </w:r>
            <w:r>
              <w:t xml:space="preserve"> </w:t>
            </w:r>
            <w:r w:rsidR="00796588">
              <w:t xml:space="preserve">from the combined results of the lifetime and recovery studies, </w:t>
            </w:r>
            <w:r>
              <w:t>was</w:t>
            </w:r>
            <w:r w:rsidR="004D59FE">
              <w:t xml:space="preserve"> 1/94, 20/95, 49/95 and 47/92 at exposure levels of 0, 750, 1500 and 3000 p</w:t>
            </w:r>
            <w:r w:rsidR="00D02B8B">
              <w:t xml:space="preserve">pm acetaldehyde, respectively. </w:t>
            </w:r>
            <w:r w:rsidR="004D59FE">
              <w:t>Increased incidence of growth retardation and early mortality was observed in the highest exposure group. Thus</w:t>
            </w:r>
            <w:r w:rsidR="00A8038F">
              <w:t>,</w:t>
            </w:r>
            <w:r w:rsidR="004D59FE">
              <w:t xml:space="preserve"> the 3000 ppm exposure concentration was decreased to 1000 ppm over the course of the study, yielding an average administered concentration of 1540 ppm</w:t>
            </w:r>
            <w:r w:rsidR="00D02B8B">
              <w:t xml:space="preserve">. </w:t>
            </w:r>
            <w:r>
              <w:t xml:space="preserve">Exposure concentrations were duration adjusted from </w:t>
            </w:r>
            <w:r w:rsidR="00A8038F">
              <w:t>the measured</w:t>
            </w:r>
            <w:r w:rsidR="006851C7">
              <w:t xml:space="preserve"> </w:t>
            </w:r>
            <w:r>
              <w:t xml:space="preserve">administered concentrations of 0, 727/735, 1438/1412, 1540 ppm acetaldehyde to continuous exposure </w:t>
            </w:r>
            <w:r w:rsidR="00D02B8B">
              <w:t xml:space="preserve">concentrations </w:t>
            </w:r>
            <w:r>
              <w:t xml:space="preserve">adjusting exposures by 5 days to 7 days per week, 6 hours/day to 24 hours/day, </w:t>
            </w:r>
            <w:r w:rsidR="00A8038F">
              <w:t xml:space="preserve">to </w:t>
            </w:r>
            <w:r>
              <w:t xml:space="preserve">0, 130, 255, and 279 </w:t>
            </w:r>
            <w:r w:rsidR="00D02B8B">
              <w:t xml:space="preserve">ppm. </w:t>
            </w:r>
            <w:r w:rsidR="002C3BD6" w:rsidRPr="002C3BD6">
              <w:t>[Note</w:t>
            </w:r>
            <w:r w:rsidR="00C8374C">
              <w:t>:</w:t>
            </w:r>
            <w:r w:rsidR="002C3BD6" w:rsidRPr="002C3BD6">
              <w:t xml:space="preserve"> </w:t>
            </w:r>
            <w:r w:rsidR="006851C7" w:rsidRPr="006851C7">
              <w:t xml:space="preserve">when </w:t>
            </w:r>
            <w:r w:rsidR="006851C7">
              <w:t xml:space="preserve">administered concentration was </w:t>
            </w:r>
            <w:r w:rsidR="006851C7" w:rsidRPr="006851C7">
              <w:t>measured twice, the two values are separated by a slash</w:t>
            </w:r>
            <w:r w:rsidR="00E05131">
              <w:t>;</w:t>
            </w:r>
            <w:r w:rsidR="006851C7">
              <w:t xml:space="preserve"> </w:t>
            </w:r>
            <w:r w:rsidR="002C3BD6" w:rsidRPr="002C3BD6">
              <w:t>unlike the RfC</w:t>
            </w:r>
            <w:r w:rsidR="002C3BD6">
              <w:t xml:space="preserve"> for acetaldehyde</w:t>
            </w:r>
            <w:r w:rsidR="002C3BD6" w:rsidRPr="002C3BD6">
              <w:t>, no other adjustments were made to estimate the hu</w:t>
            </w:r>
            <w:r w:rsidR="00D02B8B">
              <w:t xml:space="preserve">man equivalent concentration.] </w:t>
            </w:r>
            <w:r w:rsidRPr="002C3BD6">
              <w:t xml:space="preserve">USEPA </w:t>
            </w:r>
            <w:r w:rsidR="00A8038F">
              <w:t xml:space="preserve">(1991) </w:t>
            </w:r>
            <w:r w:rsidRPr="002C3BD6">
              <w:t>used the linearized multistage-variable exposure input form (extra risk)</w:t>
            </w:r>
            <w:r w:rsidR="00D01C31">
              <w:t>(Crump and Howe 1984)</w:t>
            </w:r>
            <w:r w:rsidRPr="002C3BD6">
              <w:t xml:space="preserve"> </w:t>
            </w:r>
            <w:r w:rsidR="002C3BD6" w:rsidRPr="002C3BD6">
              <w:t xml:space="preserve">of the dose response model </w:t>
            </w:r>
            <w:r w:rsidRPr="002C3BD6">
              <w:t>to derive a unit risk value</w:t>
            </w:r>
            <w:r w:rsidR="00796588">
              <w:t xml:space="preserve"> of 2.2x10</w:t>
            </w:r>
            <w:r w:rsidR="00796588" w:rsidRPr="00796588">
              <w:rPr>
                <w:vertAlign w:val="superscript"/>
              </w:rPr>
              <w:t>-6</w:t>
            </w:r>
            <w:r w:rsidR="00796588">
              <w:t xml:space="preserve"> per ug/m</w:t>
            </w:r>
            <w:r w:rsidR="00796588" w:rsidRPr="00796588">
              <w:rPr>
                <w:vertAlign w:val="superscript"/>
              </w:rPr>
              <w:t>3</w:t>
            </w:r>
            <w:r w:rsidR="00D02B8B">
              <w:t>.</w:t>
            </w:r>
          </w:p>
          <w:p w14:paraId="62C326E0" w14:textId="77777777" w:rsidR="00A8038F" w:rsidRDefault="00A8038F" w:rsidP="007F6D90"/>
          <w:p w14:paraId="73B75024" w14:textId="77777777" w:rsidR="00A8038F" w:rsidRPr="007F6D90" w:rsidRDefault="00EA2391" w:rsidP="007F6D90">
            <w:pPr>
              <w:rPr>
                <w:bCs/>
              </w:rPr>
            </w:pPr>
            <w:r>
              <w:t xml:space="preserve">Cal EPA (2011) used </w:t>
            </w:r>
            <w:r w:rsidR="00C47760">
              <w:t xml:space="preserve">the </w:t>
            </w:r>
            <w:r>
              <w:t xml:space="preserve">incidence </w:t>
            </w:r>
            <w:r w:rsidR="00C47760">
              <w:t>of</w:t>
            </w:r>
            <w:r>
              <w:t xml:space="preserve"> nasal carcinoma</w:t>
            </w:r>
            <w:r w:rsidR="00C47760">
              <w:t xml:space="preserve"> (Woutersen et al. 1986)</w:t>
            </w:r>
            <w:r>
              <w:t xml:space="preserve"> in male rat</w:t>
            </w:r>
            <w:r w:rsidR="00D02B8B">
              <w:t xml:space="preserve">s to derive a unit risk value. </w:t>
            </w:r>
            <w:r>
              <w:t>After excluding the highest dose group (3000 ppm) due to the change in exposure concentra</w:t>
            </w:r>
            <w:r w:rsidR="00C47760">
              <w:t xml:space="preserve">tion during the study, they fit a linearized, time-independent multistage model to the male rat carcinoma data using the GLOBAL86 program of Howe et al. </w:t>
            </w:r>
            <w:r w:rsidR="00A77A9B">
              <w:t>(</w:t>
            </w:r>
            <w:r w:rsidR="00C47760">
              <w:t>1986</w:t>
            </w:r>
            <w:r w:rsidR="00A77A9B">
              <w:t>)</w:t>
            </w:r>
            <w:r w:rsidR="00C47760">
              <w:t>. The unit risk was adjusted to scale from rats to humans using body weight raised to the 2/3 power, yielding a unit risk value of 2.7x10</w:t>
            </w:r>
            <w:r w:rsidR="00C47760" w:rsidRPr="00D02B8B">
              <w:rPr>
                <w:vertAlign w:val="superscript"/>
              </w:rPr>
              <w:t>-6</w:t>
            </w:r>
            <w:r w:rsidR="00C47760">
              <w:t xml:space="preserve"> per ug/m</w:t>
            </w:r>
            <w:r w:rsidR="00C47760" w:rsidRPr="00C47760">
              <w:rPr>
                <w:vertAlign w:val="superscript"/>
              </w:rPr>
              <w:t>3</w:t>
            </w:r>
            <w:r w:rsidR="00C47760">
              <w:t>.</w:t>
            </w:r>
            <w:r w:rsidR="00590595">
              <w:t xml:space="preserve">  [Note</w:t>
            </w:r>
            <w:r w:rsidR="00F669CB">
              <w:t>:</w:t>
            </w:r>
            <w:r w:rsidR="00590595">
              <w:t xml:space="preserve"> it is not standard practice to scale using body weight for inhalation exposures, especially those affecting the respiratory tract.]</w:t>
            </w:r>
          </w:p>
          <w:p w14:paraId="5A8A5D14" w14:textId="77777777" w:rsidR="00011ABF" w:rsidRDefault="00011ABF" w:rsidP="00FB4372">
            <w:pPr>
              <w:rPr>
                <w:b/>
                <w:bCs/>
              </w:rPr>
            </w:pPr>
          </w:p>
        </w:tc>
      </w:tr>
      <w:tr w:rsidR="007D17C5" w14:paraId="6A713F52" w14:textId="77777777" w:rsidTr="00C36B33">
        <w:tc>
          <w:tcPr>
            <w:tcW w:w="9558" w:type="dxa"/>
            <w:gridSpan w:val="3"/>
          </w:tcPr>
          <w:p w14:paraId="6B012FB8" w14:textId="77777777" w:rsidR="007D17C5" w:rsidRDefault="007D17C5" w:rsidP="00797767">
            <w:pPr>
              <w:tabs>
                <w:tab w:val="left" w:pos="-720"/>
              </w:tabs>
              <w:suppressAutoHyphens/>
              <w:rPr>
                <w:bCs/>
              </w:rPr>
            </w:pPr>
            <w:r>
              <w:rPr>
                <w:b/>
                <w:bCs/>
                <w:u w:val="single"/>
              </w:rPr>
              <w:lastRenderedPageBreak/>
              <w:t>References</w:t>
            </w:r>
            <w:r>
              <w:rPr>
                <w:b/>
                <w:bCs/>
              </w:rPr>
              <w:t>:</w:t>
            </w:r>
            <w:r w:rsidR="00A63E4C">
              <w:rPr>
                <w:b/>
                <w:bCs/>
              </w:rPr>
              <w:t xml:space="preserve"> </w:t>
            </w:r>
          </w:p>
          <w:p w14:paraId="27909484" w14:textId="77777777" w:rsidR="00D8036F" w:rsidRDefault="006F57DD" w:rsidP="00797767">
            <w:r>
              <w:t>Appleman L</w:t>
            </w:r>
            <w:r w:rsidR="00D8036F" w:rsidRPr="00220596">
              <w:t>M, Woutersen</w:t>
            </w:r>
            <w:r>
              <w:t xml:space="preserve"> R</w:t>
            </w:r>
            <w:r w:rsidRPr="006F57DD">
              <w:t>A</w:t>
            </w:r>
            <w:r>
              <w:t>,</w:t>
            </w:r>
            <w:r w:rsidRPr="006F57DD">
              <w:t xml:space="preserve"> </w:t>
            </w:r>
            <w:r w:rsidR="00D8036F" w:rsidRPr="00220596">
              <w:t>Feron</w:t>
            </w:r>
            <w:r w:rsidRPr="006F57DD">
              <w:t xml:space="preserve"> </w:t>
            </w:r>
            <w:r>
              <w:t>VJ</w:t>
            </w:r>
            <w:r w:rsidR="00D8036F" w:rsidRPr="00220596">
              <w:t>. 1982. Inhalation toxicity of acetaldehyde in rats. I. Acute and subacute studies. Toxicology 23: 293-307</w:t>
            </w:r>
            <w:r w:rsidRPr="006F57DD">
              <w:rPr>
                <w:bCs/>
              </w:rPr>
              <w:t xml:space="preserve">(as cited in USEPA 1991, </w:t>
            </w:r>
            <w:r w:rsidR="007035B4">
              <w:rPr>
                <w:bCs/>
              </w:rPr>
              <w:t>CalEPA</w:t>
            </w:r>
            <w:r w:rsidRPr="006F57DD">
              <w:rPr>
                <w:bCs/>
              </w:rPr>
              <w:t xml:space="preserve"> 2008).</w:t>
            </w:r>
            <w:r w:rsidR="00D8036F" w:rsidRPr="00220596">
              <w:t xml:space="preserve"> </w:t>
            </w:r>
          </w:p>
          <w:p w14:paraId="709E4A5E" w14:textId="77777777" w:rsidR="00D8036F" w:rsidRPr="00220596" w:rsidRDefault="00D8036F" w:rsidP="00797767"/>
          <w:p w14:paraId="0397DDC1" w14:textId="77777777" w:rsidR="001A70D3" w:rsidRPr="005602D2" w:rsidRDefault="006F57DD" w:rsidP="00797767">
            <w:pPr>
              <w:rPr>
                <w:bCs/>
              </w:rPr>
            </w:pPr>
            <w:r w:rsidRPr="006F57DD">
              <w:t>Appleman LM, Woutersen RA, Feron VJ</w:t>
            </w:r>
            <w:r w:rsidR="00D8036F" w:rsidRPr="00220596">
              <w:t>, Hooftman</w:t>
            </w:r>
            <w:r w:rsidRPr="006F57DD">
              <w:t xml:space="preserve"> </w:t>
            </w:r>
            <w:r>
              <w:t>RN,</w:t>
            </w:r>
            <w:r w:rsidR="00D8036F" w:rsidRPr="00220596">
              <w:t xml:space="preserve"> Notten</w:t>
            </w:r>
            <w:r w:rsidRPr="006F57DD">
              <w:t xml:space="preserve"> </w:t>
            </w:r>
            <w:r>
              <w:t>WRF</w:t>
            </w:r>
            <w:r w:rsidR="00D8036F" w:rsidRPr="00220596">
              <w:t xml:space="preserve">. 1986. Effect of variable versus fixed exposure levels on the toxicity of acetaldehyde in rats. </w:t>
            </w:r>
            <w:r>
              <w:t>J</w:t>
            </w:r>
            <w:r w:rsidR="00D01C31">
              <w:t>.</w:t>
            </w:r>
            <w:r>
              <w:t xml:space="preserve"> Appl. Toxicol. 6(5): 331-336</w:t>
            </w:r>
            <w:r w:rsidR="00D8036F" w:rsidRPr="00220596">
              <w:t xml:space="preserve"> </w:t>
            </w:r>
            <w:r w:rsidR="005602D2" w:rsidRPr="005602D2">
              <w:rPr>
                <w:bCs/>
              </w:rPr>
              <w:t xml:space="preserve">(as cited in </w:t>
            </w:r>
            <w:r w:rsidR="005602D2">
              <w:rPr>
                <w:bCs/>
              </w:rPr>
              <w:t xml:space="preserve">USEPA 1991, </w:t>
            </w:r>
            <w:r w:rsidR="007035B4">
              <w:rPr>
                <w:bCs/>
              </w:rPr>
              <w:t>CalEPA</w:t>
            </w:r>
            <w:r w:rsidR="005602D2">
              <w:rPr>
                <w:bCs/>
              </w:rPr>
              <w:t xml:space="preserve"> 2008)</w:t>
            </w:r>
            <w:r>
              <w:rPr>
                <w:bCs/>
              </w:rPr>
              <w:t>.</w:t>
            </w:r>
          </w:p>
          <w:p w14:paraId="7422F446" w14:textId="77777777" w:rsidR="008E1ECF" w:rsidRPr="008E1ECF" w:rsidRDefault="008E1ECF" w:rsidP="00797767">
            <w:pPr>
              <w:tabs>
                <w:tab w:val="left" w:pos="-720"/>
              </w:tabs>
              <w:suppressAutoHyphens/>
            </w:pPr>
          </w:p>
          <w:p w14:paraId="7C022659" w14:textId="77777777" w:rsidR="007D17C5" w:rsidRPr="008E1ECF" w:rsidRDefault="003E0BB5" w:rsidP="00797767">
            <w:pPr>
              <w:tabs>
                <w:tab w:val="left" w:pos="-720"/>
              </w:tabs>
              <w:suppressAutoHyphens/>
            </w:pPr>
            <w:r w:rsidRPr="008E1ECF">
              <w:t>CalEPA</w:t>
            </w:r>
            <w:r w:rsidR="00FB4372" w:rsidRPr="008E1ECF">
              <w:t xml:space="preserve"> (</w:t>
            </w:r>
            <w:smartTag w:uri="urn:schemas-microsoft-com:office:smarttags" w:element="place">
              <w:smartTag w:uri="urn:schemas-microsoft-com:office:smarttags" w:element="State">
                <w:r w:rsidR="00FB4372" w:rsidRPr="008E1ECF">
                  <w:t>California</w:t>
                </w:r>
              </w:smartTag>
            </w:smartTag>
            <w:r w:rsidR="00FB4372" w:rsidRPr="008E1ECF">
              <w:t xml:space="preserve"> Env</w:t>
            </w:r>
            <w:r w:rsidR="00D01C31">
              <w:t xml:space="preserve">ironmental Protection Agency). </w:t>
            </w:r>
            <w:r w:rsidR="002B18ED" w:rsidRPr="008E1ECF">
              <w:t>200</w:t>
            </w:r>
            <w:r w:rsidR="00C8374C">
              <w:t>8</w:t>
            </w:r>
            <w:r w:rsidR="00D01C31">
              <w:t xml:space="preserve">. </w:t>
            </w:r>
            <w:r w:rsidR="00A8038F" w:rsidRPr="00A8038F">
              <w:t>Air Toxics Hot Spots Program Technical Support Document for the Derivation of Noncancer Referen</w:t>
            </w:r>
            <w:r w:rsidR="00A8038F">
              <w:t xml:space="preserve">ce Exposure Levels, appendix D1. Office of Environmental Health Assessment </w:t>
            </w:r>
            <w:r w:rsidR="00642C28">
              <w:t>(</w:t>
            </w:r>
            <w:r w:rsidR="00642C28" w:rsidRPr="00C8374C">
              <w:t xml:space="preserve">accessed </w:t>
            </w:r>
            <w:r w:rsidR="00C8374C" w:rsidRPr="00C8374C">
              <w:t>September 4, 2014</w:t>
            </w:r>
            <w:r w:rsidR="00642C28" w:rsidRPr="00C8374C">
              <w:t>).</w:t>
            </w:r>
          </w:p>
          <w:p w14:paraId="79862D86" w14:textId="77777777" w:rsidR="005C3087" w:rsidRDefault="005C3087" w:rsidP="00797767">
            <w:pPr>
              <w:tabs>
                <w:tab w:val="left" w:pos="-720"/>
              </w:tabs>
              <w:suppressAutoHyphens/>
            </w:pPr>
          </w:p>
          <w:p w14:paraId="2B8D5E00" w14:textId="77777777" w:rsidR="005602D2" w:rsidRPr="006F57DD" w:rsidRDefault="006F57DD" w:rsidP="00797767">
            <w:pPr>
              <w:autoSpaceDE w:val="0"/>
              <w:autoSpaceDN w:val="0"/>
              <w:adjustRightInd w:val="0"/>
            </w:pPr>
            <w:r w:rsidRPr="006F57DD">
              <w:t>CalEPA (California Env</w:t>
            </w:r>
            <w:r>
              <w:t>ironmental Protection Agency).</w:t>
            </w:r>
            <w:r w:rsidR="005602D2">
              <w:t xml:space="preserve"> 2011</w:t>
            </w:r>
            <w:r>
              <w:t>.</w:t>
            </w:r>
            <w:r w:rsidR="005602D2">
              <w:t xml:space="preserve"> </w:t>
            </w:r>
            <w:r w:rsidR="005602D2" w:rsidRPr="006F57DD">
              <w:rPr>
                <w:bCs/>
              </w:rPr>
              <w:t>Technical Support Document for Cancer Potency Factors:</w:t>
            </w:r>
            <w:r>
              <w:rPr>
                <w:bCs/>
              </w:rPr>
              <w:t xml:space="preserve"> </w:t>
            </w:r>
            <w:r w:rsidR="005602D2" w:rsidRPr="006F57DD">
              <w:rPr>
                <w:bCs/>
              </w:rPr>
              <w:t>Methodologies for derivation, listing of available values, and adjustments to allow for early</w:t>
            </w:r>
            <w:r>
              <w:rPr>
                <w:bCs/>
              </w:rPr>
              <w:t xml:space="preserve"> </w:t>
            </w:r>
            <w:r w:rsidR="005602D2" w:rsidRPr="006F57DD">
              <w:rPr>
                <w:bCs/>
              </w:rPr>
              <w:t>life stage exposures</w:t>
            </w:r>
            <w:r>
              <w:rPr>
                <w:bCs/>
              </w:rPr>
              <w:t>, Appendix D</w:t>
            </w:r>
            <w:r w:rsidR="00A8038F">
              <w:rPr>
                <w:bCs/>
              </w:rPr>
              <w:t xml:space="preserve">. </w:t>
            </w:r>
            <w:r w:rsidR="00A8038F" w:rsidRPr="00A8038F">
              <w:rPr>
                <w:bCs/>
              </w:rPr>
              <w:t>Office of Environmental Health Assessment</w:t>
            </w:r>
            <w:r>
              <w:rPr>
                <w:bCs/>
              </w:rPr>
              <w:t xml:space="preserve"> </w:t>
            </w:r>
            <w:r w:rsidRPr="006F57DD">
              <w:rPr>
                <w:bCs/>
              </w:rPr>
              <w:t>(accessed September 4, 2014).</w:t>
            </w:r>
          </w:p>
          <w:p w14:paraId="695BE443" w14:textId="77777777" w:rsidR="005602D2" w:rsidRPr="006F57DD" w:rsidRDefault="005602D2" w:rsidP="00797767">
            <w:pPr>
              <w:tabs>
                <w:tab w:val="left" w:pos="-720"/>
              </w:tabs>
              <w:suppressAutoHyphens/>
            </w:pPr>
          </w:p>
          <w:p w14:paraId="0550DC60" w14:textId="77777777" w:rsidR="00D01C31" w:rsidRDefault="00D01C31" w:rsidP="00D01C31">
            <w:pPr>
              <w:spacing w:line="276" w:lineRule="auto"/>
            </w:pPr>
            <w:r w:rsidRPr="00220596">
              <w:t>Crump KS</w:t>
            </w:r>
            <w:r>
              <w:t xml:space="preserve">, </w:t>
            </w:r>
            <w:r w:rsidRPr="00220596">
              <w:t>Howe</w:t>
            </w:r>
            <w:r>
              <w:t xml:space="preserve"> RB</w:t>
            </w:r>
            <w:r w:rsidRPr="00220596">
              <w:t>. 1984. The multistage model with a time-dependent dose pattern: application to carcinogenic risk assessment. Risk Analysis. 4: 163-176</w:t>
            </w:r>
            <w:r>
              <w:t xml:space="preserve"> </w:t>
            </w:r>
            <w:r w:rsidRPr="00D01C31">
              <w:rPr>
                <w:bCs/>
              </w:rPr>
              <w:t>(as cited in USEPA 1991</w:t>
            </w:r>
            <w:r>
              <w:rPr>
                <w:bCs/>
              </w:rPr>
              <w:t>)</w:t>
            </w:r>
            <w:r w:rsidRPr="00220596">
              <w:t>.</w:t>
            </w:r>
          </w:p>
          <w:p w14:paraId="0A22EFEC" w14:textId="77777777" w:rsidR="00D01C31" w:rsidRPr="00220596" w:rsidRDefault="00D01C31" w:rsidP="00D01C31">
            <w:pPr>
              <w:spacing w:line="276" w:lineRule="auto"/>
            </w:pPr>
          </w:p>
          <w:p w14:paraId="795AE82E" w14:textId="77777777" w:rsidR="005602D2" w:rsidRPr="006F57DD" w:rsidRDefault="006F57DD" w:rsidP="00797767">
            <w:pPr>
              <w:tabs>
                <w:tab w:val="left" w:pos="-720"/>
              </w:tabs>
              <w:suppressAutoHyphens/>
            </w:pPr>
            <w:r w:rsidRPr="006F57DD">
              <w:rPr>
                <w:color w:val="000000"/>
              </w:rPr>
              <w:t>Dorman DC, Struve MF, Wong BA, Gross EA, Parkinson C, Willson GA, Tan YM, Campbell JL, Teeguarden JG, Clewell HJ, 3</w:t>
            </w:r>
            <w:r w:rsidRPr="006F57DD">
              <w:rPr>
                <w:color w:val="000000"/>
                <w:vertAlign w:val="superscript"/>
              </w:rPr>
              <w:t>rd</w:t>
            </w:r>
            <w:r>
              <w:rPr>
                <w:color w:val="000000"/>
              </w:rPr>
              <w:t>,</w:t>
            </w:r>
            <w:r w:rsidRPr="006F57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Andersen ME. </w:t>
            </w:r>
            <w:r w:rsidRPr="006F57DD">
              <w:rPr>
                <w:color w:val="000000"/>
              </w:rPr>
              <w:t>2008. Derivation of an inhalation reference concentration based upon olfactory neuronal loss in male rats following subchronic acetaldehyde inhalation. Inhal Toxicol 20(3): 245-56</w:t>
            </w:r>
            <w:r w:rsidR="00207000">
              <w:rPr>
                <w:color w:val="000000"/>
              </w:rPr>
              <w:t xml:space="preserve"> </w:t>
            </w:r>
            <w:r w:rsidR="007035B4">
              <w:rPr>
                <w:bCs/>
                <w:color w:val="000000"/>
              </w:rPr>
              <w:t>(as cited in Cal</w:t>
            </w:r>
            <w:r w:rsidR="00207000" w:rsidRPr="00207000">
              <w:rPr>
                <w:bCs/>
                <w:color w:val="000000"/>
              </w:rPr>
              <w:t>EPA 2008).</w:t>
            </w:r>
          </w:p>
          <w:p w14:paraId="2F8A1670" w14:textId="77777777" w:rsidR="003E0BB5" w:rsidRDefault="003E0BB5" w:rsidP="00797767"/>
          <w:p w14:paraId="5F8B858D" w14:textId="77777777" w:rsidR="00D8036F" w:rsidRPr="00220596" w:rsidRDefault="00B87E2A" w:rsidP="00797767">
            <w:r>
              <w:t>Feron</w:t>
            </w:r>
            <w:r w:rsidR="00D8036F" w:rsidRPr="00220596">
              <w:t xml:space="preserve"> VJ, Kruysse</w:t>
            </w:r>
            <w:r>
              <w:t xml:space="preserve"> A</w:t>
            </w:r>
            <w:r w:rsidR="00D8036F" w:rsidRPr="00220596">
              <w:t>, Woutersen</w:t>
            </w:r>
            <w:r>
              <w:t xml:space="preserve"> RA</w:t>
            </w:r>
            <w:r w:rsidR="00D8036F" w:rsidRPr="00220596">
              <w:t>. 1982. Respiratory tract tumors in hamsters exposed to acetaldehyde vapour alone or simultaneously to benzo(a)pyrene or diethylnitrosamine. Eur. J. Cancer Clin. Oncol. 18: 13-31</w:t>
            </w:r>
            <w:r w:rsidR="00A8038F">
              <w:t xml:space="preserve"> </w:t>
            </w:r>
            <w:r w:rsidR="00A8038F" w:rsidRPr="00A8038F">
              <w:rPr>
                <w:bCs/>
              </w:rPr>
              <w:t>(as c</w:t>
            </w:r>
            <w:r w:rsidR="007035B4">
              <w:rPr>
                <w:bCs/>
              </w:rPr>
              <w:t>ited in USEPA 1991, Cal</w:t>
            </w:r>
            <w:r w:rsidR="00A8038F">
              <w:rPr>
                <w:bCs/>
              </w:rPr>
              <w:t>EPA 2008)</w:t>
            </w:r>
            <w:r w:rsidR="00D8036F" w:rsidRPr="00220596">
              <w:t xml:space="preserve">. </w:t>
            </w:r>
          </w:p>
          <w:p w14:paraId="068F5B47" w14:textId="77777777" w:rsidR="005602D2" w:rsidRDefault="005602D2" w:rsidP="00797767"/>
          <w:p w14:paraId="44AD593B" w14:textId="77777777" w:rsidR="00A77A9B" w:rsidRDefault="00A77A9B" w:rsidP="00A77A9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Howe RB, Crump K, Van Landingham C. 1986. GLOBAL86. Clement Associates, Ruston, LA </w:t>
            </w:r>
            <w:r w:rsidR="007035B4">
              <w:rPr>
                <w:rFonts w:ascii="TimesNewRomanPSMT" w:hAnsi="TimesNewRomanPSMT" w:cs="TimesNewRomanPSMT"/>
                <w:bCs/>
              </w:rPr>
              <w:t>(as cited in Cal</w:t>
            </w:r>
            <w:r w:rsidRPr="00A77A9B">
              <w:rPr>
                <w:rFonts w:ascii="TimesNewRomanPSMT" w:hAnsi="TimesNewRomanPSMT" w:cs="TimesNewRomanPSMT"/>
                <w:bCs/>
              </w:rPr>
              <w:t>EPA 20</w:t>
            </w:r>
            <w:r>
              <w:rPr>
                <w:rFonts w:ascii="TimesNewRomanPSMT" w:hAnsi="TimesNewRomanPSMT" w:cs="TimesNewRomanPSMT"/>
                <w:bCs/>
              </w:rPr>
              <w:t>11</w:t>
            </w:r>
            <w:r w:rsidRPr="00A77A9B">
              <w:rPr>
                <w:rFonts w:ascii="TimesNewRomanPSMT" w:hAnsi="TimesNewRomanPSMT" w:cs="TimesNewRomanPSMT"/>
                <w:bCs/>
              </w:rPr>
              <w:t>).</w:t>
            </w:r>
          </w:p>
          <w:p w14:paraId="49450D3E" w14:textId="77777777" w:rsidR="00A77A9B" w:rsidRPr="00F07302" w:rsidRDefault="00A77A9B" w:rsidP="00A77A9B"/>
          <w:p w14:paraId="7919D112" w14:textId="77777777" w:rsidR="00DE5B3B" w:rsidRPr="008E1ECF" w:rsidRDefault="00DE5B3B" w:rsidP="00797767">
            <w:pPr>
              <w:tabs>
                <w:tab w:val="left" w:pos="-720"/>
              </w:tabs>
              <w:suppressAutoHyphens/>
              <w:rPr>
                <w:bCs/>
              </w:rPr>
            </w:pPr>
            <w:r w:rsidRPr="008E1ECF">
              <w:rPr>
                <w:bCs/>
              </w:rPr>
              <w:t>HSDB (Hazardous Substances Data Ba</w:t>
            </w:r>
            <w:r w:rsidR="007035B4">
              <w:rPr>
                <w:bCs/>
              </w:rPr>
              <w:t>nk</w:t>
            </w:r>
            <w:r w:rsidR="00F669CB">
              <w:rPr>
                <w:bCs/>
              </w:rPr>
              <w:t xml:space="preserve">). </w:t>
            </w:r>
            <w:r w:rsidRPr="008E1ECF">
              <w:rPr>
                <w:bCs/>
              </w:rPr>
              <w:t>2</w:t>
            </w:r>
            <w:r w:rsidR="00814CC8">
              <w:rPr>
                <w:bCs/>
              </w:rPr>
              <w:t>01</w:t>
            </w:r>
            <w:r w:rsidR="00C8374C">
              <w:rPr>
                <w:bCs/>
              </w:rPr>
              <w:t>4</w:t>
            </w:r>
            <w:r w:rsidR="00D01C31">
              <w:rPr>
                <w:bCs/>
              </w:rPr>
              <w:t xml:space="preserve">. </w:t>
            </w:r>
            <w:r w:rsidR="006549CA">
              <w:t xml:space="preserve">Available: </w:t>
            </w:r>
            <w:hyperlink r:id="rId9" w:history="1">
              <w:r w:rsidR="006549CA" w:rsidRPr="00937544">
                <w:rPr>
                  <w:rStyle w:val="Hyperlink"/>
                  <w:bCs/>
                </w:rPr>
                <w:t>http://toxnet.nlm.nih.gov</w:t>
              </w:r>
            </w:hyperlink>
            <w:r w:rsidR="006549CA">
              <w:rPr>
                <w:bCs/>
              </w:rPr>
              <w:t xml:space="preserve"> </w:t>
            </w:r>
            <w:r w:rsidR="006549CA" w:rsidRPr="00C8374C">
              <w:t xml:space="preserve">(accessed </w:t>
            </w:r>
            <w:r w:rsidR="00C8374C" w:rsidRPr="00C8374C">
              <w:t>September 4, 2014</w:t>
            </w:r>
            <w:r w:rsidR="006549CA" w:rsidRPr="00C8374C">
              <w:t>).</w:t>
            </w:r>
            <w:r w:rsidR="006549CA">
              <w:t xml:space="preserve">  </w:t>
            </w:r>
          </w:p>
          <w:p w14:paraId="6E769FAA" w14:textId="77777777" w:rsidR="00DE5B3B" w:rsidRPr="008E1ECF" w:rsidRDefault="00DE5B3B" w:rsidP="00797767"/>
          <w:p w14:paraId="57D82DF9" w14:textId="77777777" w:rsidR="004C11B3" w:rsidRPr="008E1ECF" w:rsidRDefault="004C11B3" w:rsidP="00797767">
            <w:r w:rsidRPr="008E1ECF">
              <w:t>IARC (International A</w:t>
            </w:r>
            <w:r w:rsidR="00F669CB">
              <w:t xml:space="preserve">gency for Research on Cancer). </w:t>
            </w:r>
            <w:r w:rsidR="005602D2">
              <w:t>1999</w:t>
            </w:r>
            <w:r w:rsidR="00F669CB">
              <w:t xml:space="preserve">. </w:t>
            </w:r>
            <w:r w:rsidRPr="008E1ECF">
              <w:t xml:space="preserve">IARC Monographs on the Evaluation of Carcinogenic Risks to Humans.  </w:t>
            </w:r>
            <w:r w:rsidR="00A8038F">
              <w:t xml:space="preserve">Monograph </w:t>
            </w:r>
            <w:r w:rsidR="00D83E29">
              <w:t>71.</w:t>
            </w:r>
            <w:r w:rsidR="00D01C31">
              <w:t xml:space="preserve"> </w:t>
            </w:r>
            <w:r w:rsidR="006549CA">
              <w:t xml:space="preserve">Available: </w:t>
            </w:r>
            <w:hyperlink r:id="rId10" w:history="1">
              <w:r w:rsidR="00642C28" w:rsidRPr="00937544">
                <w:rPr>
                  <w:rStyle w:val="Hyperlink"/>
                </w:rPr>
                <w:t>http://monographs.iarc.fr/ENG/Preamble/index.php</w:t>
              </w:r>
            </w:hyperlink>
            <w:r w:rsidR="00642C28">
              <w:t xml:space="preserve"> (</w:t>
            </w:r>
            <w:r w:rsidR="00642C28" w:rsidRPr="005602D2">
              <w:t xml:space="preserve">accessed </w:t>
            </w:r>
            <w:r w:rsidR="005602D2" w:rsidRPr="005602D2">
              <w:t>September 4, 2014</w:t>
            </w:r>
            <w:r w:rsidR="00642C28" w:rsidRPr="005602D2">
              <w:t>).</w:t>
            </w:r>
          </w:p>
          <w:p w14:paraId="1B6894FB" w14:textId="77777777" w:rsidR="004C11B3" w:rsidRPr="008E1ECF" w:rsidRDefault="004C11B3" w:rsidP="00797767">
            <w:pPr>
              <w:tabs>
                <w:tab w:val="left" w:pos="-720"/>
              </w:tabs>
              <w:suppressAutoHyphens/>
            </w:pPr>
          </w:p>
          <w:p w14:paraId="16282DC3" w14:textId="77777777" w:rsidR="005602D2" w:rsidRPr="005602D2" w:rsidRDefault="00D8036F" w:rsidP="00D83E29">
            <w:r w:rsidRPr="00220596">
              <w:t>Kruysse A, Feron</w:t>
            </w:r>
            <w:r w:rsidR="00B87E2A">
              <w:t>, VJ,</w:t>
            </w:r>
            <w:r w:rsidRPr="00220596">
              <w:t xml:space="preserve"> Til</w:t>
            </w:r>
            <w:r w:rsidR="00B87E2A">
              <w:t xml:space="preserve"> HP</w:t>
            </w:r>
            <w:r w:rsidRPr="00220596">
              <w:t>. 1975. Repeated exposure to acetaldehyde vapor. Arch. Environ. Health. 30: 449-452</w:t>
            </w:r>
            <w:r w:rsidR="006F57DD">
              <w:t xml:space="preserve"> </w:t>
            </w:r>
            <w:r w:rsidR="00D83E29">
              <w:t>(</w:t>
            </w:r>
            <w:r w:rsidR="005602D2" w:rsidRPr="005602D2">
              <w:t xml:space="preserve">as cited in </w:t>
            </w:r>
            <w:r w:rsidR="006F57DD">
              <w:t>USEPA 1991</w:t>
            </w:r>
            <w:r w:rsidR="005602D2" w:rsidRPr="005602D2">
              <w:t>).</w:t>
            </w:r>
          </w:p>
          <w:p w14:paraId="1E705DBF" w14:textId="77777777" w:rsidR="005602D2" w:rsidRDefault="005602D2" w:rsidP="00797767">
            <w:pPr>
              <w:tabs>
                <w:tab w:val="left" w:pos="-720"/>
              </w:tabs>
              <w:suppressAutoHyphens/>
            </w:pPr>
          </w:p>
          <w:p w14:paraId="57C91BF0" w14:textId="77777777" w:rsidR="00D344BB" w:rsidRDefault="00D344BB" w:rsidP="00797767">
            <w:r>
              <w:t xml:space="preserve">MassDEP (Massachusetts Department of Environmental Protection). 2011. </w:t>
            </w:r>
            <w:r w:rsidRPr="008E1ECF">
              <w:t xml:space="preserve">Methodology for Updating </w:t>
            </w:r>
            <w:r>
              <w:t>Air Guidelines: Allowable Ambient Limits (AALs) and Threshold Effects Exposure Limits (TELs)</w:t>
            </w:r>
            <w:r w:rsidRPr="008E1ECF">
              <w:t xml:space="preserve">. </w:t>
            </w:r>
            <w:r>
              <w:t>Office of Research and Standards</w:t>
            </w:r>
            <w:r w:rsidR="00C8374C">
              <w:t>, Boston, MA.</w:t>
            </w:r>
          </w:p>
          <w:p w14:paraId="59419ED4" w14:textId="77777777" w:rsidR="005C3087" w:rsidRDefault="005C3087" w:rsidP="00797767">
            <w:pPr>
              <w:tabs>
                <w:tab w:val="left" w:pos="-720"/>
              </w:tabs>
              <w:suppressAutoHyphens/>
            </w:pPr>
          </w:p>
          <w:p w14:paraId="45770049" w14:textId="77777777" w:rsidR="005C3087" w:rsidRDefault="005C3087" w:rsidP="00797767">
            <w:pPr>
              <w:tabs>
                <w:tab w:val="left" w:pos="-720"/>
              </w:tabs>
              <w:suppressAutoHyphens/>
            </w:pPr>
            <w:r>
              <w:t xml:space="preserve">NTP </w:t>
            </w:r>
            <w:r w:rsidR="00D02B8B">
              <w:t xml:space="preserve">(National Toxicology Program). </w:t>
            </w:r>
            <w:r>
              <w:t>20</w:t>
            </w:r>
            <w:r w:rsidR="005602D2">
              <w:t>1</w:t>
            </w:r>
            <w:r w:rsidR="00233EBB">
              <w:t>4</w:t>
            </w:r>
            <w:r w:rsidR="00D02B8B">
              <w:t xml:space="preserve">. </w:t>
            </w:r>
            <w:r>
              <w:t xml:space="preserve">Report on </w:t>
            </w:r>
            <w:r w:rsidRPr="00B87E2A">
              <w:t>Carcinogens</w:t>
            </w:r>
            <w:r w:rsidR="00233EBB" w:rsidRPr="00B87E2A">
              <w:t xml:space="preserve"> Thirteenth</w:t>
            </w:r>
            <w:r w:rsidRPr="00B87E2A">
              <w:t xml:space="preserve"> Edition</w:t>
            </w:r>
            <w:r>
              <w:t xml:space="preserve">; U.S. </w:t>
            </w:r>
            <w:r>
              <w:lastRenderedPageBreak/>
              <w:t>Department of Health and Human Services, Public Health Service, National Toxicology Program.</w:t>
            </w:r>
          </w:p>
          <w:p w14:paraId="0152BF20" w14:textId="77777777" w:rsidR="005C3087" w:rsidRDefault="005C3087" w:rsidP="00797767"/>
          <w:p w14:paraId="5E7AD07E" w14:textId="77777777" w:rsidR="008E5426" w:rsidRDefault="00DB5DCD" w:rsidP="00797767">
            <w:r w:rsidRPr="008E1ECF">
              <w:t>Ruth J</w:t>
            </w:r>
            <w:r w:rsidR="00D02B8B">
              <w:t xml:space="preserve">H. 1986. </w:t>
            </w:r>
            <w:r w:rsidR="008E5426" w:rsidRPr="008E1ECF">
              <w:t xml:space="preserve">Odor thresholds and irritation levels of several chemical substances: a review.  </w:t>
            </w:r>
            <w:smartTag w:uri="urn:schemas-microsoft-com:office:smarttags" w:element="place">
              <w:smartTag w:uri="urn:schemas-microsoft-com:office:smarttags" w:element="City">
                <w:r w:rsidR="008E5426" w:rsidRPr="008E1ECF">
                  <w:t>Am.</w:t>
                </w:r>
              </w:smartTag>
              <w:r w:rsidR="008E5426" w:rsidRPr="008E1ECF">
                <w:t xml:space="preserve"> </w:t>
              </w:r>
              <w:smartTag w:uri="urn:schemas-microsoft-com:office:smarttags" w:element="State">
                <w:r w:rsidR="008E5426" w:rsidRPr="008E1ECF">
                  <w:t>Ind.</w:t>
                </w:r>
              </w:smartTag>
            </w:smartTag>
            <w:r w:rsidR="008E5426" w:rsidRPr="008E1ECF">
              <w:t xml:space="preserve"> Hyg. Assoc. 47A:142-151.</w:t>
            </w:r>
          </w:p>
          <w:p w14:paraId="289D4F83" w14:textId="77777777" w:rsidR="00D8036F" w:rsidRPr="006F57DD" w:rsidRDefault="00D8036F" w:rsidP="0079776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6001C72" w14:textId="77777777" w:rsidR="005602D2" w:rsidRDefault="00D8036F" w:rsidP="00797767">
            <w:pPr>
              <w:rPr>
                <w:color w:val="000000"/>
              </w:rPr>
            </w:pPr>
            <w:r w:rsidRPr="006F57DD">
              <w:rPr>
                <w:color w:val="000000"/>
              </w:rPr>
              <w:t>Teeguarden JG, Bogdanffy MS, Covi</w:t>
            </w:r>
            <w:r w:rsidR="00B87E2A">
              <w:rPr>
                <w:color w:val="000000"/>
              </w:rPr>
              <w:t xml:space="preserve">ngton TR, Tan C, </w:t>
            </w:r>
            <w:r w:rsidR="006F57DD">
              <w:rPr>
                <w:color w:val="000000"/>
              </w:rPr>
              <w:t>Jarabek AM. 2008</w:t>
            </w:r>
            <w:r w:rsidRPr="006F57DD">
              <w:rPr>
                <w:color w:val="000000"/>
              </w:rPr>
              <w:t>. A PBPK model for evaluating the impact of aldehyde dehydrogenase polymorphisms on comparative rat and human nasal tissue acetaldehyde dosimetry. Inhal</w:t>
            </w:r>
            <w:r w:rsidR="00D01C31">
              <w:rPr>
                <w:color w:val="000000"/>
              </w:rPr>
              <w:t>.</w:t>
            </w:r>
            <w:r w:rsidRPr="006F57DD">
              <w:rPr>
                <w:color w:val="000000"/>
              </w:rPr>
              <w:t xml:space="preserve"> Toxicol</w:t>
            </w:r>
            <w:r w:rsidR="00D01C31">
              <w:rPr>
                <w:color w:val="000000"/>
              </w:rPr>
              <w:t>.</w:t>
            </w:r>
            <w:r w:rsidRPr="006F57DD">
              <w:rPr>
                <w:color w:val="000000"/>
              </w:rPr>
              <w:t xml:space="preserve"> 20(4): 375-90.</w:t>
            </w:r>
          </w:p>
          <w:p w14:paraId="3D5022AC" w14:textId="77777777" w:rsidR="006F57DD" w:rsidRPr="006F57DD" w:rsidRDefault="006F57DD" w:rsidP="00797767"/>
          <w:p w14:paraId="464EF17B" w14:textId="77777777" w:rsidR="006E5E8C" w:rsidRPr="008E1ECF" w:rsidRDefault="006E5E8C" w:rsidP="00797767">
            <w:r>
              <w:t>USEPA</w:t>
            </w:r>
            <w:r w:rsidRPr="008E1ECF"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8E1ECF">
                  <w:t>U.S.</w:t>
                </w:r>
              </w:smartTag>
            </w:smartTag>
            <w:r w:rsidRPr="008E1ECF">
              <w:t xml:space="preserve"> Environmen</w:t>
            </w:r>
            <w:r>
              <w:t>tal Protection Agency). 1991</w:t>
            </w:r>
            <w:r w:rsidRPr="00C8374C">
              <w:t>. A</w:t>
            </w:r>
            <w:r w:rsidR="00C8374C" w:rsidRPr="00C8374C">
              <w:t>cetaldehyde</w:t>
            </w:r>
            <w:r>
              <w:t xml:space="preserve">.  </w:t>
            </w:r>
            <w:r w:rsidRPr="008E1ECF">
              <w:t>Integrated R</w:t>
            </w:r>
            <w:r w:rsidR="00B66FA5">
              <w:t>isk Information System (IRIS). Available:</w:t>
            </w:r>
            <w:r w:rsidRPr="008E1ECF">
              <w:t xml:space="preserve"> </w:t>
            </w:r>
            <w:hyperlink r:id="rId11" w:history="1">
              <w:r w:rsidRPr="00F35A51">
                <w:rPr>
                  <w:rStyle w:val="Hyperlink"/>
                </w:rPr>
                <w:t>http://www.epa.gov/iris/</w:t>
              </w:r>
            </w:hyperlink>
            <w:r>
              <w:t xml:space="preserve"> (</w:t>
            </w:r>
            <w:r w:rsidRPr="008E1ECF">
              <w:t xml:space="preserve">accessed </w:t>
            </w:r>
            <w:r w:rsidR="00C8374C">
              <w:t>September 4, 2014</w:t>
            </w:r>
            <w:r>
              <w:t>).</w:t>
            </w:r>
          </w:p>
          <w:p w14:paraId="5D92E315" w14:textId="77777777" w:rsidR="009F2717" w:rsidRDefault="009F2717" w:rsidP="00797767">
            <w:pPr>
              <w:tabs>
                <w:tab w:val="left" w:pos="-720"/>
              </w:tabs>
              <w:suppressAutoHyphens/>
            </w:pPr>
          </w:p>
          <w:p w14:paraId="671E8FF1" w14:textId="77777777" w:rsidR="00207000" w:rsidRPr="00012EE1" w:rsidRDefault="00B66FA5" w:rsidP="00797767">
            <w:r w:rsidRPr="00B66FA5">
              <w:t>USEPA (</w:t>
            </w:r>
            <w:smartTag w:uri="urn:schemas-microsoft-com:office:smarttags" w:element="country-region">
              <w:smartTag w:uri="urn:schemas-microsoft-com:office:smarttags" w:element="place">
                <w:r w:rsidRPr="00B66FA5">
                  <w:t>U.S.</w:t>
                </w:r>
              </w:smartTag>
            </w:smartTag>
            <w:r w:rsidRPr="00B66FA5">
              <w:t xml:space="preserve"> Environmental Protection Agency). </w:t>
            </w:r>
            <w:r w:rsidR="00207000" w:rsidRPr="00012EE1">
              <w:t xml:space="preserve">1994. Interim Methods for Development of Inhalation Reference Concentrations. Prepared by the Environmental Criteria and Assessment Office, Research Triangle Park, NC. October 1994. EPA/600/8-90/066A. (Final Draft) </w:t>
            </w:r>
          </w:p>
          <w:p w14:paraId="1A84FF4C" w14:textId="77777777" w:rsidR="005602D2" w:rsidRPr="00D02B8B" w:rsidRDefault="005602D2" w:rsidP="00D02B8B">
            <w:pPr>
              <w:tabs>
                <w:tab w:val="left" w:pos="-720"/>
              </w:tabs>
              <w:suppressAutoHyphens/>
            </w:pPr>
          </w:p>
          <w:p w14:paraId="7B42CBEA" w14:textId="77777777" w:rsidR="00D02B8B" w:rsidRPr="00D02B8B" w:rsidRDefault="00D02B8B" w:rsidP="00D02B8B">
            <w:pPr>
              <w:tabs>
                <w:tab w:val="left" w:pos="-720"/>
              </w:tabs>
              <w:suppressAutoHyphens/>
              <w:rPr>
                <w:color w:val="000000"/>
              </w:rPr>
            </w:pPr>
            <w:r w:rsidRPr="00D02B8B">
              <w:rPr>
                <w:color w:val="000000"/>
              </w:rPr>
              <w:t xml:space="preserve">USEPA (U.S. Environmental Protection Agency). </w:t>
            </w:r>
            <w:r w:rsidR="007035B4">
              <w:rPr>
                <w:color w:val="000000"/>
              </w:rPr>
              <w:t xml:space="preserve">2003. </w:t>
            </w:r>
            <w:r w:rsidRPr="00D02B8B">
              <w:rPr>
                <w:color w:val="000000"/>
              </w:rPr>
              <w:t>Benchmark Dose Software. National Center for Environmental Assessment, United States Environmental Protection Agency</w:t>
            </w:r>
            <w:r w:rsidRPr="00D02B8B"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</w:p>
          <w:p w14:paraId="4C95D0E2" w14:textId="77777777" w:rsidR="00D02B8B" w:rsidRDefault="00D02B8B" w:rsidP="00D02B8B">
            <w:pPr>
              <w:tabs>
                <w:tab w:val="left" w:pos="-720"/>
              </w:tabs>
              <w:suppressAutoHyphens/>
            </w:pPr>
          </w:p>
          <w:p w14:paraId="2A7B5820" w14:textId="77777777" w:rsidR="00F669CB" w:rsidRPr="00F669CB" w:rsidRDefault="00F669CB" w:rsidP="00F669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69CB">
              <w:rPr>
                <w:color w:val="000000"/>
              </w:rPr>
              <w:t xml:space="preserve">Woutersen RA, Appelman LM. 1984. Lifespan inhalation carcinogenicity study of acetaldehyde in rats. III. Recovery after 52 weeks of exposure. Report No. V84.288/190172. CIVO-Institutes TNO, The Netherlands. </w:t>
            </w:r>
          </w:p>
          <w:p w14:paraId="58F09E49" w14:textId="77777777" w:rsidR="00F669CB" w:rsidRPr="00F669CB" w:rsidRDefault="00F669CB" w:rsidP="00F669C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1F54E7B" w14:textId="77777777" w:rsidR="00B87E2A" w:rsidRDefault="00207000" w:rsidP="00B87E2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7767">
              <w:rPr>
                <w:color w:val="000000"/>
              </w:rPr>
              <w:t>Woutersen RA, Appelman LM, Feron VJ</w:t>
            </w:r>
            <w:r w:rsidR="00B87E2A">
              <w:rPr>
                <w:color w:val="000000"/>
              </w:rPr>
              <w:t>,</w:t>
            </w:r>
            <w:r w:rsidRPr="00797767">
              <w:rPr>
                <w:color w:val="000000"/>
              </w:rPr>
              <w:t xml:space="preserve"> Van der Heijden CA. 1984. Inhalation toxicity of acetaldehyde in rats. II. Carcinogenicity study: Interim results after 15 months. Toxicology 31(2): 123-133 </w:t>
            </w:r>
            <w:r w:rsidR="007035B4">
              <w:rPr>
                <w:bCs/>
                <w:color w:val="000000"/>
              </w:rPr>
              <w:t>(as cited in Cal</w:t>
            </w:r>
            <w:r w:rsidRPr="00797767">
              <w:rPr>
                <w:bCs/>
                <w:color w:val="000000"/>
              </w:rPr>
              <w:t>EPA 2008).</w:t>
            </w:r>
          </w:p>
          <w:p w14:paraId="5AD0971A" w14:textId="77777777" w:rsidR="00B87E2A" w:rsidRPr="00B87E2A" w:rsidRDefault="00B87E2A" w:rsidP="00B87E2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F41B928" w14:textId="77777777" w:rsidR="00F669CB" w:rsidRPr="00F669CB" w:rsidRDefault="00F669CB" w:rsidP="00F669CB">
            <w:pPr>
              <w:tabs>
                <w:tab w:val="left" w:pos="-720"/>
              </w:tabs>
              <w:suppressAutoHyphens/>
              <w:rPr>
                <w:color w:val="000000"/>
              </w:rPr>
            </w:pPr>
            <w:r w:rsidRPr="00F669CB">
              <w:rPr>
                <w:color w:val="000000"/>
              </w:rPr>
              <w:t>Wouterson R, Van Garderen-Hoetmer A, Appelman LM. 1985. Lifespan (27 months) inhalation carcinogenicity study of acetaldehyde in rats. Report No. V85.145/190172. CIVO-Institutes TNO, The Netherlands.</w:t>
            </w:r>
          </w:p>
          <w:p w14:paraId="6768FEE8" w14:textId="77777777" w:rsidR="00F669CB" w:rsidRDefault="00F669CB" w:rsidP="00797767">
            <w:pPr>
              <w:tabs>
                <w:tab w:val="left" w:pos="-720"/>
              </w:tabs>
              <w:suppressAutoHyphens/>
              <w:rPr>
                <w:color w:val="000000"/>
              </w:rPr>
            </w:pPr>
          </w:p>
          <w:p w14:paraId="42080025" w14:textId="77777777" w:rsidR="006F57DD" w:rsidRPr="00220596" w:rsidRDefault="00207000" w:rsidP="00F669CB">
            <w:pPr>
              <w:tabs>
                <w:tab w:val="left" w:pos="-720"/>
              </w:tabs>
              <w:suppressAutoHyphens/>
            </w:pPr>
            <w:r w:rsidRPr="00797767">
              <w:rPr>
                <w:color w:val="000000"/>
              </w:rPr>
              <w:t>Woutersen RA, Appelm</w:t>
            </w:r>
            <w:r w:rsidR="00B87E2A">
              <w:rPr>
                <w:color w:val="000000"/>
              </w:rPr>
              <w:t xml:space="preserve">an LM, Van Garderen-Hoetmer A, </w:t>
            </w:r>
            <w:r w:rsidRPr="00797767">
              <w:rPr>
                <w:color w:val="000000"/>
              </w:rPr>
              <w:t xml:space="preserve">Feron VJ. 1986. Inhalation toxicity of acetaldehyde in rats. III. Carcinogenicity study. Toxicology 41(2): 213-231 </w:t>
            </w:r>
            <w:r w:rsidR="007035B4">
              <w:rPr>
                <w:bCs/>
                <w:color w:val="000000"/>
              </w:rPr>
              <w:t>(as cited in Cal</w:t>
            </w:r>
            <w:r w:rsidRPr="00797767">
              <w:rPr>
                <w:bCs/>
                <w:color w:val="000000"/>
              </w:rPr>
              <w:t>EPA 2008)</w:t>
            </w:r>
            <w:r w:rsidRPr="00797767">
              <w:rPr>
                <w:color w:val="000000"/>
              </w:rPr>
              <w:t>.</w:t>
            </w:r>
          </w:p>
          <w:p w14:paraId="47FA5A91" w14:textId="77777777" w:rsidR="007D17C5" w:rsidRDefault="007D17C5" w:rsidP="00F669CB">
            <w:pPr>
              <w:rPr>
                <w:b/>
                <w:bCs/>
              </w:rPr>
            </w:pPr>
          </w:p>
        </w:tc>
      </w:tr>
      <w:tr w:rsidR="00063DFD" w14:paraId="63621643" w14:textId="77777777" w:rsidTr="00C36B33"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140B" w14:textId="77777777" w:rsidR="00063DFD" w:rsidRDefault="00063DFD" w:rsidP="00207000">
            <w:pPr>
              <w:tabs>
                <w:tab w:val="left" w:pos="-720"/>
              </w:tabs>
              <w:suppressAutoHyphens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Update History:</w:t>
            </w:r>
          </w:p>
          <w:p w14:paraId="5FE8A902" w14:textId="77777777" w:rsidR="00063DFD" w:rsidRPr="00970FE8" w:rsidRDefault="00063DFD" w:rsidP="00207000">
            <w:pPr>
              <w:tabs>
                <w:tab w:val="left" w:pos="-720"/>
              </w:tabs>
              <w:suppressAutoHyphens/>
              <w:rPr>
                <w:bCs/>
              </w:rPr>
            </w:pPr>
            <w:r w:rsidRPr="00063DFD">
              <w:rPr>
                <w:bCs/>
              </w:rPr>
              <w:t xml:space="preserve">TEL/AAL first listed </w:t>
            </w:r>
            <w:r w:rsidRPr="00970FE8">
              <w:rPr>
                <w:bCs/>
              </w:rPr>
              <w:t>– 19</w:t>
            </w:r>
            <w:r w:rsidR="00970FE8" w:rsidRPr="00970FE8">
              <w:rPr>
                <w:bCs/>
              </w:rPr>
              <w:t>9</w:t>
            </w:r>
            <w:r w:rsidRPr="00970FE8">
              <w:rPr>
                <w:bCs/>
              </w:rPr>
              <w:t>5</w:t>
            </w:r>
          </w:p>
          <w:p w14:paraId="7BA8A8B6" w14:textId="77777777" w:rsidR="00063DFD" w:rsidRPr="00063DFD" w:rsidRDefault="00063DFD" w:rsidP="00207000">
            <w:pPr>
              <w:tabs>
                <w:tab w:val="left" w:pos="-720"/>
              </w:tabs>
              <w:suppressAutoHyphens/>
              <w:rPr>
                <w:bCs/>
              </w:rPr>
            </w:pPr>
            <w:r w:rsidRPr="00063DFD">
              <w:rPr>
                <w:bCs/>
              </w:rPr>
              <w:t xml:space="preserve">TEL/AAL updated and </w:t>
            </w:r>
            <w:r w:rsidRPr="00970FE8">
              <w:rPr>
                <w:bCs/>
              </w:rPr>
              <w:t xml:space="preserve">summary added </w:t>
            </w:r>
            <w:r w:rsidR="00C8374C">
              <w:rPr>
                <w:bCs/>
              </w:rPr>
              <w:t>1/201</w:t>
            </w:r>
            <w:r w:rsidR="007F3022">
              <w:rPr>
                <w:bCs/>
              </w:rPr>
              <w:t>5</w:t>
            </w:r>
          </w:p>
          <w:p w14:paraId="105D390B" w14:textId="77777777" w:rsidR="00063DFD" w:rsidRPr="00063DFD" w:rsidRDefault="00063DFD" w:rsidP="00207000">
            <w:pPr>
              <w:tabs>
                <w:tab w:val="left" w:pos="-720"/>
              </w:tabs>
              <w:suppressAutoHyphens/>
              <w:rPr>
                <w:b/>
                <w:bCs/>
                <w:u w:val="single"/>
              </w:rPr>
            </w:pPr>
          </w:p>
        </w:tc>
      </w:tr>
    </w:tbl>
    <w:p w14:paraId="44FCFC2E" w14:textId="77777777" w:rsidR="007D17C5" w:rsidRDefault="007D17C5"/>
    <w:sectPr w:rsidR="007D17C5" w:rsidSect="00C36B3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B1203" w14:textId="77777777" w:rsidR="00BA5BE1" w:rsidRDefault="00BA5BE1">
      <w:r>
        <w:separator/>
      </w:r>
    </w:p>
  </w:endnote>
  <w:endnote w:type="continuationSeparator" w:id="0">
    <w:p w14:paraId="44DC954B" w14:textId="77777777" w:rsidR="00BA5BE1" w:rsidRDefault="00BA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0717" w14:textId="77777777" w:rsidR="00575860" w:rsidRDefault="00575860">
    <w:pPr>
      <w:pStyle w:val="Footer"/>
      <w:rPr>
        <w:sz w:val="20"/>
      </w:rPr>
    </w:pPr>
  </w:p>
  <w:p w14:paraId="3A62E4E9" w14:textId="77777777" w:rsidR="00575860" w:rsidRDefault="00575860">
    <w:pPr>
      <w:pStyle w:val="Footer"/>
      <w:rPr>
        <w:sz w:val="20"/>
      </w:rPr>
    </w:pPr>
    <w:r>
      <w:rPr>
        <w:sz w:val="20"/>
      </w:rPr>
      <w:t>Massachusetts Department of Environmental Protection</w:t>
    </w:r>
  </w:p>
  <w:p w14:paraId="7EF48A2B" w14:textId="77777777" w:rsidR="00575860" w:rsidRDefault="00575860">
    <w:pPr>
      <w:pStyle w:val="Footer"/>
      <w:rPr>
        <w:sz w:val="20"/>
      </w:rPr>
    </w:pPr>
    <w:r>
      <w:rPr>
        <w:sz w:val="20"/>
      </w:rPr>
      <w:t>Office of Research and Standards</w:t>
    </w:r>
  </w:p>
  <w:p w14:paraId="0665976C" w14:textId="77777777" w:rsidR="00575860" w:rsidRPr="00470CCE" w:rsidRDefault="00575860">
    <w:pPr>
      <w:pStyle w:val="Footer"/>
      <w:rPr>
        <w:sz w:val="20"/>
        <w:szCs w:val="20"/>
      </w:rPr>
    </w:pPr>
    <w:r w:rsidRPr="000522B1">
      <w:rPr>
        <w:sz w:val="20"/>
      </w:rPr>
      <w:t>A</w:t>
    </w:r>
    <w:r>
      <w:rPr>
        <w:sz w:val="20"/>
      </w:rPr>
      <w:t>cetaldehyde</w:t>
    </w:r>
    <w:r>
      <w:rPr>
        <w:sz w:val="20"/>
      </w:rPr>
      <w:tab/>
    </w:r>
    <w:r>
      <w:rPr>
        <w:sz w:val="20"/>
      </w:rPr>
      <w:tab/>
    </w:r>
    <w:r w:rsidR="00747F17" w:rsidRPr="00470CCE">
      <w:rPr>
        <w:rStyle w:val="PageNumber"/>
        <w:sz w:val="20"/>
        <w:szCs w:val="20"/>
      </w:rPr>
      <w:fldChar w:fldCharType="begin"/>
    </w:r>
    <w:r w:rsidRPr="00470CCE">
      <w:rPr>
        <w:rStyle w:val="PageNumber"/>
        <w:sz w:val="20"/>
        <w:szCs w:val="20"/>
      </w:rPr>
      <w:instrText xml:space="preserve"> PAGE </w:instrText>
    </w:r>
    <w:r w:rsidR="00747F17" w:rsidRPr="00470CCE">
      <w:rPr>
        <w:rStyle w:val="PageNumber"/>
        <w:sz w:val="20"/>
        <w:szCs w:val="20"/>
      </w:rPr>
      <w:fldChar w:fldCharType="separate"/>
    </w:r>
    <w:r w:rsidR="005B3A97">
      <w:rPr>
        <w:rStyle w:val="PageNumber"/>
        <w:noProof/>
        <w:sz w:val="20"/>
        <w:szCs w:val="20"/>
      </w:rPr>
      <w:t>1</w:t>
    </w:r>
    <w:r w:rsidR="00747F17" w:rsidRPr="00470CCE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A8731" w14:textId="77777777" w:rsidR="00BA5BE1" w:rsidRDefault="00BA5BE1">
      <w:r>
        <w:separator/>
      </w:r>
    </w:p>
  </w:footnote>
  <w:footnote w:type="continuationSeparator" w:id="0">
    <w:p w14:paraId="04383FAF" w14:textId="77777777" w:rsidR="00BA5BE1" w:rsidRDefault="00BA5BE1">
      <w:r>
        <w:continuationSeparator/>
      </w:r>
    </w:p>
  </w:footnote>
  <w:footnote w:id="1">
    <w:p w14:paraId="19246A5A" w14:textId="77777777" w:rsidR="00575860" w:rsidRDefault="00575860">
      <w:pPr>
        <w:pStyle w:val="FootnoteText"/>
      </w:pPr>
      <w:r>
        <w:rPr>
          <w:rStyle w:val="FootnoteReference"/>
        </w:rPr>
        <w:footnoteRef/>
      </w:r>
      <w:bookmarkStart w:id="0" w:name="OLE_LINK1"/>
      <w:bookmarkStart w:id="1" w:name="OLE_LINK2"/>
      <w:r>
        <w:t xml:space="preserve"> </w:t>
      </w:r>
      <w:r w:rsidRPr="00506848">
        <w:t xml:space="preserve">The process used for selecting and deriving </w:t>
      </w:r>
      <w:r>
        <w:t>Threshold Effects Exposure Limits (</w:t>
      </w:r>
      <w:r w:rsidRPr="00506848">
        <w:t>TELs</w:t>
      </w:r>
      <w:r>
        <w:t>), Non-Threshold Effects Exposure Limits (NTELs)</w:t>
      </w:r>
      <w:r w:rsidRPr="00506848">
        <w:t xml:space="preserve"> and </w:t>
      </w:r>
      <w:r>
        <w:t>Allowable Ambient Limits (</w:t>
      </w:r>
      <w:r w:rsidRPr="00506848">
        <w:t>AALs</w:t>
      </w:r>
      <w:r>
        <w:t>)</w:t>
      </w:r>
      <w:r w:rsidRPr="00506848">
        <w:t xml:space="preserve"> is described in MassDEP (201</w:t>
      </w:r>
      <w:r>
        <w:t>1</w:t>
      </w:r>
      <w:r w:rsidRPr="00506848">
        <w:t>).</w:t>
      </w:r>
      <w:bookmarkEnd w:id="0"/>
      <w:bookmarkEnd w:id="1"/>
    </w:p>
  </w:footnote>
  <w:footnote w:id="2">
    <w:p w14:paraId="2510ABE1" w14:textId="77777777" w:rsidR="00575860" w:rsidRDefault="00575860" w:rsidP="00746850">
      <w:pPr>
        <w:pStyle w:val="FootnoteText"/>
      </w:pPr>
      <w:r>
        <w:rPr>
          <w:rStyle w:val="FootnoteReference"/>
        </w:rPr>
        <w:footnoteRef/>
      </w:r>
      <w:r>
        <w:t xml:space="preserve"> Guidance values are presented with 1 significant figure in units of ug/m</w:t>
      </w:r>
      <w:r w:rsidRPr="00B53E2D">
        <w:rPr>
          <w:vertAlign w:val="superscript"/>
        </w:rPr>
        <w:t>3</w:t>
      </w:r>
      <w:r>
        <w:t>; for convenience, values in units of ppb are calculated based on the rounded guidance value in units of ug/m</w:t>
      </w:r>
      <w:r w:rsidRPr="00AC7550">
        <w:rPr>
          <w:vertAlign w:val="superscript"/>
        </w:rPr>
        <w:t>3</w:t>
      </w:r>
      <w:r>
        <w:t xml:space="preserve"> then rounded to 1 significant figure in units of ppb for presentation.</w:t>
      </w:r>
    </w:p>
  </w:footnote>
  <w:footnote w:id="3">
    <w:p w14:paraId="0B9E9E86" w14:textId="77777777" w:rsidR="00575860" w:rsidRDefault="00575860">
      <w:pPr>
        <w:pStyle w:val="FootnoteText"/>
      </w:pPr>
      <w:r>
        <w:rPr>
          <w:rStyle w:val="FootnoteReference"/>
        </w:rPr>
        <w:footnoteRef/>
      </w:r>
      <w:r>
        <w:t xml:space="preserve"> This </w:t>
      </w:r>
      <w:r w:rsidRPr="008C0909">
        <w:rPr>
          <w:lang w:bidi="en-US"/>
        </w:rPr>
        <w:t xml:space="preserve">summary document </w:t>
      </w:r>
      <w:r>
        <w:rPr>
          <w:lang w:bidi="en-US"/>
        </w:rPr>
        <w:t xml:space="preserve">provides information about the toxicity data supporting the available toxicity values for this chemical and the rationale for selecting among values.  It </w:t>
      </w:r>
      <w:r w:rsidRPr="008C0909">
        <w:rPr>
          <w:lang w:bidi="en-US"/>
        </w:rPr>
        <w:t>is not intended to be a comprehensive summary of all toxicity information</w:t>
      </w:r>
      <w:r>
        <w:rPr>
          <w:lang w:bidi="en-US"/>
        </w:rPr>
        <w:t xml:space="preserve"> for this chemical.</w:t>
      </w:r>
    </w:p>
  </w:footnote>
  <w:footnote w:id="4">
    <w:p w14:paraId="5F342E9A" w14:textId="77777777" w:rsidR="00575860" w:rsidRPr="002358F9" w:rsidRDefault="00575860" w:rsidP="00A450EE">
      <w:pPr>
        <w:pStyle w:val="FootnoteText"/>
      </w:pPr>
      <w:r w:rsidRPr="002358F9">
        <w:rPr>
          <w:rStyle w:val="FootnoteReference"/>
        </w:rPr>
        <w:footnoteRef/>
      </w:r>
      <w:r w:rsidRPr="002358F9">
        <w:t xml:space="preserve"> The regional gas dosimetry ratio (RGDR</w:t>
      </w:r>
      <w:r w:rsidRPr="002358F9">
        <w:rPr>
          <w:vertAlign w:val="subscript"/>
        </w:rPr>
        <w:t>ET</w:t>
      </w:r>
      <w:r w:rsidRPr="002358F9">
        <w:t>) and dosimetric adjustment factor (DAF)</w:t>
      </w:r>
      <w:r>
        <w:t xml:space="preserve"> serve an equivalent function for</w:t>
      </w:r>
      <w:r w:rsidRPr="002358F9">
        <w:t xml:space="preserve"> estimating the difference in applied dose between the test animal and humans.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3E1B" w14:textId="77777777" w:rsidR="00575860" w:rsidRDefault="00575860">
    <w:pPr>
      <w:pStyle w:val="Header"/>
      <w:jc w:val="center"/>
      <w:rPr>
        <w:b/>
        <w:bCs/>
        <w:sz w:val="20"/>
      </w:rPr>
    </w:pPr>
    <w:r>
      <w:rPr>
        <w:b/>
        <w:bCs/>
        <w:sz w:val="20"/>
      </w:rPr>
      <w:t>Supporting Documentation for MassDEP Air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5BEE"/>
    <w:multiLevelType w:val="hybridMultilevel"/>
    <w:tmpl w:val="C3A0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5708"/>
    <w:multiLevelType w:val="hybridMultilevel"/>
    <w:tmpl w:val="1DBE4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3124E8"/>
    <w:multiLevelType w:val="hybridMultilevel"/>
    <w:tmpl w:val="B09E3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3046D7"/>
    <w:multiLevelType w:val="hybridMultilevel"/>
    <w:tmpl w:val="B998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567252">
    <w:abstractNumId w:val="1"/>
  </w:num>
  <w:num w:numId="2" w16cid:durableId="183399631">
    <w:abstractNumId w:val="2"/>
  </w:num>
  <w:num w:numId="3" w16cid:durableId="182479884">
    <w:abstractNumId w:val="0"/>
  </w:num>
  <w:num w:numId="4" w16cid:durableId="12602130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99"/>
    <w:rsid w:val="00004D46"/>
    <w:rsid w:val="00011ABF"/>
    <w:rsid w:val="00014B9B"/>
    <w:rsid w:val="00024A65"/>
    <w:rsid w:val="00025EEC"/>
    <w:rsid w:val="00027237"/>
    <w:rsid w:val="00032873"/>
    <w:rsid w:val="00033D95"/>
    <w:rsid w:val="00037B4C"/>
    <w:rsid w:val="00042974"/>
    <w:rsid w:val="00044ED5"/>
    <w:rsid w:val="00045200"/>
    <w:rsid w:val="000522B1"/>
    <w:rsid w:val="00063DAE"/>
    <w:rsid w:val="00063DFD"/>
    <w:rsid w:val="00074448"/>
    <w:rsid w:val="00077E95"/>
    <w:rsid w:val="0008653E"/>
    <w:rsid w:val="000A1CEE"/>
    <w:rsid w:val="000B03A7"/>
    <w:rsid w:val="000B23AC"/>
    <w:rsid w:val="000D6D4B"/>
    <w:rsid w:val="000E0F0B"/>
    <w:rsid w:val="000E44E5"/>
    <w:rsid w:val="000E7755"/>
    <w:rsid w:val="000F00A6"/>
    <w:rsid w:val="000F0C9B"/>
    <w:rsid w:val="000F0CE4"/>
    <w:rsid w:val="000F56E7"/>
    <w:rsid w:val="00102A25"/>
    <w:rsid w:val="00102AE4"/>
    <w:rsid w:val="00110450"/>
    <w:rsid w:val="00114790"/>
    <w:rsid w:val="00116D32"/>
    <w:rsid w:val="001175C2"/>
    <w:rsid w:val="00125B47"/>
    <w:rsid w:val="0014107D"/>
    <w:rsid w:val="001463C4"/>
    <w:rsid w:val="001470A2"/>
    <w:rsid w:val="0015013C"/>
    <w:rsid w:val="001533E7"/>
    <w:rsid w:val="001968C3"/>
    <w:rsid w:val="001A2B83"/>
    <w:rsid w:val="001A6A38"/>
    <w:rsid w:val="001A70D3"/>
    <w:rsid w:val="001A71A3"/>
    <w:rsid w:val="001C0BDE"/>
    <w:rsid w:val="001C11AC"/>
    <w:rsid w:val="001D732A"/>
    <w:rsid w:val="001E5AA3"/>
    <w:rsid w:val="001F44F7"/>
    <w:rsid w:val="00207000"/>
    <w:rsid w:val="0021147F"/>
    <w:rsid w:val="00233EBB"/>
    <w:rsid w:val="002376E0"/>
    <w:rsid w:val="00240B81"/>
    <w:rsid w:val="00241E58"/>
    <w:rsid w:val="00254254"/>
    <w:rsid w:val="00261F5D"/>
    <w:rsid w:val="00262854"/>
    <w:rsid w:val="00262E90"/>
    <w:rsid w:val="00266B19"/>
    <w:rsid w:val="0028050D"/>
    <w:rsid w:val="00287942"/>
    <w:rsid w:val="00290AC1"/>
    <w:rsid w:val="00291373"/>
    <w:rsid w:val="00294A17"/>
    <w:rsid w:val="002976F5"/>
    <w:rsid w:val="002A3A60"/>
    <w:rsid w:val="002A4040"/>
    <w:rsid w:val="002A4892"/>
    <w:rsid w:val="002A67E0"/>
    <w:rsid w:val="002B18ED"/>
    <w:rsid w:val="002B2245"/>
    <w:rsid w:val="002C3BD6"/>
    <w:rsid w:val="002E7345"/>
    <w:rsid w:val="002F1169"/>
    <w:rsid w:val="0030743C"/>
    <w:rsid w:val="00313AFE"/>
    <w:rsid w:val="00315392"/>
    <w:rsid w:val="003156A8"/>
    <w:rsid w:val="003175C0"/>
    <w:rsid w:val="00323440"/>
    <w:rsid w:val="00327F4F"/>
    <w:rsid w:val="00330022"/>
    <w:rsid w:val="00333F6E"/>
    <w:rsid w:val="00334076"/>
    <w:rsid w:val="003422EF"/>
    <w:rsid w:val="003440DC"/>
    <w:rsid w:val="00345406"/>
    <w:rsid w:val="0034544C"/>
    <w:rsid w:val="00351F24"/>
    <w:rsid w:val="00365AD8"/>
    <w:rsid w:val="00365CA3"/>
    <w:rsid w:val="00365CF9"/>
    <w:rsid w:val="00366C8F"/>
    <w:rsid w:val="00370581"/>
    <w:rsid w:val="00381156"/>
    <w:rsid w:val="003842CD"/>
    <w:rsid w:val="00386E8D"/>
    <w:rsid w:val="003908B5"/>
    <w:rsid w:val="00392B08"/>
    <w:rsid w:val="0039487C"/>
    <w:rsid w:val="003A1018"/>
    <w:rsid w:val="003A3B0F"/>
    <w:rsid w:val="003A61C1"/>
    <w:rsid w:val="003A6358"/>
    <w:rsid w:val="003A6443"/>
    <w:rsid w:val="003C3CC7"/>
    <w:rsid w:val="003C7042"/>
    <w:rsid w:val="003D49C7"/>
    <w:rsid w:val="003D4AD2"/>
    <w:rsid w:val="003E0BB5"/>
    <w:rsid w:val="003F071A"/>
    <w:rsid w:val="003F5899"/>
    <w:rsid w:val="003F7248"/>
    <w:rsid w:val="00412830"/>
    <w:rsid w:val="0042328F"/>
    <w:rsid w:val="0042497F"/>
    <w:rsid w:val="0043667A"/>
    <w:rsid w:val="00443731"/>
    <w:rsid w:val="00444E5E"/>
    <w:rsid w:val="0044617A"/>
    <w:rsid w:val="00464C92"/>
    <w:rsid w:val="00470CCE"/>
    <w:rsid w:val="00474783"/>
    <w:rsid w:val="0047504A"/>
    <w:rsid w:val="00481670"/>
    <w:rsid w:val="00494EDE"/>
    <w:rsid w:val="004A338E"/>
    <w:rsid w:val="004B0C78"/>
    <w:rsid w:val="004C0A6A"/>
    <w:rsid w:val="004C11B3"/>
    <w:rsid w:val="004C531A"/>
    <w:rsid w:val="004C6903"/>
    <w:rsid w:val="004D59FE"/>
    <w:rsid w:val="00502E54"/>
    <w:rsid w:val="005057C8"/>
    <w:rsid w:val="00506848"/>
    <w:rsid w:val="00511D59"/>
    <w:rsid w:val="00512A55"/>
    <w:rsid w:val="0051568A"/>
    <w:rsid w:val="00515F2B"/>
    <w:rsid w:val="00516759"/>
    <w:rsid w:val="005168BA"/>
    <w:rsid w:val="00531FA1"/>
    <w:rsid w:val="00537B9F"/>
    <w:rsid w:val="00540041"/>
    <w:rsid w:val="00542EE3"/>
    <w:rsid w:val="00550CCF"/>
    <w:rsid w:val="005602D2"/>
    <w:rsid w:val="00560BA3"/>
    <w:rsid w:val="00562615"/>
    <w:rsid w:val="00563C95"/>
    <w:rsid w:val="00566979"/>
    <w:rsid w:val="00575860"/>
    <w:rsid w:val="0057745A"/>
    <w:rsid w:val="005834F2"/>
    <w:rsid w:val="00584926"/>
    <w:rsid w:val="00590595"/>
    <w:rsid w:val="005A1D52"/>
    <w:rsid w:val="005A38F1"/>
    <w:rsid w:val="005A7B72"/>
    <w:rsid w:val="005B3287"/>
    <w:rsid w:val="005B32BA"/>
    <w:rsid w:val="005B3A97"/>
    <w:rsid w:val="005C11F6"/>
    <w:rsid w:val="005C3087"/>
    <w:rsid w:val="005D1E0B"/>
    <w:rsid w:val="005E5F52"/>
    <w:rsid w:val="005E6730"/>
    <w:rsid w:val="005F09C3"/>
    <w:rsid w:val="005F2924"/>
    <w:rsid w:val="00604127"/>
    <w:rsid w:val="00605976"/>
    <w:rsid w:val="006201B8"/>
    <w:rsid w:val="00624D22"/>
    <w:rsid w:val="0063625A"/>
    <w:rsid w:val="00640497"/>
    <w:rsid w:val="00642C28"/>
    <w:rsid w:val="006549CA"/>
    <w:rsid w:val="0065544D"/>
    <w:rsid w:val="006631D5"/>
    <w:rsid w:val="006678AB"/>
    <w:rsid w:val="006729BA"/>
    <w:rsid w:val="006747D6"/>
    <w:rsid w:val="006818A3"/>
    <w:rsid w:val="00682C1C"/>
    <w:rsid w:val="00682FEB"/>
    <w:rsid w:val="006851C7"/>
    <w:rsid w:val="00690725"/>
    <w:rsid w:val="00690891"/>
    <w:rsid w:val="006A0749"/>
    <w:rsid w:val="006B27B1"/>
    <w:rsid w:val="006B6D42"/>
    <w:rsid w:val="006C004C"/>
    <w:rsid w:val="006C2639"/>
    <w:rsid w:val="006D7179"/>
    <w:rsid w:val="006E5E8C"/>
    <w:rsid w:val="006F3DDB"/>
    <w:rsid w:val="006F57DD"/>
    <w:rsid w:val="00701AA9"/>
    <w:rsid w:val="007035B4"/>
    <w:rsid w:val="007074F3"/>
    <w:rsid w:val="0070752C"/>
    <w:rsid w:val="00710694"/>
    <w:rsid w:val="00711A85"/>
    <w:rsid w:val="0071321D"/>
    <w:rsid w:val="007221A0"/>
    <w:rsid w:val="007245DA"/>
    <w:rsid w:val="007277B0"/>
    <w:rsid w:val="00742211"/>
    <w:rsid w:val="00746850"/>
    <w:rsid w:val="00747F17"/>
    <w:rsid w:val="00757C53"/>
    <w:rsid w:val="00767D23"/>
    <w:rsid w:val="00772944"/>
    <w:rsid w:val="00781EDA"/>
    <w:rsid w:val="007829A6"/>
    <w:rsid w:val="007832D2"/>
    <w:rsid w:val="00783D43"/>
    <w:rsid w:val="007854FC"/>
    <w:rsid w:val="00796588"/>
    <w:rsid w:val="00797767"/>
    <w:rsid w:val="007A1E57"/>
    <w:rsid w:val="007A4D53"/>
    <w:rsid w:val="007B72FC"/>
    <w:rsid w:val="007B79C8"/>
    <w:rsid w:val="007C1AE6"/>
    <w:rsid w:val="007C3DFE"/>
    <w:rsid w:val="007D17C5"/>
    <w:rsid w:val="007D2FD7"/>
    <w:rsid w:val="007D3E9A"/>
    <w:rsid w:val="007D503E"/>
    <w:rsid w:val="007D7F79"/>
    <w:rsid w:val="007E5879"/>
    <w:rsid w:val="007F3022"/>
    <w:rsid w:val="007F3436"/>
    <w:rsid w:val="007F6666"/>
    <w:rsid w:val="007F6D90"/>
    <w:rsid w:val="00807104"/>
    <w:rsid w:val="0081283C"/>
    <w:rsid w:val="00814CC8"/>
    <w:rsid w:val="00815BAE"/>
    <w:rsid w:val="0083115F"/>
    <w:rsid w:val="00832B98"/>
    <w:rsid w:val="00845611"/>
    <w:rsid w:val="008555DF"/>
    <w:rsid w:val="00857C36"/>
    <w:rsid w:val="00861058"/>
    <w:rsid w:val="008704E1"/>
    <w:rsid w:val="00871DF5"/>
    <w:rsid w:val="00877134"/>
    <w:rsid w:val="008842C0"/>
    <w:rsid w:val="008A1984"/>
    <w:rsid w:val="008A62F0"/>
    <w:rsid w:val="008B24BD"/>
    <w:rsid w:val="008C08E8"/>
    <w:rsid w:val="008C6C1F"/>
    <w:rsid w:val="008C6DCE"/>
    <w:rsid w:val="008C7F5A"/>
    <w:rsid w:val="008D673F"/>
    <w:rsid w:val="008E1ECF"/>
    <w:rsid w:val="008E4A0A"/>
    <w:rsid w:val="008E5426"/>
    <w:rsid w:val="008E7030"/>
    <w:rsid w:val="008F25E7"/>
    <w:rsid w:val="008F6E98"/>
    <w:rsid w:val="00901909"/>
    <w:rsid w:val="00901995"/>
    <w:rsid w:val="00902A61"/>
    <w:rsid w:val="00904D29"/>
    <w:rsid w:val="0090640E"/>
    <w:rsid w:val="009106E6"/>
    <w:rsid w:val="00913726"/>
    <w:rsid w:val="00932336"/>
    <w:rsid w:val="00932A40"/>
    <w:rsid w:val="00935F17"/>
    <w:rsid w:val="00937367"/>
    <w:rsid w:val="009443F9"/>
    <w:rsid w:val="00950151"/>
    <w:rsid w:val="0095256B"/>
    <w:rsid w:val="009546C5"/>
    <w:rsid w:val="00956983"/>
    <w:rsid w:val="00960A48"/>
    <w:rsid w:val="00965209"/>
    <w:rsid w:val="00970FE8"/>
    <w:rsid w:val="009720FC"/>
    <w:rsid w:val="00974786"/>
    <w:rsid w:val="00974A6D"/>
    <w:rsid w:val="00975DAD"/>
    <w:rsid w:val="009773E6"/>
    <w:rsid w:val="0098798F"/>
    <w:rsid w:val="00987C0C"/>
    <w:rsid w:val="00987FE1"/>
    <w:rsid w:val="00991C20"/>
    <w:rsid w:val="00993103"/>
    <w:rsid w:val="0099450C"/>
    <w:rsid w:val="009B0EE2"/>
    <w:rsid w:val="009B58D3"/>
    <w:rsid w:val="009B6508"/>
    <w:rsid w:val="009B72B4"/>
    <w:rsid w:val="009C2DA8"/>
    <w:rsid w:val="009D1364"/>
    <w:rsid w:val="009D5354"/>
    <w:rsid w:val="009E0C2F"/>
    <w:rsid w:val="009E3FAC"/>
    <w:rsid w:val="009F091C"/>
    <w:rsid w:val="009F2392"/>
    <w:rsid w:val="009F2717"/>
    <w:rsid w:val="009F2CC0"/>
    <w:rsid w:val="009F495C"/>
    <w:rsid w:val="009F64E7"/>
    <w:rsid w:val="00A012E1"/>
    <w:rsid w:val="00A078E4"/>
    <w:rsid w:val="00A14F7B"/>
    <w:rsid w:val="00A208E6"/>
    <w:rsid w:val="00A21BD3"/>
    <w:rsid w:val="00A43BDB"/>
    <w:rsid w:val="00A450EE"/>
    <w:rsid w:val="00A4664D"/>
    <w:rsid w:val="00A54E49"/>
    <w:rsid w:val="00A63E4C"/>
    <w:rsid w:val="00A6791A"/>
    <w:rsid w:val="00A752E0"/>
    <w:rsid w:val="00A77A9B"/>
    <w:rsid w:val="00A8038F"/>
    <w:rsid w:val="00A818F4"/>
    <w:rsid w:val="00A85572"/>
    <w:rsid w:val="00A92C20"/>
    <w:rsid w:val="00A950E6"/>
    <w:rsid w:val="00AA3D09"/>
    <w:rsid w:val="00AA7A96"/>
    <w:rsid w:val="00AB1A97"/>
    <w:rsid w:val="00AC0B2B"/>
    <w:rsid w:val="00AC318D"/>
    <w:rsid w:val="00AC3581"/>
    <w:rsid w:val="00AC7FE8"/>
    <w:rsid w:val="00AD4BB3"/>
    <w:rsid w:val="00AD56D2"/>
    <w:rsid w:val="00AE4097"/>
    <w:rsid w:val="00AF63DA"/>
    <w:rsid w:val="00B1219F"/>
    <w:rsid w:val="00B16BBD"/>
    <w:rsid w:val="00B212B3"/>
    <w:rsid w:val="00B22AAC"/>
    <w:rsid w:val="00B45A8E"/>
    <w:rsid w:val="00B60A0B"/>
    <w:rsid w:val="00B65C09"/>
    <w:rsid w:val="00B66FA5"/>
    <w:rsid w:val="00B70AF9"/>
    <w:rsid w:val="00B71187"/>
    <w:rsid w:val="00B72DDD"/>
    <w:rsid w:val="00B77291"/>
    <w:rsid w:val="00B87E2A"/>
    <w:rsid w:val="00BA415F"/>
    <w:rsid w:val="00BA5A4C"/>
    <w:rsid w:val="00BA5BE1"/>
    <w:rsid w:val="00BB064E"/>
    <w:rsid w:val="00BB5878"/>
    <w:rsid w:val="00BC399D"/>
    <w:rsid w:val="00BC3EEF"/>
    <w:rsid w:val="00BC4599"/>
    <w:rsid w:val="00BC5264"/>
    <w:rsid w:val="00BC61C0"/>
    <w:rsid w:val="00BD0E12"/>
    <w:rsid w:val="00BD7C74"/>
    <w:rsid w:val="00BF195C"/>
    <w:rsid w:val="00BF5DE7"/>
    <w:rsid w:val="00C0047A"/>
    <w:rsid w:val="00C04EFD"/>
    <w:rsid w:val="00C243DD"/>
    <w:rsid w:val="00C3339E"/>
    <w:rsid w:val="00C366F7"/>
    <w:rsid w:val="00C36B33"/>
    <w:rsid w:val="00C46BD0"/>
    <w:rsid w:val="00C47760"/>
    <w:rsid w:val="00C51519"/>
    <w:rsid w:val="00C52D32"/>
    <w:rsid w:val="00C57C2F"/>
    <w:rsid w:val="00C63573"/>
    <w:rsid w:val="00C645B1"/>
    <w:rsid w:val="00C6635B"/>
    <w:rsid w:val="00C736B0"/>
    <w:rsid w:val="00C74020"/>
    <w:rsid w:val="00C75A34"/>
    <w:rsid w:val="00C8374C"/>
    <w:rsid w:val="00C83F1D"/>
    <w:rsid w:val="00C84CC9"/>
    <w:rsid w:val="00C85E56"/>
    <w:rsid w:val="00C86060"/>
    <w:rsid w:val="00C860D0"/>
    <w:rsid w:val="00C9117B"/>
    <w:rsid w:val="00C94512"/>
    <w:rsid w:val="00C9753E"/>
    <w:rsid w:val="00CA2C3C"/>
    <w:rsid w:val="00CA3C2A"/>
    <w:rsid w:val="00CA42A4"/>
    <w:rsid w:val="00CB1902"/>
    <w:rsid w:val="00CB3B2E"/>
    <w:rsid w:val="00CB492E"/>
    <w:rsid w:val="00CD1432"/>
    <w:rsid w:val="00CD1B4C"/>
    <w:rsid w:val="00CD3858"/>
    <w:rsid w:val="00CD41A9"/>
    <w:rsid w:val="00CD6193"/>
    <w:rsid w:val="00CE0272"/>
    <w:rsid w:val="00CE6666"/>
    <w:rsid w:val="00CE6B64"/>
    <w:rsid w:val="00CF4C7B"/>
    <w:rsid w:val="00CF59EF"/>
    <w:rsid w:val="00D01255"/>
    <w:rsid w:val="00D01C31"/>
    <w:rsid w:val="00D028ED"/>
    <w:rsid w:val="00D02B8B"/>
    <w:rsid w:val="00D079EC"/>
    <w:rsid w:val="00D17E2D"/>
    <w:rsid w:val="00D22028"/>
    <w:rsid w:val="00D277DD"/>
    <w:rsid w:val="00D344BB"/>
    <w:rsid w:val="00D35C36"/>
    <w:rsid w:val="00D44867"/>
    <w:rsid w:val="00D51658"/>
    <w:rsid w:val="00D7726B"/>
    <w:rsid w:val="00D8036F"/>
    <w:rsid w:val="00D8193D"/>
    <w:rsid w:val="00D83E29"/>
    <w:rsid w:val="00DA13EE"/>
    <w:rsid w:val="00DA19E2"/>
    <w:rsid w:val="00DA363F"/>
    <w:rsid w:val="00DA4924"/>
    <w:rsid w:val="00DA51B6"/>
    <w:rsid w:val="00DB5DCD"/>
    <w:rsid w:val="00DC460E"/>
    <w:rsid w:val="00DC6191"/>
    <w:rsid w:val="00DD031F"/>
    <w:rsid w:val="00DE06BF"/>
    <w:rsid w:val="00DE5B3B"/>
    <w:rsid w:val="00DE69B8"/>
    <w:rsid w:val="00DE6ADE"/>
    <w:rsid w:val="00DF4564"/>
    <w:rsid w:val="00DF7ECF"/>
    <w:rsid w:val="00E05131"/>
    <w:rsid w:val="00E06C91"/>
    <w:rsid w:val="00E1347B"/>
    <w:rsid w:val="00E142A6"/>
    <w:rsid w:val="00E2051A"/>
    <w:rsid w:val="00E208EE"/>
    <w:rsid w:val="00E23998"/>
    <w:rsid w:val="00E2779B"/>
    <w:rsid w:val="00E307E5"/>
    <w:rsid w:val="00E3776D"/>
    <w:rsid w:val="00E43A7A"/>
    <w:rsid w:val="00E44624"/>
    <w:rsid w:val="00E44A6A"/>
    <w:rsid w:val="00E50844"/>
    <w:rsid w:val="00E5097D"/>
    <w:rsid w:val="00E5238D"/>
    <w:rsid w:val="00E53F1C"/>
    <w:rsid w:val="00E53F55"/>
    <w:rsid w:val="00E662D6"/>
    <w:rsid w:val="00E66693"/>
    <w:rsid w:val="00E72775"/>
    <w:rsid w:val="00E8465D"/>
    <w:rsid w:val="00E9082A"/>
    <w:rsid w:val="00E9169B"/>
    <w:rsid w:val="00E92A5D"/>
    <w:rsid w:val="00E94396"/>
    <w:rsid w:val="00E9710C"/>
    <w:rsid w:val="00E978DA"/>
    <w:rsid w:val="00EA2391"/>
    <w:rsid w:val="00EA3603"/>
    <w:rsid w:val="00EB1447"/>
    <w:rsid w:val="00EB3DF8"/>
    <w:rsid w:val="00EC0372"/>
    <w:rsid w:val="00EC2D25"/>
    <w:rsid w:val="00EC6D9B"/>
    <w:rsid w:val="00ED77F0"/>
    <w:rsid w:val="00ED7F88"/>
    <w:rsid w:val="00EF3353"/>
    <w:rsid w:val="00F009BE"/>
    <w:rsid w:val="00F02DC9"/>
    <w:rsid w:val="00F046B4"/>
    <w:rsid w:val="00F051CD"/>
    <w:rsid w:val="00F07302"/>
    <w:rsid w:val="00F20103"/>
    <w:rsid w:val="00F22DC4"/>
    <w:rsid w:val="00F37C15"/>
    <w:rsid w:val="00F6086A"/>
    <w:rsid w:val="00F616DE"/>
    <w:rsid w:val="00F64681"/>
    <w:rsid w:val="00F64FD3"/>
    <w:rsid w:val="00F65674"/>
    <w:rsid w:val="00F669CB"/>
    <w:rsid w:val="00F7243E"/>
    <w:rsid w:val="00F727AB"/>
    <w:rsid w:val="00F756AF"/>
    <w:rsid w:val="00F84548"/>
    <w:rsid w:val="00F871B7"/>
    <w:rsid w:val="00F94C39"/>
    <w:rsid w:val="00FA1ED2"/>
    <w:rsid w:val="00FA37C9"/>
    <w:rsid w:val="00FB4372"/>
    <w:rsid w:val="00FB63BA"/>
    <w:rsid w:val="00FB7EC7"/>
    <w:rsid w:val="00FC29DE"/>
    <w:rsid w:val="00FC3603"/>
    <w:rsid w:val="00FD2072"/>
    <w:rsid w:val="00FD654F"/>
    <w:rsid w:val="00FD719F"/>
    <w:rsid w:val="00FE1983"/>
    <w:rsid w:val="00FE26B4"/>
    <w:rsid w:val="00FE4C3E"/>
    <w:rsid w:val="00FE5C0F"/>
    <w:rsid w:val="00FE7877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50343AC"/>
  <w15:chartTrackingRefBased/>
  <w15:docId w15:val="{621495A9-E89D-492A-B943-208373C3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3E4C"/>
    <w:rPr>
      <w:sz w:val="24"/>
      <w:szCs w:val="24"/>
    </w:rPr>
  </w:style>
  <w:style w:type="paragraph" w:styleId="Heading1">
    <w:name w:val="heading 1"/>
    <w:basedOn w:val="Normal"/>
    <w:next w:val="Normal"/>
    <w:qFormat/>
    <w:rsid w:val="00F871B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871B7"/>
    <w:pPr>
      <w:keepNext/>
      <w:tabs>
        <w:tab w:val="left" w:pos="-720"/>
      </w:tabs>
      <w:suppressAutoHyphens/>
      <w:spacing w:line="240" w:lineRule="atLeast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71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71B7"/>
    <w:pPr>
      <w:tabs>
        <w:tab w:val="center" w:pos="4320"/>
        <w:tab w:val="right" w:pos="8640"/>
      </w:tabs>
    </w:pPr>
  </w:style>
  <w:style w:type="character" w:styleId="Hyperlink">
    <w:name w:val="Hyperlink"/>
    <w:rsid w:val="00F871B7"/>
    <w:rPr>
      <w:color w:val="0000FF"/>
      <w:u w:val="single"/>
    </w:rPr>
  </w:style>
  <w:style w:type="paragraph" w:styleId="BalloonText">
    <w:name w:val="Balloon Text"/>
    <w:basedOn w:val="Normal"/>
    <w:semiHidden/>
    <w:rsid w:val="009525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12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323440"/>
    <w:rPr>
      <w:sz w:val="20"/>
      <w:szCs w:val="20"/>
    </w:rPr>
  </w:style>
  <w:style w:type="character" w:styleId="FootnoteReference">
    <w:name w:val="footnote reference"/>
    <w:semiHidden/>
    <w:rsid w:val="00323440"/>
    <w:rPr>
      <w:vertAlign w:val="superscript"/>
    </w:rPr>
  </w:style>
  <w:style w:type="character" w:styleId="PageNumber">
    <w:name w:val="page number"/>
    <w:basedOn w:val="DefaultParagraphFont"/>
    <w:rsid w:val="00DB5DCD"/>
  </w:style>
  <w:style w:type="paragraph" w:styleId="ListParagraph">
    <w:name w:val="List Paragraph"/>
    <w:basedOn w:val="Normal"/>
    <w:uiPriority w:val="34"/>
    <w:qFormat/>
    <w:rsid w:val="00262E90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A450EE"/>
  </w:style>
  <w:style w:type="paragraph" w:customStyle="1" w:styleId="CM119">
    <w:name w:val="CM119"/>
    <w:basedOn w:val="Default"/>
    <w:next w:val="Default"/>
    <w:uiPriority w:val="99"/>
    <w:rsid w:val="00207000"/>
    <w:rPr>
      <w:rFonts w:ascii="Arial" w:hAnsi="Arial" w:cs="Arial"/>
      <w:color w:val="auto"/>
    </w:rPr>
  </w:style>
  <w:style w:type="character" w:styleId="FollowedHyperlink">
    <w:name w:val="FollowedHyperlink"/>
    <w:rsid w:val="00A8038F"/>
    <w:rPr>
      <w:color w:val="800080"/>
      <w:u w:val="single"/>
    </w:rPr>
  </w:style>
  <w:style w:type="paragraph" w:customStyle="1" w:styleId="Pa7">
    <w:name w:val="Pa7"/>
    <w:basedOn w:val="Default"/>
    <w:next w:val="Default"/>
    <w:uiPriority w:val="99"/>
    <w:rsid w:val="00233EBB"/>
    <w:pPr>
      <w:spacing w:line="181" w:lineRule="atLeast"/>
    </w:pPr>
    <w:rPr>
      <w:rFonts w:ascii="Warnock Pro" w:hAnsi="Warnock Pro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a.gov/iri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nographs.iarc.fr/ENG/Preamble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xnet.nlm.nih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5C42C-129E-4A1F-9A28-64EB5EF1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2815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Regulatory Limit:</vt:lpstr>
    </vt:vector>
  </TitlesOfParts>
  <Company>Commonwealth of Massachusetts</Company>
  <LinksUpToDate>false</LinksUpToDate>
  <CharactersWithSpaces>18827</CharactersWithSpaces>
  <SharedDoc>false</SharedDoc>
  <HLinks>
    <vt:vector size="18" baseType="variant">
      <vt:variant>
        <vt:i4>1114191</vt:i4>
      </vt:variant>
      <vt:variant>
        <vt:i4>6</vt:i4>
      </vt:variant>
      <vt:variant>
        <vt:i4>0</vt:i4>
      </vt:variant>
      <vt:variant>
        <vt:i4>5</vt:i4>
      </vt:variant>
      <vt:variant>
        <vt:lpwstr>http://www.epa.gov/iris/</vt:lpwstr>
      </vt:variant>
      <vt:variant>
        <vt:lpwstr/>
      </vt:variant>
      <vt:variant>
        <vt:i4>196683</vt:i4>
      </vt:variant>
      <vt:variant>
        <vt:i4>3</vt:i4>
      </vt:variant>
      <vt:variant>
        <vt:i4>0</vt:i4>
      </vt:variant>
      <vt:variant>
        <vt:i4>5</vt:i4>
      </vt:variant>
      <vt:variant>
        <vt:lpwstr>http://monographs.iarc.fr/ENG/Preamble/index.php</vt:lpwstr>
      </vt:variant>
      <vt:variant>
        <vt:lpwstr/>
      </vt:variant>
      <vt:variant>
        <vt:i4>2687080</vt:i4>
      </vt:variant>
      <vt:variant>
        <vt:i4>0</vt:i4>
      </vt:variant>
      <vt:variant>
        <vt:i4>0</vt:i4>
      </vt:variant>
      <vt:variant>
        <vt:i4>5</vt:i4>
      </vt:variant>
      <vt:variant>
        <vt:lpwstr>http://toxnet.nlm.nih.gov/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Regulatory Limit:</dc:title>
  <dc:subject/>
  <dc:creator>dmanganaro</dc:creator>
  <cp:keywords/>
  <cp:lastModifiedBy>Naik, Amita D (DEP)</cp:lastModifiedBy>
  <cp:revision>2</cp:revision>
  <cp:lastPrinted>2014-11-28T21:28:00Z</cp:lastPrinted>
  <dcterms:created xsi:type="dcterms:W3CDTF">2023-02-23T20:12:00Z</dcterms:created>
  <dcterms:modified xsi:type="dcterms:W3CDTF">2023-02-23T20:12:00Z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412655519</vt:i4>
  </property>
  <property fmtid="{D5CDD505-2E9C-101B-9397-08002B2CF9AE}" pid="3" name="_NewReviewCycle">
    <vt:lpwstr/>
  </property>
  <property fmtid="{D5CDD505-2E9C-101B-9397-08002B2CF9AE}" pid="4" name="_EmailSubject">
    <vt:lpwstr>AAL/TELs for posting to website</vt:lpwstr>
  </property>
  <property fmtid="{D5CDD505-2E9C-101B-9397-08002B2CF9AE}" pid="5" name="_AuthorEmail">
    <vt:lpwstr>Sandra.Baird@MassMail.State.MA.US</vt:lpwstr>
  </property>
  <property fmtid="{D5CDD505-2E9C-101B-9397-08002B2CF9AE}" pid="6" name="_AuthorEmailDisplayName">
    <vt:lpwstr>Baird, Sandra (DEP)</vt:lpwstr>
  </property>
  <property fmtid="{D5CDD505-2E9C-101B-9397-08002B2CF9AE}" pid="7" name="_ReviewingToolsShownOnce">
    <vt:lpwstr/>
  </property>
</Properties>
</file>