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90C7" w14:textId="77777777" w:rsidR="00BF7E92" w:rsidRDefault="00CD4D54" w:rsidP="00BF7E92">
      <w:pPr>
        <w:pStyle w:val="Title"/>
        <w:kinsoku w:val="0"/>
        <w:overflowPunct w:val="0"/>
        <w:jc w:val="center"/>
        <w:rPr>
          <w:spacing w:val="-8"/>
        </w:rPr>
      </w:pPr>
      <w:r>
        <w:t>Continuing</w:t>
      </w:r>
      <w:r>
        <w:rPr>
          <w:spacing w:val="-8"/>
        </w:rPr>
        <w:t xml:space="preserve"> </w:t>
      </w:r>
      <w:r>
        <w:t>Medical</w:t>
      </w:r>
      <w:r>
        <w:rPr>
          <w:spacing w:val="-7"/>
        </w:rPr>
        <w:t xml:space="preserve"> </w:t>
      </w:r>
      <w:r>
        <w:t>Education</w:t>
      </w:r>
      <w:r>
        <w:rPr>
          <w:spacing w:val="-8"/>
        </w:rPr>
        <w:t xml:space="preserve"> </w:t>
      </w:r>
      <w:r>
        <w:t>on</w:t>
      </w:r>
    </w:p>
    <w:p w14:paraId="3AC4EF52" w14:textId="77777777" w:rsidR="00CD4D54" w:rsidRDefault="00CD4D54" w:rsidP="00BF7E92">
      <w:pPr>
        <w:pStyle w:val="Title"/>
        <w:kinsoku w:val="0"/>
        <w:overflowPunct w:val="0"/>
        <w:jc w:val="center"/>
        <w:rPr>
          <w:spacing w:val="-2"/>
        </w:rPr>
      </w:pPr>
      <w:r>
        <w:t>Implicit</w:t>
      </w:r>
      <w:r>
        <w:rPr>
          <w:spacing w:val="-7"/>
        </w:rPr>
        <w:t xml:space="preserve"> </w:t>
      </w:r>
      <w:r>
        <w:t>Bias</w:t>
      </w:r>
      <w:r>
        <w:rPr>
          <w:spacing w:val="-8"/>
        </w:rPr>
        <w:t xml:space="preserve"> </w:t>
      </w:r>
      <w:r>
        <w:t xml:space="preserve">in </w:t>
      </w:r>
      <w:r>
        <w:rPr>
          <w:spacing w:val="-2"/>
        </w:rPr>
        <w:t>Healthcare</w:t>
      </w:r>
    </w:p>
    <w:p w14:paraId="301DEC24" w14:textId="77777777" w:rsidR="00CD4D54" w:rsidRDefault="00CD4D54">
      <w:pPr>
        <w:pStyle w:val="BodyText"/>
        <w:kinsoku w:val="0"/>
        <w:overflowPunct w:val="0"/>
        <w:spacing w:before="1"/>
        <w:rPr>
          <w:sz w:val="36"/>
          <w:szCs w:val="36"/>
        </w:rPr>
      </w:pPr>
    </w:p>
    <w:p w14:paraId="06F8E245" w14:textId="77777777" w:rsidR="00CD4D54" w:rsidRDefault="00CD4D54">
      <w:pPr>
        <w:pStyle w:val="BodyText"/>
        <w:kinsoku w:val="0"/>
        <w:overflowPunct w:val="0"/>
        <w:spacing w:before="1"/>
        <w:ind w:left="100"/>
        <w:rPr>
          <w:color w:val="131313"/>
        </w:rPr>
      </w:pPr>
      <w:r>
        <w:t>Pursuant to Policy 2021-04, b</w:t>
      </w:r>
      <w:r>
        <w:rPr>
          <w:color w:val="131313"/>
        </w:rPr>
        <w:t>eginning June 1, 2022, the Massachusetts Board of Registration in Medicine will require that applicants for initial physician licensure and licensees renewing physician licensure</w:t>
      </w:r>
      <w:r>
        <w:rPr>
          <w:color w:val="131313"/>
          <w:spacing w:val="-2"/>
        </w:rPr>
        <w:t xml:space="preserve"> </w:t>
      </w:r>
      <w:r>
        <w:rPr>
          <w:color w:val="131313"/>
        </w:rPr>
        <w:t>complete</w:t>
      </w:r>
      <w:r>
        <w:rPr>
          <w:color w:val="131313"/>
          <w:spacing w:val="-4"/>
        </w:rPr>
        <w:t xml:space="preserve"> </w:t>
      </w:r>
      <w:r>
        <w:rPr>
          <w:color w:val="131313"/>
        </w:rPr>
        <w:t>a</w:t>
      </w:r>
      <w:r>
        <w:rPr>
          <w:color w:val="131313"/>
          <w:spacing w:val="-3"/>
        </w:rPr>
        <w:t xml:space="preserve"> </w:t>
      </w:r>
      <w:r>
        <w:rPr>
          <w:color w:val="131313"/>
        </w:rPr>
        <w:t>continuing</w:t>
      </w:r>
      <w:r>
        <w:rPr>
          <w:color w:val="131313"/>
          <w:spacing w:val="-3"/>
        </w:rPr>
        <w:t xml:space="preserve"> </w:t>
      </w:r>
      <w:r>
        <w:rPr>
          <w:color w:val="131313"/>
        </w:rPr>
        <w:t>medical</w:t>
      </w:r>
      <w:r>
        <w:rPr>
          <w:color w:val="131313"/>
          <w:spacing w:val="-4"/>
        </w:rPr>
        <w:t xml:space="preserve"> </w:t>
      </w:r>
      <w:r>
        <w:rPr>
          <w:color w:val="131313"/>
        </w:rPr>
        <w:t>education</w:t>
      </w:r>
      <w:r>
        <w:rPr>
          <w:color w:val="131313"/>
          <w:spacing w:val="-4"/>
        </w:rPr>
        <w:t xml:space="preserve"> </w:t>
      </w:r>
      <w:r>
        <w:rPr>
          <w:color w:val="131313"/>
        </w:rPr>
        <w:t>requirement</w:t>
      </w:r>
      <w:r>
        <w:rPr>
          <w:color w:val="131313"/>
          <w:spacing w:val="-3"/>
        </w:rPr>
        <w:t xml:space="preserve"> </w:t>
      </w:r>
      <w:r>
        <w:rPr>
          <w:color w:val="131313"/>
        </w:rPr>
        <w:t>of</w:t>
      </w:r>
      <w:r>
        <w:rPr>
          <w:color w:val="131313"/>
          <w:spacing w:val="-4"/>
        </w:rPr>
        <w:t xml:space="preserve"> </w:t>
      </w:r>
      <w:r>
        <w:rPr>
          <w:color w:val="131313"/>
        </w:rPr>
        <w:t>2.00</w:t>
      </w:r>
      <w:r>
        <w:rPr>
          <w:color w:val="131313"/>
          <w:spacing w:val="-4"/>
        </w:rPr>
        <w:t xml:space="preserve"> </w:t>
      </w:r>
      <w:r>
        <w:rPr>
          <w:color w:val="131313"/>
        </w:rPr>
        <w:t>credits</w:t>
      </w:r>
      <w:r>
        <w:rPr>
          <w:color w:val="131313"/>
          <w:spacing w:val="-3"/>
        </w:rPr>
        <w:t xml:space="preserve"> </w:t>
      </w:r>
      <w:r>
        <w:rPr>
          <w:color w:val="131313"/>
        </w:rPr>
        <w:t>on</w:t>
      </w:r>
      <w:r>
        <w:rPr>
          <w:color w:val="131313"/>
          <w:spacing w:val="-4"/>
        </w:rPr>
        <w:t xml:space="preserve"> </w:t>
      </w:r>
      <w:r>
        <w:rPr>
          <w:color w:val="131313"/>
        </w:rPr>
        <w:t>the</w:t>
      </w:r>
      <w:r>
        <w:rPr>
          <w:color w:val="131313"/>
          <w:spacing w:val="-3"/>
        </w:rPr>
        <w:t xml:space="preserve"> </w:t>
      </w:r>
      <w:r>
        <w:rPr>
          <w:color w:val="131313"/>
        </w:rPr>
        <w:t>topic</w:t>
      </w:r>
      <w:r>
        <w:rPr>
          <w:color w:val="131313"/>
          <w:spacing w:val="-4"/>
        </w:rPr>
        <w:t xml:space="preserve"> </w:t>
      </w:r>
      <w:r>
        <w:rPr>
          <w:color w:val="131313"/>
        </w:rPr>
        <w:t>of</w:t>
      </w:r>
      <w:r>
        <w:rPr>
          <w:color w:val="131313"/>
          <w:spacing w:val="-4"/>
        </w:rPr>
        <w:t xml:space="preserve"> </w:t>
      </w:r>
      <w:r>
        <w:rPr>
          <w:color w:val="131313"/>
        </w:rPr>
        <w:t xml:space="preserve">implicit bias in healthcare. Please see below </w:t>
      </w:r>
      <w:r w:rsidR="003B6BAA">
        <w:rPr>
          <w:color w:val="131313"/>
        </w:rPr>
        <w:t xml:space="preserve">a </w:t>
      </w:r>
      <w:r>
        <w:rPr>
          <w:color w:val="131313"/>
        </w:rPr>
        <w:t>list of available courses, which will be updated when courses are made available.</w:t>
      </w:r>
    </w:p>
    <w:p w14:paraId="150D2598" w14:textId="77777777" w:rsidR="00CD4D54" w:rsidRDefault="00CD4D54">
      <w:pPr>
        <w:pStyle w:val="BodyText"/>
        <w:kinsoku w:val="0"/>
        <w:overflowPunct w:val="0"/>
        <w:spacing w:before="11"/>
        <w:rPr>
          <w:sz w:val="21"/>
          <w:szCs w:val="21"/>
        </w:rPr>
      </w:pPr>
    </w:p>
    <w:p w14:paraId="3467F85C" w14:textId="77777777" w:rsidR="00CD4D54" w:rsidRDefault="00CD4D54">
      <w:pPr>
        <w:pStyle w:val="BodyText"/>
        <w:kinsoku w:val="0"/>
        <w:overflowPunct w:val="0"/>
        <w:ind w:left="100"/>
        <w:rPr>
          <w:spacing w:val="-2"/>
          <w:u w:val="single"/>
        </w:rPr>
      </w:pPr>
      <w:r w:rsidRPr="00BF7E92">
        <w:rPr>
          <w:u w:val="single"/>
        </w:rPr>
        <w:t>Free</w:t>
      </w:r>
      <w:r w:rsidRPr="00BF7E92">
        <w:rPr>
          <w:spacing w:val="-8"/>
          <w:u w:val="single"/>
        </w:rPr>
        <w:t xml:space="preserve"> </w:t>
      </w:r>
      <w:r w:rsidRPr="00BF7E92">
        <w:rPr>
          <w:spacing w:val="-2"/>
          <w:u w:val="single"/>
        </w:rPr>
        <w:t>Courses</w:t>
      </w:r>
    </w:p>
    <w:p w14:paraId="13AFA77C" w14:textId="77777777" w:rsidR="00364D45" w:rsidRPr="00BF7E92" w:rsidRDefault="00364D45">
      <w:pPr>
        <w:pStyle w:val="BodyText"/>
        <w:kinsoku w:val="0"/>
        <w:overflowPunct w:val="0"/>
        <w:ind w:left="100"/>
        <w:rPr>
          <w:spacing w:val="-2"/>
          <w:u w:val="single"/>
        </w:rPr>
      </w:pPr>
    </w:p>
    <w:p w14:paraId="54B8ED27" w14:textId="77777777" w:rsidR="00364D45" w:rsidRDefault="00364D45" w:rsidP="00364D45">
      <w:pPr>
        <w:numPr>
          <w:ilvl w:val="0"/>
          <w:numId w:val="3"/>
        </w:numPr>
        <w:rPr>
          <w:b/>
          <w:bCs/>
        </w:rPr>
      </w:pPr>
      <w:r w:rsidRPr="005F5387">
        <w:rPr>
          <w:b/>
          <w:bCs/>
        </w:rPr>
        <w:t>What’s Important: A Patient-Centered Approach to Contraceptive Counseling</w:t>
      </w:r>
    </w:p>
    <w:p w14:paraId="556ED858" w14:textId="77777777" w:rsidR="00364D45" w:rsidRDefault="00364D45" w:rsidP="00364D45">
      <w:r w:rsidRPr="005F5387">
        <w:rPr>
          <w:u w:val="single"/>
        </w:rPr>
        <w:t>Sponsors</w:t>
      </w:r>
      <w:r w:rsidRPr="005F5387">
        <w:t xml:space="preserve">:  </w:t>
      </w:r>
      <w:r>
        <w:t xml:space="preserve">The PICCK Program at </w:t>
      </w:r>
      <w:r w:rsidRPr="005F5387">
        <w:t>B</w:t>
      </w:r>
      <w:r>
        <w:t>oston Medical Center and Boston University School of Medicine</w:t>
      </w:r>
    </w:p>
    <w:p w14:paraId="186E8662" w14:textId="77777777" w:rsidR="00364D45" w:rsidRPr="005F5387" w:rsidRDefault="00364D45" w:rsidP="00364D45">
      <w:r>
        <w:t>This is an online interactive course which is worth a total of 4.5 credits; if you take the entire course, you may attribute 2.0 credits towards Implicit Bias Training (this completes the IB requirement) and 2.5 credits towards the general CME requirement.  The course is free.  The link to the program is:</w:t>
      </w:r>
    </w:p>
    <w:p w14:paraId="63260BFB" w14:textId="77777777" w:rsidR="00364D45" w:rsidRPr="00B07897" w:rsidRDefault="00364D45" w:rsidP="00364D45">
      <w:pPr>
        <w:pStyle w:val="Heading1"/>
        <w:spacing w:before="150"/>
        <w:rPr>
          <w:b w:val="0"/>
          <w:bCs w:val="0"/>
        </w:rPr>
      </w:pPr>
      <w:hyperlink r:id="rId5" w:history="1">
        <w:r w:rsidRPr="00310E1E">
          <w:rPr>
            <w:rStyle w:val="Hyperlink"/>
            <w:rFonts w:cs="Calibri"/>
            <w:b w:val="0"/>
            <w:bCs w:val="0"/>
          </w:rPr>
          <w:t>https://cme.bu.edu/PICCK_A%20Patient-Centered%20Approach%20to%20Contraceptive%20Counseling_2023#group-tabs-node-course-default1</w:t>
        </w:r>
      </w:hyperlink>
      <w:r w:rsidRPr="00B07897">
        <w:rPr>
          <w:b w:val="0"/>
          <w:bCs w:val="0"/>
        </w:rPr>
        <w:t xml:space="preserve"> </w:t>
      </w:r>
    </w:p>
    <w:p w14:paraId="45A686BB" w14:textId="77777777" w:rsidR="00364D45" w:rsidRPr="00C92F44" w:rsidRDefault="00364D45" w:rsidP="00364D45"/>
    <w:p w14:paraId="208B9904" w14:textId="77777777" w:rsidR="00CD4D54" w:rsidRDefault="00CD4D54" w:rsidP="00BF7E92">
      <w:pPr>
        <w:pStyle w:val="Heading1"/>
        <w:numPr>
          <w:ilvl w:val="0"/>
          <w:numId w:val="1"/>
        </w:numPr>
        <w:kinsoku w:val="0"/>
        <w:overflowPunct w:val="0"/>
        <w:rPr>
          <w:spacing w:val="-2"/>
        </w:rPr>
      </w:pPr>
      <w:r>
        <w:t>Unconscious</w:t>
      </w:r>
      <w:r>
        <w:rPr>
          <w:spacing w:val="-6"/>
        </w:rPr>
        <w:t xml:space="preserve"> </w:t>
      </w:r>
      <w:r>
        <w:t>Bias</w:t>
      </w:r>
      <w:r>
        <w:rPr>
          <w:spacing w:val="-7"/>
        </w:rPr>
        <w:t xml:space="preserve"> </w:t>
      </w:r>
      <w:r>
        <w:t>in</w:t>
      </w:r>
      <w:r>
        <w:rPr>
          <w:spacing w:val="-5"/>
        </w:rPr>
        <w:t xml:space="preserve"> </w:t>
      </w:r>
      <w:r>
        <w:rPr>
          <w:spacing w:val="-2"/>
        </w:rPr>
        <w:t>Medicine</w:t>
      </w:r>
    </w:p>
    <w:p w14:paraId="2679E334" w14:textId="77777777" w:rsidR="00CD4D54" w:rsidRDefault="00CD4D54">
      <w:pPr>
        <w:pStyle w:val="BodyText"/>
        <w:tabs>
          <w:tab w:val="left" w:pos="4714"/>
          <w:tab w:val="left" w:pos="7426"/>
        </w:tabs>
        <w:kinsoku w:val="0"/>
        <w:overflowPunct w:val="0"/>
        <w:ind w:left="100" w:right="416"/>
        <w:rPr>
          <w:color w:val="0562C1"/>
          <w:spacing w:val="-2"/>
        </w:rPr>
      </w:pPr>
      <w:r>
        <w:t>Sponsor: Stanford University School of Medicine</w:t>
      </w:r>
      <w:r>
        <w:tab/>
        <w:t>Number of credits: 1 hour</w:t>
      </w:r>
      <w:r>
        <w:tab/>
        <w:t>Course</w:t>
      </w:r>
      <w:r>
        <w:rPr>
          <w:spacing w:val="-13"/>
        </w:rPr>
        <w:t xml:space="preserve"> </w:t>
      </w:r>
      <w:r>
        <w:t>Fee:</w:t>
      </w:r>
      <w:r>
        <w:rPr>
          <w:spacing w:val="-12"/>
        </w:rPr>
        <w:t xml:space="preserve"> </w:t>
      </w:r>
      <w:r>
        <w:t xml:space="preserve">Free </w:t>
      </w:r>
      <w:hyperlink r:id="rId6" w:history="1">
        <w:r>
          <w:rPr>
            <w:color w:val="0562C1"/>
            <w:spacing w:val="-2"/>
            <w:u w:val="single"/>
          </w:rPr>
          <w:t>https://stanford.cloud-cme.com/course/courseoverview?P=8&amp;EID=20775</w:t>
        </w:r>
      </w:hyperlink>
    </w:p>
    <w:p w14:paraId="2D0E16F0" w14:textId="77777777" w:rsidR="00CD4D54" w:rsidRDefault="00CD4D54">
      <w:pPr>
        <w:pStyle w:val="BodyText"/>
        <w:kinsoku w:val="0"/>
        <w:overflowPunct w:val="0"/>
        <w:spacing w:before="5"/>
        <w:rPr>
          <w:sz w:val="17"/>
          <w:szCs w:val="17"/>
        </w:rPr>
      </w:pPr>
    </w:p>
    <w:p w14:paraId="1092AEE3" w14:textId="77777777" w:rsidR="00CD4D54" w:rsidRDefault="00CD4D54" w:rsidP="00BF7E92">
      <w:pPr>
        <w:pStyle w:val="Heading1"/>
        <w:numPr>
          <w:ilvl w:val="0"/>
          <w:numId w:val="1"/>
        </w:numPr>
        <w:kinsoku w:val="0"/>
        <w:overflowPunct w:val="0"/>
        <w:spacing w:before="55"/>
        <w:rPr>
          <w:spacing w:val="-2"/>
        </w:rPr>
      </w:pPr>
      <w:r>
        <w:t>Diversity</w:t>
      </w:r>
      <w:r>
        <w:rPr>
          <w:spacing w:val="-8"/>
        </w:rPr>
        <w:t xml:space="preserve"> </w:t>
      </w:r>
      <w:r>
        <w:t>in</w:t>
      </w:r>
      <w:r>
        <w:rPr>
          <w:spacing w:val="-6"/>
        </w:rPr>
        <w:t xml:space="preserve"> </w:t>
      </w:r>
      <w:r>
        <w:t>Medical</w:t>
      </w:r>
      <w:r>
        <w:rPr>
          <w:spacing w:val="-7"/>
        </w:rPr>
        <w:t xml:space="preserve"> </w:t>
      </w:r>
      <w:r>
        <w:t>Matters:</w:t>
      </w:r>
      <w:r>
        <w:rPr>
          <w:spacing w:val="-8"/>
        </w:rPr>
        <w:t xml:space="preserve"> </w:t>
      </w:r>
      <w:r>
        <w:t>The</w:t>
      </w:r>
      <w:r>
        <w:rPr>
          <w:spacing w:val="-8"/>
        </w:rPr>
        <w:t xml:space="preserve"> </w:t>
      </w:r>
      <w:r>
        <w:t>Benefits</w:t>
      </w:r>
      <w:r>
        <w:rPr>
          <w:spacing w:val="-8"/>
        </w:rPr>
        <w:t xml:space="preserve"> </w:t>
      </w:r>
      <w:r>
        <w:t>of</w:t>
      </w:r>
      <w:r>
        <w:rPr>
          <w:spacing w:val="-6"/>
        </w:rPr>
        <w:t xml:space="preserve"> </w:t>
      </w:r>
      <w:r>
        <w:t>a</w:t>
      </w:r>
      <w:r>
        <w:rPr>
          <w:spacing w:val="-7"/>
        </w:rPr>
        <w:t xml:space="preserve"> </w:t>
      </w:r>
      <w:r>
        <w:t>Diverse</w:t>
      </w:r>
      <w:r>
        <w:rPr>
          <w:spacing w:val="-8"/>
        </w:rPr>
        <w:t xml:space="preserve"> </w:t>
      </w:r>
      <w:r>
        <w:rPr>
          <w:spacing w:val="-2"/>
        </w:rPr>
        <w:t>Workforce</w:t>
      </w:r>
    </w:p>
    <w:p w14:paraId="664BE8B2" w14:textId="77777777" w:rsidR="00CD4D54" w:rsidRDefault="00CD4D54">
      <w:pPr>
        <w:pStyle w:val="BodyText"/>
        <w:tabs>
          <w:tab w:val="left" w:pos="2058"/>
          <w:tab w:val="left" w:pos="6062"/>
        </w:tabs>
        <w:kinsoku w:val="0"/>
        <w:overflowPunct w:val="0"/>
        <w:spacing w:before="1"/>
        <w:ind w:left="100" w:right="618"/>
        <w:rPr>
          <w:color w:val="0562C1"/>
          <w:spacing w:val="-2"/>
        </w:rPr>
      </w:pPr>
      <w:r>
        <w:t>Sponsor:</w:t>
      </w:r>
      <w:r>
        <w:rPr>
          <w:spacing w:val="80"/>
        </w:rPr>
        <w:t xml:space="preserve"> </w:t>
      </w:r>
      <w:r>
        <w:t>MMS</w:t>
      </w:r>
      <w:r>
        <w:tab/>
        <w:t>Number of credits:</w:t>
      </w:r>
      <w:r>
        <w:rPr>
          <w:spacing w:val="80"/>
        </w:rPr>
        <w:t xml:space="preserve"> </w:t>
      </w:r>
      <w:r>
        <w:t>1 credit</w:t>
      </w:r>
      <w:r>
        <w:tab/>
        <w:t>Course Fee:</w:t>
      </w:r>
      <w:r>
        <w:rPr>
          <w:spacing w:val="80"/>
        </w:rPr>
        <w:t xml:space="preserve"> </w:t>
      </w:r>
      <w:r>
        <w:t xml:space="preserve">Free </w:t>
      </w:r>
      <w:hyperlink r:id="rId7" w:history="1">
        <w:r>
          <w:rPr>
            <w:color w:val="0562C1"/>
            <w:spacing w:val="-2"/>
            <w:u w:val="single"/>
          </w:rPr>
          <w:t>https://www.massmed.org/Continuing-Education-and-Events/Online-CME/Courses/Diversity-in-</w:t>
        </w:r>
      </w:hyperlink>
      <w:r>
        <w:rPr>
          <w:color w:val="0562C1"/>
          <w:spacing w:val="-2"/>
        </w:rPr>
        <w:t xml:space="preserve"> </w:t>
      </w:r>
      <w:hyperlink r:id="rId8" w:history="1">
        <w:r>
          <w:rPr>
            <w:color w:val="0562C1"/>
            <w:spacing w:val="-2"/>
            <w:u w:val="single"/>
          </w:rPr>
          <w:t>Medicine-Matters/Diversity-in-Medicine-Matters--The-Benefits-of-a-Diverse-Workforce/</w:t>
        </w:r>
      </w:hyperlink>
    </w:p>
    <w:p w14:paraId="092AD147" w14:textId="77777777" w:rsidR="00CD4D54" w:rsidRDefault="00CD4D54">
      <w:pPr>
        <w:pStyle w:val="BodyText"/>
        <w:kinsoku w:val="0"/>
        <w:overflowPunct w:val="0"/>
        <w:spacing w:before="5"/>
        <w:rPr>
          <w:sz w:val="17"/>
          <w:szCs w:val="17"/>
        </w:rPr>
      </w:pPr>
    </w:p>
    <w:p w14:paraId="4AAB57C0" w14:textId="77777777" w:rsidR="00CD4D54" w:rsidRDefault="00CD4D54" w:rsidP="00BF7E92">
      <w:pPr>
        <w:pStyle w:val="Heading1"/>
        <w:numPr>
          <w:ilvl w:val="0"/>
          <w:numId w:val="1"/>
        </w:numPr>
        <w:kinsoku w:val="0"/>
        <w:overflowPunct w:val="0"/>
        <w:spacing w:before="56"/>
        <w:rPr>
          <w:spacing w:val="-2"/>
        </w:rPr>
      </w:pPr>
      <w:r>
        <w:t>Reflecting</w:t>
      </w:r>
      <w:r>
        <w:rPr>
          <w:spacing w:val="-8"/>
        </w:rPr>
        <w:t xml:space="preserve"> </w:t>
      </w:r>
      <w:r>
        <w:t>on</w:t>
      </w:r>
      <w:r>
        <w:rPr>
          <w:spacing w:val="-8"/>
        </w:rPr>
        <w:t xml:space="preserve"> </w:t>
      </w:r>
      <w:r>
        <w:t>Health</w:t>
      </w:r>
      <w:r>
        <w:rPr>
          <w:spacing w:val="-8"/>
        </w:rPr>
        <w:t xml:space="preserve"> </w:t>
      </w:r>
      <w:r>
        <w:t>Disparities</w:t>
      </w:r>
      <w:r>
        <w:rPr>
          <w:spacing w:val="-8"/>
        </w:rPr>
        <w:t xml:space="preserve"> </w:t>
      </w:r>
      <w:r>
        <w:t>and</w:t>
      </w:r>
      <w:r>
        <w:rPr>
          <w:spacing w:val="-8"/>
        </w:rPr>
        <w:t xml:space="preserve"> </w:t>
      </w:r>
      <w:r>
        <w:t>Moving</w:t>
      </w:r>
      <w:r>
        <w:rPr>
          <w:spacing w:val="-9"/>
        </w:rPr>
        <w:t xml:space="preserve"> </w:t>
      </w:r>
      <w:r>
        <w:t>Towards</w:t>
      </w:r>
      <w:r>
        <w:rPr>
          <w:spacing w:val="-7"/>
        </w:rPr>
        <w:t xml:space="preserve"> </w:t>
      </w:r>
      <w:r>
        <w:t>Anti-Racism</w:t>
      </w:r>
      <w:r>
        <w:rPr>
          <w:spacing w:val="-7"/>
        </w:rPr>
        <w:t xml:space="preserve"> </w:t>
      </w:r>
      <w:r>
        <w:t>in</w:t>
      </w:r>
      <w:r>
        <w:rPr>
          <w:spacing w:val="-9"/>
        </w:rPr>
        <w:t xml:space="preserve"> </w:t>
      </w:r>
      <w:r>
        <w:rPr>
          <w:spacing w:val="-2"/>
        </w:rPr>
        <w:t>Medicine</w:t>
      </w:r>
    </w:p>
    <w:p w14:paraId="2A523B1D" w14:textId="77777777" w:rsidR="00CD4D54" w:rsidRDefault="00CD4D54">
      <w:pPr>
        <w:pStyle w:val="BodyText"/>
        <w:tabs>
          <w:tab w:val="left" w:pos="1133"/>
          <w:tab w:val="left" w:pos="2705"/>
          <w:tab w:val="left" w:pos="6091"/>
        </w:tabs>
        <w:kinsoku w:val="0"/>
        <w:overflowPunct w:val="0"/>
        <w:ind w:left="100" w:right="441"/>
        <w:rPr>
          <w:color w:val="0562C1"/>
          <w:spacing w:val="-2"/>
        </w:rPr>
      </w:pPr>
      <w:r>
        <w:rPr>
          <w:spacing w:val="-2"/>
        </w:rPr>
        <w:t>Sponsor:</w:t>
      </w:r>
      <w:r>
        <w:tab/>
      </w:r>
      <w:r>
        <w:rPr>
          <w:spacing w:val="-4"/>
        </w:rPr>
        <w:t>MMS</w:t>
      </w:r>
      <w:r>
        <w:tab/>
        <w:t>Number of credits:</w:t>
      </w:r>
      <w:r>
        <w:rPr>
          <w:spacing w:val="80"/>
        </w:rPr>
        <w:t xml:space="preserve"> </w:t>
      </w:r>
      <w:r>
        <w:t>1</w:t>
      </w:r>
      <w:r>
        <w:tab/>
        <w:t>Course fee:</w:t>
      </w:r>
      <w:r>
        <w:rPr>
          <w:spacing w:val="80"/>
        </w:rPr>
        <w:t xml:space="preserve"> </w:t>
      </w:r>
      <w:r>
        <w:t xml:space="preserve">Free </w:t>
      </w:r>
      <w:hyperlink r:id="rId9" w:history="1">
        <w:r>
          <w:rPr>
            <w:color w:val="0562C1"/>
            <w:spacing w:val="-2"/>
            <w:u w:val="single"/>
          </w:rPr>
          <w:t>https://www.massmed.org/Continuing-Education-and-Events/Online-CME/Courses/Reflecting-on-</w:t>
        </w:r>
      </w:hyperlink>
      <w:r>
        <w:rPr>
          <w:color w:val="0562C1"/>
          <w:spacing w:val="-2"/>
        </w:rPr>
        <w:t xml:space="preserve"> </w:t>
      </w:r>
      <w:hyperlink r:id="rId10" w:history="1">
        <w:r>
          <w:rPr>
            <w:color w:val="0562C1"/>
            <w:spacing w:val="-2"/>
            <w:u w:val="single"/>
          </w:rPr>
          <w:t>Health-Disparities/Reflecting-on-Health-Disparities-and-Moving-Towards-Antiracism-in-Medicine/</w:t>
        </w:r>
      </w:hyperlink>
    </w:p>
    <w:p w14:paraId="2FB2A3A0" w14:textId="77777777" w:rsidR="00CD4D54" w:rsidRDefault="00CD4D54">
      <w:pPr>
        <w:pStyle w:val="BodyText"/>
        <w:kinsoku w:val="0"/>
        <w:overflowPunct w:val="0"/>
        <w:rPr>
          <w:sz w:val="20"/>
          <w:szCs w:val="20"/>
        </w:rPr>
      </w:pPr>
    </w:p>
    <w:p w14:paraId="733BEDAA" w14:textId="77777777" w:rsidR="00CD4D54" w:rsidRDefault="00CD4D54">
      <w:pPr>
        <w:pStyle w:val="BodyText"/>
        <w:kinsoku w:val="0"/>
        <w:overflowPunct w:val="0"/>
        <w:spacing w:before="6"/>
        <w:rPr>
          <w:sz w:val="19"/>
          <w:szCs w:val="19"/>
        </w:rPr>
      </w:pPr>
    </w:p>
    <w:p w14:paraId="5D1989F8" w14:textId="77777777" w:rsidR="00CD4D54" w:rsidRPr="00BF7E92" w:rsidRDefault="00CD4D54">
      <w:pPr>
        <w:pStyle w:val="BodyText"/>
        <w:kinsoku w:val="0"/>
        <w:overflowPunct w:val="0"/>
        <w:spacing w:before="55"/>
        <w:ind w:left="100"/>
        <w:rPr>
          <w:spacing w:val="-4"/>
          <w:u w:val="single"/>
        </w:rPr>
      </w:pPr>
      <w:r w:rsidRPr="00BF7E92">
        <w:rPr>
          <w:u w:val="single"/>
        </w:rPr>
        <w:t>Courses</w:t>
      </w:r>
      <w:r w:rsidRPr="00BF7E92">
        <w:rPr>
          <w:spacing w:val="-9"/>
          <w:u w:val="single"/>
        </w:rPr>
        <w:t xml:space="preserve"> </w:t>
      </w:r>
      <w:r w:rsidRPr="00BF7E92">
        <w:rPr>
          <w:u w:val="single"/>
        </w:rPr>
        <w:t>with</w:t>
      </w:r>
      <w:r w:rsidRPr="00BF7E92">
        <w:rPr>
          <w:spacing w:val="-8"/>
          <w:u w:val="single"/>
        </w:rPr>
        <w:t xml:space="preserve"> </w:t>
      </w:r>
      <w:r w:rsidRPr="00BF7E92">
        <w:rPr>
          <w:spacing w:val="-4"/>
          <w:u w:val="single"/>
        </w:rPr>
        <w:t>Fees</w:t>
      </w:r>
    </w:p>
    <w:p w14:paraId="37CEC8A2" w14:textId="77777777" w:rsidR="00CD4D54" w:rsidRDefault="00CD4D54">
      <w:pPr>
        <w:pStyle w:val="BodyText"/>
        <w:kinsoku w:val="0"/>
        <w:overflowPunct w:val="0"/>
      </w:pPr>
    </w:p>
    <w:p w14:paraId="12F3CB04" w14:textId="77777777" w:rsidR="00CD4D54" w:rsidRDefault="00CD4D54" w:rsidP="00BF7E92">
      <w:pPr>
        <w:pStyle w:val="Heading1"/>
        <w:numPr>
          <w:ilvl w:val="0"/>
          <w:numId w:val="1"/>
        </w:numPr>
        <w:kinsoku w:val="0"/>
        <w:overflowPunct w:val="0"/>
        <w:rPr>
          <w:spacing w:val="-2"/>
        </w:rPr>
      </w:pPr>
      <w:r>
        <w:t>Awareness</w:t>
      </w:r>
      <w:r>
        <w:rPr>
          <w:spacing w:val="-9"/>
        </w:rPr>
        <w:t xml:space="preserve"> </w:t>
      </w:r>
      <w:r>
        <w:t>To</w:t>
      </w:r>
      <w:r>
        <w:rPr>
          <w:spacing w:val="-8"/>
        </w:rPr>
        <w:t xml:space="preserve"> </w:t>
      </w:r>
      <w:r>
        <w:t>Action:</w:t>
      </w:r>
      <w:r>
        <w:rPr>
          <w:spacing w:val="-7"/>
        </w:rPr>
        <w:t xml:space="preserve"> </w:t>
      </w:r>
      <w:r>
        <w:t>Dismantling</w:t>
      </w:r>
      <w:r>
        <w:rPr>
          <w:spacing w:val="-8"/>
        </w:rPr>
        <w:t xml:space="preserve"> </w:t>
      </w:r>
      <w:r>
        <w:t>Bias</w:t>
      </w:r>
      <w:r>
        <w:rPr>
          <w:spacing w:val="-8"/>
        </w:rPr>
        <w:t xml:space="preserve"> </w:t>
      </w:r>
      <w:r>
        <w:t>in</w:t>
      </w:r>
      <w:r>
        <w:rPr>
          <w:spacing w:val="-8"/>
        </w:rPr>
        <w:t xml:space="preserve"> </w:t>
      </w:r>
      <w:r>
        <w:t>Maternal</w:t>
      </w:r>
      <w:r>
        <w:rPr>
          <w:spacing w:val="-8"/>
        </w:rPr>
        <w:t xml:space="preserve"> </w:t>
      </w:r>
      <w:r>
        <w:t>and</w:t>
      </w:r>
      <w:r>
        <w:rPr>
          <w:spacing w:val="-8"/>
        </w:rPr>
        <w:t xml:space="preserve"> </w:t>
      </w:r>
      <w:r>
        <w:t>Infant</w:t>
      </w:r>
      <w:r>
        <w:rPr>
          <w:spacing w:val="-7"/>
        </w:rPr>
        <w:t xml:space="preserve"> </w:t>
      </w:r>
      <w:r>
        <w:rPr>
          <w:spacing w:val="-2"/>
        </w:rPr>
        <w:t>Healthcare™.</w:t>
      </w:r>
    </w:p>
    <w:p w14:paraId="2DC01BF7" w14:textId="77777777" w:rsidR="00CD4D54" w:rsidRDefault="00CD4D54">
      <w:pPr>
        <w:pStyle w:val="BodyText"/>
        <w:tabs>
          <w:tab w:val="left" w:pos="5548"/>
        </w:tabs>
        <w:kinsoku w:val="0"/>
        <w:overflowPunct w:val="0"/>
        <w:spacing w:line="268" w:lineRule="exact"/>
        <w:ind w:left="100"/>
        <w:rPr>
          <w:spacing w:val="-2"/>
        </w:rPr>
      </w:pPr>
      <w:r>
        <w:t>Sponsor:</w:t>
      </w:r>
      <w:r>
        <w:rPr>
          <w:spacing w:val="39"/>
        </w:rPr>
        <w:t xml:space="preserve"> </w:t>
      </w:r>
      <w:r>
        <w:t>March</w:t>
      </w:r>
      <w:r>
        <w:rPr>
          <w:spacing w:val="-7"/>
        </w:rPr>
        <w:t xml:space="preserve"> </w:t>
      </w:r>
      <w:r>
        <w:t>of</w:t>
      </w:r>
      <w:r>
        <w:rPr>
          <w:spacing w:val="-6"/>
        </w:rPr>
        <w:t xml:space="preserve"> </w:t>
      </w:r>
      <w:r>
        <w:t>Dimes</w:t>
      </w:r>
      <w:r>
        <w:rPr>
          <w:spacing w:val="-5"/>
        </w:rPr>
        <w:t xml:space="preserve"> </w:t>
      </w:r>
      <w:r>
        <w:t>Number</w:t>
      </w:r>
      <w:r>
        <w:rPr>
          <w:spacing w:val="-6"/>
        </w:rPr>
        <w:t xml:space="preserve"> </w:t>
      </w:r>
      <w:r>
        <w:t>of</w:t>
      </w:r>
      <w:r>
        <w:rPr>
          <w:spacing w:val="-6"/>
        </w:rPr>
        <w:t xml:space="preserve"> </w:t>
      </w:r>
      <w:r>
        <w:t>Credits:</w:t>
      </w:r>
      <w:r>
        <w:rPr>
          <w:spacing w:val="39"/>
        </w:rPr>
        <w:t xml:space="preserve"> </w:t>
      </w:r>
      <w:r>
        <w:t>2.00</w:t>
      </w:r>
      <w:r>
        <w:rPr>
          <w:spacing w:val="-6"/>
        </w:rPr>
        <w:t xml:space="preserve"> </w:t>
      </w:r>
      <w:r>
        <w:rPr>
          <w:spacing w:val="-2"/>
        </w:rPr>
        <w:t>credits</w:t>
      </w:r>
      <w:r>
        <w:tab/>
        <w:t>Course</w:t>
      </w:r>
      <w:r>
        <w:rPr>
          <w:spacing w:val="-12"/>
        </w:rPr>
        <w:t xml:space="preserve"> </w:t>
      </w:r>
      <w:r>
        <w:t>Fee:</w:t>
      </w:r>
      <w:r>
        <w:rPr>
          <w:spacing w:val="-11"/>
        </w:rPr>
        <w:t xml:space="preserve"> </w:t>
      </w:r>
      <w:r>
        <w:t>$50,</w:t>
      </w:r>
      <w:r>
        <w:rPr>
          <w:spacing w:val="-12"/>
        </w:rPr>
        <w:t xml:space="preserve"> </w:t>
      </w:r>
      <w:r>
        <w:t>self-paced</w:t>
      </w:r>
      <w:r>
        <w:rPr>
          <w:spacing w:val="-12"/>
        </w:rPr>
        <w:t xml:space="preserve"> </w:t>
      </w:r>
      <w:r>
        <w:t>e-</w:t>
      </w:r>
      <w:r>
        <w:rPr>
          <w:spacing w:val="-2"/>
        </w:rPr>
        <w:t>learning</w:t>
      </w:r>
    </w:p>
    <w:p w14:paraId="3DFD9F75" w14:textId="77777777" w:rsidR="00BF7E92" w:rsidRDefault="00BF7E92">
      <w:pPr>
        <w:pStyle w:val="BodyText"/>
        <w:tabs>
          <w:tab w:val="left" w:pos="5548"/>
        </w:tabs>
        <w:kinsoku w:val="0"/>
        <w:overflowPunct w:val="0"/>
        <w:spacing w:line="268" w:lineRule="exact"/>
        <w:ind w:left="100"/>
        <w:rPr>
          <w:spacing w:val="-2"/>
        </w:rPr>
      </w:pPr>
      <w:r>
        <w:rPr>
          <w:spacing w:val="-2"/>
        </w:rPr>
        <w:t xml:space="preserve">To purchase, please contact </w:t>
      </w:r>
      <w:hyperlink r:id="rId11" w:history="1">
        <w:r w:rsidRPr="008A2F5F">
          <w:rPr>
            <w:rStyle w:val="Hyperlink"/>
            <w:rFonts w:cs="Calibri"/>
            <w:spacing w:val="-2"/>
          </w:rPr>
          <w:t>profed@marchofdimes.org</w:t>
        </w:r>
      </w:hyperlink>
    </w:p>
    <w:p w14:paraId="45DB2558" w14:textId="77777777" w:rsidR="00CD4D54" w:rsidRDefault="00CD4D54">
      <w:pPr>
        <w:pStyle w:val="BodyText"/>
        <w:kinsoku w:val="0"/>
        <w:overflowPunct w:val="0"/>
        <w:spacing w:line="268" w:lineRule="exact"/>
        <w:ind w:left="100"/>
        <w:rPr>
          <w:b/>
          <w:bCs/>
          <w:color w:val="0562C1"/>
          <w:spacing w:val="-2"/>
        </w:rPr>
      </w:pPr>
      <w:hyperlink r:id="rId12" w:history="1">
        <w:r>
          <w:rPr>
            <w:b/>
            <w:bCs/>
            <w:color w:val="0562C1"/>
            <w:spacing w:val="-2"/>
            <w:u w:val="single"/>
          </w:rPr>
          <w:t>https://www.marchofdimes.org/professionals/professional-education.aspx</w:t>
        </w:r>
      </w:hyperlink>
    </w:p>
    <w:p w14:paraId="033472A5" w14:textId="77777777" w:rsidR="00CD4D54" w:rsidRDefault="00CD4D54">
      <w:pPr>
        <w:pStyle w:val="BodyText"/>
        <w:kinsoku w:val="0"/>
        <w:overflowPunct w:val="0"/>
        <w:spacing w:before="6"/>
        <w:rPr>
          <w:b/>
          <w:bCs/>
          <w:sz w:val="19"/>
          <w:szCs w:val="19"/>
        </w:rPr>
      </w:pPr>
    </w:p>
    <w:p w14:paraId="0E1ED6F9" w14:textId="77777777" w:rsidR="00CD4D54" w:rsidRDefault="00CD4D54" w:rsidP="00BF7E92">
      <w:pPr>
        <w:pStyle w:val="Heading1"/>
        <w:numPr>
          <w:ilvl w:val="0"/>
          <w:numId w:val="1"/>
        </w:numPr>
        <w:kinsoku w:val="0"/>
        <w:overflowPunct w:val="0"/>
        <w:spacing w:before="56" w:line="268" w:lineRule="exact"/>
        <w:rPr>
          <w:spacing w:val="-4"/>
        </w:rPr>
      </w:pPr>
      <w:r>
        <w:t>From</w:t>
      </w:r>
      <w:r>
        <w:rPr>
          <w:spacing w:val="-7"/>
        </w:rPr>
        <w:t xml:space="preserve"> </w:t>
      </w:r>
      <w:r>
        <w:t>Bias</w:t>
      </w:r>
      <w:r>
        <w:rPr>
          <w:spacing w:val="-5"/>
        </w:rPr>
        <w:t xml:space="preserve"> </w:t>
      </w:r>
      <w:r>
        <w:t>to</w:t>
      </w:r>
      <w:r>
        <w:rPr>
          <w:spacing w:val="-5"/>
        </w:rPr>
        <w:t xml:space="preserve"> </w:t>
      </w:r>
      <w:r>
        <w:t>Belonging:</w:t>
      </w:r>
      <w:r>
        <w:rPr>
          <w:spacing w:val="-5"/>
        </w:rPr>
        <w:t xml:space="preserve"> </w:t>
      </w:r>
      <w:r>
        <w:t>Implicit</w:t>
      </w:r>
      <w:r>
        <w:rPr>
          <w:spacing w:val="-6"/>
        </w:rPr>
        <w:t xml:space="preserve"> </w:t>
      </w:r>
      <w:r>
        <w:t>Bias</w:t>
      </w:r>
      <w:r>
        <w:rPr>
          <w:spacing w:val="-7"/>
        </w:rPr>
        <w:t xml:space="preserve"> </w:t>
      </w:r>
      <w:r>
        <w:t>in</w:t>
      </w:r>
      <w:r>
        <w:rPr>
          <w:spacing w:val="-6"/>
        </w:rPr>
        <w:t xml:space="preserve"> </w:t>
      </w:r>
      <w:r>
        <w:t>Health</w:t>
      </w:r>
      <w:r>
        <w:rPr>
          <w:spacing w:val="-5"/>
        </w:rPr>
        <w:t xml:space="preserve"> </w:t>
      </w:r>
      <w:r>
        <w:rPr>
          <w:spacing w:val="-4"/>
        </w:rPr>
        <w:t>Care</w:t>
      </w:r>
    </w:p>
    <w:p w14:paraId="5029B652" w14:textId="77777777" w:rsidR="00BF7E92" w:rsidRDefault="00CD4D54">
      <w:pPr>
        <w:pStyle w:val="BodyText"/>
        <w:tabs>
          <w:tab w:val="left" w:pos="2920"/>
          <w:tab w:val="left" w:pos="6014"/>
        </w:tabs>
        <w:kinsoku w:val="0"/>
        <w:overflowPunct w:val="0"/>
        <w:ind w:left="100" w:right="1778"/>
        <w:rPr>
          <w:color w:val="0562C1"/>
          <w:spacing w:val="-2"/>
        </w:rPr>
      </w:pPr>
      <w:r>
        <w:t>Sponsor: Korsi Consulting</w:t>
      </w:r>
      <w:r>
        <w:tab/>
        <w:t>Number of credits: 2 credits</w:t>
      </w:r>
      <w:r>
        <w:tab/>
        <w:t>Course</w:t>
      </w:r>
      <w:r>
        <w:rPr>
          <w:spacing w:val="-13"/>
        </w:rPr>
        <w:t xml:space="preserve"> </w:t>
      </w:r>
      <w:r>
        <w:t>Fee:</w:t>
      </w:r>
      <w:r>
        <w:rPr>
          <w:spacing w:val="-12"/>
        </w:rPr>
        <w:t xml:space="preserve"> </w:t>
      </w:r>
      <w:r>
        <w:t xml:space="preserve">$200 </w:t>
      </w:r>
    </w:p>
    <w:p w14:paraId="6B444A8B" w14:textId="77777777" w:rsidR="00BF7E92" w:rsidRDefault="00EF6C51">
      <w:pPr>
        <w:pStyle w:val="BodyText"/>
        <w:tabs>
          <w:tab w:val="left" w:pos="2920"/>
          <w:tab w:val="left" w:pos="6014"/>
        </w:tabs>
        <w:kinsoku w:val="0"/>
        <w:overflowPunct w:val="0"/>
        <w:ind w:left="100" w:right="1778"/>
        <w:rPr>
          <w:color w:val="000000"/>
          <w:sz w:val="24"/>
          <w:szCs w:val="24"/>
        </w:rPr>
      </w:pPr>
      <w:hyperlink r:id="rId13" w:history="1">
        <w:r>
          <w:rPr>
            <w:rStyle w:val="Hyperlink"/>
            <w:sz w:val="24"/>
            <w:szCs w:val="24"/>
          </w:rPr>
          <w:t>https://www.korsiconsulting.com/services/cme-courses</w:t>
        </w:r>
      </w:hyperlink>
    </w:p>
    <w:p w14:paraId="35EC9FC5" w14:textId="77777777" w:rsidR="00EF6C51" w:rsidRDefault="00EF6C51">
      <w:pPr>
        <w:pStyle w:val="BodyText"/>
        <w:tabs>
          <w:tab w:val="left" w:pos="2920"/>
          <w:tab w:val="left" w:pos="6014"/>
        </w:tabs>
        <w:kinsoku w:val="0"/>
        <w:overflowPunct w:val="0"/>
        <w:ind w:left="100" w:right="1778"/>
        <w:rPr>
          <w:color w:val="0562C1"/>
          <w:spacing w:val="-2"/>
        </w:rPr>
      </w:pPr>
    </w:p>
    <w:p w14:paraId="51BA2A59" w14:textId="77777777" w:rsidR="00BF7E92" w:rsidRDefault="00BF7E92" w:rsidP="007938E7">
      <w:pPr>
        <w:pStyle w:val="Heading1"/>
        <w:numPr>
          <w:ilvl w:val="0"/>
          <w:numId w:val="1"/>
        </w:numPr>
      </w:pPr>
      <w:r>
        <w:t>Recognizing and Responding to Implicit Bias</w:t>
      </w:r>
    </w:p>
    <w:p w14:paraId="6DF773BE" w14:textId="77777777" w:rsidR="00BF7E92" w:rsidRDefault="00BF7E92" w:rsidP="00BF7E92">
      <w:r>
        <w:t xml:space="preserve">Sponsor:  Quality Interactions    Number of credits: </w:t>
      </w:r>
      <w:r w:rsidR="007938E7">
        <w:t>1</w:t>
      </w:r>
      <w:r>
        <w:t xml:space="preserve"> credit</w:t>
      </w:r>
      <w:r w:rsidR="007938E7">
        <w:t xml:space="preserve">        Course Fee:  $65</w:t>
      </w:r>
    </w:p>
    <w:p w14:paraId="492030F1" w14:textId="77777777" w:rsidR="007938E7" w:rsidRDefault="007938E7" w:rsidP="00BF7E92">
      <w:hyperlink r:id="rId14" w:history="1">
        <w:r w:rsidRPr="008A2F5F">
          <w:rPr>
            <w:rStyle w:val="Hyperlink"/>
            <w:rFonts w:cs="Calibri"/>
          </w:rPr>
          <w:t>https://www.qualityinteractions.com</w:t>
        </w:r>
      </w:hyperlink>
    </w:p>
    <w:p w14:paraId="73025D32" w14:textId="77777777" w:rsidR="007938E7" w:rsidRDefault="007938E7" w:rsidP="00BF7E92"/>
    <w:p w14:paraId="3CBE4A97" w14:textId="77777777" w:rsidR="007938E7" w:rsidRPr="007938E7" w:rsidRDefault="007938E7" w:rsidP="007938E7">
      <w:pPr>
        <w:numPr>
          <w:ilvl w:val="0"/>
          <w:numId w:val="1"/>
        </w:numPr>
        <w:rPr>
          <w:b/>
          <w:bCs/>
        </w:rPr>
      </w:pPr>
      <w:r w:rsidRPr="007938E7">
        <w:rPr>
          <w:b/>
          <w:bCs/>
        </w:rPr>
        <w:t>Facing Change: Racial Equity in the Healthcare Workplace</w:t>
      </w:r>
    </w:p>
    <w:p w14:paraId="6B404D68" w14:textId="77777777" w:rsidR="007938E7" w:rsidRDefault="007938E7" w:rsidP="00BF7E92">
      <w:r>
        <w:t>Sponsor: Will Interactive</w:t>
      </w:r>
      <w:r>
        <w:tab/>
        <w:t>Number of Credits: 2 credits</w:t>
      </w:r>
      <w:r>
        <w:tab/>
        <w:t>Course Fee: $38</w:t>
      </w:r>
    </w:p>
    <w:p w14:paraId="1CE684B9" w14:textId="77777777" w:rsidR="007938E7" w:rsidRDefault="007938E7" w:rsidP="00BF7E92">
      <w:hyperlink r:id="rId15" w:history="1">
        <w:r w:rsidRPr="008A2F5F">
          <w:rPr>
            <w:rStyle w:val="Hyperlink"/>
            <w:rFonts w:cs="Calibri"/>
          </w:rPr>
          <w:t>https://www.willinteractive.com</w:t>
        </w:r>
      </w:hyperlink>
    </w:p>
    <w:p w14:paraId="527E5D16" w14:textId="77777777" w:rsidR="00A958D2" w:rsidRDefault="00A958D2" w:rsidP="00BF7E92"/>
    <w:p w14:paraId="54C5F174" w14:textId="77777777" w:rsidR="00A958D2" w:rsidRDefault="00A958D2" w:rsidP="00BF7E92"/>
    <w:p w14:paraId="48CCCE86" w14:textId="77777777" w:rsidR="00C92F44" w:rsidRDefault="00C92F44" w:rsidP="00C92F44">
      <w:pPr>
        <w:numPr>
          <w:ilvl w:val="0"/>
          <w:numId w:val="1"/>
        </w:numPr>
      </w:pPr>
      <w:r w:rsidRPr="00C92F44">
        <w:rPr>
          <w:b/>
          <w:bCs/>
        </w:rPr>
        <w:t>Racial Differences in Prostate Cancer Outcomes: Promoting Equality by Improving Access to Care</w:t>
      </w:r>
      <w:r>
        <w:rPr>
          <w:b/>
          <w:bCs/>
        </w:rPr>
        <w:t xml:space="preserve">.  </w:t>
      </w:r>
      <w:r w:rsidRPr="00C92F44">
        <w:t>Sponsor</w:t>
      </w:r>
      <w:r>
        <w:t xml:space="preserve">: Massachusetts Medical Society.  Number of Credits: 0.75. Course Fee: $15 for MMS Members; $33.75 for non-members. </w:t>
      </w:r>
      <w:hyperlink r:id="rId16" w:history="1">
        <w:r w:rsidRPr="00E40F0A">
          <w:rPr>
            <w:rStyle w:val="Hyperlink"/>
            <w:rFonts w:cs="Calibri"/>
          </w:rPr>
          <w:t>https://www.massmed.org/Continuing-Education-and-Events/Online-CME/Courses/Racial-Differences/Racial-Differences-in-Prostate-Cancer-Outcomes--Promoting-equity-by-improving-access-to-care/</w:t>
        </w:r>
      </w:hyperlink>
    </w:p>
    <w:p w14:paraId="741BCD48" w14:textId="77777777" w:rsidR="00C92F44" w:rsidRPr="00C92F44" w:rsidRDefault="00C92F44" w:rsidP="00C92F44">
      <w:pPr>
        <w:rPr>
          <w:rFonts w:cs="Times New Roman"/>
        </w:rPr>
      </w:pPr>
    </w:p>
    <w:p w14:paraId="699F44DB" w14:textId="77777777" w:rsidR="00C92F44" w:rsidRDefault="00C92F44" w:rsidP="00C92F44">
      <w:pPr>
        <w:numPr>
          <w:ilvl w:val="0"/>
          <w:numId w:val="1"/>
        </w:numPr>
        <w:rPr>
          <w:b/>
          <w:bCs/>
        </w:rPr>
      </w:pPr>
      <w:r>
        <w:rPr>
          <w:b/>
          <w:bCs/>
        </w:rPr>
        <w:t xml:space="preserve">Focus on DH&amp;I: Diversity, Health Equity and Inclusion – Best Practices Webinar Series.  </w:t>
      </w:r>
    </w:p>
    <w:p w14:paraId="1E216F96" w14:textId="77777777" w:rsidR="00C92F44" w:rsidRDefault="00C92F44" w:rsidP="00C92F44">
      <w:pPr>
        <w:pStyle w:val="ListParagraph"/>
        <w:rPr>
          <w:b/>
          <w:bCs/>
        </w:rPr>
      </w:pPr>
    </w:p>
    <w:p w14:paraId="03C281CC" w14:textId="77777777" w:rsidR="00C92F44" w:rsidRDefault="00C92F44" w:rsidP="00C92F44">
      <w:r w:rsidRPr="00C92F44">
        <w:t xml:space="preserve">Sponsors: </w:t>
      </w:r>
      <w:r>
        <w:t xml:space="preserve">Massachusetts Medical Society and Massachusetts Health and Hospital Association.  </w:t>
      </w:r>
    </w:p>
    <w:p w14:paraId="57FA1A58" w14:textId="77777777" w:rsidR="003B6BAA" w:rsidRDefault="003B6BAA" w:rsidP="003B6BAA">
      <w:r>
        <w:t xml:space="preserve">This is a group of 4 webinars that may be taken individually or together.  The number of credits for each webinar is 0.75 credits.  The course fee for each webinar is $15 for an MMS member and $33.75 for a non-member.  </w:t>
      </w:r>
    </w:p>
    <w:p w14:paraId="30D17464" w14:textId="77777777" w:rsidR="003B6BAA" w:rsidRDefault="003B6BAA" w:rsidP="003B6BAA"/>
    <w:p w14:paraId="6E6AF2AC" w14:textId="77777777" w:rsidR="003B6BAA" w:rsidRDefault="003B6BAA" w:rsidP="003B6BAA">
      <w:r>
        <w:t xml:space="preserve">The link for the webinars is </w:t>
      </w:r>
      <w:hyperlink r:id="rId17" w:history="1">
        <w:r w:rsidRPr="00E40F0A">
          <w:rPr>
            <w:rStyle w:val="Hyperlink"/>
            <w:rFonts w:cs="Calibri"/>
          </w:rPr>
          <w:t>https://www.massmed.org/Continuing-Education-and-Events/Online-CME/Courses/DHEI/Focus-on-DHE-I--Diversity,-Health-Equity,-and-Inclusion-Best-Practices-Webinar-Series/</w:t>
        </w:r>
      </w:hyperlink>
    </w:p>
    <w:p w14:paraId="17ECA23A" w14:textId="77777777" w:rsidR="003B6BAA" w:rsidRDefault="003B6BAA" w:rsidP="003B6BAA"/>
    <w:p w14:paraId="6C185AB7" w14:textId="77777777" w:rsidR="003B6BAA" w:rsidRDefault="003B6BAA" w:rsidP="003B6BAA">
      <w:pPr>
        <w:numPr>
          <w:ilvl w:val="0"/>
          <w:numId w:val="3"/>
        </w:numPr>
        <w:rPr>
          <w:b/>
          <w:bCs/>
        </w:rPr>
      </w:pPr>
      <w:r w:rsidRPr="003B6BAA">
        <w:rPr>
          <w:b/>
          <w:bCs/>
        </w:rPr>
        <w:t xml:space="preserve">Webinar 1: Creating a Culture of Inclusion and Belonging. </w:t>
      </w:r>
    </w:p>
    <w:p w14:paraId="7D5D21E7" w14:textId="77777777" w:rsidR="00F45973" w:rsidRDefault="003B6BAA" w:rsidP="00F45973">
      <w:pPr>
        <w:numPr>
          <w:ilvl w:val="0"/>
          <w:numId w:val="3"/>
        </w:numPr>
        <w:rPr>
          <w:b/>
          <w:bCs/>
        </w:rPr>
      </w:pPr>
      <w:r w:rsidRPr="00F45973">
        <w:rPr>
          <w:b/>
          <w:bCs/>
        </w:rPr>
        <w:t>Webinar 2: Leadership and Accountability</w:t>
      </w:r>
      <w:r w:rsidR="00F45973" w:rsidRPr="00F45973">
        <w:rPr>
          <w:b/>
          <w:bCs/>
        </w:rPr>
        <w:t>.</w:t>
      </w:r>
    </w:p>
    <w:p w14:paraId="78EA8BD5" w14:textId="77777777" w:rsidR="003B6BAA" w:rsidRPr="00F45973" w:rsidRDefault="00F45973" w:rsidP="00F45973">
      <w:pPr>
        <w:numPr>
          <w:ilvl w:val="0"/>
          <w:numId w:val="3"/>
        </w:numPr>
        <w:rPr>
          <w:b/>
          <w:bCs/>
        </w:rPr>
      </w:pPr>
      <w:r>
        <w:rPr>
          <w:b/>
          <w:bCs/>
        </w:rPr>
        <w:t>Webinar 3: P</w:t>
      </w:r>
      <w:r w:rsidR="003B6BAA" w:rsidRPr="00F45973">
        <w:rPr>
          <w:b/>
          <w:bCs/>
        </w:rPr>
        <w:t>ipeline Advancement Program.</w:t>
      </w:r>
    </w:p>
    <w:p w14:paraId="59036064" w14:textId="77777777" w:rsidR="003B6BAA" w:rsidRPr="005F5387" w:rsidRDefault="003B6BAA" w:rsidP="003B6BAA">
      <w:pPr>
        <w:numPr>
          <w:ilvl w:val="0"/>
          <w:numId w:val="3"/>
        </w:numPr>
      </w:pPr>
      <w:r w:rsidRPr="003B6BAA">
        <w:rPr>
          <w:b/>
          <w:bCs/>
        </w:rPr>
        <w:t>Webinar 4: Moving Data into Action</w:t>
      </w:r>
      <w:r w:rsidR="00F45973">
        <w:rPr>
          <w:b/>
          <w:bCs/>
        </w:rPr>
        <w:t>.</w:t>
      </w:r>
    </w:p>
    <w:p w14:paraId="7195B976" w14:textId="77777777" w:rsidR="005F5387" w:rsidRDefault="005F5387" w:rsidP="005F5387">
      <w:pPr>
        <w:ind w:left="720"/>
      </w:pPr>
    </w:p>
    <w:p w14:paraId="17F8DB9B" w14:textId="77777777" w:rsidR="003B6BAA" w:rsidRDefault="003B6BAA" w:rsidP="003B6BAA"/>
    <w:p w14:paraId="410D86FA" w14:textId="77777777" w:rsidR="007938E7" w:rsidRPr="00BF7E92" w:rsidRDefault="007938E7" w:rsidP="00BF7E92"/>
    <w:sectPr w:rsidR="007938E7" w:rsidRPr="00BF7E92">
      <w:type w:val="continuous"/>
      <w:pgSz w:w="12240" w:h="15840"/>
      <w:pgMar w:top="1780" w:right="15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21C"/>
    <w:multiLevelType w:val="hybridMultilevel"/>
    <w:tmpl w:val="FFFFFFFF"/>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4744FA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8282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46921">
    <w:abstractNumId w:val="0"/>
  </w:num>
  <w:num w:numId="2" w16cid:durableId="99759266">
    <w:abstractNumId w:val="2"/>
  </w:num>
  <w:num w:numId="3" w16cid:durableId="183267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2"/>
    <w:rsid w:val="00310E1E"/>
    <w:rsid w:val="00364D45"/>
    <w:rsid w:val="003B6BAA"/>
    <w:rsid w:val="005F5387"/>
    <w:rsid w:val="007938E7"/>
    <w:rsid w:val="00847A6E"/>
    <w:rsid w:val="008A2F5F"/>
    <w:rsid w:val="00A958D2"/>
    <w:rsid w:val="00B07897"/>
    <w:rsid w:val="00BF7E92"/>
    <w:rsid w:val="00C92F44"/>
    <w:rsid w:val="00CD4D54"/>
    <w:rsid w:val="00E129ED"/>
    <w:rsid w:val="00E40F0A"/>
    <w:rsid w:val="00EF6C51"/>
    <w:rsid w:val="00F4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34F1B"/>
  <w14:defaultImageDpi w14:val="0"/>
  <w15:docId w15:val="{A7600BA3-D48F-4272-9D23-7B9E563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1"/>
      <w:ind w:left="3892" w:hanging="3023"/>
    </w:pPr>
    <w:rPr>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BF7E92"/>
    <w:rPr>
      <w:rFonts w:cs="Times New Roman"/>
      <w:color w:val="0563C1" w:themeColor="hyperlink"/>
      <w:u w:val="single"/>
    </w:rPr>
  </w:style>
  <w:style w:type="character" w:styleId="UnresolvedMention">
    <w:name w:val="Unresolved Mention"/>
    <w:basedOn w:val="DefaultParagraphFont"/>
    <w:uiPriority w:val="99"/>
    <w:semiHidden/>
    <w:unhideWhenUsed/>
    <w:rsid w:val="00BF7E92"/>
    <w:rPr>
      <w:rFonts w:cs="Times New Roman"/>
      <w:color w:val="605E5C"/>
      <w:shd w:val="clear" w:color="auto" w:fill="E1DFDD"/>
    </w:rPr>
  </w:style>
  <w:style w:type="character" w:styleId="FollowedHyperlink">
    <w:name w:val="FollowedHyperlink"/>
    <w:basedOn w:val="DefaultParagraphFont"/>
    <w:uiPriority w:val="99"/>
    <w:semiHidden/>
    <w:unhideWhenUsed/>
    <w:rsid w:val="00F45973"/>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2836">
      <w:marLeft w:val="0"/>
      <w:marRight w:val="0"/>
      <w:marTop w:val="0"/>
      <w:marBottom w:val="0"/>
      <w:divBdr>
        <w:top w:val="none" w:sz="0" w:space="0" w:color="auto"/>
        <w:left w:val="none" w:sz="0" w:space="0" w:color="auto"/>
        <w:bottom w:val="none" w:sz="0" w:space="0" w:color="auto"/>
        <w:right w:val="none" w:sz="0" w:space="0" w:color="auto"/>
      </w:divBdr>
    </w:div>
    <w:div w:id="1937052837">
      <w:marLeft w:val="0"/>
      <w:marRight w:val="0"/>
      <w:marTop w:val="0"/>
      <w:marBottom w:val="0"/>
      <w:divBdr>
        <w:top w:val="none" w:sz="0" w:space="0" w:color="auto"/>
        <w:left w:val="none" w:sz="0" w:space="0" w:color="auto"/>
        <w:bottom w:val="none" w:sz="0" w:space="0" w:color="auto"/>
        <w:right w:val="none" w:sz="0" w:space="0" w:color="auto"/>
      </w:divBdr>
    </w:div>
    <w:div w:id="1937052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med.org/Continuing-Education-and-Events/Online-CME/Courses/Diversity-in-Medicine-Matters/Diversity-in-Medicine-Matters--The-Benefits-of-a-Diverse-Workforce/" TargetMode="External"/><Relationship Id="rId13" Type="http://schemas.openxmlformats.org/officeDocument/2006/relationships/hyperlink" Target="https://www.korsiconsulting.com/services/cme-cour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med.org/Continuing-Education-and-Events/Online-CME/Courses/Diversity-in-Medicine-Matters/Diversity-in-Medicine-Matters--The-Benefits-of-a-Diverse-Workforce/" TargetMode="External"/><Relationship Id="rId12" Type="http://schemas.openxmlformats.org/officeDocument/2006/relationships/hyperlink" Target="https://www.marchofdimes.org/professionals/professional-education.aspx" TargetMode="External"/><Relationship Id="rId17" Type="http://schemas.openxmlformats.org/officeDocument/2006/relationships/hyperlink" Target="https://www.massmed.org/Continuing-Education-and-Events/Online-CME/Courses/DHEI/Focus-on-DHE-I--Diversity,-Health-Equity,-and-Inclusion-Best-Practices-Webinar-Series/" TargetMode="External"/><Relationship Id="rId2" Type="http://schemas.openxmlformats.org/officeDocument/2006/relationships/styles" Target="styles.xml"/><Relationship Id="rId16" Type="http://schemas.openxmlformats.org/officeDocument/2006/relationships/hyperlink" Target="https://www.massmed.org/Continuing-Education-and-Events/Online-CME/Courses/Racial-Differences/Racial-Differences-in-Prostate-Cancer-Outcomes--Promoting-equity-by-improving-access-to-care/" TargetMode="External"/><Relationship Id="rId1" Type="http://schemas.openxmlformats.org/officeDocument/2006/relationships/numbering" Target="numbering.xml"/><Relationship Id="rId6" Type="http://schemas.openxmlformats.org/officeDocument/2006/relationships/hyperlink" Target="https://stanford.cloud-cme.com/course/courseoverview?P=8&amp;EID=20775" TargetMode="External"/><Relationship Id="rId11" Type="http://schemas.openxmlformats.org/officeDocument/2006/relationships/hyperlink" Target="mailto:profed@marchofdimes.org" TargetMode="External"/><Relationship Id="rId5" Type="http://schemas.openxmlformats.org/officeDocument/2006/relationships/hyperlink" Target="https://cme.bu.edu/PICCK_A%20Patient-Centered%20Approach%20to%20Contraceptive%20Counseling_2023#group-tabs-node-course-default1" TargetMode="External"/><Relationship Id="rId15" Type="http://schemas.openxmlformats.org/officeDocument/2006/relationships/hyperlink" Target="https://www.willinteractive.com" TargetMode="External"/><Relationship Id="rId10" Type="http://schemas.openxmlformats.org/officeDocument/2006/relationships/hyperlink" Target="https://www.massmed.org/Continuing-Education-and-Events/Online-CME/Courses/Reflecting-on-Health-Disparities/Reflecting-on-Health-Disparities-and-Moving-Towards-Antiracism-in-Medic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med.org/Continuing-Education-and-Events/Online-CME/Courses/Reflecting-on-Health-Disparities/Reflecting-on-Health-Disparities-and-Moving-Towards-Antiracism-in-Medicine/" TargetMode="External"/><Relationship Id="rId14" Type="http://schemas.openxmlformats.org/officeDocument/2006/relationships/hyperlink" Target="https://www.qualityintera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Hanson, Dennis (DPH)</cp:lastModifiedBy>
  <cp:revision>2</cp:revision>
  <dcterms:created xsi:type="dcterms:W3CDTF">2024-05-13T17:21:00Z</dcterms:created>
  <dcterms:modified xsi:type="dcterms:W3CDTF">2024-05-13T17:21:00Z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