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04640" w14:textId="77777777" w:rsidR="000A609B" w:rsidRDefault="000A609B">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34440288" w14:textId="77777777" w:rsidR="00543C91" w:rsidRDefault="00543C91" w:rsidP="00543C91"/>
    <w:p w14:paraId="3021E9DC" w14:textId="77777777" w:rsidR="000A609B" w:rsidRDefault="00543C91" w:rsidP="00543C91">
      <w:r>
        <w:t>Middlesex</w:t>
      </w:r>
      <w:r w:rsidR="000A609B">
        <w:t>, SS.</w:t>
      </w:r>
      <w:r w:rsidR="000A609B">
        <w:tab/>
      </w:r>
      <w:r w:rsidR="000A609B">
        <w:tab/>
      </w:r>
      <w:r w:rsidR="000A609B">
        <w:tab/>
      </w:r>
      <w:r w:rsidR="000A609B">
        <w:tab/>
      </w:r>
      <w:r w:rsidR="000A609B">
        <w:tab/>
      </w:r>
      <w:r>
        <w:t>Board of Registration in Medicine</w:t>
      </w:r>
    </w:p>
    <w:p w14:paraId="20155738" w14:textId="46EC730B" w:rsidR="000A609B" w:rsidRDefault="000A609B">
      <w:r>
        <w:tab/>
      </w:r>
      <w:r>
        <w:tab/>
      </w:r>
      <w:r>
        <w:tab/>
      </w:r>
      <w:r>
        <w:tab/>
      </w:r>
      <w:r>
        <w:tab/>
      </w:r>
      <w:r>
        <w:tab/>
      </w:r>
      <w:r>
        <w:tab/>
        <w:t>Adjudicatory Case No.</w:t>
      </w:r>
      <w:r w:rsidR="002679BD" w:rsidRPr="002679BD">
        <w:t xml:space="preserve"> 2022-030</w:t>
      </w:r>
      <w:r>
        <w:t xml:space="preserve"> </w:t>
      </w:r>
    </w:p>
    <w:p w14:paraId="6DBFBEF5" w14:textId="77777777" w:rsidR="000A609B" w:rsidRDefault="000A609B">
      <w:pPr>
        <w:rPr>
          <w:u w:val="single"/>
        </w:rPr>
      </w:pPr>
    </w:p>
    <w:p w14:paraId="700D9F02" w14:textId="35712D06" w:rsidR="00DE17FA" w:rsidRDefault="00DE17FA" w:rsidP="009B1287">
      <w:pPr>
        <w:rPr>
          <w:u w:val="single"/>
        </w:rPr>
      </w:pPr>
      <w:r>
        <w:rPr>
          <w:u w:val="single"/>
        </w:rPr>
        <w:tab/>
      </w:r>
      <w:r>
        <w:rPr>
          <w:u w:val="single"/>
        </w:rPr>
        <w:tab/>
      </w:r>
      <w:r>
        <w:rPr>
          <w:u w:val="single"/>
        </w:rPr>
        <w:tab/>
      </w:r>
      <w:r>
        <w:rPr>
          <w:u w:val="single"/>
        </w:rPr>
        <w:tab/>
      </w:r>
    </w:p>
    <w:p w14:paraId="559A000B" w14:textId="10B8A575" w:rsidR="009B1287" w:rsidRDefault="009B1287" w:rsidP="009B1287">
      <w:bookmarkStart w:id="0" w:name="_Hlk134787111"/>
      <w:r>
        <w:tab/>
      </w:r>
      <w:r>
        <w:tab/>
      </w:r>
      <w:r>
        <w:tab/>
      </w:r>
      <w:r>
        <w:tab/>
        <w:t>)</w:t>
      </w:r>
    </w:p>
    <w:p w14:paraId="10008AA1" w14:textId="1B4FE1E4" w:rsidR="009B1287" w:rsidRDefault="009B1287" w:rsidP="009B1287">
      <w:r>
        <w:t>In the Matter of</w:t>
      </w:r>
      <w:r>
        <w:tab/>
      </w:r>
      <w:r>
        <w:tab/>
        <w:t>)</w:t>
      </w:r>
      <w:r w:rsidR="00DE6F0F">
        <w:tab/>
      </w:r>
      <w:r w:rsidR="00EB4A7A">
        <w:tab/>
      </w:r>
      <w:r w:rsidR="00EB4A7A">
        <w:tab/>
      </w:r>
      <w:r w:rsidR="00DE6F0F" w:rsidRPr="00E63A7A">
        <w:rPr>
          <w:bCs/>
          <w:sz w:val="22"/>
          <w:szCs w:val="22"/>
          <w:u w:val="single"/>
        </w:rPr>
        <w:t>FINAL DECISION AND ORDER</w:t>
      </w:r>
    </w:p>
    <w:p w14:paraId="7FD2F3CA" w14:textId="392E695A" w:rsidR="009B1287" w:rsidRPr="009959F2" w:rsidRDefault="009B1287" w:rsidP="009B1287">
      <w:pPr>
        <w:rPr>
          <w:sz w:val="22"/>
          <w:szCs w:val="22"/>
        </w:rPr>
      </w:pPr>
      <w:r>
        <w:tab/>
      </w:r>
      <w:r>
        <w:tab/>
      </w:r>
      <w:r>
        <w:tab/>
      </w:r>
      <w:r>
        <w:tab/>
        <w:t>)</w:t>
      </w:r>
      <w:r w:rsidR="00DE6F0F">
        <w:tab/>
      </w:r>
    </w:p>
    <w:p w14:paraId="5ADF7A27" w14:textId="3162DB13" w:rsidR="009B1287" w:rsidRDefault="002679BD" w:rsidP="00EB4A7A">
      <w:pPr>
        <w:tabs>
          <w:tab w:val="left" w:pos="2880"/>
        </w:tabs>
      </w:pPr>
      <w:r>
        <w:t>MARK R. BRODY</w:t>
      </w:r>
      <w:r w:rsidR="00F86190">
        <w:t>, M.D.</w:t>
      </w:r>
      <w:r w:rsidR="00EB4A7A">
        <w:tab/>
      </w:r>
      <w:r w:rsidR="00F86190">
        <w:t>)</w:t>
      </w:r>
    </w:p>
    <w:p w14:paraId="4A5E080E" w14:textId="680B5741" w:rsidR="009B1287" w:rsidRDefault="009B1287" w:rsidP="009B1287">
      <w:r>
        <w:rPr>
          <w:u w:val="single"/>
        </w:rPr>
        <w:tab/>
      </w:r>
      <w:r>
        <w:rPr>
          <w:u w:val="single"/>
        </w:rPr>
        <w:tab/>
      </w:r>
      <w:r>
        <w:rPr>
          <w:u w:val="single"/>
        </w:rPr>
        <w:tab/>
      </w:r>
      <w:r>
        <w:rPr>
          <w:u w:val="single"/>
        </w:rPr>
        <w:tab/>
      </w:r>
      <w:r>
        <w:t>)</w:t>
      </w:r>
    </w:p>
    <w:bookmarkEnd w:id="0"/>
    <w:p w14:paraId="272BFCF9" w14:textId="77777777" w:rsidR="00156004" w:rsidRDefault="00156004"/>
    <w:p w14:paraId="417AFE18" w14:textId="77777777" w:rsidR="00E63A7A" w:rsidRPr="00E63A7A" w:rsidRDefault="00E63A7A" w:rsidP="00E63A7A">
      <w:pPr>
        <w:spacing w:line="480" w:lineRule="auto"/>
        <w:jc w:val="center"/>
        <w:rPr>
          <w:u w:val="single"/>
        </w:rPr>
      </w:pPr>
      <w:r w:rsidRPr="00E63A7A">
        <w:rPr>
          <w:u w:val="single"/>
        </w:rPr>
        <w:t>Procedural History</w:t>
      </w:r>
    </w:p>
    <w:p w14:paraId="4C14F95B" w14:textId="07D700E0" w:rsidR="003B6DC5" w:rsidRDefault="00E63A7A" w:rsidP="002679BD">
      <w:pPr>
        <w:spacing w:line="360" w:lineRule="auto"/>
        <w:ind w:firstLine="720"/>
        <w:jc w:val="both"/>
      </w:pPr>
      <w:r w:rsidRPr="00E63A7A">
        <w:t xml:space="preserve">The Board initiated this matter by issuing a Statement of Allegations </w:t>
      </w:r>
      <w:r w:rsidR="00137E20">
        <w:t xml:space="preserve">(SOA) </w:t>
      </w:r>
      <w:r w:rsidRPr="00E63A7A">
        <w:t xml:space="preserve">against the Respondent on </w:t>
      </w:r>
      <w:r w:rsidR="006B7CB9">
        <w:t xml:space="preserve">September </w:t>
      </w:r>
      <w:r w:rsidR="002679BD">
        <w:t>9</w:t>
      </w:r>
      <w:r w:rsidR="006B7CB9">
        <w:t>, 2022</w:t>
      </w:r>
      <w:r w:rsidR="00C562BE">
        <w:t xml:space="preserve"> </w:t>
      </w:r>
      <w:r w:rsidRPr="00E63A7A">
        <w:t xml:space="preserve">and </w:t>
      </w:r>
      <w:r w:rsidR="00904C13">
        <w:t xml:space="preserve">simultaneously </w:t>
      </w:r>
      <w:r w:rsidR="002679BD">
        <w:t>referring</w:t>
      </w:r>
      <w:r w:rsidR="003B6DC5">
        <w:t xml:space="preserve"> the SOA </w:t>
      </w:r>
      <w:r w:rsidRPr="00E63A7A">
        <w:t>to the Division of Administrative Law Appeals (DALA).</w:t>
      </w:r>
      <w:r w:rsidR="00C562BE">
        <w:t xml:space="preserve"> </w:t>
      </w:r>
      <w:r w:rsidR="00DB2BFD" w:rsidRPr="00DB2BFD">
        <w:t xml:space="preserve">The SOA ordered the Respondent to show cause </w:t>
      </w:r>
      <w:r w:rsidR="002679BD">
        <w:t xml:space="preserve">why he should not be disciplined for having been disciplined by the Rhode Island Board of Medical Licensure and Discipline (RI Board) for reasons substantially the same as those set forth at </w:t>
      </w:r>
      <w:bookmarkStart w:id="1" w:name="_Hlk142482033"/>
      <w:r w:rsidR="002679BD">
        <w:t>G.L. c. 112, § 5 and 243 CMR 1.03(5)</w:t>
      </w:r>
      <w:bookmarkEnd w:id="1"/>
      <w:r w:rsidR="002679BD">
        <w:t xml:space="preserve">.  </w:t>
      </w:r>
    </w:p>
    <w:p w14:paraId="2672BDA8" w14:textId="1DE24F17" w:rsidR="00E63A7A" w:rsidRPr="00E63A7A" w:rsidRDefault="00402F14" w:rsidP="003B6DC5">
      <w:pPr>
        <w:spacing w:line="360" w:lineRule="auto"/>
        <w:ind w:firstLine="720"/>
        <w:jc w:val="both"/>
      </w:pPr>
      <w:r>
        <w:t xml:space="preserve">On </w:t>
      </w:r>
      <w:r w:rsidR="002679BD">
        <w:t>November 4</w:t>
      </w:r>
      <w:r>
        <w:t xml:space="preserve">, 2022, </w:t>
      </w:r>
      <w:r w:rsidR="002679BD">
        <w:t>each party</w:t>
      </w:r>
      <w:r>
        <w:t xml:space="preserve"> moved for summary decision</w:t>
      </w:r>
      <w:r w:rsidR="00793DE0">
        <w:t xml:space="preserve"> and o</w:t>
      </w:r>
      <w:r>
        <w:t xml:space="preserve">n </w:t>
      </w:r>
      <w:r w:rsidR="002679BD">
        <w:t>March 23</w:t>
      </w:r>
      <w:r>
        <w:t>, 2023, t</w:t>
      </w:r>
      <w:r w:rsidRPr="00E63A7A">
        <w:t xml:space="preserve">he DALA </w:t>
      </w:r>
      <w:r>
        <w:t xml:space="preserve">Administrative </w:t>
      </w:r>
      <w:r w:rsidRPr="00E63A7A">
        <w:t>Magistrat</w:t>
      </w:r>
      <w:r>
        <w:t>e</w:t>
      </w:r>
      <w:r w:rsidR="00480E60">
        <w:t>, Kenneth Forton</w:t>
      </w:r>
      <w:r>
        <w:t xml:space="preserve"> (Magistrate) issued </w:t>
      </w:r>
      <w:r w:rsidR="00904C13">
        <w:t>his</w:t>
      </w:r>
      <w:r w:rsidRPr="00E63A7A">
        <w:t xml:space="preserve"> Recommended Decision </w:t>
      </w:r>
      <w:r>
        <w:t>(Recommended Decision)</w:t>
      </w:r>
      <w:r w:rsidR="001F49A6">
        <w:t>. The Magistrate c</w:t>
      </w:r>
      <w:r>
        <w:t>onclud</w:t>
      </w:r>
      <w:r w:rsidR="001F49A6">
        <w:t>e</w:t>
      </w:r>
      <w:r w:rsidR="002751B2">
        <w:t>d</w:t>
      </w:r>
      <w:r>
        <w:t xml:space="preserve"> that the Board is entitled to summary decision based on </w:t>
      </w:r>
      <w:r w:rsidR="00480E60">
        <w:t xml:space="preserve">the fact of </w:t>
      </w:r>
      <w:r>
        <w:t xml:space="preserve">Respondent’s </w:t>
      </w:r>
      <w:r w:rsidR="002679BD">
        <w:t xml:space="preserve">RI Board discipline </w:t>
      </w:r>
      <w:r w:rsidR="006F4F73">
        <w:t>(RI Discipline)</w:t>
      </w:r>
      <w:r w:rsidR="00480E60">
        <w:rPr>
          <w:rStyle w:val="FootnoteReference"/>
        </w:rPr>
        <w:footnoteReference w:id="1"/>
      </w:r>
      <w:r w:rsidR="006F4F73">
        <w:t xml:space="preserve"> </w:t>
      </w:r>
      <w:r w:rsidR="002751B2">
        <w:t>for</w:t>
      </w:r>
      <w:r w:rsidR="001F49A6">
        <w:t xml:space="preserve"> grounds that are </w:t>
      </w:r>
      <w:r w:rsidR="002679BD">
        <w:t>substantially the same as those</w:t>
      </w:r>
      <w:r w:rsidR="001F49A6">
        <w:t xml:space="preserve"> contained in</w:t>
      </w:r>
      <w:r w:rsidR="002679BD">
        <w:t xml:space="preserve"> </w:t>
      </w:r>
      <w:r w:rsidR="002679BD" w:rsidRPr="002679BD">
        <w:t>G.L. c. 112, § 5 and 243 CMR 1.03(5)</w:t>
      </w:r>
      <w:r w:rsidR="002751B2">
        <w:t>. S</w:t>
      </w:r>
      <w:r w:rsidR="001F49A6">
        <w:t xml:space="preserve">pecifically, </w:t>
      </w:r>
      <w:r w:rsidR="001F49A6" w:rsidRPr="001F49A6">
        <w:t>Respondent</w:t>
      </w:r>
      <w:r w:rsidR="00480E60">
        <w:t>,</w:t>
      </w:r>
      <w:r w:rsidR="001F49A6" w:rsidRPr="001F49A6">
        <w:t xml:space="preserve"> </w:t>
      </w:r>
      <w:r w:rsidR="00793DE0">
        <w:t>in connection with the RI Discipline</w:t>
      </w:r>
      <w:r w:rsidR="00480E60">
        <w:t>,</w:t>
      </w:r>
      <w:r w:rsidR="00793DE0">
        <w:t xml:space="preserve"> </w:t>
      </w:r>
      <w:r w:rsidR="001F49A6" w:rsidRPr="001F49A6">
        <w:t xml:space="preserve">admitted to (a) engaging in unprofessional conduct, (b) substandard treatment of Patients A, B, C &amp; D, </w:t>
      </w:r>
      <w:r w:rsidR="006F4F73">
        <w:t xml:space="preserve">and </w:t>
      </w:r>
      <w:r w:rsidR="001F49A6" w:rsidRPr="001F49A6">
        <w:t>(c) violating record keeping requirements</w:t>
      </w:r>
      <w:r w:rsidR="002679BD">
        <w:t>.</w:t>
      </w:r>
      <w:r w:rsidR="001F49A6">
        <w:t xml:space="preserve"> Respondent </w:t>
      </w:r>
      <w:r>
        <w:t xml:space="preserve">filed </w:t>
      </w:r>
      <w:r w:rsidR="00904C13">
        <w:t>an undated letter registering his objections</w:t>
      </w:r>
      <w:r w:rsidR="00793DE0">
        <w:t xml:space="preserve"> to the Recommended Decision </w:t>
      </w:r>
      <w:r w:rsidR="00904C13">
        <w:t xml:space="preserve">(hereinafter, Respondent’s </w:t>
      </w:r>
      <w:r w:rsidR="006F4F73">
        <w:t>O</w:t>
      </w:r>
      <w:r>
        <w:t>bjections</w:t>
      </w:r>
      <w:r w:rsidR="00904C13">
        <w:t>)</w:t>
      </w:r>
      <w:r w:rsidR="00D85CA3">
        <w:t xml:space="preserve">. </w:t>
      </w:r>
      <w:r w:rsidR="001F49A6">
        <w:t xml:space="preserve">Complaint Counsel </w:t>
      </w:r>
      <w:r w:rsidRPr="00E63A7A">
        <w:t xml:space="preserve">submitted </w:t>
      </w:r>
      <w:r>
        <w:t xml:space="preserve">a </w:t>
      </w:r>
      <w:r w:rsidR="006F4F73">
        <w:t>M</w:t>
      </w:r>
      <w:r w:rsidRPr="00E63A7A">
        <w:t>emorand</w:t>
      </w:r>
      <w:r>
        <w:t>um</w:t>
      </w:r>
      <w:r w:rsidRPr="00E63A7A">
        <w:t xml:space="preserve"> on </w:t>
      </w:r>
      <w:r w:rsidR="006F4F73">
        <w:t>D</w:t>
      </w:r>
      <w:r w:rsidRPr="00E63A7A">
        <w:t>isposition</w:t>
      </w:r>
      <w:r w:rsidR="00B46BB4">
        <w:t xml:space="preserve"> and Respondent did not</w:t>
      </w:r>
      <w:r w:rsidRPr="00E63A7A">
        <w:t>.</w:t>
      </w:r>
      <w:r w:rsidR="00E63A7A" w:rsidRPr="00E63A7A">
        <w:t xml:space="preserve"> </w:t>
      </w:r>
    </w:p>
    <w:p w14:paraId="4D5F7186" w14:textId="732B939E" w:rsidR="0023263B" w:rsidRDefault="00136E0F" w:rsidP="007422BD">
      <w:pPr>
        <w:spacing w:line="360" w:lineRule="auto"/>
        <w:ind w:firstLine="720"/>
        <w:jc w:val="both"/>
      </w:pPr>
      <w:bookmarkStart w:id="2" w:name="_Hlk135294780"/>
      <w:bookmarkStart w:id="3" w:name="_Hlk135141263"/>
      <w:r w:rsidRPr="00136E0F">
        <w:t xml:space="preserve">At its meeting on </w:t>
      </w:r>
      <w:r w:rsidR="001F49A6">
        <w:t>September 7</w:t>
      </w:r>
      <w:r w:rsidRPr="00136E0F">
        <w:t>, 2023</w:t>
      </w:r>
      <w:r>
        <w:t>, t</w:t>
      </w:r>
      <w:r w:rsidR="00E63A7A" w:rsidRPr="00E63A7A">
        <w:t>he Board reviewed the Recommended Decision</w:t>
      </w:r>
      <w:r w:rsidR="001F49A6">
        <w:t xml:space="preserve">, Respondent’s Objections and Petitioner’s </w:t>
      </w:r>
      <w:r w:rsidR="00E63A7A" w:rsidRPr="00E63A7A">
        <w:t>Memorand</w:t>
      </w:r>
      <w:r w:rsidR="001F49A6">
        <w:t xml:space="preserve">um </w:t>
      </w:r>
      <w:r w:rsidR="00E63A7A" w:rsidRPr="00E63A7A">
        <w:t>on D</w:t>
      </w:r>
      <w:r w:rsidR="00604D8E">
        <w:t>is</w:t>
      </w:r>
      <w:r w:rsidR="00E63A7A" w:rsidRPr="00E63A7A">
        <w:t>positio</w:t>
      </w:r>
      <w:r>
        <w:t xml:space="preserve">n and </w:t>
      </w:r>
      <w:r w:rsidR="00606F50">
        <w:t>heard from the parties on the issue of sanction.</w:t>
      </w:r>
      <w:r w:rsidR="00904C13">
        <w:t xml:space="preserve"> </w:t>
      </w:r>
      <w:r w:rsidR="006F4F73">
        <w:t>The Board rejects Respondent’s Objections</w:t>
      </w:r>
      <w:r w:rsidR="00904C13">
        <w:t xml:space="preserve">. </w:t>
      </w:r>
      <w:r w:rsidR="006F4F73">
        <w:t xml:space="preserve">Respondent cannot </w:t>
      </w:r>
      <w:r w:rsidR="006F4F73" w:rsidRPr="006F4F73">
        <w:t>re-litigat</w:t>
      </w:r>
      <w:r w:rsidR="006F4F73">
        <w:t>e</w:t>
      </w:r>
      <w:r w:rsidR="006F4F73" w:rsidRPr="006F4F73">
        <w:t xml:space="preserve"> </w:t>
      </w:r>
      <w:r w:rsidR="00C14844">
        <w:t xml:space="preserve">the </w:t>
      </w:r>
      <w:r w:rsidR="006F4F73" w:rsidRPr="006F4F73">
        <w:t>RI Board’s findings</w:t>
      </w:r>
      <w:r w:rsidR="00C14844">
        <w:t xml:space="preserve"> of fact</w:t>
      </w:r>
      <w:r w:rsidR="006F4F73" w:rsidRPr="006F4F73">
        <w:t xml:space="preserve"> or appeal the RI Discipline</w:t>
      </w:r>
      <w:r w:rsidR="006F4F73">
        <w:t xml:space="preserve"> in this forum</w:t>
      </w:r>
      <w:r w:rsidR="006F4F73" w:rsidRPr="006F4F73">
        <w:t xml:space="preserve">. </w:t>
      </w:r>
      <w:r w:rsidR="00904C13">
        <w:t>Indeed, having c</w:t>
      </w:r>
      <w:r w:rsidR="006F4F73">
        <w:t xml:space="preserve">onsented </w:t>
      </w:r>
      <w:r w:rsidR="006F4F73">
        <w:lastRenderedPageBreak/>
        <w:t xml:space="preserve">to </w:t>
      </w:r>
      <w:r w:rsidR="00480E60">
        <w:t xml:space="preserve">the </w:t>
      </w:r>
      <w:r w:rsidR="006F4F73">
        <w:t xml:space="preserve">RI Board’s factual findings and </w:t>
      </w:r>
      <w:r w:rsidR="00904C13">
        <w:t xml:space="preserve">the </w:t>
      </w:r>
      <w:r w:rsidR="006F4F73">
        <w:t>discipline impose</w:t>
      </w:r>
      <w:r w:rsidR="00CA6F2A">
        <w:t xml:space="preserve">d—essentially </w:t>
      </w:r>
      <w:r w:rsidR="00904C13">
        <w:t>wa</w:t>
      </w:r>
      <w:r w:rsidR="00CA6F2A">
        <w:t>i</w:t>
      </w:r>
      <w:r w:rsidR="00904C13">
        <w:t>v</w:t>
      </w:r>
      <w:r w:rsidR="00CA6F2A">
        <w:t xml:space="preserve">ing </w:t>
      </w:r>
      <w:r w:rsidR="00904C13">
        <w:t>h</w:t>
      </w:r>
      <w:r w:rsidR="006F4F73">
        <w:t>is</w:t>
      </w:r>
      <w:r w:rsidR="006F4F73" w:rsidRPr="006F4F73">
        <w:t xml:space="preserve"> rights of appea</w:t>
      </w:r>
      <w:r w:rsidR="00CA6F2A">
        <w:t>l—R</w:t>
      </w:r>
      <w:r w:rsidR="00904C13">
        <w:t>espondent</w:t>
      </w:r>
      <w:r w:rsidR="006F4F73" w:rsidRPr="006F4F73">
        <w:t xml:space="preserve"> cannot </w:t>
      </w:r>
      <w:r w:rsidR="00480E60">
        <w:t xml:space="preserve">now </w:t>
      </w:r>
      <w:r w:rsidR="00CA6F2A">
        <w:t>c</w:t>
      </w:r>
      <w:r w:rsidR="006F4F73" w:rsidRPr="006F4F73">
        <w:t>hallenge them.</w:t>
      </w:r>
      <w:r w:rsidR="006F4F73">
        <w:t xml:space="preserve"> </w:t>
      </w:r>
      <w:r w:rsidR="007422BD">
        <w:t xml:space="preserve">Board </w:t>
      </w:r>
      <w:r w:rsidR="00E63A7A" w:rsidRPr="007422BD">
        <w:t>hereby ado</w:t>
      </w:r>
      <w:r w:rsidR="00E63A7A" w:rsidRPr="00E63A7A">
        <w:t>pts the Recommended Decision and incorporates it into its Final Decision and Order</w:t>
      </w:r>
      <w:r w:rsidR="009A0AB2">
        <w:t>, granting Petitioner’s Motion for Summary Decision and denying Respondent’s Motion for Summary Decision</w:t>
      </w:r>
      <w:r w:rsidR="00E63A7A" w:rsidRPr="00E63A7A">
        <w:t>.</w:t>
      </w:r>
      <w:bookmarkEnd w:id="2"/>
      <w:r w:rsidR="00E63A7A" w:rsidRPr="00E63A7A">
        <w:t xml:space="preserve"> </w:t>
      </w:r>
    </w:p>
    <w:p w14:paraId="1531D0BA" w14:textId="77777777" w:rsidR="00C14844" w:rsidRPr="00E63A7A" w:rsidRDefault="00C14844" w:rsidP="007422BD">
      <w:pPr>
        <w:spacing w:line="360" w:lineRule="auto"/>
        <w:ind w:firstLine="720"/>
        <w:jc w:val="both"/>
      </w:pPr>
    </w:p>
    <w:bookmarkEnd w:id="3"/>
    <w:p w14:paraId="6D47A97F" w14:textId="5F3AD836" w:rsidR="000A0C3C" w:rsidRPr="000A0C3C" w:rsidRDefault="000A0C3C" w:rsidP="003B6DC5">
      <w:pPr>
        <w:spacing w:line="360" w:lineRule="auto"/>
        <w:jc w:val="center"/>
        <w:rPr>
          <w:u w:val="single"/>
        </w:rPr>
      </w:pPr>
      <w:r w:rsidRPr="000A0C3C">
        <w:rPr>
          <w:u w:val="single"/>
        </w:rPr>
        <w:t>Discussion</w:t>
      </w:r>
    </w:p>
    <w:p w14:paraId="60B0D587" w14:textId="180A2EFA" w:rsidR="00C77EED" w:rsidRDefault="00ED55BE" w:rsidP="003B6DC5">
      <w:pPr>
        <w:spacing w:line="360" w:lineRule="auto"/>
        <w:ind w:firstLine="720"/>
        <w:jc w:val="both"/>
      </w:pPr>
      <w:r w:rsidRPr="00ED55BE">
        <w:t xml:space="preserve">The </w:t>
      </w:r>
      <w:r w:rsidR="00C77EED">
        <w:t>Magistrate found Respondent en</w:t>
      </w:r>
      <w:r w:rsidR="00D85CA3">
        <w:t>tered into three Consent Orders with the RI Board</w:t>
      </w:r>
      <w:r w:rsidR="00C901CC">
        <w:t xml:space="preserve">. In the RI Board’s Consent Order dated April 14, 2021, Respondent admitted to </w:t>
      </w:r>
      <w:r w:rsidR="0092784D">
        <w:t xml:space="preserve">engaging </w:t>
      </w:r>
      <w:r w:rsidR="00D85CA3">
        <w:t>in unprofessional conduct</w:t>
      </w:r>
      <w:r w:rsidR="00C901CC">
        <w:rPr>
          <w:rStyle w:val="FootnoteReference"/>
        </w:rPr>
        <w:footnoteReference w:id="2"/>
      </w:r>
      <w:r w:rsidR="00C901CC">
        <w:t xml:space="preserve"> by advising </w:t>
      </w:r>
      <w:r w:rsidR="00081DAE">
        <w:t>his patient</w:t>
      </w:r>
      <w:r w:rsidR="00C77EED">
        <w:t>s</w:t>
      </w:r>
      <w:r w:rsidR="00081DAE">
        <w:t xml:space="preserve"> </w:t>
      </w:r>
      <w:r w:rsidR="00C901CC">
        <w:t xml:space="preserve">not to receive any COVID-19 vaccination for various reasons. In the RI Board’s Consent Order dated July 14, 2021, </w:t>
      </w:r>
      <w:r w:rsidR="00081DAE">
        <w:t xml:space="preserve">Respondent admitted to unprofessional conduct in his </w:t>
      </w:r>
      <w:r w:rsidR="00C901CC">
        <w:t>treatment of Patients A, B, C and D</w:t>
      </w:r>
      <w:r w:rsidR="00081DAE">
        <w:t>, notably failing to perform physical exams</w:t>
      </w:r>
      <w:r w:rsidR="00C77EED">
        <w:t xml:space="preserve">, </w:t>
      </w:r>
      <w:r w:rsidR="00374B86">
        <w:t>in</w:t>
      </w:r>
      <w:r w:rsidR="00C77EED">
        <w:t>adequately documenting these patient encounters</w:t>
      </w:r>
      <w:r w:rsidR="00081DAE">
        <w:t xml:space="preserve"> and providing primary care without any training</w:t>
      </w:r>
      <w:r w:rsidR="00C77EED">
        <w:t xml:space="preserve"> in that specialty</w:t>
      </w:r>
      <w:r w:rsidR="00C901CC">
        <w:t>.</w:t>
      </w:r>
      <w:r w:rsidR="00D85CA3">
        <w:t xml:space="preserve"> </w:t>
      </w:r>
    </w:p>
    <w:p w14:paraId="597E5472" w14:textId="01BB4CCB" w:rsidR="00025264" w:rsidRDefault="00026546" w:rsidP="003B6DC5">
      <w:pPr>
        <w:spacing w:line="360" w:lineRule="auto"/>
        <w:ind w:firstLine="720"/>
        <w:jc w:val="both"/>
      </w:pPr>
      <w:r>
        <w:t xml:space="preserve">The Magistrate </w:t>
      </w:r>
      <w:r w:rsidR="00C901CC">
        <w:t xml:space="preserve">concluded that </w:t>
      </w:r>
      <w:r w:rsidR="00904C13">
        <w:t xml:space="preserve">the legal </w:t>
      </w:r>
      <w:r w:rsidR="0092784D">
        <w:t>grounds disciplined by the</w:t>
      </w:r>
      <w:r w:rsidR="00904C13">
        <w:t xml:space="preserve"> RI </w:t>
      </w:r>
      <w:r w:rsidR="0092784D">
        <w:t xml:space="preserve">Board </w:t>
      </w:r>
      <w:r w:rsidR="00C901CC">
        <w:t xml:space="preserve">are </w:t>
      </w:r>
      <w:r>
        <w:t xml:space="preserve">substantially </w:t>
      </w:r>
      <w:r w:rsidR="0092784D">
        <w:t>the same as those found in M.G.L. c. 112, §5 and 243 CMR 1.03(5). Specifically, the Magistrate found Respondent</w:t>
      </w:r>
      <w:r>
        <w:t xml:space="preserve"> </w:t>
      </w:r>
      <w:r w:rsidR="0092784D">
        <w:t>engaged in unprofessional conduct,</w:t>
      </w:r>
      <w:r w:rsidR="0092784D">
        <w:rPr>
          <w:rStyle w:val="FootnoteReference"/>
        </w:rPr>
        <w:footnoteReference w:id="3"/>
      </w:r>
      <w:r w:rsidR="0092784D">
        <w:t xml:space="preserve"> </w:t>
      </w:r>
      <w:r>
        <w:t>practic</w:t>
      </w:r>
      <w:r w:rsidR="0092784D">
        <w:t xml:space="preserve">ed </w:t>
      </w:r>
      <w:r>
        <w:t>medicine deceitfully, or enga</w:t>
      </w:r>
      <w:r w:rsidR="0092784D">
        <w:t>ged</w:t>
      </w:r>
      <w:r>
        <w:t xml:space="preserve"> in conduct which has the capacity to deceive or defraud,</w:t>
      </w:r>
      <w:r>
        <w:rPr>
          <w:rStyle w:val="FootnoteReference"/>
        </w:rPr>
        <w:footnoteReference w:id="4"/>
      </w:r>
      <w:r>
        <w:t xml:space="preserve"> and engag</w:t>
      </w:r>
      <w:r w:rsidR="0092784D">
        <w:t>ed</w:t>
      </w:r>
      <w:r>
        <w:t xml:space="preserve"> in dishonesty, fraud, or deceit which is reasonably related to the practice of medicine,</w:t>
      </w:r>
      <w:r>
        <w:rPr>
          <w:rStyle w:val="FootnoteReference"/>
        </w:rPr>
        <w:footnoteReference w:id="5"/>
      </w:r>
      <w:r w:rsidR="00D62EC1">
        <w:t xml:space="preserve"> </w:t>
      </w:r>
      <w:r w:rsidR="0092784D">
        <w:t xml:space="preserve">as well as </w:t>
      </w:r>
      <w:r w:rsidR="00D62EC1">
        <w:t xml:space="preserve">conduct that </w:t>
      </w:r>
      <w:r>
        <w:t>undermines the public confidence in the medical profession.</w:t>
      </w:r>
      <w:r>
        <w:rPr>
          <w:rStyle w:val="FootnoteReference"/>
        </w:rPr>
        <w:footnoteReference w:id="6"/>
      </w:r>
      <w:r>
        <w:t xml:space="preserve"> </w:t>
      </w:r>
      <w:r w:rsidR="00D62EC1">
        <w:t xml:space="preserve">The Magistrate found Respondent’s admitted </w:t>
      </w:r>
      <w:r w:rsidR="00904C13">
        <w:t>conduct</w:t>
      </w:r>
      <w:r w:rsidR="00D62EC1">
        <w:t xml:space="preserve"> in the </w:t>
      </w:r>
      <w:r w:rsidR="00911EAF">
        <w:t xml:space="preserve">Consent Order issued July 14, 2021, </w:t>
      </w:r>
      <w:r w:rsidR="00C901CC">
        <w:t xml:space="preserve">to be </w:t>
      </w:r>
      <w:r w:rsidR="00911EAF">
        <w:t xml:space="preserve">substantially similar to </w:t>
      </w:r>
      <w:r w:rsidR="00911EAF" w:rsidRPr="00911EAF">
        <w:t xml:space="preserve">conduct which places into question </w:t>
      </w:r>
      <w:r w:rsidR="00D62EC1">
        <w:t>Respondent’s</w:t>
      </w:r>
      <w:r w:rsidR="00911EAF" w:rsidRPr="00911EAF">
        <w:t xml:space="preserve"> competence to practice medicine</w:t>
      </w:r>
      <w:r w:rsidR="00911EAF">
        <w:rPr>
          <w:rStyle w:val="FootnoteReference"/>
        </w:rPr>
        <w:footnoteReference w:id="7"/>
      </w:r>
      <w:r w:rsidR="00025264">
        <w:t xml:space="preserve"> and </w:t>
      </w:r>
      <w:r w:rsidR="00CA6F2A">
        <w:t>that violates a</w:t>
      </w:r>
      <w:r w:rsidR="00025264" w:rsidRPr="00025264">
        <w:t xml:space="preserve"> rule or regulation of the Board</w:t>
      </w:r>
      <w:r w:rsidR="00025264">
        <w:t>, i.e., its medical record requirements at 243 CMR 2.07(13)(a).</w:t>
      </w:r>
    </w:p>
    <w:p w14:paraId="658F4DBF" w14:textId="15BFC9AC" w:rsidR="00620586" w:rsidRDefault="00620586" w:rsidP="00620586">
      <w:pPr>
        <w:spacing w:line="360" w:lineRule="auto"/>
        <w:ind w:firstLine="720"/>
        <w:contextualSpacing/>
        <w:jc w:val="both"/>
      </w:pPr>
      <w:r w:rsidRPr="001416FA">
        <w:t xml:space="preserve">When determining a sanction, the Board is guided by the question of what discipline is necessary to protect the public. </w:t>
      </w:r>
      <w:r w:rsidRPr="001416FA">
        <w:rPr>
          <w:i/>
          <w:iCs/>
        </w:rPr>
        <w:t>In the Matter of Richard J. Pedro, D.O.</w:t>
      </w:r>
      <w:r w:rsidRPr="001416FA">
        <w:t xml:space="preserve">, Board of Registration in Medicine, Adjudicatory Case No. 2018-054 (Final Decision &amp; Order, December 16, 2021)(“[t]he </w:t>
      </w:r>
      <w:r w:rsidRPr="001416FA">
        <w:lastRenderedPageBreak/>
        <w:t>Board tailors its sanction to deter other physicians from engaging in similar misconduct and thereby protect public confidence in the profession”).</w:t>
      </w:r>
    </w:p>
    <w:p w14:paraId="0E3449D0" w14:textId="2A652719" w:rsidR="001416FA" w:rsidRDefault="001416FA" w:rsidP="001416FA">
      <w:pPr>
        <w:spacing w:line="360" w:lineRule="auto"/>
        <w:ind w:firstLine="720"/>
        <w:contextualSpacing/>
        <w:jc w:val="both"/>
      </w:pPr>
      <w:bookmarkStart w:id="4" w:name="_Hlk142492287"/>
      <w:r w:rsidRPr="001416FA">
        <w:t xml:space="preserve">When fashioning a sanction concerning </w:t>
      </w:r>
      <w:bookmarkStart w:id="5" w:name="_Hlk143774004"/>
      <w:r w:rsidRPr="001416FA">
        <w:t>false and deceptive statements</w:t>
      </w:r>
      <w:bookmarkEnd w:id="5"/>
      <w:r w:rsidRPr="001416FA">
        <w:t>, the Board has imposed a range of sanctions from indefinite suspension to censure</w:t>
      </w:r>
      <w:r w:rsidRPr="001416FA">
        <w:rPr>
          <w:rFonts w:ascii="Calibri" w:hAnsi="Calibri"/>
          <w:sz w:val="22"/>
          <w:szCs w:val="22"/>
        </w:rPr>
        <w:t xml:space="preserve"> </w:t>
      </w:r>
      <w:r w:rsidRPr="001416FA">
        <w:t>depending on the circumstances of each case</w:t>
      </w:r>
      <w:r w:rsidR="00B01F3C">
        <w:t xml:space="preserve"> and</w:t>
      </w:r>
      <w:r w:rsidRPr="001416FA">
        <w:t xml:space="preserve"> </w:t>
      </w:r>
      <w:r w:rsidR="00501B6B">
        <w:t>accounting for</w:t>
      </w:r>
      <w:r w:rsidRPr="001416FA">
        <w:t xml:space="preserve"> the severity of the deceit involved and any mitigating factors. </w:t>
      </w:r>
      <w:r w:rsidRPr="001416FA">
        <w:rPr>
          <w:u w:val="single"/>
        </w:rPr>
        <w:t>See</w:t>
      </w:r>
      <w:r w:rsidRPr="001416FA">
        <w:t xml:space="preserve"> </w:t>
      </w:r>
      <w:r w:rsidRPr="001416FA">
        <w:rPr>
          <w:i/>
          <w:iCs/>
        </w:rPr>
        <w:t>In the Matter of Ryan J. Welter, M.D.</w:t>
      </w:r>
      <w:r w:rsidRPr="001416FA">
        <w:t>, Board of Registration in Medicine, Adjudicatory Case No. 2019-029 (Final Decision &amp; Order, March 11, 2021)(indefinite suspension stayed upon entry into probation agreement for false and deceptive statements on website for hair restoration practice) and</w:t>
      </w:r>
      <w:bookmarkStart w:id="6" w:name="_Hlk143853873"/>
      <w:r w:rsidRPr="001416FA">
        <w:t xml:space="preserve"> </w:t>
      </w:r>
      <w:r w:rsidRPr="001416FA">
        <w:rPr>
          <w:i/>
          <w:iCs/>
        </w:rPr>
        <w:t>In the Matter of Boris Bergus, M.D.</w:t>
      </w:r>
      <w:r w:rsidRPr="001416FA">
        <w:t>, Board of Registration in Medicine, Adjudicatory Case No. 2017-004 (Final Decision &amp; Order, June 27, 2019)</w:t>
      </w:r>
      <w:bookmarkEnd w:id="6"/>
      <w:r w:rsidRPr="001416FA">
        <w:t>($10,000 fine and indefinite suspension stayed upon entry into probation agreement requiring outside monitoring of credentialing application, advertising and media communications for three years).</w:t>
      </w:r>
      <w:r w:rsidRPr="001416FA">
        <w:rPr>
          <w:vertAlign w:val="superscript"/>
        </w:rPr>
        <w:footnoteReference w:id="8"/>
      </w:r>
      <w:r w:rsidRPr="001416FA">
        <w:t xml:space="preserve"> </w:t>
      </w:r>
      <w:bookmarkEnd w:id="4"/>
    </w:p>
    <w:p w14:paraId="35B3753F" w14:textId="2AFCCE7F" w:rsidR="00620586" w:rsidRDefault="00C14844" w:rsidP="00481EE4">
      <w:pPr>
        <w:spacing w:line="360" w:lineRule="auto"/>
        <w:ind w:firstLine="720"/>
        <w:jc w:val="both"/>
      </w:pPr>
      <w:r w:rsidRPr="00C14844">
        <w:t>Respondent’s treatment of Patients A, B, C and D fell below the standard of care.</w:t>
      </w:r>
      <w:r>
        <w:t xml:space="preserve"> </w:t>
      </w:r>
      <w:r w:rsidR="00620586" w:rsidRPr="00D62EC1">
        <w:t xml:space="preserve">In </w:t>
      </w:r>
      <w:r w:rsidR="00840620">
        <w:t>substandard care/</w:t>
      </w:r>
      <w:r w:rsidR="00620586" w:rsidRPr="00D62EC1">
        <w:t xml:space="preserve">negligence cases, the Board considers, among other things, the severity of the negligence or degree of deviation from the standard of care, the impact of the physician's conduct, the number of patients affected and any mitigating factors that may be present. </w:t>
      </w:r>
      <w:r w:rsidR="00620586" w:rsidRPr="00D62EC1">
        <w:rPr>
          <w:u w:val="single"/>
        </w:rPr>
        <w:t>See</w:t>
      </w:r>
      <w:r w:rsidR="00620586" w:rsidRPr="00D62EC1">
        <w:t xml:space="preserve"> </w:t>
      </w:r>
      <w:r w:rsidR="00620586" w:rsidRPr="00D62EC1">
        <w:rPr>
          <w:i/>
          <w:iCs/>
        </w:rPr>
        <w:t>In the Matter of John C. Clapp, M.D.</w:t>
      </w:r>
      <w:r w:rsidR="00620586" w:rsidRPr="00D62EC1">
        <w:t>, Board of Registration in Medicine, Adjudicatory Case No. 2013-004 (Final Decision &amp; Order, April 16, 2015).</w:t>
      </w:r>
      <w:r w:rsidR="00501B6B">
        <w:rPr>
          <w:rStyle w:val="FootnoteReference"/>
        </w:rPr>
        <w:footnoteReference w:id="9"/>
      </w:r>
    </w:p>
    <w:p w14:paraId="50E9A0C0" w14:textId="6826896A" w:rsidR="00D62EC1" w:rsidRDefault="00D62EC1" w:rsidP="00131587">
      <w:pPr>
        <w:spacing w:line="360" w:lineRule="auto"/>
        <w:ind w:firstLine="720"/>
        <w:jc w:val="both"/>
      </w:pPr>
      <w:r w:rsidRPr="00D62EC1">
        <w:t xml:space="preserve">Respondent was found to have violated patient record keeping requirements. The Board has previously stated that </w:t>
      </w:r>
      <w:r w:rsidR="00481EE4">
        <w:t>“</w:t>
      </w:r>
      <w:r w:rsidRPr="00D62EC1">
        <w:t xml:space="preserve">record-keeping failures are not 'technical' violations, because accurate </w:t>
      </w:r>
      <w:r w:rsidRPr="00D62EC1">
        <w:lastRenderedPageBreak/>
        <w:t xml:space="preserve">and current medical records are absolutely essential in maintaining a patient's health and welfare.” </w:t>
      </w:r>
      <w:r w:rsidRPr="00D62EC1">
        <w:rPr>
          <w:u w:val="single"/>
        </w:rPr>
        <w:t>See</w:t>
      </w:r>
      <w:r w:rsidRPr="00D62EC1">
        <w:t xml:space="preserve"> </w:t>
      </w:r>
      <w:r w:rsidRPr="00D62EC1">
        <w:rPr>
          <w:i/>
          <w:iCs/>
        </w:rPr>
        <w:t>In the Matter of Vernon Kellogg, M.D.</w:t>
      </w:r>
      <w:r w:rsidRPr="00D62EC1">
        <w:t>, Board of Registration in Medicine, Adjudicatory Case No. 2007-044 (Final Decision and Order, May 19, 2010).</w:t>
      </w:r>
      <w:r w:rsidRPr="00D62EC1">
        <w:rPr>
          <w:vertAlign w:val="superscript"/>
        </w:rPr>
        <w:footnoteReference w:id="10"/>
      </w:r>
      <w:r w:rsidRPr="00D62EC1">
        <w:t xml:space="preserve"> </w:t>
      </w:r>
      <w:r w:rsidRPr="00D62EC1">
        <w:rPr>
          <w:u w:val="single"/>
        </w:rPr>
        <w:t>See</w:t>
      </w:r>
      <w:r w:rsidRPr="00D62EC1">
        <w:t xml:space="preserve"> </w:t>
      </w:r>
      <w:r w:rsidRPr="00D62EC1">
        <w:rPr>
          <w:u w:val="single"/>
        </w:rPr>
        <w:t>also</w:t>
      </w:r>
      <w:r w:rsidRPr="00D62EC1">
        <w:t xml:space="preserve"> </w:t>
      </w:r>
      <w:r w:rsidRPr="00D62EC1">
        <w:rPr>
          <w:i/>
          <w:iCs/>
        </w:rPr>
        <w:t>In the Matter of Joseph V. Thakuria, M.D.</w:t>
      </w:r>
      <w:r w:rsidRPr="00D62EC1">
        <w:t xml:space="preserve">, Board of Registration in Medicine, Adjudicatory Case No. 2018-046 (Final Decision and Order, August 4, 2022)(reprimand and $5,000 fine for failing to disclose on license application disciplinary action by health care entity, practicing medicine deceitfully or engaging in conduct that has the capacity to deceive or defraud, and violation of Board regulations on maintenance of patient record, </w:t>
      </w:r>
      <w:r w:rsidRPr="00D62EC1">
        <w:rPr>
          <w:i/>
          <w:iCs/>
        </w:rPr>
        <w:t>inter alia</w:t>
      </w:r>
      <w:r w:rsidRPr="00D62EC1">
        <w:t>)</w:t>
      </w:r>
      <w:r w:rsidR="00C14844">
        <w:t>.</w:t>
      </w:r>
      <w:r w:rsidR="00C14844">
        <w:rPr>
          <w:rStyle w:val="FootnoteReference"/>
        </w:rPr>
        <w:footnoteReference w:id="11"/>
      </w:r>
    </w:p>
    <w:p w14:paraId="143974B9" w14:textId="2B5409D6" w:rsidR="00B946C4" w:rsidRDefault="00FA5B24" w:rsidP="00C14844">
      <w:pPr>
        <w:pStyle w:val="le-brm-normal-32-level"/>
        <w:spacing w:before="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gravamen of Respondent’s violations center around </w:t>
      </w:r>
      <w:r w:rsidR="004B34BE">
        <w:rPr>
          <w:rFonts w:ascii="Times New Roman" w:hAnsi="Times New Roman" w:cs="Times New Roman"/>
          <w:sz w:val="24"/>
          <w:szCs w:val="24"/>
        </w:rPr>
        <w:t>his</w:t>
      </w:r>
      <w:r>
        <w:rPr>
          <w:rFonts w:ascii="Times New Roman" w:hAnsi="Times New Roman" w:cs="Times New Roman"/>
          <w:sz w:val="24"/>
          <w:szCs w:val="24"/>
        </w:rPr>
        <w:t xml:space="preserve"> </w:t>
      </w:r>
      <w:bookmarkStart w:id="8" w:name="_Hlk143858035"/>
      <w:r>
        <w:rPr>
          <w:rFonts w:ascii="Times New Roman" w:hAnsi="Times New Roman" w:cs="Times New Roman"/>
          <w:sz w:val="24"/>
          <w:szCs w:val="24"/>
        </w:rPr>
        <w:t>false and misleading statements</w:t>
      </w:r>
      <w:bookmarkEnd w:id="8"/>
      <w:r>
        <w:rPr>
          <w:rFonts w:ascii="Times New Roman" w:hAnsi="Times New Roman" w:cs="Times New Roman"/>
          <w:sz w:val="24"/>
          <w:szCs w:val="24"/>
        </w:rPr>
        <w:t xml:space="preserve"> concerning the safety and efficacy of the COVID-19 vaccinations. </w:t>
      </w:r>
      <w:r w:rsidR="00022970">
        <w:rPr>
          <w:rFonts w:ascii="Times New Roman" w:hAnsi="Times New Roman" w:cs="Times New Roman"/>
          <w:sz w:val="24"/>
          <w:szCs w:val="24"/>
        </w:rPr>
        <w:t xml:space="preserve">Respondent misstated the safety and efficacy of the COVID-19 vaccinations and </w:t>
      </w:r>
      <w:r w:rsidR="00041E74">
        <w:rPr>
          <w:rFonts w:ascii="Times New Roman" w:hAnsi="Times New Roman" w:cs="Times New Roman"/>
          <w:sz w:val="24"/>
          <w:szCs w:val="24"/>
        </w:rPr>
        <w:t xml:space="preserve">offered </w:t>
      </w:r>
      <w:r w:rsidR="00022970">
        <w:rPr>
          <w:rFonts w:ascii="Times New Roman" w:hAnsi="Times New Roman" w:cs="Times New Roman"/>
          <w:sz w:val="24"/>
          <w:szCs w:val="24"/>
        </w:rPr>
        <w:t xml:space="preserve">unsupported theories </w:t>
      </w:r>
      <w:r w:rsidR="00041E74">
        <w:rPr>
          <w:rFonts w:ascii="Times New Roman" w:hAnsi="Times New Roman" w:cs="Times New Roman"/>
          <w:sz w:val="24"/>
          <w:szCs w:val="24"/>
        </w:rPr>
        <w:t xml:space="preserve">to </w:t>
      </w:r>
      <w:r w:rsidR="00022970">
        <w:rPr>
          <w:rFonts w:ascii="Times New Roman" w:hAnsi="Times New Roman" w:cs="Times New Roman"/>
          <w:sz w:val="24"/>
          <w:szCs w:val="24"/>
        </w:rPr>
        <w:t>his patients in advising them not to accept any COVID-19 vaccine</w:t>
      </w:r>
      <w:r w:rsidR="00041E74">
        <w:rPr>
          <w:rFonts w:ascii="Times New Roman" w:hAnsi="Times New Roman" w:cs="Times New Roman"/>
          <w:sz w:val="24"/>
          <w:szCs w:val="24"/>
        </w:rPr>
        <w:t xml:space="preserve">. </w:t>
      </w:r>
      <w:r w:rsidR="004B34BE">
        <w:rPr>
          <w:rFonts w:ascii="Times New Roman" w:hAnsi="Times New Roman" w:cs="Times New Roman"/>
          <w:sz w:val="24"/>
          <w:szCs w:val="24"/>
        </w:rPr>
        <w:t xml:space="preserve">The Board has sanctioned misleading statements concerning specialty board certification, </w:t>
      </w:r>
      <w:r w:rsidR="004B34BE" w:rsidRPr="004B34BE">
        <w:rPr>
          <w:rFonts w:ascii="Times New Roman" w:hAnsi="Times New Roman" w:cs="Times New Roman"/>
          <w:i/>
          <w:iCs/>
          <w:sz w:val="24"/>
          <w:szCs w:val="24"/>
        </w:rPr>
        <w:t>In the Matter of Henry J. Ramini M.D.</w:t>
      </w:r>
      <w:r w:rsidR="004B34BE" w:rsidRPr="004B34BE">
        <w:rPr>
          <w:rFonts w:ascii="Times New Roman" w:hAnsi="Times New Roman" w:cs="Times New Roman"/>
          <w:sz w:val="24"/>
          <w:szCs w:val="24"/>
        </w:rPr>
        <w:t>, Adjudicatory Case No. 88-23-SU (Final Decision and Order, March 1, 1989)</w:t>
      </w:r>
      <w:r w:rsidR="00041E74">
        <w:rPr>
          <w:rFonts w:ascii="Times New Roman" w:hAnsi="Times New Roman" w:cs="Times New Roman"/>
          <w:sz w:val="24"/>
          <w:szCs w:val="24"/>
        </w:rPr>
        <w:t xml:space="preserve"> and for</w:t>
      </w:r>
      <w:r w:rsidR="004B34BE">
        <w:rPr>
          <w:rFonts w:ascii="Times New Roman" w:hAnsi="Times New Roman" w:cs="Times New Roman"/>
          <w:sz w:val="24"/>
          <w:szCs w:val="24"/>
        </w:rPr>
        <w:t xml:space="preserve"> submitting falsified documents </w:t>
      </w:r>
      <w:r w:rsidR="000A37E9">
        <w:rPr>
          <w:rFonts w:ascii="Times New Roman" w:hAnsi="Times New Roman" w:cs="Times New Roman"/>
          <w:sz w:val="24"/>
          <w:szCs w:val="24"/>
        </w:rPr>
        <w:t xml:space="preserve">with </w:t>
      </w:r>
      <w:r w:rsidR="004B34BE">
        <w:rPr>
          <w:rFonts w:ascii="Times New Roman" w:hAnsi="Times New Roman" w:cs="Times New Roman"/>
          <w:sz w:val="24"/>
          <w:szCs w:val="24"/>
        </w:rPr>
        <w:t xml:space="preserve">license applications, </w:t>
      </w:r>
      <w:r w:rsidR="000A37E9" w:rsidRPr="000A37E9">
        <w:rPr>
          <w:rFonts w:ascii="Times New Roman" w:hAnsi="Times New Roman" w:cs="Times New Roman"/>
          <w:i/>
          <w:iCs/>
          <w:color w:val="auto"/>
          <w:sz w:val="24"/>
          <w:szCs w:val="24"/>
        </w:rPr>
        <w:t>In the Matter of John R. Dungan, Jr., M.D.</w:t>
      </w:r>
      <w:r w:rsidR="000A37E9" w:rsidRPr="000A37E9">
        <w:rPr>
          <w:rFonts w:ascii="Times New Roman" w:hAnsi="Times New Roman" w:cs="Times New Roman"/>
          <w:color w:val="auto"/>
          <w:sz w:val="24"/>
          <w:szCs w:val="24"/>
        </w:rPr>
        <w:t>, Board of Registration in Medicine, Adjudicatory Case No. RM-91-1990 (Final Decision &amp; Order, April 24, 1996)</w:t>
      </w:r>
      <w:r w:rsidR="000A37E9">
        <w:rPr>
          <w:rFonts w:ascii="Times New Roman" w:hAnsi="Times New Roman" w:cs="Times New Roman"/>
          <w:color w:val="auto"/>
          <w:sz w:val="24"/>
          <w:szCs w:val="24"/>
        </w:rPr>
        <w:t xml:space="preserve">. </w:t>
      </w:r>
      <w:r w:rsidR="00B946C4">
        <w:rPr>
          <w:rFonts w:ascii="Times New Roman" w:hAnsi="Times New Roman" w:cs="Times New Roman"/>
          <w:sz w:val="24"/>
          <w:szCs w:val="24"/>
        </w:rPr>
        <w:t xml:space="preserve">Where a physician has falsely stated his specialty board credentials over time and to other entities in addition to the Board, the Board has imposed an indefinite license suspension </w:t>
      </w:r>
      <w:r w:rsidR="00041E74">
        <w:rPr>
          <w:rFonts w:ascii="Times New Roman" w:hAnsi="Times New Roman" w:cs="Times New Roman"/>
          <w:sz w:val="24"/>
          <w:szCs w:val="24"/>
        </w:rPr>
        <w:t xml:space="preserve">to be </w:t>
      </w:r>
      <w:r w:rsidR="00B946C4">
        <w:rPr>
          <w:rFonts w:ascii="Times New Roman" w:hAnsi="Times New Roman" w:cs="Times New Roman"/>
          <w:sz w:val="24"/>
          <w:szCs w:val="24"/>
        </w:rPr>
        <w:t xml:space="preserve">stayed upon entry into a Probation Agreement requiring outside monitoring, </w:t>
      </w:r>
      <w:r w:rsidR="00B946C4" w:rsidRPr="00B946C4">
        <w:rPr>
          <w:rFonts w:ascii="Times New Roman" w:hAnsi="Times New Roman" w:cs="Times New Roman"/>
          <w:i/>
          <w:iCs/>
          <w:sz w:val="24"/>
          <w:szCs w:val="24"/>
        </w:rPr>
        <w:t>In the Matter of Boris Bergus, M.D.</w:t>
      </w:r>
      <w:r w:rsidR="00B946C4" w:rsidRPr="00B946C4">
        <w:rPr>
          <w:rFonts w:ascii="Times New Roman" w:hAnsi="Times New Roman" w:cs="Times New Roman"/>
          <w:sz w:val="24"/>
          <w:szCs w:val="24"/>
        </w:rPr>
        <w:t>, Board of Registration in Medicine, Adjudicatory Case No. 2017-004 (Final Decision &amp; Order, June 27, 2019)</w:t>
      </w:r>
      <w:r w:rsidR="00B946C4">
        <w:rPr>
          <w:rFonts w:ascii="Times New Roman" w:hAnsi="Times New Roman" w:cs="Times New Roman"/>
          <w:sz w:val="24"/>
          <w:szCs w:val="24"/>
        </w:rPr>
        <w:t>.</w:t>
      </w:r>
      <w:r w:rsidR="00CA3665">
        <w:rPr>
          <w:rFonts w:ascii="Times New Roman" w:hAnsi="Times New Roman" w:cs="Times New Roman"/>
          <w:sz w:val="24"/>
          <w:szCs w:val="24"/>
        </w:rPr>
        <w:t xml:space="preserve"> </w:t>
      </w:r>
      <w:r w:rsidR="00131587">
        <w:rPr>
          <w:rFonts w:ascii="Times New Roman" w:hAnsi="Times New Roman" w:cs="Times New Roman"/>
          <w:sz w:val="24"/>
          <w:szCs w:val="24"/>
        </w:rPr>
        <w:t>Respondent’s false and misleading statements to his patients are of a different species than those typically meriting Board discipline. Arguably his misstatement of the safety and efficacy of COVID-19 vaccines are more significant to maintaining public health and safety.</w:t>
      </w:r>
    </w:p>
    <w:p w14:paraId="49F1F6C5" w14:textId="59B8F93F" w:rsidR="004601B2" w:rsidRDefault="004476E9" w:rsidP="00C14844">
      <w:pPr>
        <w:pStyle w:val="le-brm-normal-32-level"/>
        <w:spacing w:before="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addition</w:t>
      </w:r>
      <w:r w:rsidR="00B946C4">
        <w:rPr>
          <w:rFonts w:ascii="Times New Roman" w:hAnsi="Times New Roman" w:cs="Times New Roman"/>
          <w:sz w:val="24"/>
          <w:szCs w:val="24"/>
        </w:rPr>
        <w:t xml:space="preserve">, </w:t>
      </w:r>
      <w:r>
        <w:rPr>
          <w:rFonts w:ascii="Times New Roman" w:hAnsi="Times New Roman" w:cs="Times New Roman"/>
          <w:sz w:val="24"/>
          <w:szCs w:val="24"/>
        </w:rPr>
        <w:t xml:space="preserve">Respondent has not fully remediated his practice consistent with the </w:t>
      </w:r>
      <w:r w:rsidR="00CA3665">
        <w:rPr>
          <w:rFonts w:ascii="Times New Roman" w:hAnsi="Times New Roman" w:cs="Times New Roman"/>
          <w:sz w:val="24"/>
          <w:szCs w:val="24"/>
        </w:rPr>
        <w:t xml:space="preserve">RI Board’s </w:t>
      </w:r>
      <w:r>
        <w:rPr>
          <w:rFonts w:ascii="Times New Roman" w:hAnsi="Times New Roman" w:cs="Times New Roman"/>
          <w:sz w:val="24"/>
          <w:szCs w:val="24"/>
        </w:rPr>
        <w:t xml:space="preserve">April 14, July 14 and December 8, 2021 Consent Orders. </w:t>
      </w:r>
      <w:r w:rsidR="00B946C4">
        <w:rPr>
          <w:rFonts w:ascii="Times New Roman" w:hAnsi="Times New Roman" w:cs="Times New Roman"/>
          <w:sz w:val="24"/>
          <w:szCs w:val="24"/>
        </w:rPr>
        <w:t>Respondent</w:t>
      </w:r>
      <w:r w:rsidR="00C42C54">
        <w:rPr>
          <w:rFonts w:ascii="Times New Roman" w:hAnsi="Times New Roman" w:cs="Times New Roman"/>
          <w:sz w:val="24"/>
          <w:szCs w:val="24"/>
        </w:rPr>
        <w:t>’s RI license</w:t>
      </w:r>
      <w:r w:rsidR="00B946C4">
        <w:rPr>
          <w:rFonts w:ascii="Times New Roman" w:hAnsi="Times New Roman" w:cs="Times New Roman"/>
          <w:sz w:val="24"/>
          <w:szCs w:val="24"/>
        </w:rPr>
        <w:t xml:space="preserve"> </w:t>
      </w:r>
      <w:r w:rsidR="00C42C54">
        <w:rPr>
          <w:rFonts w:ascii="Times New Roman" w:hAnsi="Times New Roman" w:cs="Times New Roman"/>
          <w:sz w:val="24"/>
          <w:szCs w:val="24"/>
        </w:rPr>
        <w:t>proceeded step-</w:t>
      </w:r>
      <w:r w:rsidR="00C42C54">
        <w:rPr>
          <w:rFonts w:ascii="Times New Roman" w:hAnsi="Times New Roman" w:cs="Times New Roman"/>
          <w:sz w:val="24"/>
          <w:szCs w:val="24"/>
        </w:rPr>
        <w:lastRenderedPageBreak/>
        <w:t xml:space="preserve">wise </w:t>
      </w:r>
      <w:r w:rsidR="00A67AA9">
        <w:rPr>
          <w:rFonts w:ascii="Times New Roman" w:hAnsi="Times New Roman" w:cs="Times New Roman"/>
          <w:sz w:val="24"/>
          <w:szCs w:val="24"/>
        </w:rPr>
        <w:t xml:space="preserve">through </w:t>
      </w:r>
      <w:r w:rsidR="00C42C54">
        <w:rPr>
          <w:rFonts w:ascii="Times New Roman" w:hAnsi="Times New Roman" w:cs="Times New Roman"/>
          <w:sz w:val="24"/>
          <w:szCs w:val="24"/>
        </w:rPr>
        <w:t xml:space="preserve">increasing </w:t>
      </w:r>
      <w:r w:rsidR="00A67AA9">
        <w:rPr>
          <w:rFonts w:ascii="Times New Roman" w:hAnsi="Times New Roman" w:cs="Times New Roman"/>
          <w:sz w:val="24"/>
          <w:szCs w:val="24"/>
        </w:rPr>
        <w:t xml:space="preserve">levels of </w:t>
      </w:r>
      <w:r w:rsidR="00C42C54">
        <w:rPr>
          <w:rFonts w:ascii="Times New Roman" w:hAnsi="Times New Roman" w:cs="Times New Roman"/>
          <w:sz w:val="24"/>
          <w:szCs w:val="24"/>
        </w:rPr>
        <w:t>restrictions</w:t>
      </w:r>
      <w:r w:rsidR="00CA3665">
        <w:rPr>
          <w:rFonts w:ascii="Times New Roman" w:hAnsi="Times New Roman" w:cs="Times New Roman"/>
          <w:sz w:val="24"/>
          <w:szCs w:val="24"/>
        </w:rPr>
        <w:t>;</w:t>
      </w:r>
      <w:r w:rsidR="00C42C54">
        <w:rPr>
          <w:rFonts w:ascii="Times New Roman" w:hAnsi="Times New Roman" w:cs="Times New Roman"/>
          <w:sz w:val="24"/>
          <w:szCs w:val="24"/>
        </w:rPr>
        <w:t xml:space="preserve"> from reprimand to suspension and ultimately to surrender. </w:t>
      </w:r>
      <w:r>
        <w:rPr>
          <w:rFonts w:ascii="Times New Roman" w:hAnsi="Times New Roman" w:cs="Times New Roman"/>
          <w:sz w:val="24"/>
          <w:szCs w:val="24"/>
        </w:rPr>
        <w:t xml:space="preserve">In the </w:t>
      </w:r>
      <w:r w:rsidR="00713585">
        <w:rPr>
          <w:rFonts w:ascii="Times New Roman" w:hAnsi="Times New Roman" w:cs="Times New Roman"/>
          <w:sz w:val="24"/>
          <w:szCs w:val="24"/>
        </w:rPr>
        <w:t xml:space="preserve">April 14, 2021 Consent Order, </w:t>
      </w:r>
      <w:r>
        <w:rPr>
          <w:rFonts w:ascii="Times New Roman" w:hAnsi="Times New Roman" w:cs="Times New Roman"/>
          <w:sz w:val="24"/>
          <w:szCs w:val="24"/>
        </w:rPr>
        <w:t>Respondent agreed to complete and successfully pass the Center for Professional Education for Professionals Probe course</w:t>
      </w:r>
      <w:r w:rsidR="00713585">
        <w:rPr>
          <w:rFonts w:ascii="Times New Roman" w:hAnsi="Times New Roman" w:cs="Times New Roman"/>
          <w:sz w:val="24"/>
          <w:szCs w:val="24"/>
        </w:rPr>
        <w:t xml:space="preserve">. In the July 14, 2021 Consent Order, Respondent agreed to successfully complete a clinical competency evaluation. In the </w:t>
      </w:r>
      <w:r w:rsidR="00A67AA9">
        <w:rPr>
          <w:rFonts w:ascii="Times New Roman" w:hAnsi="Times New Roman" w:cs="Times New Roman"/>
          <w:sz w:val="24"/>
          <w:szCs w:val="24"/>
        </w:rPr>
        <w:t>December 8</w:t>
      </w:r>
      <w:r w:rsidR="00A67AA9" w:rsidRPr="00A67AA9">
        <w:rPr>
          <w:rFonts w:ascii="Times New Roman" w:hAnsi="Times New Roman" w:cs="Times New Roman"/>
          <w:sz w:val="24"/>
          <w:szCs w:val="24"/>
        </w:rPr>
        <w:t>, 2021 Consent Order</w:t>
      </w:r>
      <w:r w:rsidR="00A67AA9">
        <w:rPr>
          <w:rFonts w:ascii="Times New Roman" w:hAnsi="Times New Roman" w:cs="Times New Roman"/>
          <w:sz w:val="24"/>
          <w:szCs w:val="24"/>
        </w:rPr>
        <w:t>, Respondent admits to not passing the clinical competency evaluation required by the July 14, 2021 Consent Order</w:t>
      </w:r>
      <w:r>
        <w:rPr>
          <w:rFonts w:ascii="Times New Roman" w:hAnsi="Times New Roman" w:cs="Times New Roman"/>
          <w:sz w:val="24"/>
          <w:szCs w:val="24"/>
        </w:rPr>
        <w:t xml:space="preserve"> and </w:t>
      </w:r>
      <w:r w:rsidR="00A67AA9">
        <w:rPr>
          <w:rFonts w:ascii="Times New Roman" w:hAnsi="Times New Roman" w:cs="Times New Roman"/>
          <w:sz w:val="24"/>
          <w:szCs w:val="24"/>
        </w:rPr>
        <w:t xml:space="preserve">surrendered his license </w:t>
      </w:r>
      <w:r>
        <w:rPr>
          <w:rFonts w:ascii="Times New Roman" w:hAnsi="Times New Roman" w:cs="Times New Roman"/>
          <w:sz w:val="24"/>
          <w:szCs w:val="24"/>
        </w:rPr>
        <w:t>acknowledging he failed to complete the all the coursework, retraining and testing set forth in the prior two consent orders.</w:t>
      </w:r>
      <w:r w:rsidR="00B31F57">
        <w:rPr>
          <w:rFonts w:ascii="Times New Roman" w:hAnsi="Times New Roman" w:cs="Times New Roman"/>
          <w:sz w:val="24"/>
          <w:szCs w:val="24"/>
        </w:rPr>
        <w:t xml:space="preserve"> </w:t>
      </w:r>
      <w:r w:rsidR="00713585">
        <w:rPr>
          <w:rFonts w:ascii="Times New Roman" w:hAnsi="Times New Roman" w:cs="Times New Roman"/>
          <w:sz w:val="24"/>
          <w:szCs w:val="24"/>
        </w:rPr>
        <w:t>The Board</w:t>
      </w:r>
      <w:r w:rsidR="00C021F4">
        <w:rPr>
          <w:rFonts w:ascii="Times New Roman" w:hAnsi="Times New Roman" w:cs="Times New Roman"/>
          <w:sz w:val="24"/>
          <w:szCs w:val="24"/>
        </w:rPr>
        <w:t>,</w:t>
      </w:r>
      <w:r w:rsidR="00713585">
        <w:rPr>
          <w:rFonts w:ascii="Times New Roman" w:hAnsi="Times New Roman" w:cs="Times New Roman"/>
          <w:sz w:val="24"/>
          <w:szCs w:val="24"/>
        </w:rPr>
        <w:t xml:space="preserve"> in </w:t>
      </w:r>
      <w:r w:rsidR="00C021F4">
        <w:rPr>
          <w:rFonts w:ascii="Times New Roman" w:hAnsi="Times New Roman" w:cs="Times New Roman"/>
          <w:sz w:val="24"/>
          <w:szCs w:val="24"/>
        </w:rPr>
        <w:t>furthering its statutory mandate to protect the health, safety and welfare of Commonwealth residents, need not act as a</w:t>
      </w:r>
      <w:r w:rsidR="00CA3665">
        <w:rPr>
          <w:rFonts w:ascii="Times New Roman" w:hAnsi="Times New Roman" w:cs="Times New Roman"/>
          <w:sz w:val="24"/>
          <w:szCs w:val="24"/>
        </w:rPr>
        <w:t xml:space="preserve"> </w:t>
      </w:r>
      <w:r w:rsidR="00C021F4">
        <w:rPr>
          <w:rFonts w:ascii="Times New Roman" w:hAnsi="Times New Roman" w:cs="Times New Roman"/>
          <w:sz w:val="24"/>
          <w:szCs w:val="24"/>
        </w:rPr>
        <w:t xml:space="preserve">safe haven for physicians who avoid completing remedial requirements of out-of-state discipline and </w:t>
      </w:r>
      <w:r w:rsidR="00CA3665">
        <w:rPr>
          <w:rFonts w:ascii="Times New Roman" w:hAnsi="Times New Roman" w:cs="Times New Roman"/>
          <w:sz w:val="24"/>
          <w:szCs w:val="24"/>
        </w:rPr>
        <w:t xml:space="preserve">then </w:t>
      </w:r>
      <w:r w:rsidR="00C021F4">
        <w:rPr>
          <w:rFonts w:ascii="Times New Roman" w:hAnsi="Times New Roman" w:cs="Times New Roman"/>
          <w:sz w:val="24"/>
          <w:szCs w:val="24"/>
        </w:rPr>
        <w:t xml:space="preserve">seek to practice in Massachusetts. </w:t>
      </w:r>
      <w:r w:rsidR="00CA3665">
        <w:rPr>
          <w:rFonts w:ascii="Times New Roman" w:hAnsi="Times New Roman" w:cs="Times New Roman"/>
          <w:sz w:val="24"/>
          <w:szCs w:val="24"/>
          <w:u w:val="single"/>
        </w:rPr>
        <w:t>Compare</w:t>
      </w:r>
      <w:r w:rsidR="00C021F4">
        <w:rPr>
          <w:rFonts w:ascii="Times New Roman" w:hAnsi="Times New Roman" w:cs="Times New Roman"/>
          <w:sz w:val="24"/>
          <w:szCs w:val="24"/>
        </w:rPr>
        <w:t xml:space="preserve"> </w:t>
      </w:r>
      <w:r w:rsidR="00C021F4" w:rsidRPr="00C021F4">
        <w:rPr>
          <w:rFonts w:ascii="Times New Roman" w:hAnsi="Times New Roman" w:cs="Times New Roman"/>
          <w:i/>
          <w:iCs/>
          <w:sz w:val="24"/>
          <w:szCs w:val="24"/>
        </w:rPr>
        <w:t>Anusavice v. Board of Registration in Dentistry</w:t>
      </w:r>
      <w:r w:rsidR="00C021F4">
        <w:rPr>
          <w:rFonts w:ascii="Times New Roman" w:hAnsi="Times New Roman" w:cs="Times New Roman"/>
          <w:sz w:val="24"/>
          <w:szCs w:val="24"/>
        </w:rPr>
        <w:t xml:space="preserve">, </w:t>
      </w:r>
      <w:r w:rsidR="00C021F4" w:rsidRPr="00C021F4">
        <w:rPr>
          <w:rFonts w:ascii="Times New Roman" w:hAnsi="Times New Roman" w:cs="Times New Roman"/>
          <w:sz w:val="24"/>
          <w:szCs w:val="24"/>
        </w:rPr>
        <w:t>451 Mass. 786</w:t>
      </w:r>
      <w:r w:rsidR="00C021F4">
        <w:rPr>
          <w:rFonts w:ascii="Times New Roman" w:hAnsi="Times New Roman" w:cs="Times New Roman"/>
          <w:sz w:val="24"/>
          <w:szCs w:val="24"/>
        </w:rPr>
        <w:t>, 796 (2008)</w:t>
      </w:r>
      <w:r w:rsidR="00CA3665">
        <w:rPr>
          <w:rFonts w:ascii="Times New Roman" w:hAnsi="Times New Roman" w:cs="Times New Roman"/>
          <w:sz w:val="24"/>
          <w:szCs w:val="24"/>
        </w:rPr>
        <w:t>.</w:t>
      </w:r>
    </w:p>
    <w:p w14:paraId="5E3CE6A3" w14:textId="77777777" w:rsidR="00131587" w:rsidRDefault="00131587" w:rsidP="00C14844">
      <w:pPr>
        <w:pStyle w:val="le-brm-normal-32-level"/>
        <w:spacing w:before="0" w:after="0" w:line="360" w:lineRule="auto"/>
        <w:jc w:val="both"/>
        <w:rPr>
          <w:rFonts w:ascii="Times New Roman" w:hAnsi="Times New Roman" w:cs="Times New Roman"/>
          <w:sz w:val="24"/>
          <w:szCs w:val="24"/>
          <w:u w:val="single"/>
        </w:rPr>
      </w:pPr>
    </w:p>
    <w:p w14:paraId="4CDE7F52" w14:textId="3D39674E" w:rsidR="008A5412" w:rsidRPr="00921D9F" w:rsidRDefault="008A5412" w:rsidP="009A0AB2">
      <w:pPr>
        <w:pStyle w:val="le-brm-normal-32-level"/>
        <w:spacing w:before="0" w:after="0" w:line="360" w:lineRule="auto"/>
        <w:jc w:val="center"/>
        <w:rPr>
          <w:rFonts w:ascii="Times New Roman" w:hAnsi="Times New Roman" w:cs="Times New Roman"/>
          <w:sz w:val="24"/>
          <w:szCs w:val="24"/>
          <w:u w:val="single"/>
        </w:rPr>
      </w:pPr>
      <w:r w:rsidRPr="00921D9F">
        <w:rPr>
          <w:rFonts w:ascii="Times New Roman" w:hAnsi="Times New Roman" w:cs="Times New Roman"/>
          <w:sz w:val="24"/>
          <w:szCs w:val="24"/>
          <w:u w:val="single"/>
        </w:rPr>
        <w:t>Sanction</w:t>
      </w:r>
    </w:p>
    <w:p w14:paraId="523A6890" w14:textId="791B3479" w:rsidR="00F41A8F" w:rsidRDefault="002C3D00" w:rsidP="00C14844">
      <w:pPr>
        <w:pStyle w:val="le-brm-normal-32-level"/>
        <w:spacing w:before="0" w:after="0" w:line="360" w:lineRule="auto"/>
        <w:ind w:firstLine="720"/>
        <w:jc w:val="both"/>
        <w:rPr>
          <w:rFonts w:ascii="Times New Roman" w:hAnsi="Times New Roman"/>
          <w:sz w:val="24"/>
          <w:szCs w:val="24"/>
        </w:rPr>
      </w:pPr>
      <w:r w:rsidRPr="000B23E6">
        <w:rPr>
          <w:rFonts w:ascii="Times New Roman" w:hAnsi="Times New Roman"/>
          <w:sz w:val="24"/>
          <w:szCs w:val="24"/>
        </w:rPr>
        <w:t>Given the findings of fact</w:t>
      </w:r>
      <w:r w:rsidR="00131587">
        <w:rPr>
          <w:rFonts w:ascii="Times New Roman" w:hAnsi="Times New Roman"/>
          <w:sz w:val="24"/>
          <w:szCs w:val="24"/>
        </w:rPr>
        <w:t xml:space="preserve"> and</w:t>
      </w:r>
      <w:r w:rsidR="009F090B">
        <w:rPr>
          <w:rFonts w:ascii="Times New Roman" w:hAnsi="Times New Roman"/>
          <w:sz w:val="24"/>
          <w:szCs w:val="24"/>
        </w:rPr>
        <w:t xml:space="preserve"> </w:t>
      </w:r>
      <w:r w:rsidRPr="000B23E6">
        <w:rPr>
          <w:rFonts w:ascii="Times New Roman" w:hAnsi="Times New Roman"/>
          <w:sz w:val="24"/>
          <w:szCs w:val="24"/>
        </w:rPr>
        <w:t>conclusions</w:t>
      </w:r>
      <w:r>
        <w:rPr>
          <w:rFonts w:ascii="Times New Roman" w:hAnsi="Times New Roman"/>
          <w:sz w:val="24"/>
          <w:szCs w:val="24"/>
        </w:rPr>
        <w:t xml:space="preserve"> of law</w:t>
      </w:r>
      <w:r w:rsidR="009F090B">
        <w:rPr>
          <w:rFonts w:ascii="Times New Roman" w:hAnsi="Times New Roman"/>
          <w:sz w:val="24"/>
          <w:szCs w:val="24"/>
        </w:rPr>
        <w:t xml:space="preserve"> </w:t>
      </w:r>
      <w:r>
        <w:rPr>
          <w:rFonts w:ascii="Times New Roman" w:hAnsi="Times New Roman"/>
          <w:sz w:val="24"/>
          <w:szCs w:val="24"/>
        </w:rPr>
        <w:t xml:space="preserve">set forth </w:t>
      </w:r>
      <w:r w:rsidR="00B873E2">
        <w:rPr>
          <w:rFonts w:ascii="Times New Roman" w:hAnsi="Times New Roman"/>
          <w:sz w:val="24"/>
          <w:szCs w:val="24"/>
        </w:rPr>
        <w:t>in</w:t>
      </w:r>
      <w:r>
        <w:rPr>
          <w:rFonts w:ascii="Times New Roman" w:hAnsi="Times New Roman"/>
          <w:sz w:val="24"/>
          <w:szCs w:val="24"/>
        </w:rPr>
        <w:t xml:space="preserve"> the Recommended Decision, the Board hereby </w:t>
      </w:r>
      <w:r w:rsidR="00501B6B">
        <w:rPr>
          <w:rFonts w:ascii="Times New Roman" w:hAnsi="Times New Roman"/>
          <w:sz w:val="24"/>
          <w:szCs w:val="24"/>
        </w:rPr>
        <w:t>INDEFINITELY SUSPENDS</w:t>
      </w:r>
      <w:r>
        <w:rPr>
          <w:rFonts w:ascii="Times New Roman" w:hAnsi="Times New Roman"/>
          <w:sz w:val="24"/>
          <w:szCs w:val="24"/>
        </w:rPr>
        <w:t xml:space="preserve"> the Respondent’s </w:t>
      </w:r>
      <w:r w:rsidR="00B31F57">
        <w:rPr>
          <w:rFonts w:ascii="Times New Roman" w:hAnsi="Times New Roman"/>
          <w:sz w:val="24"/>
          <w:szCs w:val="24"/>
        </w:rPr>
        <w:t xml:space="preserve">inchoate right to renew his </w:t>
      </w:r>
      <w:r>
        <w:rPr>
          <w:rFonts w:ascii="Times New Roman" w:hAnsi="Times New Roman"/>
          <w:sz w:val="24"/>
          <w:szCs w:val="24"/>
        </w:rPr>
        <w:t>license to practice medicine</w:t>
      </w:r>
      <w:r w:rsidR="004C4489">
        <w:rPr>
          <w:rFonts w:ascii="Times New Roman" w:hAnsi="Times New Roman"/>
          <w:sz w:val="24"/>
          <w:szCs w:val="24"/>
        </w:rPr>
        <w:t>.</w:t>
      </w:r>
      <w:r w:rsidR="00FF5D46">
        <w:rPr>
          <w:rFonts w:ascii="Times New Roman" w:hAnsi="Times New Roman"/>
          <w:sz w:val="24"/>
          <w:szCs w:val="24"/>
        </w:rPr>
        <w:t xml:space="preserve"> </w:t>
      </w:r>
      <w:r w:rsidR="00501B6B">
        <w:rPr>
          <w:rFonts w:ascii="Times New Roman" w:hAnsi="Times New Roman"/>
          <w:sz w:val="24"/>
          <w:szCs w:val="24"/>
        </w:rPr>
        <w:t xml:space="preserve">Respondent may petition the Board to stay its </w:t>
      </w:r>
      <w:r w:rsidR="009A0AB2">
        <w:rPr>
          <w:rFonts w:ascii="Times New Roman" w:hAnsi="Times New Roman"/>
          <w:sz w:val="24"/>
          <w:szCs w:val="24"/>
        </w:rPr>
        <w:t>O</w:t>
      </w:r>
      <w:r w:rsidR="00501B6B">
        <w:rPr>
          <w:rFonts w:ascii="Times New Roman" w:hAnsi="Times New Roman"/>
          <w:sz w:val="24"/>
          <w:szCs w:val="24"/>
        </w:rPr>
        <w:t xml:space="preserve">rder of </w:t>
      </w:r>
      <w:r w:rsidR="00131587">
        <w:rPr>
          <w:rFonts w:ascii="Times New Roman" w:hAnsi="Times New Roman"/>
          <w:sz w:val="24"/>
          <w:szCs w:val="24"/>
        </w:rPr>
        <w:t>I</w:t>
      </w:r>
      <w:r w:rsidR="00501B6B">
        <w:rPr>
          <w:rFonts w:ascii="Times New Roman" w:hAnsi="Times New Roman"/>
          <w:sz w:val="24"/>
          <w:szCs w:val="24"/>
        </w:rPr>
        <w:t xml:space="preserve">ndefinite </w:t>
      </w:r>
      <w:r w:rsidR="00131587">
        <w:rPr>
          <w:rFonts w:ascii="Times New Roman" w:hAnsi="Times New Roman"/>
          <w:sz w:val="24"/>
          <w:szCs w:val="24"/>
        </w:rPr>
        <w:t>S</w:t>
      </w:r>
      <w:r w:rsidR="00501B6B">
        <w:rPr>
          <w:rFonts w:ascii="Times New Roman" w:hAnsi="Times New Roman"/>
          <w:sz w:val="24"/>
          <w:szCs w:val="24"/>
        </w:rPr>
        <w:t xml:space="preserve">uspension at such a time when he can demonstrate he has fully and successfully complied with the RI Discipline and </w:t>
      </w:r>
      <w:r w:rsidR="009A0AB2">
        <w:rPr>
          <w:rFonts w:ascii="Times New Roman" w:hAnsi="Times New Roman"/>
          <w:sz w:val="24"/>
          <w:szCs w:val="24"/>
        </w:rPr>
        <w:t xml:space="preserve">that </w:t>
      </w:r>
      <w:r w:rsidR="00501B6B">
        <w:rPr>
          <w:rFonts w:ascii="Times New Roman" w:hAnsi="Times New Roman"/>
          <w:sz w:val="24"/>
          <w:szCs w:val="24"/>
        </w:rPr>
        <w:t>his RI medical license is current and in good standing.</w:t>
      </w:r>
    </w:p>
    <w:p w14:paraId="25CA39D3" w14:textId="4BD67939" w:rsidR="002C3D00" w:rsidRPr="00DF68A7" w:rsidRDefault="002C3D00" w:rsidP="00C14844">
      <w:pPr>
        <w:spacing w:line="360" w:lineRule="auto"/>
        <w:ind w:firstLine="720"/>
        <w:jc w:val="both"/>
      </w:pPr>
      <w:bookmarkStart w:id="9" w:name="_Hlk135142226"/>
      <w:r>
        <w:t>T</w:t>
      </w:r>
      <w:r w:rsidRPr="00DF68A7">
        <w: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w:t>
      </w:r>
      <w:r>
        <w:t xml:space="preserve">t which </w:t>
      </w:r>
      <w:r w:rsidRPr="00DF68A7">
        <w:t>he practices medicine; any in- or out-of-state health maint</w:t>
      </w:r>
      <w:r>
        <w:t xml:space="preserve">enance organization with which </w:t>
      </w:r>
      <w:r w:rsidRPr="00DF68A7">
        <w:t>he has privileges or any other kind of association; any state agency, i</w:t>
      </w:r>
      <w:r>
        <w:t xml:space="preserve">n- or out-of-state, with which </w:t>
      </w:r>
      <w:r w:rsidRPr="00DF68A7">
        <w:t>he has a provider contract; any in- or out-of-state medical employer, whether or not he practices medicine there; the state licensing b</w:t>
      </w:r>
      <w:r>
        <w:t xml:space="preserve">oards of all states with which </w:t>
      </w:r>
      <w:r w:rsidRPr="00DF68A7">
        <w:t xml:space="preserve">he has any kind of license to practice medicine; the Drug Enforcement Administration – Boston Diversion Group; and the Massachusetts Department of Public Health Drug Control Program. The Respondent shall also provide this notification to any such </w:t>
      </w:r>
      <w:r>
        <w:t xml:space="preserve">designated entities with which </w:t>
      </w:r>
      <w:r w:rsidRPr="00DF68A7">
        <w:t>he becomes associated for the duration of this</w:t>
      </w:r>
      <w:r>
        <w:t xml:space="preserve"> </w:t>
      </w:r>
      <w:r w:rsidR="00B01F3C">
        <w:t>suspension</w:t>
      </w:r>
      <w:r w:rsidR="00EC7FCD">
        <w:t xml:space="preserve"> or subsequent Probation Agreement</w:t>
      </w:r>
      <w:r w:rsidRPr="00DF68A7">
        <w:t xml:space="preserve">. The Respondent is further directed to certify to the Board within ten (10) days that he has complied with this directive. The Board expressly reserves the authority </w:t>
      </w:r>
      <w:r w:rsidRPr="00DF68A7">
        <w:lastRenderedPageBreak/>
        <w:t>to independently notify, at any time, any of the entities designated above, or any other affected entity, of any action taken.</w:t>
      </w:r>
    </w:p>
    <w:bookmarkEnd w:id="9"/>
    <w:p w14:paraId="11272124" w14:textId="7848D69A" w:rsidR="002C3D00" w:rsidRDefault="002C3D00" w:rsidP="00C14844">
      <w:pPr>
        <w:spacing w:before="100" w:beforeAutospacing="1" w:after="100" w:afterAutospacing="1" w:line="360" w:lineRule="auto"/>
        <w:ind w:firstLine="720"/>
        <w:jc w:val="both"/>
      </w:pPr>
      <w:r w:rsidRPr="00E548EC">
        <w:t>The Respondent has the right to appeal this Final Decision and Order within thirty (30) days, pursuant to G.L. c. 30A §§14</w:t>
      </w:r>
      <w:r>
        <w:t xml:space="preserve"> and 15, and G.L. c. 112, § 64.</w:t>
      </w:r>
      <w:r w:rsidRPr="00E548EC">
        <w:t xml:space="preserve">  </w:t>
      </w:r>
      <w:r>
        <w:t xml:space="preserve">  </w:t>
      </w:r>
    </w:p>
    <w:p w14:paraId="50E691DC" w14:textId="77777777" w:rsidR="008F25C1" w:rsidRDefault="008F25C1" w:rsidP="00136E0F">
      <w:pPr>
        <w:spacing w:before="100" w:beforeAutospacing="1" w:after="100" w:afterAutospacing="1" w:line="360" w:lineRule="auto"/>
        <w:ind w:firstLine="720"/>
      </w:pPr>
    </w:p>
    <w:p w14:paraId="6DCDC99F" w14:textId="408278C3" w:rsidR="002C3D00" w:rsidRPr="00262D65" w:rsidRDefault="002C3D00" w:rsidP="008C1B57">
      <w:pPr>
        <w:pStyle w:val="BodyText"/>
        <w:rPr>
          <w:color w:val="000000"/>
          <w:u w:val="single"/>
        </w:rPr>
      </w:pPr>
      <w:r>
        <w:rPr>
          <w:color w:val="000000"/>
        </w:rPr>
        <w:t>DATE:</w:t>
      </w:r>
      <w:r>
        <w:rPr>
          <w:color w:val="000000"/>
        </w:rPr>
        <w:tab/>
        <w:t xml:space="preserve"> </w:t>
      </w:r>
      <w:r w:rsidR="008A5412">
        <w:rPr>
          <w:color w:val="000000"/>
        </w:rPr>
        <w:t>September 7</w:t>
      </w:r>
      <w:r w:rsidR="00F21D32">
        <w:rPr>
          <w:color w:val="000000"/>
        </w:rPr>
        <w:t>, 2023</w:t>
      </w:r>
      <w:r w:rsidRPr="000A15F7">
        <w:rPr>
          <w:color w:val="000000"/>
        </w:rPr>
        <w:tab/>
      </w:r>
      <w:r w:rsidRPr="000A15F7">
        <w:rPr>
          <w:color w:val="000000"/>
        </w:rPr>
        <w:tab/>
      </w:r>
      <w:r w:rsidR="0087544E">
        <w:rPr>
          <w:color w:val="000000"/>
        </w:rPr>
        <w:tab/>
      </w:r>
      <w:r w:rsidR="00262D65">
        <w:rPr>
          <w:color w:val="000000"/>
          <w:u w:val="single"/>
        </w:rPr>
        <w:t>Signed by Julian Robinson, M.D.</w:t>
      </w:r>
    </w:p>
    <w:p w14:paraId="0ABCC0D7" w14:textId="087C669B" w:rsidR="002C3D00" w:rsidRDefault="002C3D00" w:rsidP="008C1B57">
      <w:pPr>
        <w:rPr>
          <w:color w:val="000000"/>
        </w:rPr>
      </w:pPr>
      <w:r>
        <w:rPr>
          <w:color w:val="000000"/>
        </w:rPr>
        <w:tab/>
      </w:r>
      <w:r>
        <w:rPr>
          <w:color w:val="000000"/>
        </w:rPr>
        <w:tab/>
      </w:r>
      <w:r>
        <w:rPr>
          <w:color w:val="000000"/>
        </w:rPr>
        <w:tab/>
      </w:r>
      <w:r>
        <w:rPr>
          <w:color w:val="000000"/>
        </w:rPr>
        <w:tab/>
      </w:r>
      <w:r>
        <w:rPr>
          <w:color w:val="000000"/>
        </w:rPr>
        <w:tab/>
      </w:r>
      <w:r w:rsidR="002B4930">
        <w:rPr>
          <w:color w:val="000000"/>
        </w:rPr>
        <w:tab/>
      </w:r>
      <w:r w:rsidR="00F21D32">
        <w:rPr>
          <w:color w:val="000000"/>
        </w:rPr>
        <w:t>Julian Robinson, M.D.</w:t>
      </w:r>
    </w:p>
    <w:p w14:paraId="453CF906" w14:textId="47603CEB" w:rsidR="000A609B" w:rsidRDefault="002C3D00" w:rsidP="008C1B57">
      <w:r>
        <w:rPr>
          <w:color w:val="000000"/>
        </w:rPr>
        <w:tab/>
      </w:r>
      <w:r>
        <w:rPr>
          <w:color w:val="000000"/>
        </w:rPr>
        <w:tab/>
      </w:r>
      <w:r>
        <w:rPr>
          <w:color w:val="000000"/>
        </w:rPr>
        <w:tab/>
      </w:r>
      <w:r>
        <w:rPr>
          <w:color w:val="000000"/>
        </w:rPr>
        <w:tab/>
      </w:r>
      <w:r>
        <w:rPr>
          <w:color w:val="000000"/>
        </w:rPr>
        <w:tab/>
      </w:r>
      <w:r w:rsidR="002B4930">
        <w:rPr>
          <w:color w:val="000000"/>
        </w:rPr>
        <w:tab/>
      </w:r>
      <w:r>
        <w:rPr>
          <w:color w:val="000000"/>
        </w:rPr>
        <w:t>Chair</w:t>
      </w:r>
    </w:p>
    <w:sectPr w:rsidR="000A609B" w:rsidSect="00156004">
      <w:footerReference w:type="default" r:id="rId6"/>
      <w:footerReference w:type="first" r:id="rId7"/>
      <w:pgSz w:w="12240" w:h="15840" w:code="1"/>
      <w:pgMar w:top="1440" w:right="1440" w:bottom="1440" w:left="1440"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9A772" w14:textId="77777777" w:rsidR="002A1C72" w:rsidRDefault="002A1C72" w:rsidP="000A0C3C">
      <w:r>
        <w:separator/>
      </w:r>
    </w:p>
  </w:endnote>
  <w:endnote w:type="continuationSeparator" w:id="0">
    <w:p w14:paraId="7DF13CE2" w14:textId="77777777" w:rsidR="002A1C72" w:rsidRDefault="002A1C72" w:rsidP="000A0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839391842"/>
      <w:docPartObj>
        <w:docPartGallery w:val="Page Numbers (Bottom of Page)"/>
        <w:docPartUnique/>
      </w:docPartObj>
    </w:sdtPr>
    <w:sdtEndPr>
      <w:rPr>
        <w:noProof/>
        <w:sz w:val="24"/>
        <w:szCs w:val="24"/>
      </w:rPr>
    </w:sdtEndPr>
    <w:sdtContent>
      <w:p w14:paraId="10F611B6" w14:textId="13455C8C" w:rsidR="00156004" w:rsidRDefault="00156004">
        <w:pPr>
          <w:pStyle w:val="Footer"/>
          <w:jc w:val="center"/>
        </w:pPr>
        <w:r w:rsidRPr="00156004">
          <w:rPr>
            <w:sz w:val="20"/>
            <w:szCs w:val="20"/>
          </w:rPr>
          <w:fldChar w:fldCharType="begin"/>
        </w:r>
        <w:r w:rsidRPr="00156004">
          <w:rPr>
            <w:sz w:val="20"/>
            <w:szCs w:val="20"/>
          </w:rPr>
          <w:instrText xml:space="preserve"> PAGE   \* MERGEFORMAT </w:instrText>
        </w:r>
        <w:r w:rsidRPr="00156004">
          <w:rPr>
            <w:sz w:val="20"/>
            <w:szCs w:val="20"/>
          </w:rPr>
          <w:fldChar w:fldCharType="separate"/>
        </w:r>
        <w:r w:rsidRPr="00156004">
          <w:rPr>
            <w:noProof/>
            <w:sz w:val="20"/>
            <w:szCs w:val="20"/>
          </w:rPr>
          <w:t>2</w:t>
        </w:r>
        <w:r w:rsidRPr="00156004">
          <w:rPr>
            <w:noProof/>
            <w:sz w:val="20"/>
            <w:szCs w:val="20"/>
          </w:rPr>
          <w:fldChar w:fldCharType="end"/>
        </w:r>
      </w:p>
    </w:sdtContent>
  </w:sdt>
  <w:p w14:paraId="00E7604A" w14:textId="77777777" w:rsidR="00156004" w:rsidRDefault="00156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113844"/>
      <w:docPartObj>
        <w:docPartGallery w:val="Page Numbers (Bottom of Page)"/>
        <w:docPartUnique/>
      </w:docPartObj>
    </w:sdtPr>
    <w:sdtEndPr>
      <w:rPr>
        <w:noProof/>
      </w:rPr>
    </w:sdtEndPr>
    <w:sdtContent>
      <w:p w14:paraId="5E959A6F" w14:textId="5BA14BC1" w:rsidR="00156004" w:rsidRDefault="00000000">
        <w:pPr>
          <w:pStyle w:val="Footer"/>
          <w:jc w:val="center"/>
        </w:pPr>
      </w:p>
    </w:sdtContent>
  </w:sdt>
  <w:p w14:paraId="4026014A" w14:textId="77777777" w:rsidR="00156004" w:rsidRDefault="00156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1F342" w14:textId="77777777" w:rsidR="002A1C72" w:rsidRDefault="002A1C72" w:rsidP="000A0C3C">
      <w:r>
        <w:separator/>
      </w:r>
    </w:p>
  </w:footnote>
  <w:footnote w:type="continuationSeparator" w:id="0">
    <w:p w14:paraId="43C809D6" w14:textId="77777777" w:rsidR="002A1C72" w:rsidRDefault="002A1C72" w:rsidP="000A0C3C">
      <w:r>
        <w:continuationSeparator/>
      </w:r>
    </w:p>
  </w:footnote>
  <w:footnote w:id="1">
    <w:p w14:paraId="0E00D670" w14:textId="40DE0DD6" w:rsidR="00480E60" w:rsidRDefault="00480E60">
      <w:pPr>
        <w:pStyle w:val="FootnoteText"/>
      </w:pPr>
      <w:r>
        <w:rPr>
          <w:rStyle w:val="FootnoteReference"/>
        </w:rPr>
        <w:footnoteRef/>
      </w:r>
      <w:r>
        <w:t xml:space="preserve"> For clarity, RI Discipline includes the RI Board’s Consent Order issued April 14, 2021, the Consent Order issued July 14, 2021 and the Consent Order issued December 8, 2021. </w:t>
      </w:r>
    </w:p>
  </w:footnote>
  <w:footnote w:id="2">
    <w:p w14:paraId="4252E770" w14:textId="77777777" w:rsidR="00C901CC" w:rsidRDefault="00C901CC" w:rsidP="00C901CC">
      <w:pPr>
        <w:pStyle w:val="FootnoteText"/>
      </w:pPr>
      <w:r>
        <w:rPr>
          <w:rStyle w:val="FootnoteReference"/>
        </w:rPr>
        <w:footnoteRef/>
      </w:r>
      <w:r>
        <w:t xml:space="preserve"> “</w:t>
      </w:r>
      <w:r w:rsidRPr="00D85CA3">
        <w:t>in violation of R.</w:t>
      </w:r>
      <w:r>
        <w:t>I</w:t>
      </w:r>
      <w:r w:rsidRPr="00D85CA3">
        <w:t>. Gen. Laws</w:t>
      </w:r>
      <w:r>
        <w:t xml:space="preserve"> </w:t>
      </w:r>
      <w:r w:rsidRPr="00D85CA3">
        <w:t>§ 5-37-5.1(19) by sending unsolicited letters to his patients advising them not to receive any of the COVID vaccinations for a variety of</w:t>
      </w:r>
      <w:r>
        <w:t xml:space="preserve"> </w:t>
      </w:r>
      <w:r w:rsidRPr="00D85CA3">
        <w:t>reasons that he later admitted were false claims and that revealed his lack of exp</w:t>
      </w:r>
      <w:r>
        <w:t>ert</w:t>
      </w:r>
      <w:r w:rsidRPr="00D85CA3">
        <w:t>ise in the field and even a basic understanding of molecular biology.</w:t>
      </w:r>
      <w:r>
        <w:t>”</w:t>
      </w:r>
    </w:p>
  </w:footnote>
  <w:footnote w:id="3">
    <w:p w14:paraId="205164F4" w14:textId="60827A0C" w:rsidR="0092784D" w:rsidRDefault="0092784D">
      <w:pPr>
        <w:pStyle w:val="FootnoteText"/>
      </w:pPr>
      <w:r>
        <w:rPr>
          <w:rStyle w:val="FootnoteReference"/>
        </w:rPr>
        <w:footnoteRef/>
      </w:r>
      <w:r>
        <w:t xml:space="preserve"> 243 CMR 1.03(5)(a)(3)</w:t>
      </w:r>
    </w:p>
  </w:footnote>
  <w:footnote w:id="4">
    <w:p w14:paraId="1B463446" w14:textId="5FC8CE91" w:rsidR="00026546" w:rsidRDefault="00026546">
      <w:pPr>
        <w:pStyle w:val="FootnoteText"/>
      </w:pPr>
      <w:r>
        <w:rPr>
          <w:rStyle w:val="FootnoteReference"/>
        </w:rPr>
        <w:footnoteRef/>
      </w:r>
      <w:r>
        <w:t xml:space="preserve"> </w:t>
      </w:r>
      <w:r w:rsidRPr="00026546">
        <w:t>243 CMR 1.03(5)(a)(10)</w:t>
      </w:r>
      <w:r>
        <w:t>.</w:t>
      </w:r>
    </w:p>
  </w:footnote>
  <w:footnote w:id="5">
    <w:p w14:paraId="64C2F819" w14:textId="04CCA57F" w:rsidR="00026546" w:rsidRDefault="00026546">
      <w:pPr>
        <w:pStyle w:val="FootnoteText"/>
      </w:pPr>
      <w:r>
        <w:rPr>
          <w:rStyle w:val="FootnoteReference"/>
        </w:rPr>
        <w:footnoteRef/>
      </w:r>
      <w:r>
        <w:t xml:space="preserve"> </w:t>
      </w:r>
      <w:r w:rsidRPr="00026546">
        <w:t>G.L. c. 112, § 61(5)</w:t>
      </w:r>
      <w:r>
        <w:t>.</w:t>
      </w:r>
    </w:p>
  </w:footnote>
  <w:footnote w:id="6">
    <w:p w14:paraId="4572F162" w14:textId="70F4D480" w:rsidR="00026546" w:rsidRDefault="00026546">
      <w:pPr>
        <w:pStyle w:val="FootnoteText"/>
      </w:pPr>
      <w:r>
        <w:rPr>
          <w:rStyle w:val="FootnoteReference"/>
        </w:rPr>
        <w:footnoteRef/>
      </w:r>
      <w:r>
        <w:t xml:space="preserve"> </w:t>
      </w:r>
      <w:r w:rsidRPr="00026546">
        <w:rPr>
          <w:i/>
          <w:iCs/>
        </w:rPr>
        <w:t>Levy v. Board of Registration in Medicine</w:t>
      </w:r>
      <w:r w:rsidRPr="00026546">
        <w:t xml:space="preserve">, 378 Mass. 519 (1979) and </w:t>
      </w:r>
      <w:r w:rsidRPr="00026546">
        <w:rPr>
          <w:i/>
          <w:iCs/>
        </w:rPr>
        <w:t>Raymond v. Board of Registration in Medicine</w:t>
      </w:r>
      <w:r w:rsidRPr="00026546">
        <w:t>, 378 Mass. 709 (1982)</w:t>
      </w:r>
      <w:r>
        <w:t>. The recognized articulation of this basis of discipline is “</w:t>
      </w:r>
      <w:r w:rsidRPr="00026546">
        <w:t>undermines the public confidence in the</w:t>
      </w:r>
      <w:r>
        <w:t xml:space="preserve"> integrity of the</w:t>
      </w:r>
      <w:r w:rsidRPr="00026546">
        <w:t xml:space="preserve"> medical profession</w:t>
      </w:r>
      <w:r>
        <w:t>.”</w:t>
      </w:r>
    </w:p>
  </w:footnote>
  <w:footnote w:id="7">
    <w:p w14:paraId="65FDC24E" w14:textId="4F92C54A" w:rsidR="00911EAF" w:rsidRDefault="00911EAF">
      <w:pPr>
        <w:pStyle w:val="FootnoteText"/>
      </w:pPr>
      <w:r>
        <w:rPr>
          <w:rStyle w:val="FootnoteReference"/>
        </w:rPr>
        <w:footnoteRef/>
      </w:r>
      <w:r>
        <w:t xml:space="preserve"> </w:t>
      </w:r>
      <w:r w:rsidR="00025264" w:rsidRPr="00025264">
        <w:t>243 CMR 1.03(5)(a)(3)</w:t>
      </w:r>
      <w:r w:rsidR="00025264">
        <w:t>.</w:t>
      </w:r>
    </w:p>
  </w:footnote>
  <w:footnote w:id="8">
    <w:p w14:paraId="07007B58" w14:textId="57E2EA2F" w:rsidR="001416FA" w:rsidRDefault="001416FA" w:rsidP="001416FA">
      <w:pPr>
        <w:pStyle w:val="FootnoteText"/>
      </w:pPr>
      <w:r>
        <w:rPr>
          <w:rStyle w:val="FootnoteReference"/>
        </w:rPr>
        <w:footnoteRef/>
      </w:r>
      <w:r>
        <w:t xml:space="preserve"> </w:t>
      </w:r>
      <w:r w:rsidR="00F91E31" w:rsidRPr="00F91E31">
        <w:t xml:space="preserve">On the opposite end of the spectrum, the Board has censured a physician’s license for misstating credentials after considering mitigating factors, </w:t>
      </w:r>
      <w:r w:rsidR="00F91E31" w:rsidRPr="00F91E31">
        <w:rPr>
          <w:u w:val="single"/>
        </w:rPr>
        <w:t>see</w:t>
      </w:r>
      <w:r w:rsidR="00F91E31" w:rsidRPr="00F91E31">
        <w:t xml:space="preserve"> </w:t>
      </w:r>
      <w:r w:rsidR="00F91E31" w:rsidRPr="00F91E31">
        <w:rPr>
          <w:i/>
          <w:iCs/>
        </w:rPr>
        <w:t>In the Matter of Gloria Johnson-Powell, M.D.</w:t>
      </w:r>
      <w:r w:rsidR="00F91E31" w:rsidRPr="00F91E31">
        <w:t xml:space="preserve">, Board of Registration in Medicine, Adjudicatory Case No. 99-05-30C (Consent Order, March 3, 1999). The Board has imposed a reprimand in cases where repeat misrepresentation of credentials is evident. </w:t>
      </w:r>
      <w:r w:rsidR="00F91E31" w:rsidRPr="00F91E31">
        <w:rPr>
          <w:i/>
          <w:iCs/>
        </w:rPr>
        <w:t>In the Matter of Henry J. Ramini M.D.</w:t>
      </w:r>
      <w:r w:rsidR="00F91E31" w:rsidRPr="00F91E31">
        <w:t>, Adjudicatory Case No. 88-23-SU (Final Decision and Order, March 1, 1989) (reprimand, $10,000 fine</w:t>
      </w:r>
      <w:r w:rsidR="00041E74">
        <w:t xml:space="preserve"> and </w:t>
      </w:r>
      <w:r w:rsidR="00F91E31" w:rsidRPr="00F91E31">
        <w:t>100 hours of public service to be performed within one year)</w:t>
      </w:r>
      <w:r w:rsidRPr="00B9165A">
        <w:t>.</w:t>
      </w:r>
    </w:p>
  </w:footnote>
  <w:footnote w:id="9">
    <w:p w14:paraId="11735C91" w14:textId="2600D957" w:rsidR="00501B6B" w:rsidRDefault="00501B6B">
      <w:pPr>
        <w:pStyle w:val="FootnoteText"/>
      </w:pPr>
      <w:r>
        <w:rPr>
          <w:rStyle w:val="FootnoteReference"/>
        </w:rPr>
        <w:footnoteRef/>
      </w:r>
      <w:r>
        <w:t xml:space="preserve">  The Board has disciplined substandard patient care with sanctions ranging from reprimand to revocation. </w:t>
      </w:r>
      <w:r w:rsidRPr="00D62EC1">
        <w:t xml:space="preserve">Where there has been substantial deviation from the standard of care and multiple patients involved, the Board has determined that revocation is appropriate. </w:t>
      </w:r>
      <w:r w:rsidRPr="00D62EC1">
        <w:rPr>
          <w:u w:val="single"/>
        </w:rPr>
        <w:t>See</w:t>
      </w:r>
      <w:r w:rsidRPr="00D62EC1">
        <w:t xml:space="preserve"> </w:t>
      </w:r>
      <w:r w:rsidRPr="00D62EC1">
        <w:rPr>
          <w:i/>
          <w:iCs/>
        </w:rPr>
        <w:t xml:space="preserve">In the Matter of Viorel </w:t>
      </w:r>
      <w:bookmarkStart w:id="7" w:name="_Hlk142306737"/>
      <w:r w:rsidRPr="00D62EC1">
        <w:rPr>
          <w:i/>
          <w:iCs/>
        </w:rPr>
        <w:t>Boborodea</w:t>
      </w:r>
      <w:bookmarkEnd w:id="7"/>
      <w:r w:rsidRPr="00D62EC1">
        <w:rPr>
          <w:i/>
          <w:iCs/>
        </w:rPr>
        <w:t>, M.D.</w:t>
      </w:r>
      <w:r w:rsidRPr="00D62EC1">
        <w:t xml:space="preserve">, Board of Registration in Medicine, Adjudicatory Case No. 04-61-DALA (Final Decision &amp; Order, March 15, 2006)(revocation, five patients involved). </w:t>
      </w:r>
      <w:r>
        <w:t>I</w:t>
      </w:r>
      <w:r w:rsidRPr="00D62EC1">
        <w:t xml:space="preserve">n cases where the </w:t>
      </w:r>
      <w:r>
        <w:t>departure</w:t>
      </w:r>
      <w:r w:rsidRPr="00D62EC1">
        <w:t xml:space="preserve"> from the standard of care is less severe, but repeated and more than one patient is involved, the Board has determined that suspension from practice is the appropriate sanction, with a return to practice conditioned upon entry into a probation agreement requiring monitoring. </w:t>
      </w:r>
      <w:r w:rsidRPr="00D62EC1">
        <w:rPr>
          <w:u w:val="single"/>
        </w:rPr>
        <w:t>See</w:t>
      </w:r>
      <w:r w:rsidRPr="00D62EC1">
        <w:t xml:space="preserve"> </w:t>
      </w:r>
      <w:r w:rsidRPr="00D62EC1">
        <w:rPr>
          <w:i/>
          <w:iCs/>
        </w:rPr>
        <w:t>In the Matter N. Raj Birudavol, M.D.</w:t>
      </w:r>
      <w:r w:rsidRPr="00D62EC1">
        <w:t>, Board of Registration in Medicine, Adjudicatory Case No. 02-16-DALA (Final Decision &amp; Order, July 21, 2004)(suspension stayed conditioned on entering Probation Agreement based on substandard care of four patients over three years)</w:t>
      </w:r>
      <w:r>
        <w:t>.</w:t>
      </w:r>
      <w:r w:rsidRPr="00413791">
        <w:t xml:space="preserve"> </w:t>
      </w:r>
      <w:r>
        <w:t>Where</w:t>
      </w:r>
      <w:r w:rsidRPr="00413791">
        <w:t xml:space="preserve"> there </w:t>
      </w:r>
      <w:r w:rsidR="00131587">
        <w:t>are</w:t>
      </w:r>
      <w:r w:rsidRPr="00413791">
        <w:t xml:space="preserve"> </w:t>
      </w:r>
      <w:r>
        <w:t xml:space="preserve">multiple instances of </w:t>
      </w:r>
      <w:r w:rsidRPr="00413791">
        <w:t>substandard care or negligence when treating one patient, the Board has often imposed a reprimand</w:t>
      </w:r>
      <w:r>
        <w:t>.</w:t>
      </w:r>
      <w:r w:rsidR="00131587">
        <w:t xml:space="preserve"> </w:t>
      </w:r>
      <w:r w:rsidR="00131587" w:rsidRPr="00131587">
        <w:rPr>
          <w:u w:val="single"/>
        </w:rPr>
        <w:t>See</w:t>
      </w:r>
      <w:r>
        <w:t xml:space="preserve"> </w:t>
      </w:r>
      <w:r w:rsidRPr="00217190">
        <w:rPr>
          <w:i/>
          <w:iCs/>
        </w:rPr>
        <w:t>In the Matter of Debra Little, M.D.</w:t>
      </w:r>
      <w:r>
        <w:t xml:space="preserve">, Adjudicatory Case No. </w:t>
      </w:r>
      <w:r w:rsidRPr="005D0A62">
        <w:t>2017-038</w:t>
      </w:r>
      <w:r>
        <w:t xml:space="preserve"> (Final Decision &amp; Order, December 2, 2021).</w:t>
      </w:r>
    </w:p>
  </w:footnote>
  <w:footnote w:id="10">
    <w:p w14:paraId="3CD4DFB5" w14:textId="77777777" w:rsidR="00D62EC1" w:rsidRDefault="00D62EC1" w:rsidP="00D62EC1">
      <w:pPr>
        <w:pStyle w:val="FootnoteText"/>
      </w:pPr>
      <w:r>
        <w:rPr>
          <w:rStyle w:val="FootnoteReference"/>
        </w:rPr>
        <w:footnoteRef/>
      </w:r>
      <w:r>
        <w:t xml:space="preserve">  “</w:t>
      </w:r>
      <w:r w:rsidRPr="000E5954">
        <w:t>The Respondent's fraud, violations of G.L. c. 94C, refusal to cooperate with the Board, and inadequate record keeping are sufficient, in and of themselves, to merit revocation of the Respondent's license, but in addition, the Respondent has engaged in fraudulent conduct to conceal that he has failed to maintain required medical malpractice. Such uninsured practice exposes patients to unacceptable risk, and is not permitted</w:t>
      </w:r>
      <w:r>
        <w:t>.”</w:t>
      </w:r>
    </w:p>
  </w:footnote>
  <w:footnote w:id="11">
    <w:p w14:paraId="628F2006" w14:textId="29728C83" w:rsidR="00C14844" w:rsidRPr="00C14844" w:rsidRDefault="00C14844">
      <w:pPr>
        <w:pStyle w:val="FootnoteText"/>
      </w:pPr>
      <w:r>
        <w:rPr>
          <w:rStyle w:val="FootnoteReference"/>
        </w:rPr>
        <w:footnoteRef/>
      </w:r>
      <w:r>
        <w:t xml:space="preserve"> </w:t>
      </w:r>
      <w:r w:rsidRPr="00C14844">
        <w:rPr>
          <w:i/>
          <w:iCs/>
        </w:rPr>
        <w:t>In the Matter of Yashwant S. Chaudhri, M.D.</w:t>
      </w:r>
      <w:r w:rsidRPr="00C14844">
        <w:t>, Board of Registration in Medicine, Adjudicatory Case No. 2021-008 (Consent Order, October 22, 2022)(reprimand premised on California discipline for failure to properly maintain a patient record).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2E4"/>
    <w:rsid w:val="00022970"/>
    <w:rsid w:val="00025264"/>
    <w:rsid w:val="00026546"/>
    <w:rsid w:val="00030672"/>
    <w:rsid w:val="00035066"/>
    <w:rsid w:val="00041E74"/>
    <w:rsid w:val="0005082D"/>
    <w:rsid w:val="00053F7B"/>
    <w:rsid w:val="00081DAE"/>
    <w:rsid w:val="000831C3"/>
    <w:rsid w:val="000922CB"/>
    <w:rsid w:val="000A0C3C"/>
    <w:rsid w:val="000A207B"/>
    <w:rsid w:val="000A37E9"/>
    <w:rsid w:val="000A609B"/>
    <w:rsid w:val="000B47ED"/>
    <w:rsid w:val="000B77DA"/>
    <w:rsid w:val="000F4DB7"/>
    <w:rsid w:val="00130459"/>
    <w:rsid w:val="00131587"/>
    <w:rsid w:val="001364C0"/>
    <w:rsid w:val="00136E0F"/>
    <w:rsid w:val="00137E20"/>
    <w:rsid w:val="001416FA"/>
    <w:rsid w:val="0015075B"/>
    <w:rsid w:val="00156004"/>
    <w:rsid w:val="0017520B"/>
    <w:rsid w:val="00181156"/>
    <w:rsid w:val="00185A8C"/>
    <w:rsid w:val="00191B0E"/>
    <w:rsid w:val="00197D64"/>
    <w:rsid w:val="001A7B43"/>
    <w:rsid w:val="001C0FCA"/>
    <w:rsid w:val="001F1539"/>
    <w:rsid w:val="001F49A6"/>
    <w:rsid w:val="00207DC5"/>
    <w:rsid w:val="00217190"/>
    <w:rsid w:val="0023263B"/>
    <w:rsid w:val="00262D65"/>
    <w:rsid w:val="002679BD"/>
    <w:rsid w:val="002751B2"/>
    <w:rsid w:val="00280C36"/>
    <w:rsid w:val="002A1C72"/>
    <w:rsid w:val="002A62A5"/>
    <w:rsid w:val="002B4930"/>
    <w:rsid w:val="002C3D00"/>
    <w:rsid w:val="002E756C"/>
    <w:rsid w:val="002F0E69"/>
    <w:rsid w:val="002F7DCA"/>
    <w:rsid w:val="0033219D"/>
    <w:rsid w:val="00337C7A"/>
    <w:rsid w:val="003513CA"/>
    <w:rsid w:val="00374B86"/>
    <w:rsid w:val="00386D45"/>
    <w:rsid w:val="003A7650"/>
    <w:rsid w:val="003B6DC5"/>
    <w:rsid w:val="003C2B42"/>
    <w:rsid w:val="003D4E46"/>
    <w:rsid w:val="003E2604"/>
    <w:rsid w:val="00402F14"/>
    <w:rsid w:val="00407D1E"/>
    <w:rsid w:val="00410483"/>
    <w:rsid w:val="00413791"/>
    <w:rsid w:val="00435E26"/>
    <w:rsid w:val="004476E9"/>
    <w:rsid w:val="004601B2"/>
    <w:rsid w:val="00460F25"/>
    <w:rsid w:val="004804F2"/>
    <w:rsid w:val="00480E60"/>
    <w:rsid w:val="00481EE4"/>
    <w:rsid w:val="00485C43"/>
    <w:rsid w:val="004A0F11"/>
    <w:rsid w:val="004A1EDA"/>
    <w:rsid w:val="004A2257"/>
    <w:rsid w:val="004A4BD2"/>
    <w:rsid w:val="004A762F"/>
    <w:rsid w:val="004B34BE"/>
    <w:rsid w:val="004C4489"/>
    <w:rsid w:val="00501B6B"/>
    <w:rsid w:val="00507FF1"/>
    <w:rsid w:val="00522B9A"/>
    <w:rsid w:val="00522F71"/>
    <w:rsid w:val="00543C91"/>
    <w:rsid w:val="005C2FC7"/>
    <w:rsid w:val="005C4049"/>
    <w:rsid w:val="005D0A62"/>
    <w:rsid w:val="005D2795"/>
    <w:rsid w:val="005E7115"/>
    <w:rsid w:val="005F7550"/>
    <w:rsid w:val="00604D8E"/>
    <w:rsid w:val="00606F50"/>
    <w:rsid w:val="00620586"/>
    <w:rsid w:val="006318EE"/>
    <w:rsid w:val="0063350F"/>
    <w:rsid w:val="00680431"/>
    <w:rsid w:val="00690287"/>
    <w:rsid w:val="006B7CB9"/>
    <w:rsid w:val="006D1133"/>
    <w:rsid w:val="006D7A9F"/>
    <w:rsid w:val="006E1678"/>
    <w:rsid w:val="006F4F73"/>
    <w:rsid w:val="00703741"/>
    <w:rsid w:val="00713585"/>
    <w:rsid w:val="00714C4C"/>
    <w:rsid w:val="007422BD"/>
    <w:rsid w:val="007521F6"/>
    <w:rsid w:val="0076375F"/>
    <w:rsid w:val="007774D1"/>
    <w:rsid w:val="0078769E"/>
    <w:rsid w:val="00793DE0"/>
    <w:rsid w:val="007943CD"/>
    <w:rsid w:val="007D23F5"/>
    <w:rsid w:val="007D3258"/>
    <w:rsid w:val="00824878"/>
    <w:rsid w:val="008357CC"/>
    <w:rsid w:val="00840620"/>
    <w:rsid w:val="008545E4"/>
    <w:rsid w:val="0087544E"/>
    <w:rsid w:val="00886FC8"/>
    <w:rsid w:val="008A2C31"/>
    <w:rsid w:val="008A5412"/>
    <w:rsid w:val="008A7D9C"/>
    <w:rsid w:val="008C1B57"/>
    <w:rsid w:val="008F25C1"/>
    <w:rsid w:val="00904C13"/>
    <w:rsid w:val="00910457"/>
    <w:rsid w:val="00911EAF"/>
    <w:rsid w:val="00914AF3"/>
    <w:rsid w:val="0092784D"/>
    <w:rsid w:val="00936592"/>
    <w:rsid w:val="009454D6"/>
    <w:rsid w:val="009502E4"/>
    <w:rsid w:val="0098069C"/>
    <w:rsid w:val="00986061"/>
    <w:rsid w:val="009959F2"/>
    <w:rsid w:val="009A0AB2"/>
    <w:rsid w:val="009B1287"/>
    <w:rsid w:val="009D6C84"/>
    <w:rsid w:val="009E5E27"/>
    <w:rsid w:val="009F090B"/>
    <w:rsid w:val="009F7BAD"/>
    <w:rsid w:val="00A1252F"/>
    <w:rsid w:val="00A31B66"/>
    <w:rsid w:val="00A343DC"/>
    <w:rsid w:val="00A3653C"/>
    <w:rsid w:val="00A642FF"/>
    <w:rsid w:val="00A67AA9"/>
    <w:rsid w:val="00A8160F"/>
    <w:rsid w:val="00A95887"/>
    <w:rsid w:val="00AA578C"/>
    <w:rsid w:val="00AB01C4"/>
    <w:rsid w:val="00B01F3C"/>
    <w:rsid w:val="00B0309A"/>
    <w:rsid w:val="00B27D86"/>
    <w:rsid w:val="00B31F57"/>
    <w:rsid w:val="00B37DAF"/>
    <w:rsid w:val="00B46BB4"/>
    <w:rsid w:val="00B536BE"/>
    <w:rsid w:val="00B5754B"/>
    <w:rsid w:val="00B61743"/>
    <w:rsid w:val="00B806EF"/>
    <w:rsid w:val="00B873E2"/>
    <w:rsid w:val="00B93383"/>
    <w:rsid w:val="00B946C4"/>
    <w:rsid w:val="00B948A1"/>
    <w:rsid w:val="00BB14EF"/>
    <w:rsid w:val="00BD0CF5"/>
    <w:rsid w:val="00BF0887"/>
    <w:rsid w:val="00C021F4"/>
    <w:rsid w:val="00C0355C"/>
    <w:rsid w:val="00C14844"/>
    <w:rsid w:val="00C213A0"/>
    <w:rsid w:val="00C42C54"/>
    <w:rsid w:val="00C562BE"/>
    <w:rsid w:val="00C6069E"/>
    <w:rsid w:val="00C77EED"/>
    <w:rsid w:val="00C901CC"/>
    <w:rsid w:val="00CA3665"/>
    <w:rsid w:val="00CA6F2A"/>
    <w:rsid w:val="00CB0C95"/>
    <w:rsid w:val="00CC34B5"/>
    <w:rsid w:val="00CD034D"/>
    <w:rsid w:val="00CD7196"/>
    <w:rsid w:val="00CE1ED9"/>
    <w:rsid w:val="00CE2F2B"/>
    <w:rsid w:val="00CF0744"/>
    <w:rsid w:val="00CF0766"/>
    <w:rsid w:val="00CF1E75"/>
    <w:rsid w:val="00CF62EB"/>
    <w:rsid w:val="00D152E2"/>
    <w:rsid w:val="00D155BD"/>
    <w:rsid w:val="00D53F11"/>
    <w:rsid w:val="00D62EC1"/>
    <w:rsid w:val="00D664D7"/>
    <w:rsid w:val="00D75711"/>
    <w:rsid w:val="00D82647"/>
    <w:rsid w:val="00D84CAE"/>
    <w:rsid w:val="00D85CA3"/>
    <w:rsid w:val="00DA7138"/>
    <w:rsid w:val="00DB2BFD"/>
    <w:rsid w:val="00DD5E2C"/>
    <w:rsid w:val="00DE17FA"/>
    <w:rsid w:val="00DE6F0F"/>
    <w:rsid w:val="00E60661"/>
    <w:rsid w:val="00E63A7A"/>
    <w:rsid w:val="00E826F6"/>
    <w:rsid w:val="00E83E9E"/>
    <w:rsid w:val="00EB4A7A"/>
    <w:rsid w:val="00EC7FCD"/>
    <w:rsid w:val="00ED55BE"/>
    <w:rsid w:val="00EE1CC6"/>
    <w:rsid w:val="00EE25DA"/>
    <w:rsid w:val="00EE62B3"/>
    <w:rsid w:val="00EF311E"/>
    <w:rsid w:val="00EF7DBA"/>
    <w:rsid w:val="00F051ED"/>
    <w:rsid w:val="00F1783D"/>
    <w:rsid w:val="00F21D32"/>
    <w:rsid w:val="00F22DCC"/>
    <w:rsid w:val="00F24622"/>
    <w:rsid w:val="00F3375D"/>
    <w:rsid w:val="00F41A8F"/>
    <w:rsid w:val="00F50268"/>
    <w:rsid w:val="00F64F82"/>
    <w:rsid w:val="00F71492"/>
    <w:rsid w:val="00F86190"/>
    <w:rsid w:val="00F91E31"/>
    <w:rsid w:val="00FA193F"/>
    <w:rsid w:val="00FA5B24"/>
    <w:rsid w:val="00FB6324"/>
    <w:rsid w:val="00FB7A63"/>
    <w:rsid w:val="00FD0FA1"/>
    <w:rsid w:val="00FE3496"/>
    <w:rsid w:val="00FE44E9"/>
    <w:rsid w:val="00FF5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2268E52B"/>
  <w15:docId w15:val="{676009D2-2467-4473-86B0-65A618CC1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center"/>
      <w:outlineLvl w:val="1"/>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753"/>
    </w:pPr>
    <w:rPr>
      <w:color w:val="000000"/>
      <w:szCs w:val="26"/>
    </w:rPr>
  </w:style>
  <w:style w:type="paragraph" w:styleId="BodyText">
    <w:name w:val="Body Text"/>
    <w:basedOn w:val="Normal"/>
    <w:link w:val="BodyTextChar"/>
    <w:rsid w:val="002C3D00"/>
    <w:rPr>
      <w:szCs w:val="20"/>
    </w:rPr>
  </w:style>
  <w:style w:type="character" w:customStyle="1" w:styleId="BodyTextChar">
    <w:name w:val="Body Text Char"/>
    <w:basedOn w:val="DefaultParagraphFont"/>
    <w:link w:val="BodyText"/>
    <w:rsid w:val="002C3D00"/>
    <w:rPr>
      <w:sz w:val="24"/>
    </w:rPr>
  </w:style>
  <w:style w:type="paragraph" w:customStyle="1" w:styleId="le-brm-normal-32-level">
    <w:name w:val="le-brm-normal-32-level"/>
    <w:basedOn w:val="Normal"/>
    <w:rsid w:val="002C3D00"/>
    <w:pPr>
      <w:spacing w:before="20" w:after="20"/>
    </w:pPr>
    <w:rPr>
      <w:rFonts w:ascii="Courier New" w:hAnsi="Courier New" w:cs="Courier New"/>
      <w:color w:val="000000"/>
      <w:sz w:val="20"/>
      <w:szCs w:val="20"/>
    </w:rPr>
  </w:style>
  <w:style w:type="paragraph" w:styleId="FootnoteText">
    <w:name w:val="footnote text"/>
    <w:basedOn w:val="Normal"/>
    <w:link w:val="FootnoteTextChar"/>
    <w:uiPriority w:val="99"/>
    <w:rsid w:val="000A0C3C"/>
    <w:rPr>
      <w:sz w:val="20"/>
      <w:szCs w:val="20"/>
    </w:rPr>
  </w:style>
  <w:style w:type="character" w:customStyle="1" w:styleId="FootnoteTextChar">
    <w:name w:val="Footnote Text Char"/>
    <w:basedOn w:val="DefaultParagraphFont"/>
    <w:link w:val="FootnoteText"/>
    <w:uiPriority w:val="99"/>
    <w:rsid w:val="000A0C3C"/>
  </w:style>
  <w:style w:type="character" w:styleId="FootnoteReference">
    <w:name w:val="footnote reference"/>
    <w:basedOn w:val="DefaultParagraphFont"/>
    <w:uiPriority w:val="99"/>
    <w:rsid w:val="000A0C3C"/>
    <w:rPr>
      <w:vertAlign w:val="superscript"/>
    </w:rPr>
  </w:style>
  <w:style w:type="paragraph" w:styleId="Header">
    <w:name w:val="header"/>
    <w:basedOn w:val="Normal"/>
    <w:link w:val="HeaderChar"/>
    <w:unhideWhenUsed/>
    <w:rsid w:val="00156004"/>
    <w:pPr>
      <w:tabs>
        <w:tab w:val="center" w:pos="4680"/>
        <w:tab w:val="right" w:pos="9360"/>
      </w:tabs>
    </w:pPr>
  </w:style>
  <w:style w:type="character" w:customStyle="1" w:styleId="HeaderChar">
    <w:name w:val="Header Char"/>
    <w:basedOn w:val="DefaultParagraphFont"/>
    <w:link w:val="Header"/>
    <w:rsid w:val="00156004"/>
    <w:rPr>
      <w:sz w:val="24"/>
      <w:szCs w:val="24"/>
    </w:rPr>
  </w:style>
  <w:style w:type="paragraph" w:styleId="Footer">
    <w:name w:val="footer"/>
    <w:basedOn w:val="Normal"/>
    <w:link w:val="FooterChar"/>
    <w:uiPriority w:val="99"/>
    <w:unhideWhenUsed/>
    <w:rsid w:val="00156004"/>
    <w:pPr>
      <w:tabs>
        <w:tab w:val="center" w:pos="4680"/>
        <w:tab w:val="right" w:pos="9360"/>
      </w:tabs>
    </w:pPr>
  </w:style>
  <w:style w:type="character" w:customStyle="1" w:styleId="FooterChar">
    <w:name w:val="Footer Char"/>
    <w:basedOn w:val="DefaultParagraphFont"/>
    <w:link w:val="Footer"/>
    <w:uiPriority w:val="99"/>
    <w:rsid w:val="00156004"/>
    <w:rPr>
      <w:sz w:val="24"/>
      <w:szCs w:val="24"/>
    </w:rPr>
  </w:style>
  <w:style w:type="paragraph" w:styleId="Revision">
    <w:name w:val="Revision"/>
    <w:hidden/>
    <w:uiPriority w:val="99"/>
    <w:semiHidden/>
    <w:rsid w:val="007037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1684</Words>
  <Characters>9601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BORIM</dc:creator>
  <cp:lastModifiedBy>LaPointe, Donald (DPH)</cp:lastModifiedBy>
  <cp:revision>7</cp:revision>
  <cp:lastPrinted>2023-03-24T16:53:00Z</cp:lastPrinted>
  <dcterms:created xsi:type="dcterms:W3CDTF">2023-08-25T21:02:00Z</dcterms:created>
  <dcterms:modified xsi:type="dcterms:W3CDTF">2023-09-18T18:20:00Z</dcterms:modified>
</cp:coreProperties>
</file>