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51CCD" w14:textId="0EA67747" w:rsidR="00202590" w:rsidRPr="00022F93" w:rsidRDefault="00202590">
      <w:pPr>
        <w:pStyle w:val="Title"/>
        <w:rPr>
          <w:rFonts w:ascii="Times New Roman" w:hAnsi="Times New Roman" w:cs="Times New Roman"/>
          <w:b w:val="0"/>
          <w:sz w:val="24"/>
          <w:szCs w:val="24"/>
        </w:rPr>
      </w:pPr>
      <w:r w:rsidRPr="00022F93">
        <w:rPr>
          <w:rFonts w:ascii="Times New Roman" w:hAnsi="Times New Roman" w:cs="Times New Roman"/>
          <w:b w:val="0"/>
          <w:sz w:val="24"/>
          <w:szCs w:val="24"/>
        </w:rPr>
        <w:t>COMMONWEALTH OF MASSACHUSETTS</w:t>
      </w:r>
    </w:p>
    <w:p w14:paraId="7A9ECEF1" w14:textId="77777777" w:rsidR="00202590" w:rsidRDefault="00202590"/>
    <w:p w14:paraId="7DBBBD5B" w14:textId="77777777" w:rsidR="00202590" w:rsidRDefault="008831E1">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14:paraId="265C49F1" w14:textId="77777777" w:rsidR="00202590" w:rsidRDefault="00202590"/>
    <w:p w14:paraId="3D8D5C05" w14:textId="4B5251A0" w:rsidR="00202590" w:rsidRDefault="00202590">
      <w:pPr>
        <w:ind w:left="3600" w:firstLine="720"/>
      </w:pPr>
      <w:r>
        <w:tab/>
        <w:t>Adj</w:t>
      </w:r>
      <w:r w:rsidR="00C00F70">
        <w:t>udicatory</w:t>
      </w:r>
      <w:r w:rsidR="00B6433B">
        <w:t xml:space="preserve"> </w:t>
      </w:r>
      <w:r>
        <w:t xml:space="preserve">Case No: </w:t>
      </w:r>
      <w:r w:rsidR="004A56C7">
        <w:t>20</w:t>
      </w:r>
      <w:r w:rsidR="00CB13B6">
        <w:t>2</w:t>
      </w:r>
      <w:r w:rsidR="0043065D">
        <w:t>3</w:t>
      </w:r>
      <w:r w:rsidR="00CB13B6">
        <w:t>-02</w:t>
      </w:r>
      <w:r w:rsidR="0043065D">
        <w:t>7</w:t>
      </w:r>
    </w:p>
    <w:p w14:paraId="731011DE" w14:textId="2AA8FD54" w:rsidR="00202590" w:rsidRDefault="00202590">
      <w:r>
        <w:t>________________________</w:t>
      </w:r>
      <w:r w:rsidR="0043065D">
        <w:tab/>
      </w:r>
      <w:r w:rsidR="0043065D">
        <w:tab/>
      </w:r>
      <w:r w:rsidR="0043065D">
        <w:tab/>
      </w:r>
      <w:r w:rsidR="0043065D">
        <w:tab/>
        <w:t>(RM-23-0367)</w:t>
      </w:r>
    </w:p>
    <w:p w14:paraId="4A8A5A9F" w14:textId="77777777" w:rsidR="00202590" w:rsidRDefault="00202590">
      <w:r>
        <w:tab/>
      </w:r>
      <w:r>
        <w:tab/>
      </w:r>
      <w:r>
        <w:tab/>
      </w:r>
      <w:r>
        <w:tab/>
        <w:t>)</w:t>
      </w:r>
      <w:r>
        <w:tab/>
      </w:r>
    </w:p>
    <w:p w14:paraId="38C37209" w14:textId="77777777" w:rsidR="00202590" w:rsidRDefault="00202590">
      <w:r>
        <w:t>In the Matter of</w:t>
      </w:r>
      <w:r>
        <w:tab/>
      </w:r>
      <w:r>
        <w:tab/>
        <w:t>)</w:t>
      </w:r>
    </w:p>
    <w:p w14:paraId="3CFA88CE" w14:textId="77777777" w:rsidR="00202590" w:rsidRPr="006374FC" w:rsidRDefault="00202590">
      <w:pPr>
        <w:rPr>
          <w:u w:val="single"/>
        </w:rPr>
      </w:pPr>
      <w:r>
        <w:tab/>
      </w:r>
      <w:r>
        <w:tab/>
      </w:r>
      <w:r>
        <w:tab/>
      </w:r>
      <w:r>
        <w:tab/>
        <w:t>)</w:t>
      </w:r>
      <w:r>
        <w:tab/>
      </w:r>
      <w:r>
        <w:tab/>
      </w:r>
      <w:r w:rsidR="00C00F70">
        <w:tab/>
      </w:r>
      <w:r w:rsidR="00A43757" w:rsidRPr="006374FC">
        <w:rPr>
          <w:u w:val="single"/>
        </w:rPr>
        <w:t>Final Decision and Order</w:t>
      </w:r>
    </w:p>
    <w:p w14:paraId="725F0FE3" w14:textId="4C8902FE" w:rsidR="00202590" w:rsidRDefault="0043065D">
      <w:r>
        <w:t>Mavis Jaworski</w:t>
      </w:r>
      <w:r w:rsidR="005E667B">
        <w:t xml:space="preserve">, </w:t>
      </w:r>
      <w:r w:rsidR="00202590">
        <w:t xml:space="preserve">M.D. </w:t>
      </w:r>
      <w:r w:rsidR="00202590">
        <w:tab/>
        <w:t>)</w:t>
      </w:r>
    </w:p>
    <w:p w14:paraId="43F17B7D" w14:textId="77777777" w:rsidR="00202590" w:rsidRDefault="00202590">
      <w:r>
        <w:t>________________________)</w:t>
      </w:r>
    </w:p>
    <w:p w14:paraId="221B4659" w14:textId="77777777" w:rsidR="00866515" w:rsidRDefault="00866515"/>
    <w:p w14:paraId="60ECA850" w14:textId="77777777" w:rsidR="00D56F12" w:rsidRDefault="00D56F12" w:rsidP="00C41A84">
      <w:pPr>
        <w:pStyle w:val="le-brm-normal-32-level"/>
        <w:spacing w:line="480" w:lineRule="auto"/>
        <w:rPr>
          <w:rFonts w:ascii="Times New Roman" w:hAnsi="Times New Roman"/>
          <w:sz w:val="24"/>
          <w:szCs w:val="24"/>
        </w:rPr>
      </w:pPr>
    </w:p>
    <w:p w14:paraId="318A0945" w14:textId="77777777" w:rsidR="00D56F12" w:rsidRDefault="00D56F12" w:rsidP="00D56F12">
      <w:pPr>
        <w:spacing w:line="480" w:lineRule="auto"/>
        <w:jc w:val="center"/>
        <w:rPr>
          <w:u w:val="single"/>
        </w:rPr>
      </w:pPr>
      <w:r>
        <w:rPr>
          <w:u w:val="single"/>
        </w:rPr>
        <w:t>Procedural History</w:t>
      </w:r>
    </w:p>
    <w:p w14:paraId="0381A7DE" w14:textId="7B268ABF" w:rsidR="004341F6" w:rsidRDefault="00D56F12" w:rsidP="00087A04">
      <w:pPr>
        <w:spacing w:line="360" w:lineRule="auto"/>
        <w:ind w:firstLine="720"/>
      </w:pPr>
      <w:r>
        <w:t>The Board initiated this matter by issuing</w:t>
      </w:r>
      <w:r w:rsidR="005E4A09">
        <w:t xml:space="preserve"> a </w:t>
      </w:r>
      <w:r>
        <w:t xml:space="preserve">Statement of Allegations </w:t>
      </w:r>
      <w:r w:rsidR="005427C4">
        <w:t xml:space="preserve">(SOA) </w:t>
      </w:r>
      <w:r>
        <w:t xml:space="preserve">against </w:t>
      </w:r>
      <w:r w:rsidR="0043065D">
        <w:t>Mavis Jaworski</w:t>
      </w:r>
      <w:r w:rsidR="005E4A09">
        <w:t xml:space="preserve">, M.D. (“Respondent”) </w:t>
      </w:r>
      <w:r>
        <w:t xml:space="preserve">on </w:t>
      </w:r>
      <w:r w:rsidR="0043065D">
        <w:t>June 13, 2023</w:t>
      </w:r>
      <w:r>
        <w:t xml:space="preserve"> and referring the matter to the Division of Administrative Law Appeals (DALA).  </w:t>
      </w:r>
      <w:r w:rsidR="005E4A09">
        <w:t xml:space="preserve">A copy of the </w:t>
      </w:r>
      <w:r w:rsidR="005427C4">
        <w:t>SOA</w:t>
      </w:r>
      <w:r w:rsidR="005E4A09">
        <w:t xml:space="preserve"> is attached hereto and incorporated by reference.  </w:t>
      </w:r>
      <w:r w:rsidR="0043065D">
        <w:t>On July 27, 2023, the DALA Administrative Magistrate, John G. Wheatley. issued a Notice of a Pre-Hearing Conference for September 12, 2023.  Following the Respondent’s failure to appear at the Pre-Hearing Conference, the DALA Administrative Magistrate</w:t>
      </w:r>
      <w:r w:rsidR="00F01103">
        <w:t>, on September 13, 2023,</w:t>
      </w:r>
      <w:r w:rsidR="0043065D">
        <w:t xml:space="preserve"> issued an Order to Show Cause</w:t>
      </w:r>
      <w:r w:rsidR="00F01103">
        <w:t xml:space="preserve"> why the Respondent should not be found in default.</w:t>
      </w:r>
      <w:r w:rsidR="005E4A09">
        <w:t xml:space="preserve">  On November </w:t>
      </w:r>
      <w:r w:rsidR="00F01103">
        <w:t>8</w:t>
      </w:r>
      <w:r w:rsidR="005E4A09">
        <w:t>, 202</w:t>
      </w:r>
      <w:r w:rsidR="00F01103">
        <w:t>3</w:t>
      </w:r>
      <w:r w:rsidR="005E4A09">
        <w:t xml:space="preserve">, </w:t>
      </w:r>
      <w:r w:rsidR="004341F6">
        <w:t>having received no response from</w:t>
      </w:r>
      <w:r w:rsidR="00F01103">
        <w:t xml:space="preserve"> the</w:t>
      </w:r>
      <w:r w:rsidR="004341F6">
        <w:t xml:space="preserve"> Respondent</w:t>
      </w:r>
      <w:r w:rsidR="00F01103">
        <w:t>,</w:t>
      </w:r>
      <w:r w:rsidR="004341F6">
        <w:t xml:space="preserve"> </w:t>
      </w:r>
      <w:r w:rsidR="005E4A09">
        <w:t xml:space="preserve">the DALA </w:t>
      </w:r>
      <w:r w:rsidR="008C33DF" w:rsidRPr="001217ED">
        <w:t xml:space="preserve">Administrative Magistrate </w:t>
      </w:r>
      <w:r w:rsidR="005E4A09">
        <w:t>issued a</w:t>
      </w:r>
      <w:r w:rsidR="00F01103">
        <w:t xml:space="preserve"> </w:t>
      </w:r>
      <w:r w:rsidR="008C33DF" w:rsidRPr="001217ED">
        <w:t xml:space="preserve">Recommended Decision, </w:t>
      </w:r>
      <w:r w:rsidR="008C33DF">
        <w:t xml:space="preserve">which found </w:t>
      </w:r>
      <w:r w:rsidR="005E4A09">
        <w:t xml:space="preserve">the </w:t>
      </w:r>
      <w:r w:rsidR="008C33DF">
        <w:t>Respondent</w:t>
      </w:r>
      <w:r w:rsidR="005E4A09">
        <w:t xml:space="preserve"> to be</w:t>
      </w:r>
      <w:r w:rsidR="008C33DF">
        <w:t xml:space="preserve"> in default</w:t>
      </w:r>
      <w:r w:rsidR="005E4A09">
        <w:t xml:space="preserve"> and recommending that the Board </w:t>
      </w:r>
      <w:r w:rsidR="00087A04">
        <w:t>impose such discipline as it deems appropriate.</w:t>
      </w:r>
    </w:p>
    <w:p w14:paraId="433E0686" w14:textId="4B83353B" w:rsidR="001D3FC4" w:rsidRPr="001D3FC4" w:rsidRDefault="00087A04" w:rsidP="001D3FC4">
      <w:pPr>
        <w:spacing w:line="360" w:lineRule="auto"/>
        <w:ind w:firstLine="720"/>
      </w:pPr>
      <w:r>
        <w:t>After full consideration of the Recommended Decision, which is attached hereto and incorporated by reference, the Board adopts the Recommended Decision</w:t>
      </w:r>
      <w:r w:rsidR="00170456">
        <w:t xml:space="preserve"> </w:t>
      </w:r>
      <w:r w:rsidR="001D3FC4">
        <w:t xml:space="preserve">that </w:t>
      </w:r>
      <w:r w:rsidR="00170456">
        <w:t>find</w:t>
      </w:r>
      <w:r w:rsidR="001D3FC4">
        <w:t>s</w:t>
      </w:r>
      <w:r w:rsidR="00170456">
        <w:t xml:space="preserve"> the Respondent to be in default and </w:t>
      </w:r>
      <w:r w:rsidR="001D3FC4">
        <w:t>the allegations in the SOA to therefore be deemed admitted</w:t>
      </w:r>
      <w:r w:rsidRPr="00BE570B">
        <w:rPr>
          <w:i/>
          <w:iCs/>
        </w:rPr>
        <w:t>.  See Danca Corp. v. Raytheon Co.</w:t>
      </w:r>
      <w:r>
        <w:t>, 28 Mass. App. Ct. 942, 943, 550 N.E.2d 402, 403 (1990).</w:t>
      </w:r>
      <w:r w:rsidRPr="001217ED">
        <w:t> </w:t>
      </w:r>
    </w:p>
    <w:p w14:paraId="5F192571" w14:textId="77777777" w:rsidR="001D3FC4" w:rsidRDefault="001D3FC4" w:rsidP="003A01E2">
      <w:pPr>
        <w:tabs>
          <w:tab w:val="left" w:pos="0"/>
        </w:tabs>
        <w:spacing w:after="200" w:line="480" w:lineRule="auto"/>
        <w:contextualSpacing/>
        <w:jc w:val="center"/>
        <w:rPr>
          <w:u w:val="single"/>
        </w:rPr>
      </w:pPr>
    </w:p>
    <w:p w14:paraId="0C9771D7" w14:textId="039DFDAA" w:rsidR="008C33DF" w:rsidRDefault="00C128B4" w:rsidP="003A01E2">
      <w:pPr>
        <w:tabs>
          <w:tab w:val="left" w:pos="0"/>
        </w:tabs>
        <w:spacing w:after="200" w:line="480" w:lineRule="auto"/>
        <w:contextualSpacing/>
        <w:jc w:val="center"/>
      </w:pPr>
      <w:r>
        <w:rPr>
          <w:u w:val="single"/>
        </w:rPr>
        <w:t xml:space="preserve">Discussion and </w:t>
      </w:r>
      <w:r w:rsidR="008C33DF" w:rsidRPr="00456B65">
        <w:rPr>
          <w:u w:val="single"/>
        </w:rPr>
        <w:t>Sanction</w:t>
      </w:r>
    </w:p>
    <w:p w14:paraId="28F70997" w14:textId="4E533D8E" w:rsidR="00DC573C" w:rsidRDefault="008C33DF" w:rsidP="00242AE2">
      <w:pPr>
        <w:spacing w:line="360" w:lineRule="auto"/>
      </w:pPr>
      <w:r>
        <w:tab/>
      </w:r>
      <w:r w:rsidR="00DC573C">
        <w:t>The Respondent’s failure</w:t>
      </w:r>
      <w:r w:rsidR="00C00F70">
        <w:t xml:space="preserve"> to </w:t>
      </w:r>
      <w:r w:rsidR="00222F98">
        <w:t xml:space="preserve">file an Answer, to </w:t>
      </w:r>
      <w:r w:rsidR="00C00F70" w:rsidRPr="008C33DF">
        <w:t xml:space="preserve">appear for </w:t>
      </w:r>
      <w:r w:rsidR="00C00F70">
        <w:t>a</w:t>
      </w:r>
      <w:r w:rsidR="00C00F70" w:rsidRPr="008C33DF">
        <w:t xml:space="preserve"> scheduled </w:t>
      </w:r>
      <w:r w:rsidR="003A01E2">
        <w:t>pre</w:t>
      </w:r>
      <w:r w:rsidR="00C00F70" w:rsidRPr="008C33DF">
        <w:t>hearing</w:t>
      </w:r>
      <w:r w:rsidR="00C00F70">
        <w:t xml:space="preserve"> at DALA</w:t>
      </w:r>
      <w:r w:rsidR="00C00F70" w:rsidRPr="008C33DF">
        <w:t xml:space="preserve">, </w:t>
      </w:r>
      <w:r w:rsidR="00C70482">
        <w:t xml:space="preserve">and </w:t>
      </w:r>
      <w:r w:rsidR="00C00F70">
        <w:t xml:space="preserve">to </w:t>
      </w:r>
      <w:r w:rsidR="00972698">
        <w:t>respond to the Order to Show Cause</w:t>
      </w:r>
      <w:r w:rsidR="00222F98">
        <w:t xml:space="preserve">, in addition to her failure to provide the </w:t>
      </w:r>
      <w:r w:rsidR="00222F98">
        <w:lastRenderedPageBreak/>
        <w:t>Board with requested information in connection with its investigation of three complaints against her,</w:t>
      </w:r>
      <w:r w:rsidR="00C00F70">
        <w:t xml:space="preserve"> </w:t>
      </w:r>
      <w:r w:rsidR="00DC573C">
        <w:t>demonstrate h</w:t>
      </w:r>
      <w:r w:rsidR="00222F98">
        <w:t>er</w:t>
      </w:r>
      <w:r w:rsidR="00DC573C">
        <w:t xml:space="preserve"> utter disregard for the Board’s statutory mandate. </w:t>
      </w:r>
      <w:r w:rsidR="00C70482">
        <w:t xml:space="preserve"> </w:t>
      </w:r>
      <w:r w:rsidR="00DC573C">
        <w:t xml:space="preserve">In order for the Board to fulfill its mission to protect the public, a physician’s cooperation is essential.  By failing to respond to the serious allegations against </w:t>
      </w:r>
      <w:r w:rsidR="00C00F70">
        <w:t>h</w:t>
      </w:r>
      <w:r w:rsidR="00615589">
        <w:t>er</w:t>
      </w:r>
      <w:r w:rsidR="00DC573C">
        <w:t xml:space="preserve">, the Respondent hindered the Board’s efforts to fulfill its mission.  </w:t>
      </w:r>
      <w:r w:rsidR="00DC573C" w:rsidRPr="00504015">
        <w:rPr>
          <w:u w:val="single"/>
        </w:rPr>
        <w:t>See</w:t>
      </w:r>
      <w:r w:rsidR="00DC573C">
        <w:t xml:space="preserve"> </w:t>
      </w:r>
      <w:r w:rsidR="00DC573C" w:rsidRPr="00C70482">
        <w:rPr>
          <w:iCs/>
          <w:u w:val="single"/>
        </w:rPr>
        <w:t>In the Matter of Mark M. Kowalski, M.D.</w:t>
      </w:r>
      <w:r w:rsidR="00DC573C">
        <w:t xml:space="preserve">, </w:t>
      </w:r>
      <w:r w:rsidR="000F3020">
        <w:t xml:space="preserve">Board of Registration in Medicine, </w:t>
      </w:r>
      <w:r w:rsidR="00DC573C">
        <w:t xml:space="preserve">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  </w:t>
      </w:r>
    </w:p>
    <w:p w14:paraId="118FC6B6" w14:textId="779045FE" w:rsidR="00717C7C" w:rsidRDefault="00717C7C" w:rsidP="00242AE2">
      <w:pPr>
        <w:tabs>
          <w:tab w:val="left" w:pos="0"/>
        </w:tabs>
        <w:spacing w:line="360" w:lineRule="auto"/>
      </w:pPr>
      <w:r>
        <w:tab/>
        <w:t xml:space="preserve">The Board has historically imposed license revocation when there is a determination of default.  </w:t>
      </w:r>
      <w:r w:rsidRPr="00F7794D">
        <w:rPr>
          <w:u w:val="single"/>
        </w:rPr>
        <w:t>See</w:t>
      </w:r>
      <w:r w:rsidR="000832CC">
        <w:t xml:space="preserve"> </w:t>
      </w:r>
      <w:r w:rsidR="000832CC" w:rsidRPr="000832CC">
        <w:rPr>
          <w:u w:val="single"/>
        </w:rPr>
        <w:t>In the Matter of Thomas W. Stinson, M.D.</w:t>
      </w:r>
      <w:r w:rsidR="000832CC">
        <w:t>,</w:t>
      </w:r>
      <w:r>
        <w:t xml:space="preserve"> </w:t>
      </w:r>
      <w:r w:rsidR="005B25E7">
        <w:t xml:space="preserve">Board of Registration in Medicine, </w:t>
      </w:r>
      <w:r w:rsidR="000832CC">
        <w:t>Adjudicatory Case No. 2022-024</w:t>
      </w:r>
      <w:r w:rsidR="00FE6F58">
        <w:t xml:space="preserve"> (Final Decision</w:t>
      </w:r>
      <w:r w:rsidR="00887B4F">
        <w:t xml:space="preserve"> a</w:t>
      </w:r>
      <w:r w:rsidR="00FE6F58">
        <w:t xml:space="preserve">nd Order, February 2, 2023)(revocation for a physician who </w:t>
      </w:r>
      <w:r w:rsidR="00887B4F">
        <w:t xml:space="preserve">also </w:t>
      </w:r>
      <w:r w:rsidR="00FE6F58">
        <w:t xml:space="preserve">admitted that he failed to check the </w:t>
      </w:r>
      <w:proofErr w:type="spellStart"/>
      <w:r w:rsidR="00887B4F">
        <w:t>MassPat</w:t>
      </w:r>
      <w:proofErr w:type="spellEnd"/>
      <w:r w:rsidR="00887B4F">
        <w:t xml:space="preserve"> system before prescribing to his patients</w:t>
      </w:r>
      <w:r w:rsidR="004B3EF9">
        <w:t>)</w:t>
      </w:r>
      <w:r w:rsidR="00887B4F">
        <w:t>;</w:t>
      </w:r>
      <w:r w:rsidR="005B25E7">
        <w:t xml:space="preserve"> </w:t>
      </w:r>
      <w:r w:rsidR="005B25E7" w:rsidRPr="005B25E7">
        <w:rPr>
          <w:u w:val="single"/>
        </w:rPr>
        <w:t>In the Matter of Abebe Haregewoin, M.D.</w:t>
      </w:r>
      <w:r w:rsidR="005B25E7" w:rsidRPr="005B25E7">
        <w:t>,</w:t>
      </w:r>
      <w:r w:rsidR="00887B4F" w:rsidRPr="005B25E7">
        <w:t xml:space="preserve"> </w:t>
      </w:r>
      <w:r w:rsidR="005B25E7">
        <w:t xml:space="preserve">Board of Registration in Medicine, Adjudicatory Case No. 2020-051 (Final Decision and Order, November 4, 2021)(revocation for physician whose license was also reprimanded in Maryland for </w:t>
      </w:r>
      <w:r w:rsidR="000202D9">
        <w:t xml:space="preserve">pre-signing blank prescriptions and allowing an unlicensed person to complete them for Suboxone and buprenorphine); and </w:t>
      </w:r>
      <w:r w:rsidRPr="00F7794D">
        <w:rPr>
          <w:u w:val="single"/>
        </w:rPr>
        <w:t>In the Matter of Paul M. Willette, M.D.</w:t>
      </w:r>
      <w:r>
        <w:t xml:space="preserve">, Board of Registration in Medicine, Adjudicatory Case No. 2017-035 (Final Decision and Order, September 13, 2018)(revocation for physician whose license was </w:t>
      </w:r>
      <w:r w:rsidR="000202D9">
        <w:t xml:space="preserve">also </w:t>
      </w:r>
      <w:r>
        <w:t>revoked in New Mexico for failure to provide emergency care, for fraudulent medical records and billing for services never rendered, being disruptive with staff, and failure to access prescription monitoring reports for 8-10 patients)</w:t>
      </w:r>
      <w:r w:rsidR="000202D9">
        <w:t xml:space="preserve">. </w:t>
      </w:r>
      <w:r>
        <w:t>In these cases, the Board reasoned that a default demonstrates a physician’s utter disregard for the Board’s statutory mandate, preventing the Board from investigating the allegations concerning his or her misconduct.</w:t>
      </w:r>
    </w:p>
    <w:p w14:paraId="05C57CA3" w14:textId="43AEAF82" w:rsidR="000832CC" w:rsidRPr="006F4852" w:rsidRDefault="00717C7C" w:rsidP="00242AE2">
      <w:pPr>
        <w:pStyle w:val="le-brm-normal-32-level"/>
        <w:spacing w:before="0" w:after="0" w:line="360" w:lineRule="auto"/>
        <w:ind w:firstLine="720"/>
        <w:rPr>
          <w:rFonts w:asciiTheme="majorBidi" w:hAnsiTheme="majorBidi" w:cstheme="majorBidi"/>
          <w:sz w:val="24"/>
          <w:szCs w:val="24"/>
        </w:rPr>
      </w:pPr>
      <w:r>
        <w:rPr>
          <w:rFonts w:ascii="Times New Roman" w:hAnsi="Times New Roman"/>
          <w:sz w:val="24"/>
          <w:szCs w:val="24"/>
        </w:rPr>
        <w:t xml:space="preserve">As to the </w:t>
      </w:r>
      <w:r w:rsidR="00615589">
        <w:rPr>
          <w:rFonts w:ascii="Times New Roman" w:hAnsi="Times New Roman"/>
          <w:sz w:val="24"/>
          <w:szCs w:val="24"/>
        </w:rPr>
        <w:t>fraudulent procurement of her license renewal</w:t>
      </w:r>
      <w:r>
        <w:rPr>
          <w:rFonts w:ascii="Times New Roman" w:hAnsi="Times New Roman"/>
          <w:sz w:val="24"/>
          <w:szCs w:val="24"/>
        </w:rPr>
        <w:t xml:space="preserve">, </w:t>
      </w:r>
      <w:r w:rsidR="00615589">
        <w:rPr>
          <w:rFonts w:ascii="Times New Roman" w:hAnsi="Times New Roman"/>
          <w:sz w:val="24"/>
          <w:szCs w:val="24"/>
        </w:rPr>
        <w:t xml:space="preserve">it is now deemed admitted that the </w:t>
      </w:r>
      <w:r>
        <w:rPr>
          <w:rFonts w:ascii="Times New Roman" w:hAnsi="Times New Roman"/>
          <w:sz w:val="24"/>
          <w:szCs w:val="24"/>
        </w:rPr>
        <w:t xml:space="preserve">Respondent’s </w:t>
      </w:r>
      <w:r w:rsidR="00615589">
        <w:rPr>
          <w:rFonts w:ascii="Times New Roman" w:hAnsi="Times New Roman"/>
          <w:sz w:val="24"/>
          <w:szCs w:val="24"/>
        </w:rPr>
        <w:t>falsely stated that she was certified by the American Board of Medical Specialties in Family Medicine and falsely answered “no” in response to the question on the renewal form which inquired whether she was awar</w:t>
      </w:r>
      <w:r w:rsidR="000832CC">
        <w:rPr>
          <w:rFonts w:ascii="Times New Roman" w:hAnsi="Times New Roman"/>
          <w:sz w:val="24"/>
          <w:szCs w:val="24"/>
        </w:rPr>
        <w:t>e</w:t>
      </w:r>
      <w:r w:rsidR="00615589">
        <w:rPr>
          <w:rFonts w:ascii="Times New Roman" w:hAnsi="Times New Roman"/>
          <w:sz w:val="24"/>
          <w:szCs w:val="24"/>
        </w:rPr>
        <w:t xml:space="preserve"> of any open complaint or pending </w:t>
      </w:r>
      <w:r w:rsidR="000832CC">
        <w:rPr>
          <w:rFonts w:ascii="Times New Roman" w:hAnsi="Times New Roman"/>
          <w:sz w:val="24"/>
          <w:szCs w:val="24"/>
        </w:rPr>
        <w:t>in</w:t>
      </w:r>
      <w:r w:rsidR="00615589">
        <w:rPr>
          <w:rFonts w:ascii="Times New Roman" w:hAnsi="Times New Roman"/>
          <w:sz w:val="24"/>
          <w:szCs w:val="24"/>
        </w:rPr>
        <w:t xml:space="preserve">vestigation into </w:t>
      </w:r>
      <w:r w:rsidR="000832CC">
        <w:rPr>
          <w:rFonts w:ascii="Times New Roman" w:hAnsi="Times New Roman"/>
          <w:sz w:val="24"/>
          <w:szCs w:val="24"/>
        </w:rPr>
        <w:t>her professional conduct</w:t>
      </w:r>
      <w:r w:rsidR="00205BBA">
        <w:rPr>
          <w:rFonts w:ascii="Times New Roman" w:hAnsi="Times New Roman"/>
          <w:sz w:val="24"/>
          <w:szCs w:val="24"/>
        </w:rPr>
        <w:t>.</w:t>
      </w:r>
      <w:r>
        <w:rPr>
          <w:rFonts w:ascii="Times New Roman" w:hAnsi="Times New Roman"/>
          <w:sz w:val="24"/>
          <w:szCs w:val="24"/>
        </w:rPr>
        <w:t xml:space="preserve">  </w:t>
      </w:r>
      <w:r w:rsidR="00205BBA">
        <w:rPr>
          <w:rFonts w:ascii="Times New Roman" w:hAnsi="Times New Roman"/>
          <w:sz w:val="24"/>
          <w:szCs w:val="24"/>
        </w:rPr>
        <w:t xml:space="preserve">“The Board generally imposes the sanction of a reprimand and fine for physicians who failed to report information to the Board on their license applications. Historically, the Board has imposed a fine of $2,500 for each fraudulent answer, the </w:t>
      </w:r>
      <w:r w:rsidR="00205BBA">
        <w:rPr>
          <w:rFonts w:ascii="Times New Roman" w:hAnsi="Times New Roman"/>
          <w:sz w:val="24"/>
          <w:szCs w:val="24"/>
        </w:rPr>
        <w:lastRenderedPageBreak/>
        <w:t xml:space="preserve">amount multiplying with each offense.”  </w:t>
      </w:r>
      <w:r w:rsidR="00205BBA" w:rsidRPr="00205BBA">
        <w:rPr>
          <w:rFonts w:ascii="Times New Roman" w:hAnsi="Times New Roman"/>
          <w:sz w:val="24"/>
          <w:szCs w:val="24"/>
          <w:u w:val="single"/>
        </w:rPr>
        <w:t xml:space="preserve">In the Matter of Joseph V. </w:t>
      </w:r>
      <w:proofErr w:type="spellStart"/>
      <w:r w:rsidR="00205BBA" w:rsidRPr="00205BBA">
        <w:rPr>
          <w:rFonts w:ascii="Times New Roman" w:hAnsi="Times New Roman"/>
          <w:sz w:val="24"/>
          <w:szCs w:val="24"/>
          <w:u w:val="single"/>
        </w:rPr>
        <w:t>Thakuria</w:t>
      </w:r>
      <w:proofErr w:type="spellEnd"/>
      <w:r w:rsidR="00205BBA" w:rsidRPr="00205BBA">
        <w:rPr>
          <w:rFonts w:ascii="Times New Roman" w:hAnsi="Times New Roman"/>
          <w:sz w:val="24"/>
          <w:szCs w:val="24"/>
          <w:u w:val="single"/>
        </w:rPr>
        <w:t>, MD.</w:t>
      </w:r>
      <w:r w:rsidR="00205BBA">
        <w:rPr>
          <w:rFonts w:ascii="Times New Roman" w:hAnsi="Times New Roman"/>
          <w:sz w:val="24"/>
          <w:szCs w:val="24"/>
        </w:rPr>
        <w:t xml:space="preserve">, Board of </w:t>
      </w:r>
      <w:r w:rsidR="00205BBA" w:rsidRPr="00740669">
        <w:rPr>
          <w:rFonts w:asciiTheme="majorBidi" w:hAnsiTheme="majorBidi" w:cstheme="majorBidi"/>
          <w:sz w:val="24"/>
          <w:szCs w:val="24"/>
        </w:rPr>
        <w:t>Registration in Medicine, Adjudicatory Case No.</w:t>
      </w:r>
      <w:r w:rsidR="00B86879" w:rsidRPr="00740669">
        <w:rPr>
          <w:rFonts w:asciiTheme="majorBidi" w:hAnsiTheme="majorBidi" w:cstheme="majorBidi"/>
          <w:sz w:val="24"/>
          <w:szCs w:val="24"/>
        </w:rPr>
        <w:t xml:space="preserve"> 2018-046 (Final Decision and Order, August 4, 2022).  </w:t>
      </w:r>
      <w:r w:rsidR="006E4849">
        <w:rPr>
          <w:rFonts w:asciiTheme="majorBidi" w:hAnsiTheme="majorBidi" w:cstheme="majorBidi"/>
          <w:sz w:val="24"/>
          <w:szCs w:val="24"/>
        </w:rPr>
        <w:t>When a physician falsely answers a question on a licensing application, the physician deprives the Board of  the opportunity to review his record and determine whether he should be licensing to practice medicine in Massachusetts.</w:t>
      </w:r>
      <w:r w:rsidR="00133241">
        <w:rPr>
          <w:rFonts w:asciiTheme="majorBidi" w:hAnsiTheme="majorBidi" w:cstheme="majorBidi"/>
          <w:sz w:val="24"/>
          <w:szCs w:val="24"/>
        </w:rPr>
        <w:t xml:space="preserve"> </w:t>
      </w:r>
      <w:r w:rsidR="00133241" w:rsidRPr="00133241">
        <w:rPr>
          <w:rFonts w:asciiTheme="majorBidi" w:hAnsiTheme="majorBidi" w:cstheme="majorBidi"/>
          <w:sz w:val="24"/>
          <w:szCs w:val="24"/>
          <w:u w:val="single"/>
        </w:rPr>
        <w:t>In the Matter</w:t>
      </w:r>
      <w:r w:rsidR="00133241">
        <w:rPr>
          <w:rFonts w:asciiTheme="majorBidi" w:hAnsiTheme="majorBidi" w:cstheme="majorBidi"/>
          <w:sz w:val="24"/>
          <w:szCs w:val="24"/>
          <w:u w:val="single"/>
        </w:rPr>
        <w:t xml:space="preserve"> </w:t>
      </w:r>
      <w:r w:rsidR="00133241" w:rsidRPr="00133241">
        <w:rPr>
          <w:rFonts w:asciiTheme="majorBidi" w:hAnsiTheme="majorBidi" w:cstheme="majorBidi"/>
          <w:sz w:val="24"/>
          <w:szCs w:val="24"/>
          <w:u w:val="single"/>
        </w:rPr>
        <w:t>of Randall Bock, M.D.</w:t>
      </w:r>
      <w:r w:rsidR="00133241" w:rsidRPr="00133241">
        <w:rPr>
          <w:rFonts w:asciiTheme="majorBidi" w:hAnsiTheme="majorBidi" w:cstheme="majorBidi"/>
          <w:sz w:val="24"/>
          <w:szCs w:val="24"/>
        </w:rPr>
        <w:t xml:space="preserve">, </w:t>
      </w:r>
      <w:r w:rsidR="00133241">
        <w:rPr>
          <w:rFonts w:asciiTheme="majorBidi" w:hAnsiTheme="majorBidi" w:cstheme="majorBidi"/>
          <w:sz w:val="24"/>
          <w:szCs w:val="24"/>
        </w:rPr>
        <w:t xml:space="preserve"> Board of Registration in Medicine, Adjudicatory Case No. 2014-005, (Final Decision and Order, November 8, 2018. </w:t>
      </w:r>
      <w:r w:rsidR="00B86879" w:rsidRPr="00740669">
        <w:rPr>
          <w:rFonts w:asciiTheme="majorBidi" w:hAnsiTheme="majorBidi" w:cstheme="majorBidi"/>
          <w:sz w:val="24"/>
          <w:szCs w:val="24"/>
          <w:u w:val="single"/>
        </w:rPr>
        <w:t>See</w:t>
      </w:r>
      <w:r w:rsidR="001A3610" w:rsidRPr="00740669">
        <w:rPr>
          <w:rFonts w:asciiTheme="majorBidi" w:hAnsiTheme="majorBidi" w:cstheme="majorBidi"/>
          <w:sz w:val="24"/>
          <w:szCs w:val="24"/>
        </w:rPr>
        <w:t xml:space="preserve"> </w:t>
      </w:r>
      <w:r w:rsidR="001A3610" w:rsidRPr="00740669">
        <w:rPr>
          <w:rFonts w:asciiTheme="majorBidi" w:hAnsiTheme="majorBidi" w:cstheme="majorBidi"/>
          <w:sz w:val="24"/>
          <w:szCs w:val="24"/>
          <w:u w:val="single"/>
        </w:rPr>
        <w:t>In the Matter of Peter Gherardi, M.D.</w:t>
      </w:r>
      <w:r w:rsidR="001A3610" w:rsidRPr="00740669">
        <w:rPr>
          <w:rFonts w:asciiTheme="majorBidi" w:hAnsiTheme="majorBidi" w:cstheme="majorBidi"/>
          <w:sz w:val="24"/>
          <w:szCs w:val="24"/>
        </w:rPr>
        <w:t>, Board of Registration in Medicine, Adjudicatory Case No. 2008-030 (Consent Order, August 20, 2008) (physician reprimanded and fined $5,000 for failing to disclose an arrest on his limited license application and his initial full license application, and for failing to disclose a subsequent arrest on a renewal application)</w:t>
      </w:r>
      <w:r w:rsidR="00133241">
        <w:rPr>
          <w:rFonts w:asciiTheme="majorBidi" w:hAnsiTheme="majorBidi" w:cstheme="majorBidi"/>
          <w:sz w:val="24"/>
          <w:szCs w:val="24"/>
        </w:rPr>
        <w:t xml:space="preserve">; </w:t>
      </w:r>
      <w:r w:rsidR="006F4852">
        <w:rPr>
          <w:rFonts w:asciiTheme="majorBidi" w:hAnsiTheme="majorBidi" w:cstheme="majorBidi"/>
          <w:sz w:val="24"/>
          <w:szCs w:val="24"/>
        </w:rPr>
        <w:t xml:space="preserve">and </w:t>
      </w:r>
      <w:r w:rsidR="00133241" w:rsidRPr="00133241">
        <w:rPr>
          <w:rFonts w:asciiTheme="majorBidi" w:hAnsiTheme="majorBidi" w:cstheme="majorBidi"/>
          <w:sz w:val="24"/>
          <w:szCs w:val="24"/>
          <w:u w:val="single"/>
        </w:rPr>
        <w:t>In the Matter of Samuel B. Wilson, M.D.</w:t>
      </w:r>
      <w:r w:rsidR="006F4852">
        <w:rPr>
          <w:rFonts w:asciiTheme="majorBidi" w:hAnsiTheme="majorBidi" w:cstheme="majorBidi"/>
          <w:sz w:val="24"/>
          <w:szCs w:val="24"/>
        </w:rPr>
        <w:t>, Board of Registration in Medicine, Adjudicatory Case No. 2007-023 (Consent Order, May 16, 2007)(reprimand and $2,500 fine for a physician who disclosed only one of two OUI arrest on a renewal application).</w:t>
      </w:r>
    </w:p>
    <w:p w14:paraId="20DAA508" w14:textId="426B9CE2" w:rsidR="00717C7C" w:rsidRPr="006F4852" w:rsidRDefault="00717C7C" w:rsidP="00C61B67">
      <w:pPr>
        <w:pStyle w:val="le-brm-normal-32-level"/>
        <w:spacing w:before="0" w:after="0" w:line="360" w:lineRule="auto"/>
        <w:ind w:firstLine="720"/>
        <w:rPr>
          <w:rFonts w:ascii="Times New Roman" w:hAnsi="Times New Roman"/>
          <w:sz w:val="24"/>
          <w:szCs w:val="24"/>
        </w:rPr>
      </w:pPr>
      <w:r>
        <w:rPr>
          <w:rFonts w:ascii="Times New Roman" w:hAnsi="Times New Roman"/>
          <w:sz w:val="24"/>
          <w:szCs w:val="24"/>
        </w:rPr>
        <w:t xml:space="preserve">In the present matter, it does not appear that a reprimand </w:t>
      </w:r>
      <w:r w:rsidR="006F4852">
        <w:rPr>
          <w:rFonts w:ascii="Times New Roman" w:hAnsi="Times New Roman"/>
          <w:sz w:val="24"/>
          <w:szCs w:val="24"/>
        </w:rPr>
        <w:t xml:space="preserve">and fine are sufficient as the Respondent repeatedly failed to respond to the Board and DALA.  </w:t>
      </w:r>
      <w:r w:rsidR="00C61B67">
        <w:rPr>
          <w:rFonts w:ascii="Times New Roman" w:hAnsi="Times New Roman"/>
          <w:sz w:val="24"/>
          <w:szCs w:val="24"/>
        </w:rPr>
        <w:t xml:space="preserve">As noted above, </w:t>
      </w:r>
      <w:r w:rsidR="00C61B67" w:rsidRPr="00387111">
        <w:rPr>
          <w:rFonts w:ascii="Times New Roman" w:hAnsi="Times New Roman"/>
          <w:sz w:val="24"/>
          <w:szCs w:val="24"/>
        </w:rPr>
        <w:t>the Board could impose a revocation based on the default alone</w:t>
      </w:r>
      <w:r w:rsidR="00C61B67">
        <w:rPr>
          <w:rFonts w:ascii="Times New Roman" w:hAnsi="Times New Roman"/>
          <w:sz w:val="24"/>
          <w:szCs w:val="24"/>
        </w:rPr>
        <w:t xml:space="preserve">. </w:t>
      </w:r>
      <w:r w:rsidR="00EE312E" w:rsidRPr="00EE312E">
        <w:rPr>
          <w:rFonts w:ascii="Times New Roman" w:hAnsi="Times New Roman"/>
          <w:sz w:val="24"/>
          <w:szCs w:val="24"/>
        </w:rPr>
        <w:t xml:space="preserve">The Board’s paramount responsibility is the protection of the public health, safety and welfare.  </w:t>
      </w:r>
      <w:r w:rsidR="00EE312E" w:rsidRPr="00EE312E">
        <w:rPr>
          <w:rFonts w:ascii="Times New Roman" w:hAnsi="Times New Roman"/>
          <w:sz w:val="24"/>
          <w:szCs w:val="24"/>
          <w:u w:val="single"/>
        </w:rPr>
        <w:t>See</w:t>
      </w:r>
      <w:r w:rsidR="00EE312E" w:rsidRPr="00EE312E">
        <w:rPr>
          <w:rFonts w:ascii="Times New Roman" w:hAnsi="Times New Roman"/>
          <w:sz w:val="24"/>
          <w:szCs w:val="24"/>
        </w:rPr>
        <w:t xml:space="preserve"> </w:t>
      </w:r>
      <w:r w:rsidR="00EE312E" w:rsidRPr="00EE312E">
        <w:rPr>
          <w:rFonts w:ascii="Times New Roman" w:hAnsi="Times New Roman"/>
          <w:iCs/>
          <w:sz w:val="24"/>
          <w:szCs w:val="24"/>
          <w:u w:val="single"/>
        </w:rPr>
        <w:t>Levy v. Board of Registration in Medicine</w:t>
      </w:r>
      <w:r w:rsidR="00EE312E" w:rsidRPr="00EE312E">
        <w:rPr>
          <w:rFonts w:ascii="Times New Roman" w:hAnsi="Times New Roman"/>
          <w:sz w:val="24"/>
          <w:szCs w:val="24"/>
        </w:rPr>
        <w:t>, 378 Mass. 519 (1979).  In light of the Respondent’s default, which hindered the Board’s efforts in its fulfillment of this responsibility,</w:t>
      </w:r>
      <w:r w:rsidR="00C61B67">
        <w:rPr>
          <w:rFonts w:ascii="Times New Roman" w:hAnsi="Times New Roman"/>
          <w:sz w:val="24"/>
          <w:szCs w:val="24"/>
        </w:rPr>
        <w:t xml:space="preserve"> as well as the Respondent’s fraudulent procurement of her license renewal, </w:t>
      </w:r>
      <w:r w:rsidR="00EE312E" w:rsidRPr="00EE312E">
        <w:rPr>
          <w:rFonts w:ascii="Times New Roman" w:hAnsi="Times New Roman"/>
          <w:sz w:val="24"/>
          <w:szCs w:val="24"/>
        </w:rPr>
        <w:t xml:space="preserve"> it is appropriate to</w:t>
      </w:r>
      <w:r w:rsidR="00C61B67">
        <w:rPr>
          <w:rFonts w:ascii="Times New Roman" w:hAnsi="Times New Roman"/>
          <w:sz w:val="24"/>
          <w:szCs w:val="24"/>
        </w:rPr>
        <w:t xml:space="preserve"> </w:t>
      </w:r>
      <w:r w:rsidR="00C61B67">
        <w:rPr>
          <w:rFonts w:ascii="Times New Roman" w:hAnsi="Times New Roman"/>
          <w:b/>
          <w:bCs/>
          <w:sz w:val="24"/>
          <w:szCs w:val="24"/>
        </w:rPr>
        <w:t>REVOKE</w:t>
      </w:r>
      <w:r w:rsidR="00C61B67">
        <w:rPr>
          <w:rFonts w:ascii="Times New Roman" w:hAnsi="Times New Roman"/>
          <w:sz w:val="24"/>
          <w:szCs w:val="24"/>
        </w:rPr>
        <w:t xml:space="preserve"> </w:t>
      </w:r>
      <w:r w:rsidR="00C61B67" w:rsidRPr="00EE312E">
        <w:rPr>
          <w:rFonts w:ascii="Times New Roman" w:hAnsi="Times New Roman"/>
          <w:sz w:val="24"/>
          <w:szCs w:val="24"/>
        </w:rPr>
        <w:t xml:space="preserve">the Respondent’s license to practice medicine. </w:t>
      </w:r>
      <w:r w:rsidR="00C61B67">
        <w:rPr>
          <w:rFonts w:ascii="Times New Roman" w:hAnsi="Times New Roman"/>
          <w:sz w:val="24"/>
          <w:szCs w:val="24"/>
        </w:rPr>
        <w:t xml:space="preserve"> </w:t>
      </w:r>
      <w:r w:rsidR="00C61B67" w:rsidRPr="00EE312E">
        <w:rPr>
          <w:rFonts w:ascii="Times New Roman" w:hAnsi="Times New Roman"/>
          <w:sz w:val="24"/>
          <w:szCs w:val="24"/>
        </w:rPr>
        <w:t xml:space="preserve">This sanction is imposed for each violation of law listed in the </w:t>
      </w:r>
      <w:r w:rsidR="00C61B67">
        <w:rPr>
          <w:rFonts w:ascii="Times New Roman" w:hAnsi="Times New Roman"/>
          <w:sz w:val="24"/>
          <w:szCs w:val="24"/>
        </w:rPr>
        <w:t xml:space="preserve">Recommended Decision </w:t>
      </w:r>
      <w:r w:rsidR="00C61B67" w:rsidRPr="00EE312E">
        <w:rPr>
          <w:rFonts w:ascii="Times New Roman" w:hAnsi="Times New Roman"/>
          <w:sz w:val="24"/>
          <w:szCs w:val="24"/>
        </w:rPr>
        <w:t>and not a combination of any or all of them.</w:t>
      </w:r>
      <w:r w:rsidR="00C61B67">
        <w:t xml:space="preserve">  </w:t>
      </w:r>
    </w:p>
    <w:p w14:paraId="2583B695" w14:textId="22D40E7D" w:rsidR="008C33DF" w:rsidRDefault="008C33DF" w:rsidP="00242AE2">
      <w:pPr>
        <w:spacing w:line="360" w:lineRule="auto"/>
        <w:ind w:firstLine="720"/>
        <w:jc w:val="both"/>
      </w:pPr>
      <w:r>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222F98">
        <w:t>s</w:t>
      </w:r>
      <w:r>
        <w:t xml:space="preserve">he practices medicine; any in- or out-of-state health maintenance organization with whom </w:t>
      </w:r>
      <w:r w:rsidR="00222F98">
        <w:t>s</w:t>
      </w:r>
      <w:r>
        <w:t xml:space="preserve">he has privileges or any other kind of association; any state agency, in- or out-of-state, with which </w:t>
      </w:r>
      <w:r w:rsidR="00222F98">
        <w:t>s</w:t>
      </w:r>
      <w:r>
        <w:t xml:space="preserve">he has a provider contract; any in- or out-of-state medical employer, whether or not </w:t>
      </w:r>
      <w:r w:rsidR="00222F98">
        <w:t>s</w:t>
      </w:r>
      <w:r>
        <w:t xml:space="preserve">he practices medicine there; the state licensing boards of all states in which </w:t>
      </w:r>
      <w:r w:rsidR="00222F98">
        <w:t>s</w:t>
      </w:r>
      <w:r>
        <w:t xml:space="preserve">he has any kind of license to practice medicine; the Drug Enforcement Administration – Boston Diversion Group; and the Massachusetts </w:t>
      </w:r>
      <w:r>
        <w:lastRenderedPageBreak/>
        <w:t>Department of Public Health Drug Control Program.  The Respondent shall also provide this notification to any such designated entities with which</w:t>
      </w:r>
      <w:r w:rsidR="001A5C95">
        <w:t xml:space="preserve"> </w:t>
      </w:r>
      <w:r w:rsidR="00222F98">
        <w:t>s</w:t>
      </w:r>
      <w:r>
        <w:t xml:space="preserve">he becomes associated for the duration of this revocation.  The Respondent is further directed to certify to the Board within ten (10) days that </w:t>
      </w:r>
      <w:r w:rsidR="00222F98">
        <w:t>s</w:t>
      </w:r>
      <w:r w:rsidR="001A5C95">
        <w:t>h</w:t>
      </w:r>
      <w:r>
        <w:t>e has complied with this directive.</w:t>
      </w:r>
    </w:p>
    <w:p w14:paraId="49002BC0" w14:textId="77777777" w:rsidR="008C33DF" w:rsidRPr="000A15F7" w:rsidRDefault="008C33DF" w:rsidP="00242AE2">
      <w:pPr>
        <w:spacing w:line="360" w:lineRule="auto"/>
        <w:jc w:val="both"/>
      </w:pPr>
      <w:r w:rsidRPr="000A15F7">
        <w:tab/>
        <w:t xml:space="preserve">The Respondent has the right to appeal this Final Decision and Order within thirty (30) days, pursuant to G.L. c. 30A, §§14 and 15, and G.L. c. 112, § 64.      </w:t>
      </w:r>
    </w:p>
    <w:p w14:paraId="269B3261" w14:textId="77777777" w:rsidR="008C33DF" w:rsidRPr="000A15F7" w:rsidRDefault="008C33DF" w:rsidP="000F3020">
      <w:pPr>
        <w:spacing w:line="480" w:lineRule="auto"/>
        <w:jc w:val="both"/>
      </w:pPr>
    </w:p>
    <w:p w14:paraId="2AE86D9C" w14:textId="23634B3E" w:rsidR="008C33DF" w:rsidRPr="00074B14" w:rsidRDefault="008C33DF" w:rsidP="000F3020">
      <w:pPr>
        <w:pStyle w:val="BodyText"/>
        <w:spacing w:line="240" w:lineRule="auto"/>
        <w:jc w:val="both"/>
        <w:rPr>
          <w:rFonts w:ascii="Times New Roman" w:hAnsi="Times New Roman" w:cs="Times New Roman"/>
          <w:color w:val="000000"/>
          <w:sz w:val="24"/>
          <w:szCs w:val="24"/>
          <w:u w:val="single"/>
        </w:rPr>
      </w:pPr>
      <w:r w:rsidRPr="00EF31FC">
        <w:rPr>
          <w:rFonts w:ascii="Times New Roman" w:hAnsi="Times New Roman" w:cs="Times New Roman"/>
          <w:color w:val="000000"/>
          <w:sz w:val="24"/>
          <w:szCs w:val="24"/>
        </w:rPr>
        <w:t>D</w:t>
      </w:r>
      <w:r w:rsidR="00C00F70">
        <w:rPr>
          <w:rFonts w:ascii="Times New Roman" w:hAnsi="Times New Roman" w:cs="Times New Roman"/>
          <w:color w:val="000000"/>
          <w:sz w:val="24"/>
          <w:szCs w:val="24"/>
        </w:rPr>
        <w:t>ate</w:t>
      </w:r>
      <w:r w:rsidRPr="00EF31FC">
        <w:rPr>
          <w:rFonts w:ascii="Times New Roman" w:hAnsi="Times New Roman" w:cs="Times New Roman"/>
          <w:color w:val="000000"/>
          <w:sz w:val="24"/>
          <w:szCs w:val="24"/>
        </w:rPr>
        <w:t>:</w:t>
      </w:r>
      <w:r w:rsidR="00074B14">
        <w:rPr>
          <w:rFonts w:ascii="Times New Roman" w:hAnsi="Times New Roman" w:cs="Times New Roman"/>
          <w:color w:val="000000"/>
          <w:sz w:val="24"/>
          <w:szCs w:val="24"/>
        </w:rPr>
        <w:t xml:space="preserve"> December 21, 2023</w:t>
      </w:r>
      <w:r w:rsidRP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074B14">
        <w:rPr>
          <w:rFonts w:ascii="Times New Roman" w:hAnsi="Times New Roman" w:cs="Times New Roman"/>
          <w:color w:val="000000"/>
          <w:sz w:val="24"/>
          <w:szCs w:val="24"/>
          <w:u w:val="single"/>
        </w:rPr>
        <w:t>Signed by Julian Robinson, M.D.</w:t>
      </w:r>
      <w:r w:rsidR="00074B14">
        <w:rPr>
          <w:rFonts w:ascii="Times New Roman" w:hAnsi="Times New Roman" w:cs="Times New Roman"/>
          <w:color w:val="000000"/>
          <w:sz w:val="24"/>
          <w:szCs w:val="24"/>
          <w:u w:val="single"/>
        </w:rPr>
        <w:tab/>
      </w:r>
    </w:p>
    <w:p w14:paraId="31C1C041" w14:textId="32FD89A9" w:rsidR="008C33DF" w:rsidRP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CB13B6">
        <w:rPr>
          <w:rFonts w:ascii="Times New Roman" w:hAnsi="Times New Roman" w:cs="Times New Roman"/>
          <w:color w:val="000000"/>
          <w:sz w:val="24"/>
          <w:szCs w:val="24"/>
        </w:rPr>
        <w:t>Julian Robinson</w:t>
      </w:r>
      <w:r w:rsidRPr="00EF31FC">
        <w:rPr>
          <w:rFonts w:ascii="Times New Roman" w:hAnsi="Times New Roman" w:cs="Times New Roman"/>
          <w:color w:val="000000"/>
          <w:sz w:val="24"/>
          <w:szCs w:val="24"/>
        </w:rPr>
        <w:t>, M.D.</w:t>
      </w:r>
    </w:p>
    <w:p w14:paraId="70F95B7F" w14:textId="77777777" w:rsid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C00F70">
        <w:rPr>
          <w:rFonts w:ascii="Times New Roman" w:hAnsi="Times New Roman" w:cs="Times New Roman"/>
          <w:color w:val="000000"/>
          <w:sz w:val="24"/>
          <w:szCs w:val="24"/>
        </w:rPr>
        <w:t xml:space="preserve">Board </w:t>
      </w:r>
      <w:r w:rsidRPr="00EF31FC">
        <w:rPr>
          <w:rFonts w:ascii="Times New Roman" w:hAnsi="Times New Roman" w:cs="Times New Roman"/>
          <w:color w:val="000000"/>
          <w:sz w:val="24"/>
          <w:szCs w:val="24"/>
        </w:rPr>
        <w:t>Chair</w:t>
      </w:r>
      <w:r w:rsidRPr="00EF31FC">
        <w:rPr>
          <w:rFonts w:ascii="Times New Roman" w:hAnsi="Times New Roman" w:cs="Times New Roman"/>
          <w:color w:val="000000"/>
          <w:sz w:val="24"/>
          <w:szCs w:val="24"/>
        </w:rPr>
        <w:tab/>
      </w:r>
    </w:p>
    <w:p w14:paraId="293807D5" w14:textId="77777777" w:rsidR="008C33DF" w:rsidRPr="000A15F7" w:rsidRDefault="00EF31FC" w:rsidP="000F3020">
      <w:pPr>
        <w:pStyle w:val="BodyText"/>
        <w:spacing w:line="240" w:lineRule="auto"/>
        <w:jc w:val="both"/>
        <w:rPr>
          <w:color w:val="00000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p>
    <w:p w14:paraId="6591310C" w14:textId="77777777" w:rsidR="00202590" w:rsidRDefault="00202590" w:rsidP="008C33DF">
      <w:pPr>
        <w:pStyle w:val="le-brm-normal-32-level"/>
        <w:spacing w:line="480" w:lineRule="auto"/>
      </w:pPr>
    </w:p>
    <w:sectPr w:rsidR="00202590" w:rsidSect="00C4203E">
      <w:headerReference w:type="even" r:id="rId8"/>
      <w:headerReference w:type="default" r:id="rId9"/>
      <w:footerReference w:type="even" r:id="rId10"/>
      <w:footerReference w:type="default" r:id="rId11"/>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A2D1" w14:textId="77777777" w:rsidR="002C4F47" w:rsidRDefault="002C4F47">
      <w:r>
        <w:separator/>
      </w:r>
    </w:p>
  </w:endnote>
  <w:endnote w:type="continuationSeparator" w:id="0">
    <w:p w14:paraId="62AE0942" w14:textId="77777777" w:rsidR="002C4F47" w:rsidRDefault="002C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AFE5" w14:textId="77777777"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FAD66" w14:textId="77777777" w:rsidR="00A34194" w:rsidRDefault="00A3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D56D" w14:textId="77777777" w:rsidR="00A34194" w:rsidRPr="00E548EC" w:rsidRDefault="00A34194">
    <w:pPr>
      <w:pStyle w:val="Footer"/>
      <w:framePr w:wrap="around" w:vAnchor="text" w:hAnchor="margin" w:xAlign="center" w:y="1"/>
      <w:rPr>
        <w:rStyle w:val="PageNumber"/>
        <w:rFonts w:ascii="Times New Roman" w:hAnsi="Times New Roman"/>
      </w:rPr>
    </w:pPr>
    <w:r w:rsidRPr="00E548EC">
      <w:rPr>
        <w:rStyle w:val="PageNumber"/>
        <w:rFonts w:ascii="Times New Roman" w:hAnsi="Times New Roman"/>
      </w:rPr>
      <w:fldChar w:fldCharType="begin"/>
    </w:r>
    <w:r w:rsidRPr="00E548EC">
      <w:rPr>
        <w:rStyle w:val="PageNumber"/>
        <w:rFonts w:ascii="Times New Roman" w:hAnsi="Times New Roman"/>
      </w:rPr>
      <w:instrText xml:space="preserve">PAGE  </w:instrText>
    </w:r>
    <w:r w:rsidRPr="00E548EC">
      <w:rPr>
        <w:rStyle w:val="PageNumber"/>
        <w:rFonts w:ascii="Times New Roman" w:hAnsi="Times New Roman"/>
      </w:rPr>
      <w:fldChar w:fldCharType="separate"/>
    </w:r>
    <w:r w:rsidR="000042CF">
      <w:rPr>
        <w:rStyle w:val="PageNumber"/>
        <w:rFonts w:ascii="Times New Roman" w:hAnsi="Times New Roman"/>
        <w:noProof/>
      </w:rPr>
      <w:t>2</w:t>
    </w:r>
    <w:r w:rsidRPr="00E548EC">
      <w:rPr>
        <w:rStyle w:val="PageNumber"/>
        <w:rFonts w:ascii="Times New Roman" w:hAnsi="Times New Roman"/>
      </w:rPr>
      <w:fldChar w:fldCharType="end"/>
    </w:r>
  </w:p>
  <w:p w14:paraId="0C8CA4BF" w14:textId="77777777" w:rsidR="00A34194" w:rsidRDefault="00A34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BBF1" w14:textId="77777777" w:rsidR="002C4F47" w:rsidRDefault="002C4F47">
      <w:r>
        <w:separator/>
      </w:r>
    </w:p>
  </w:footnote>
  <w:footnote w:type="continuationSeparator" w:id="0">
    <w:p w14:paraId="00AAABC8" w14:textId="77777777" w:rsidR="002C4F47" w:rsidRDefault="002C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7A3F" w14:textId="77777777"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31B766" w14:textId="77777777" w:rsidR="00A34194" w:rsidRDefault="00A341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2DFD" w14:textId="77777777" w:rsidR="00A34194" w:rsidRDefault="00A34194">
    <w:pPr>
      <w:pStyle w:val="Header"/>
      <w:framePr w:wrap="around" w:vAnchor="text" w:hAnchor="margin" w:xAlign="center" w:y="1"/>
      <w:rPr>
        <w:rStyle w:val="PageNumber"/>
      </w:rPr>
    </w:pPr>
  </w:p>
  <w:p w14:paraId="2704236B" w14:textId="77777777" w:rsidR="00A34194" w:rsidRDefault="00A341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C58"/>
    <w:multiLevelType w:val="hybridMultilevel"/>
    <w:tmpl w:val="959AA83A"/>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37DAD"/>
    <w:multiLevelType w:val="hybridMultilevel"/>
    <w:tmpl w:val="6D7C88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754BD"/>
    <w:multiLevelType w:val="hybridMultilevel"/>
    <w:tmpl w:val="CAA0CF04"/>
    <w:lvl w:ilvl="0" w:tplc="D62A86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377E1"/>
    <w:multiLevelType w:val="hybridMultilevel"/>
    <w:tmpl w:val="5B067430"/>
    <w:lvl w:ilvl="0" w:tplc="CBCC1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51BBC"/>
    <w:multiLevelType w:val="hybridMultilevel"/>
    <w:tmpl w:val="78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4921"/>
    <w:multiLevelType w:val="hybridMultilevel"/>
    <w:tmpl w:val="A5AADCBC"/>
    <w:lvl w:ilvl="0" w:tplc="486224F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FD24E9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8510A"/>
    <w:multiLevelType w:val="hybridMultilevel"/>
    <w:tmpl w:val="6F8A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8" w15:restartNumberingAfterBreak="0">
    <w:nsid w:val="205103C1"/>
    <w:multiLevelType w:val="hybridMultilevel"/>
    <w:tmpl w:val="6532CBE0"/>
    <w:lvl w:ilvl="0" w:tplc="960A704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0A04DE"/>
    <w:multiLevelType w:val="hybridMultilevel"/>
    <w:tmpl w:val="88408088"/>
    <w:lvl w:ilvl="0" w:tplc="94D4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B4016B"/>
    <w:multiLevelType w:val="hybridMultilevel"/>
    <w:tmpl w:val="39EC5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A57966"/>
    <w:multiLevelType w:val="hybridMultilevel"/>
    <w:tmpl w:val="432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3078A"/>
    <w:multiLevelType w:val="hybridMultilevel"/>
    <w:tmpl w:val="1E087344"/>
    <w:lvl w:ilvl="0" w:tplc="6B8EA66A">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7C769F"/>
    <w:multiLevelType w:val="hybridMultilevel"/>
    <w:tmpl w:val="20DC0B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763632"/>
    <w:multiLevelType w:val="hybridMultilevel"/>
    <w:tmpl w:val="A09291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631BD"/>
    <w:multiLevelType w:val="hybridMultilevel"/>
    <w:tmpl w:val="C47693CA"/>
    <w:lvl w:ilvl="0" w:tplc="8A2661A2">
      <w:start w:val="1"/>
      <w:numFmt w:val="upperLetter"/>
      <w:lvlText w:val="%1."/>
      <w:lvlJc w:val="left"/>
      <w:pPr>
        <w:ind w:left="1080" w:hanging="360"/>
      </w:pPr>
      <w:rPr>
        <w:rFonts w:hint="default"/>
      </w:rPr>
    </w:lvl>
    <w:lvl w:ilvl="1" w:tplc="4AC846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E0988"/>
    <w:multiLevelType w:val="hybridMultilevel"/>
    <w:tmpl w:val="A8CE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A260D"/>
    <w:multiLevelType w:val="hybridMultilevel"/>
    <w:tmpl w:val="2CF8A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A2DAD"/>
    <w:multiLevelType w:val="hybridMultilevel"/>
    <w:tmpl w:val="321C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22"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7186397">
    <w:abstractNumId w:val="7"/>
  </w:num>
  <w:num w:numId="2" w16cid:durableId="1457673386">
    <w:abstractNumId w:val="22"/>
  </w:num>
  <w:num w:numId="3" w16cid:durableId="1231233411">
    <w:abstractNumId w:val="13"/>
  </w:num>
  <w:num w:numId="4" w16cid:durableId="1426029395">
    <w:abstractNumId w:val="23"/>
  </w:num>
  <w:num w:numId="5" w16cid:durableId="50467711">
    <w:abstractNumId w:val="20"/>
  </w:num>
  <w:num w:numId="6" w16cid:durableId="996229291">
    <w:abstractNumId w:val="9"/>
  </w:num>
  <w:num w:numId="7" w16cid:durableId="1661041427">
    <w:abstractNumId w:val="21"/>
  </w:num>
  <w:num w:numId="8" w16cid:durableId="1447771815">
    <w:abstractNumId w:val="4"/>
  </w:num>
  <w:num w:numId="9" w16cid:durableId="599215258">
    <w:abstractNumId w:val="12"/>
  </w:num>
  <w:num w:numId="10" w16cid:durableId="760762465">
    <w:abstractNumId w:val="19"/>
  </w:num>
  <w:num w:numId="11" w16cid:durableId="1342046902">
    <w:abstractNumId w:val="1"/>
  </w:num>
  <w:num w:numId="12" w16cid:durableId="413552172">
    <w:abstractNumId w:val="6"/>
  </w:num>
  <w:num w:numId="13" w16cid:durableId="2049059872">
    <w:abstractNumId w:val="5"/>
  </w:num>
  <w:num w:numId="14" w16cid:durableId="421025086">
    <w:abstractNumId w:val="3"/>
  </w:num>
  <w:num w:numId="15" w16cid:durableId="1543706066">
    <w:abstractNumId w:val="10"/>
  </w:num>
  <w:num w:numId="16" w16cid:durableId="1596590506">
    <w:abstractNumId w:val="0"/>
  </w:num>
  <w:num w:numId="17" w16cid:durableId="1046611269">
    <w:abstractNumId w:val="14"/>
  </w:num>
  <w:num w:numId="18" w16cid:durableId="1672102780">
    <w:abstractNumId w:val="11"/>
  </w:num>
  <w:num w:numId="19" w16cid:durableId="658460880">
    <w:abstractNumId w:val="16"/>
  </w:num>
  <w:num w:numId="20" w16cid:durableId="2015111973">
    <w:abstractNumId w:val="17"/>
  </w:num>
  <w:num w:numId="21" w16cid:durableId="1874265657">
    <w:abstractNumId w:val="15"/>
  </w:num>
  <w:num w:numId="22" w16cid:durableId="553083400">
    <w:abstractNumId w:val="2"/>
  </w:num>
  <w:num w:numId="23" w16cid:durableId="170024413">
    <w:abstractNumId w:val="18"/>
  </w:num>
  <w:num w:numId="24" w16cid:durableId="609553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39"/>
    <w:rsid w:val="000042CF"/>
    <w:rsid w:val="000202D9"/>
    <w:rsid w:val="00022F93"/>
    <w:rsid w:val="000418F9"/>
    <w:rsid w:val="00052490"/>
    <w:rsid w:val="0005579B"/>
    <w:rsid w:val="00067CC8"/>
    <w:rsid w:val="0007135A"/>
    <w:rsid w:val="00071C53"/>
    <w:rsid w:val="00073748"/>
    <w:rsid w:val="00074B14"/>
    <w:rsid w:val="000832CC"/>
    <w:rsid w:val="00087A04"/>
    <w:rsid w:val="0009048F"/>
    <w:rsid w:val="000A609B"/>
    <w:rsid w:val="000B3CFE"/>
    <w:rsid w:val="000B5933"/>
    <w:rsid w:val="000E2293"/>
    <w:rsid w:val="000E6CD3"/>
    <w:rsid w:val="000F3020"/>
    <w:rsid w:val="0010597C"/>
    <w:rsid w:val="001162E7"/>
    <w:rsid w:val="00117F3C"/>
    <w:rsid w:val="00125D4F"/>
    <w:rsid w:val="00133241"/>
    <w:rsid w:val="001453B5"/>
    <w:rsid w:val="00145FD1"/>
    <w:rsid w:val="00170456"/>
    <w:rsid w:val="00170F4A"/>
    <w:rsid w:val="0017382B"/>
    <w:rsid w:val="00177D1A"/>
    <w:rsid w:val="00181B18"/>
    <w:rsid w:val="00183DFF"/>
    <w:rsid w:val="001907DB"/>
    <w:rsid w:val="001A34CA"/>
    <w:rsid w:val="001A3610"/>
    <w:rsid w:val="001A5C95"/>
    <w:rsid w:val="001B2D72"/>
    <w:rsid w:val="001B6431"/>
    <w:rsid w:val="001C5D32"/>
    <w:rsid w:val="001D3FC4"/>
    <w:rsid w:val="001E7A7D"/>
    <w:rsid w:val="00202590"/>
    <w:rsid w:val="00204059"/>
    <w:rsid w:val="00205BBA"/>
    <w:rsid w:val="00222F98"/>
    <w:rsid w:val="00235DD6"/>
    <w:rsid w:val="00242AE2"/>
    <w:rsid w:val="00246535"/>
    <w:rsid w:val="00255A34"/>
    <w:rsid w:val="002A2779"/>
    <w:rsid w:val="002A4108"/>
    <w:rsid w:val="002B5A27"/>
    <w:rsid w:val="002C4F47"/>
    <w:rsid w:val="002D74D3"/>
    <w:rsid w:val="002D7F98"/>
    <w:rsid w:val="00306A0B"/>
    <w:rsid w:val="0034525B"/>
    <w:rsid w:val="003469E2"/>
    <w:rsid w:val="00346AD1"/>
    <w:rsid w:val="00347263"/>
    <w:rsid w:val="00391026"/>
    <w:rsid w:val="00396EE2"/>
    <w:rsid w:val="003A01E2"/>
    <w:rsid w:val="003A24BB"/>
    <w:rsid w:val="003B7CD7"/>
    <w:rsid w:val="003C412B"/>
    <w:rsid w:val="003C6F39"/>
    <w:rsid w:val="00411BA7"/>
    <w:rsid w:val="004165E7"/>
    <w:rsid w:val="00416B6A"/>
    <w:rsid w:val="004267BE"/>
    <w:rsid w:val="0043065D"/>
    <w:rsid w:val="004341F6"/>
    <w:rsid w:val="00435C75"/>
    <w:rsid w:val="00437F4B"/>
    <w:rsid w:val="00452250"/>
    <w:rsid w:val="00456B65"/>
    <w:rsid w:val="004629C0"/>
    <w:rsid w:val="004720CD"/>
    <w:rsid w:val="00483A2F"/>
    <w:rsid w:val="004A4FC8"/>
    <w:rsid w:val="004A56C7"/>
    <w:rsid w:val="004B3EF9"/>
    <w:rsid w:val="004C47A4"/>
    <w:rsid w:val="004D7683"/>
    <w:rsid w:val="00506A4D"/>
    <w:rsid w:val="00507295"/>
    <w:rsid w:val="005427C4"/>
    <w:rsid w:val="005739EE"/>
    <w:rsid w:val="00591687"/>
    <w:rsid w:val="005A756F"/>
    <w:rsid w:val="005B25E7"/>
    <w:rsid w:val="005B412A"/>
    <w:rsid w:val="005D389B"/>
    <w:rsid w:val="005E4A09"/>
    <w:rsid w:val="005E667B"/>
    <w:rsid w:val="00602436"/>
    <w:rsid w:val="00606C36"/>
    <w:rsid w:val="00615589"/>
    <w:rsid w:val="0063480C"/>
    <w:rsid w:val="006374FC"/>
    <w:rsid w:val="0065684F"/>
    <w:rsid w:val="006775A0"/>
    <w:rsid w:val="006847BF"/>
    <w:rsid w:val="00684D59"/>
    <w:rsid w:val="00690083"/>
    <w:rsid w:val="006C61F4"/>
    <w:rsid w:val="006E095A"/>
    <w:rsid w:val="006E4849"/>
    <w:rsid w:val="006F4852"/>
    <w:rsid w:val="006F65EE"/>
    <w:rsid w:val="00717C7C"/>
    <w:rsid w:val="007268B5"/>
    <w:rsid w:val="00726D0F"/>
    <w:rsid w:val="00735F39"/>
    <w:rsid w:val="00740669"/>
    <w:rsid w:val="00746A43"/>
    <w:rsid w:val="007507CD"/>
    <w:rsid w:val="00756E28"/>
    <w:rsid w:val="007848AB"/>
    <w:rsid w:val="00796BD8"/>
    <w:rsid w:val="007B6030"/>
    <w:rsid w:val="007E6878"/>
    <w:rsid w:val="007F5BEA"/>
    <w:rsid w:val="00827D49"/>
    <w:rsid w:val="00845A64"/>
    <w:rsid w:val="00866515"/>
    <w:rsid w:val="008727AC"/>
    <w:rsid w:val="008831E1"/>
    <w:rsid w:val="00887B4F"/>
    <w:rsid w:val="008A317B"/>
    <w:rsid w:val="008A7688"/>
    <w:rsid w:val="008B6DB5"/>
    <w:rsid w:val="008C33DF"/>
    <w:rsid w:val="008C38D8"/>
    <w:rsid w:val="008D1F93"/>
    <w:rsid w:val="008D50A9"/>
    <w:rsid w:val="008E47E6"/>
    <w:rsid w:val="00905419"/>
    <w:rsid w:val="0091226F"/>
    <w:rsid w:val="00930EE1"/>
    <w:rsid w:val="0096561E"/>
    <w:rsid w:val="00972698"/>
    <w:rsid w:val="00973908"/>
    <w:rsid w:val="009C19A7"/>
    <w:rsid w:val="009E193C"/>
    <w:rsid w:val="009F0AFF"/>
    <w:rsid w:val="009F3A17"/>
    <w:rsid w:val="00A13C95"/>
    <w:rsid w:val="00A318F1"/>
    <w:rsid w:val="00A34194"/>
    <w:rsid w:val="00A43757"/>
    <w:rsid w:val="00A67708"/>
    <w:rsid w:val="00A92CF6"/>
    <w:rsid w:val="00AA7354"/>
    <w:rsid w:val="00AC234D"/>
    <w:rsid w:val="00AC39F6"/>
    <w:rsid w:val="00AD2E9A"/>
    <w:rsid w:val="00AD6E07"/>
    <w:rsid w:val="00AE41BE"/>
    <w:rsid w:val="00B057A5"/>
    <w:rsid w:val="00B21786"/>
    <w:rsid w:val="00B23585"/>
    <w:rsid w:val="00B326C0"/>
    <w:rsid w:val="00B349DC"/>
    <w:rsid w:val="00B36052"/>
    <w:rsid w:val="00B567BC"/>
    <w:rsid w:val="00B57B91"/>
    <w:rsid w:val="00B6433B"/>
    <w:rsid w:val="00B86879"/>
    <w:rsid w:val="00BA0A08"/>
    <w:rsid w:val="00BA488C"/>
    <w:rsid w:val="00BC5DCF"/>
    <w:rsid w:val="00BD1CA6"/>
    <w:rsid w:val="00BD7C3B"/>
    <w:rsid w:val="00BE570B"/>
    <w:rsid w:val="00BF7F9C"/>
    <w:rsid w:val="00C00F70"/>
    <w:rsid w:val="00C128B4"/>
    <w:rsid w:val="00C14AA5"/>
    <w:rsid w:val="00C176A2"/>
    <w:rsid w:val="00C37985"/>
    <w:rsid w:val="00C41A84"/>
    <w:rsid w:val="00C4203E"/>
    <w:rsid w:val="00C61B67"/>
    <w:rsid w:val="00C646DD"/>
    <w:rsid w:val="00C70482"/>
    <w:rsid w:val="00C942BE"/>
    <w:rsid w:val="00C9585F"/>
    <w:rsid w:val="00CB0F17"/>
    <w:rsid w:val="00CB13B6"/>
    <w:rsid w:val="00CB16BC"/>
    <w:rsid w:val="00CB1993"/>
    <w:rsid w:val="00CE69AD"/>
    <w:rsid w:val="00CF3A14"/>
    <w:rsid w:val="00CF54D5"/>
    <w:rsid w:val="00D04957"/>
    <w:rsid w:val="00D16CB8"/>
    <w:rsid w:val="00D25D16"/>
    <w:rsid w:val="00D32FF7"/>
    <w:rsid w:val="00D51FE4"/>
    <w:rsid w:val="00D52BEF"/>
    <w:rsid w:val="00D54C20"/>
    <w:rsid w:val="00D56F12"/>
    <w:rsid w:val="00D746F5"/>
    <w:rsid w:val="00D9588E"/>
    <w:rsid w:val="00DC573C"/>
    <w:rsid w:val="00E14585"/>
    <w:rsid w:val="00E230A4"/>
    <w:rsid w:val="00E35BAE"/>
    <w:rsid w:val="00E548EC"/>
    <w:rsid w:val="00E743ED"/>
    <w:rsid w:val="00E76502"/>
    <w:rsid w:val="00E773BB"/>
    <w:rsid w:val="00E85BEF"/>
    <w:rsid w:val="00EB3AB0"/>
    <w:rsid w:val="00ED3C67"/>
    <w:rsid w:val="00ED7646"/>
    <w:rsid w:val="00EE312E"/>
    <w:rsid w:val="00EF31FC"/>
    <w:rsid w:val="00EF6016"/>
    <w:rsid w:val="00F01103"/>
    <w:rsid w:val="00F041BD"/>
    <w:rsid w:val="00F160AD"/>
    <w:rsid w:val="00F234E8"/>
    <w:rsid w:val="00F444FA"/>
    <w:rsid w:val="00F54FF1"/>
    <w:rsid w:val="00F64827"/>
    <w:rsid w:val="00F67DB3"/>
    <w:rsid w:val="00F75A60"/>
    <w:rsid w:val="00FA3708"/>
    <w:rsid w:val="00FA4E49"/>
    <w:rsid w:val="00FA76FD"/>
    <w:rsid w:val="00FB78D4"/>
    <w:rsid w:val="00FD509B"/>
    <w:rsid w:val="00FD66ED"/>
    <w:rsid w:val="00FE6F58"/>
    <w:rsid w:val="00FF3EC6"/>
    <w:rsid w:val="00FF51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0FE78A"/>
  <w15:docId w15:val="{A690DA38-6363-4300-8796-263A5CA3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 w:type="paragraph" w:styleId="Revision">
    <w:name w:val="Revision"/>
    <w:hidden/>
    <w:uiPriority w:val="99"/>
    <w:semiHidden/>
    <w:rsid w:val="00D56F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464471">
      <w:bodyDiv w:val="1"/>
      <w:marLeft w:val="0"/>
      <w:marRight w:val="0"/>
      <w:marTop w:val="0"/>
      <w:marBottom w:val="0"/>
      <w:divBdr>
        <w:top w:val="none" w:sz="0" w:space="0" w:color="auto"/>
        <w:left w:val="none" w:sz="0" w:space="0" w:color="auto"/>
        <w:bottom w:val="none" w:sz="0" w:space="0" w:color="auto"/>
        <w:right w:val="none" w:sz="0" w:space="0" w:color="auto"/>
      </w:divBdr>
    </w:div>
    <w:div w:id="733938670">
      <w:bodyDiv w:val="1"/>
      <w:marLeft w:val="0"/>
      <w:marRight w:val="0"/>
      <w:marTop w:val="0"/>
      <w:marBottom w:val="0"/>
      <w:divBdr>
        <w:top w:val="none" w:sz="0" w:space="0" w:color="auto"/>
        <w:left w:val="none" w:sz="0" w:space="0" w:color="auto"/>
        <w:bottom w:val="none" w:sz="0" w:space="0" w:color="auto"/>
        <w:right w:val="none" w:sz="0" w:space="0" w:color="auto"/>
      </w:divBdr>
    </w:div>
    <w:div w:id="738481552">
      <w:bodyDiv w:val="1"/>
      <w:marLeft w:val="0"/>
      <w:marRight w:val="0"/>
      <w:marTop w:val="0"/>
      <w:marBottom w:val="0"/>
      <w:divBdr>
        <w:top w:val="none" w:sz="0" w:space="0" w:color="auto"/>
        <w:left w:val="none" w:sz="0" w:space="0" w:color="auto"/>
        <w:bottom w:val="none" w:sz="0" w:space="0" w:color="auto"/>
        <w:right w:val="none" w:sz="0" w:space="0" w:color="auto"/>
      </w:divBdr>
    </w:div>
    <w:div w:id="996300727">
      <w:bodyDiv w:val="1"/>
      <w:marLeft w:val="0"/>
      <w:marRight w:val="0"/>
      <w:marTop w:val="0"/>
      <w:marBottom w:val="0"/>
      <w:divBdr>
        <w:top w:val="none" w:sz="0" w:space="0" w:color="auto"/>
        <w:left w:val="none" w:sz="0" w:space="0" w:color="auto"/>
        <w:bottom w:val="none" w:sz="0" w:space="0" w:color="auto"/>
        <w:right w:val="none" w:sz="0" w:space="0" w:color="auto"/>
      </w:divBdr>
      <w:divsChild>
        <w:div w:id="1444303916">
          <w:marLeft w:val="0"/>
          <w:marRight w:val="0"/>
          <w:marTop w:val="0"/>
          <w:marBottom w:val="0"/>
          <w:divBdr>
            <w:top w:val="none" w:sz="0" w:space="0" w:color="auto"/>
            <w:left w:val="none" w:sz="0" w:space="0" w:color="auto"/>
            <w:bottom w:val="none" w:sz="0" w:space="0" w:color="auto"/>
            <w:right w:val="none" w:sz="0" w:space="0" w:color="auto"/>
          </w:divBdr>
        </w:div>
      </w:divsChild>
    </w:div>
    <w:div w:id="1236743944">
      <w:bodyDiv w:val="1"/>
      <w:marLeft w:val="0"/>
      <w:marRight w:val="0"/>
      <w:marTop w:val="0"/>
      <w:marBottom w:val="0"/>
      <w:divBdr>
        <w:top w:val="none" w:sz="0" w:space="0" w:color="auto"/>
        <w:left w:val="none" w:sz="0" w:space="0" w:color="auto"/>
        <w:bottom w:val="none" w:sz="0" w:space="0" w:color="auto"/>
        <w:right w:val="none" w:sz="0" w:space="0" w:color="auto"/>
      </w:divBdr>
      <w:divsChild>
        <w:div w:id="487673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11F52-2D6F-45CC-8756-EA5385FB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1238</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LaPointe, Donald (DPH)</cp:lastModifiedBy>
  <cp:revision>9</cp:revision>
  <cp:lastPrinted>2023-01-23T16:45:00Z</cp:lastPrinted>
  <dcterms:created xsi:type="dcterms:W3CDTF">2023-11-14T16:44:00Z</dcterms:created>
  <dcterms:modified xsi:type="dcterms:W3CDTF">2023-12-26T13:26:00Z</dcterms:modified>
</cp:coreProperties>
</file>