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40A" w:rsidRPr="00BF7BF6" w:rsidRDefault="00F0140A" w:rsidP="00F0140A">
      <w:pPr>
        <w:jc w:val="center"/>
      </w:pPr>
      <w:bookmarkStart w:id="0" w:name="_GoBack"/>
      <w:bookmarkEnd w:id="0"/>
      <w:r w:rsidRPr="00BF7BF6">
        <w:t>COMMONWEALTH OF MASSACHUSETTS</w:t>
      </w:r>
    </w:p>
    <w:p w:rsidR="00F0140A" w:rsidRDefault="00F0140A" w:rsidP="00F0140A">
      <w:pPr>
        <w:jc w:val="center"/>
      </w:pPr>
      <w:r>
        <w:t>BOARD OF REGISTRATION IN MEDICINE</w:t>
      </w:r>
    </w:p>
    <w:p w:rsidR="000573DB" w:rsidRPr="00BF7BF6" w:rsidRDefault="000573DB" w:rsidP="00F0140A">
      <w:pPr>
        <w:jc w:val="center"/>
      </w:pPr>
      <w:r>
        <w:t>COMMITTEE ON ACUPUNCTURE</w:t>
      </w:r>
    </w:p>
    <w:p w:rsidR="00F0140A" w:rsidRDefault="00F0140A" w:rsidP="00F0140A">
      <w:pPr>
        <w:jc w:val="center"/>
      </w:pPr>
    </w:p>
    <w:p w:rsidR="00F0140A" w:rsidRPr="00BF7BF6" w:rsidRDefault="00F0140A" w:rsidP="00F0140A">
      <w:r w:rsidRPr="00BF7BF6">
        <w:t xml:space="preserve">MIDDLESEX, </w:t>
      </w:r>
      <w:r>
        <w:t>ss</w:t>
      </w:r>
      <w:r w:rsidRPr="00BF7BF6">
        <w:tab/>
      </w:r>
      <w:r w:rsidRPr="00BF7BF6">
        <w:tab/>
      </w:r>
      <w:r>
        <w:tab/>
      </w:r>
      <w:r>
        <w:tab/>
      </w:r>
      <w:r>
        <w:tab/>
      </w:r>
      <w:r w:rsidRPr="00BF7BF6">
        <w:t>Adjudicatory Case</w:t>
      </w:r>
      <w:r>
        <w:t xml:space="preserve"> No. 20</w:t>
      </w:r>
      <w:r w:rsidR="008F550F">
        <w:t>2</w:t>
      </w:r>
      <w:r w:rsidR="000573DB">
        <w:t>1</w:t>
      </w:r>
      <w:r>
        <w:t>-0</w:t>
      </w:r>
      <w:r w:rsidR="000573DB">
        <w:t>35</w:t>
      </w:r>
      <w:r>
        <w:t xml:space="preserve"> </w:t>
      </w:r>
    </w:p>
    <w:p w:rsidR="00F0140A" w:rsidRPr="00BF7BF6" w:rsidRDefault="00F0140A" w:rsidP="00F0140A">
      <w:r>
        <w:tab/>
      </w:r>
      <w:r>
        <w:tab/>
      </w:r>
      <w:r>
        <w:tab/>
      </w:r>
      <w:r>
        <w:tab/>
      </w:r>
      <w:r>
        <w:tab/>
      </w:r>
      <w:r>
        <w:tab/>
      </w:r>
      <w:r>
        <w:tab/>
      </w:r>
      <w:r>
        <w:tab/>
      </w:r>
      <w:r>
        <w:tab/>
      </w:r>
      <w:r w:rsidR="00E85AA5">
        <w:t>(RM-</w:t>
      </w:r>
      <w:r w:rsidR="000573DB">
        <w:t>21</w:t>
      </w:r>
      <w:r>
        <w:t>-</w:t>
      </w:r>
      <w:r w:rsidR="00A501E6">
        <w:t>0</w:t>
      </w:r>
      <w:r w:rsidR="000573DB">
        <w:t>329</w:t>
      </w:r>
      <w:r>
        <w:t>)</w:t>
      </w:r>
    </w:p>
    <w:p w:rsidR="00590A13" w:rsidRDefault="00590A13" w:rsidP="00590A13">
      <w:pPr>
        <w:jc w:val="both"/>
      </w:pPr>
    </w:p>
    <w:p w:rsidR="00590A13" w:rsidRPr="00BF7BF6" w:rsidRDefault="00590A13" w:rsidP="00590A13">
      <w:pPr>
        <w:jc w:val="both"/>
      </w:pPr>
      <w:r w:rsidRPr="00BF7BF6">
        <w:t>________________________</w:t>
      </w:r>
    </w:p>
    <w:p w:rsidR="00590A13" w:rsidRPr="00BF7BF6" w:rsidRDefault="00BF7BF6" w:rsidP="00590A13">
      <w:pPr>
        <w:jc w:val="both"/>
      </w:pPr>
      <w:r>
        <w:tab/>
      </w:r>
      <w:r>
        <w:tab/>
      </w:r>
      <w:r>
        <w:tab/>
      </w:r>
      <w:r w:rsidR="00184F35">
        <w:tab/>
      </w:r>
      <w:r w:rsidR="00590A13" w:rsidRPr="00BF7BF6">
        <w:t>)</w:t>
      </w:r>
    </w:p>
    <w:p w:rsidR="00636A52" w:rsidRDefault="00590A13" w:rsidP="00636A52">
      <w:pPr>
        <w:jc w:val="both"/>
      </w:pPr>
      <w:r w:rsidRPr="00BF7BF6">
        <w:t xml:space="preserve">In the Matter of </w:t>
      </w:r>
      <w:r w:rsidRPr="00BF7BF6">
        <w:tab/>
      </w:r>
      <w:r w:rsidR="00636A52">
        <w:tab/>
      </w:r>
      <w:r w:rsidR="00BF7BF6">
        <w:t>)</w:t>
      </w:r>
    </w:p>
    <w:p w:rsidR="00636A52" w:rsidRPr="00C23007" w:rsidRDefault="00636A52" w:rsidP="00636A52">
      <w:pPr>
        <w:jc w:val="both"/>
      </w:pPr>
      <w:r>
        <w:tab/>
      </w:r>
      <w:r>
        <w:tab/>
      </w:r>
      <w:r>
        <w:tab/>
      </w:r>
      <w:r>
        <w:tab/>
        <w:t>)</w:t>
      </w:r>
      <w:r>
        <w:tab/>
      </w:r>
      <w:r>
        <w:tab/>
      </w:r>
      <w:r w:rsidRPr="00C23007">
        <w:rPr>
          <w:u w:val="single"/>
        </w:rPr>
        <w:t>FINAL DECISION AND ORDER</w:t>
      </w:r>
    </w:p>
    <w:p w:rsidR="00590A13" w:rsidRPr="00BF7BF6" w:rsidRDefault="000573DB" w:rsidP="00590A13">
      <w:pPr>
        <w:jc w:val="both"/>
      </w:pPr>
      <w:r>
        <w:t>Qingping Joy Bai, Lic.Ac.</w:t>
      </w:r>
      <w:r w:rsidR="00BF7BF6">
        <w:tab/>
      </w:r>
      <w:r w:rsidR="00590A13" w:rsidRPr="00BF7BF6">
        <w:t>)</w:t>
      </w:r>
    </w:p>
    <w:p w:rsidR="00590A13" w:rsidRPr="00BF7BF6" w:rsidRDefault="00590A13" w:rsidP="00590A13">
      <w:pPr>
        <w:jc w:val="both"/>
      </w:pPr>
      <w:r w:rsidRPr="00BF7BF6">
        <w:t>________________________)</w:t>
      </w:r>
    </w:p>
    <w:p w:rsidR="00590A13" w:rsidRDefault="00590A13" w:rsidP="003E70E9">
      <w:pPr>
        <w:spacing w:line="360" w:lineRule="auto"/>
        <w:jc w:val="both"/>
      </w:pPr>
    </w:p>
    <w:p w:rsidR="002E1424" w:rsidRPr="00EA2B4F" w:rsidRDefault="002E1424" w:rsidP="00EA2B4F">
      <w:pPr>
        <w:spacing w:line="360" w:lineRule="auto"/>
        <w:jc w:val="center"/>
        <w:rPr>
          <w:b/>
          <w:bCs/>
          <w:u w:val="single"/>
        </w:rPr>
      </w:pPr>
      <w:r w:rsidRPr="00EA2B4F">
        <w:rPr>
          <w:b/>
          <w:bCs/>
          <w:u w:val="single"/>
        </w:rPr>
        <w:t>Procedural History</w:t>
      </w:r>
    </w:p>
    <w:p w:rsidR="00D50C96" w:rsidRDefault="00D50C96" w:rsidP="003E70E9">
      <w:pPr>
        <w:spacing w:line="360" w:lineRule="auto"/>
        <w:jc w:val="both"/>
      </w:pPr>
    </w:p>
    <w:p w:rsidR="002E1424" w:rsidRDefault="00D13513" w:rsidP="003E70E9">
      <w:pPr>
        <w:spacing w:line="360" w:lineRule="auto"/>
        <w:jc w:val="both"/>
      </w:pPr>
      <w:r>
        <w:tab/>
        <w:t xml:space="preserve">The </w:t>
      </w:r>
      <w:r w:rsidR="009D53A2">
        <w:t>Board of Registration in Medicine’s Committee on Acupuncture (COA)</w:t>
      </w:r>
      <w:r>
        <w:t xml:space="preserve"> initiated this proceeding by issuing an Order of Temporary Suspension and a Statement of Allegations</w:t>
      </w:r>
      <w:r w:rsidR="003C7532">
        <w:t xml:space="preserve"> (SOA)</w:t>
      </w:r>
      <w:r>
        <w:t xml:space="preserve"> </w:t>
      </w:r>
      <w:r w:rsidR="00EA2B4F">
        <w:t xml:space="preserve">to </w:t>
      </w:r>
      <w:r w:rsidR="00EA2B4F">
        <w:rPr>
          <w:color w:val="333333"/>
        </w:rPr>
        <w:t>Qingping Joy Bai, Lic.Ac.</w:t>
      </w:r>
      <w:r w:rsidR="00EA2B4F" w:rsidRPr="00280D24">
        <w:rPr>
          <w:color w:val="333333"/>
        </w:rPr>
        <w:t xml:space="preserve"> (Respondent) </w:t>
      </w:r>
      <w:r>
        <w:t>on September 3, 2021</w:t>
      </w:r>
      <w:r w:rsidR="009D53A2">
        <w:t xml:space="preserve">.  The COA </w:t>
      </w:r>
      <w:r w:rsidR="00EA2B4F">
        <w:t xml:space="preserve">also </w:t>
      </w:r>
      <w:r>
        <w:t>referr</w:t>
      </w:r>
      <w:r w:rsidR="009D53A2">
        <w:t>ed</w:t>
      </w:r>
      <w:r>
        <w:t xml:space="preserve"> the matter to the Division of Administrative Law Appeals (DALA)</w:t>
      </w:r>
      <w:r w:rsidR="009D53A2">
        <w:t xml:space="preserve"> on that date</w:t>
      </w:r>
      <w:r>
        <w:t xml:space="preserve">.  </w:t>
      </w:r>
      <w:r w:rsidR="00637009">
        <w:t>On September 7, 2021, t</w:t>
      </w:r>
      <w:r>
        <w:t xml:space="preserve">he DALA Magistrate </w:t>
      </w:r>
      <w:r w:rsidR="00637009">
        <w:t xml:space="preserve">issued an order </w:t>
      </w:r>
      <w:r>
        <w:t>schedul</w:t>
      </w:r>
      <w:r w:rsidR="00637009">
        <w:t>ing</w:t>
      </w:r>
      <w:r>
        <w:t xml:space="preserve"> a </w:t>
      </w:r>
      <w:r w:rsidR="009D53A2">
        <w:t>conference</w:t>
      </w:r>
      <w:r>
        <w:t xml:space="preserve"> </w:t>
      </w:r>
      <w:r w:rsidR="00637009">
        <w:t xml:space="preserve">on September 10, 2021 </w:t>
      </w:r>
      <w:r w:rsidR="009D53A2">
        <w:t xml:space="preserve">and </w:t>
      </w:r>
      <w:r w:rsidR="003C7532">
        <w:t>offer</w:t>
      </w:r>
      <w:r w:rsidR="009D53A2">
        <w:t>ing</w:t>
      </w:r>
      <w:r w:rsidR="003C7532">
        <w:t xml:space="preserve"> the</w:t>
      </w:r>
      <w:r w:rsidR="003C7532" w:rsidRPr="003C7532">
        <w:t xml:space="preserve"> Respondent the option to proceed with a hearing</w:t>
      </w:r>
      <w:r w:rsidR="009D53A2">
        <w:t xml:space="preserve"> on the temporary suspension</w:t>
      </w:r>
      <w:r w:rsidR="003C7532" w:rsidRPr="003C7532">
        <w:t xml:space="preserve"> on that date, or conduct instead a prehearing conference on that date, or postpone the hearing to another date.  The Respondent did not respond to the order, nor did she </w:t>
      </w:r>
      <w:r w:rsidR="00637009">
        <w:t xml:space="preserve">appear </w:t>
      </w:r>
      <w:r w:rsidR="009D53A2">
        <w:t>at</w:t>
      </w:r>
      <w:r w:rsidR="00637009">
        <w:t xml:space="preserve"> </w:t>
      </w:r>
      <w:r w:rsidR="009D53A2">
        <w:t>the conference o</w:t>
      </w:r>
      <w:r w:rsidR="003C7532" w:rsidRPr="003C7532">
        <w:t>n September 10, 2021.</w:t>
      </w:r>
    </w:p>
    <w:p w:rsidR="003C7532" w:rsidRDefault="003C7532" w:rsidP="003C7532">
      <w:pPr>
        <w:spacing w:line="360" w:lineRule="auto"/>
        <w:ind w:firstLine="720"/>
        <w:rPr>
          <w:rFonts w:eastAsia="Calibri"/>
        </w:rPr>
      </w:pPr>
      <w:r>
        <w:t xml:space="preserve">On September 24, 2021, the DALA Magistrate issued an </w:t>
      </w:r>
      <w:r w:rsidRPr="00F1356D">
        <w:rPr>
          <w:rFonts w:eastAsia="Calibri"/>
        </w:rPr>
        <w:t>Order to Show Cause to the Respondent that</w:t>
      </w:r>
      <w:r w:rsidR="0063633B">
        <w:rPr>
          <w:rFonts w:eastAsia="Calibri"/>
        </w:rPr>
        <w:t xml:space="preserve"> she</w:t>
      </w:r>
      <w:r w:rsidRPr="00F1356D">
        <w:rPr>
          <w:rFonts w:eastAsia="Calibri"/>
        </w:rPr>
        <w:t xml:space="preserve"> </w:t>
      </w:r>
      <w:r w:rsidR="00D50C96">
        <w:rPr>
          <w:rFonts w:eastAsia="Calibri"/>
        </w:rPr>
        <w:t>provide an explanation for her failure to appear on September 10, 2021.  The Order also</w:t>
      </w:r>
      <w:r w:rsidR="00834071">
        <w:rPr>
          <w:rFonts w:eastAsia="Calibri"/>
        </w:rPr>
        <w:t xml:space="preserve"> extended the Respondent’s time to file a written answer to the SOA and assert her right to a hearing on the temporary suspension from October 4, 2021</w:t>
      </w:r>
      <w:r w:rsidR="00834071">
        <w:rPr>
          <w:rStyle w:val="FootnoteReference"/>
          <w:rFonts w:eastAsia="Calibri"/>
        </w:rPr>
        <w:footnoteReference w:id="1"/>
      </w:r>
      <w:r w:rsidR="00834071">
        <w:rPr>
          <w:rFonts w:eastAsia="Calibri"/>
        </w:rPr>
        <w:t xml:space="preserve"> to October 8, 2021.  </w:t>
      </w:r>
      <w:r w:rsidR="00834071" w:rsidRPr="00F1356D">
        <w:rPr>
          <w:rFonts w:eastAsia="Calibri"/>
        </w:rPr>
        <w:t>The Respondent did not respond</w:t>
      </w:r>
      <w:r w:rsidR="00834071">
        <w:rPr>
          <w:rFonts w:eastAsia="Calibri"/>
        </w:rPr>
        <w:t>,</w:t>
      </w:r>
      <w:r w:rsidR="00834071" w:rsidRPr="00F1356D">
        <w:rPr>
          <w:rFonts w:eastAsia="Calibri"/>
        </w:rPr>
        <w:t xml:space="preserve"> nor offer any explanation as to why </w:t>
      </w:r>
      <w:r w:rsidR="00834071" w:rsidRPr="00F1356D">
        <w:rPr>
          <w:rFonts w:eastAsia="Calibri"/>
        </w:rPr>
        <w:lastRenderedPageBreak/>
        <w:t xml:space="preserve">she had not previously responded to the order setting the hearing date for September </w:t>
      </w:r>
      <w:r w:rsidR="00834071">
        <w:rPr>
          <w:rFonts w:eastAsia="Calibri"/>
        </w:rPr>
        <w:t>1</w:t>
      </w:r>
      <w:r w:rsidR="00834071" w:rsidRPr="00F1356D">
        <w:rPr>
          <w:rFonts w:eastAsia="Calibri"/>
        </w:rPr>
        <w:t>0, 2021</w:t>
      </w:r>
      <w:r w:rsidR="00834071" w:rsidRPr="00F1356D">
        <w:rPr>
          <w:rFonts w:eastAsia="Calibri"/>
          <w:vertAlign w:val="superscript"/>
        </w:rPr>
        <w:footnoteReference w:id="2"/>
      </w:r>
      <w:r w:rsidR="00834071">
        <w:rPr>
          <w:rFonts w:eastAsia="Calibri"/>
        </w:rPr>
        <w:t>.</w:t>
      </w:r>
    </w:p>
    <w:p w:rsidR="00090017" w:rsidRDefault="00D50C96" w:rsidP="00EA2B4F">
      <w:pPr>
        <w:spacing w:line="360" w:lineRule="auto"/>
        <w:ind w:firstLine="720"/>
        <w:rPr>
          <w:rFonts w:eastAsia="Calibri"/>
        </w:rPr>
      </w:pPr>
      <w:r>
        <w:rPr>
          <w:rFonts w:eastAsia="Calibri"/>
        </w:rPr>
        <w:t xml:space="preserve">On December </w:t>
      </w:r>
      <w:r>
        <w:rPr>
          <w:color w:val="333333"/>
        </w:rPr>
        <w:t xml:space="preserve">27, 2021, the DALA Magistrate issued a </w:t>
      </w:r>
      <w:r w:rsidR="008F550F" w:rsidRPr="00280D24">
        <w:rPr>
          <w:color w:val="333333"/>
        </w:rPr>
        <w:t>Recommended Decision</w:t>
      </w:r>
      <w:r w:rsidR="004C6F2F" w:rsidRPr="004C6F2F">
        <w:rPr>
          <w:rFonts w:eastAsia="Calibri"/>
          <w:b/>
          <w:vertAlign w:val="superscript"/>
        </w:rPr>
        <w:footnoteReference w:id="3"/>
      </w:r>
      <w:r w:rsidR="008F550F" w:rsidRPr="00280D24">
        <w:rPr>
          <w:color w:val="333333"/>
        </w:rPr>
        <w:t xml:space="preserve"> </w:t>
      </w:r>
      <w:r>
        <w:rPr>
          <w:color w:val="333333"/>
        </w:rPr>
        <w:t>in which the Magistrate</w:t>
      </w:r>
      <w:r w:rsidR="008F550F" w:rsidRPr="00280D24">
        <w:rPr>
          <w:color w:val="333333"/>
        </w:rPr>
        <w:t xml:space="preserve"> found </w:t>
      </w:r>
      <w:r w:rsidR="00EA2B4F">
        <w:rPr>
          <w:color w:val="333333"/>
        </w:rPr>
        <w:t xml:space="preserve">that the </w:t>
      </w:r>
      <w:r w:rsidR="008F550F" w:rsidRPr="00280D24">
        <w:rPr>
          <w:color w:val="333333"/>
        </w:rPr>
        <w:t xml:space="preserve">Respondent </w:t>
      </w:r>
      <w:r w:rsidR="009D3BF8">
        <w:rPr>
          <w:color w:val="333333"/>
        </w:rPr>
        <w:t xml:space="preserve">has waived her right to a hearing on </w:t>
      </w:r>
      <w:r w:rsidR="007C421D">
        <w:rPr>
          <w:color w:val="333333"/>
        </w:rPr>
        <w:t>an Order for Temporary S</w:t>
      </w:r>
      <w:r w:rsidR="009D3BF8">
        <w:rPr>
          <w:color w:val="333333"/>
        </w:rPr>
        <w:t xml:space="preserve">uspension </w:t>
      </w:r>
      <w:r w:rsidR="007C421D">
        <w:rPr>
          <w:color w:val="333333"/>
        </w:rPr>
        <w:t>that issued on September 3, 2021</w:t>
      </w:r>
      <w:r w:rsidR="00472516">
        <w:rPr>
          <w:color w:val="333333"/>
        </w:rPr>
        <w:t xml:space="preserve">.  </w:t>
      </w:r>
      <w:r w:rsidR="00B2646A">
        <w:rPr>
          <w:color w:val="333333"/>
        </w:rPr>
        <w:t>The Magistrate also found that t</w:t>
      </w:r>
      <w:r w:rsidR="00472516">
        <w:rPr>
          <w:color w:val="333333"/>
        </w:rPr>
        <w:t>he Respondent</w:t>
      </w:r>
      <w:r w:rsidR="007C421D">
        <w:rPr>
          <w:color w:val="333333"/>
        </w:rPr>
        <w:t xml:space="preserve">, </w:t>
      </w:r>
      <w:r w:rsidR="009D3BF8">
        <w:rPr>
          <w:color w:val="333333"/>
        </w:rPr>
        <w:t>having failed to file an Answer to the Statement of Allegations</w:t>
      </w:r>
      <w:r w:rsidR="007C421D">
        <w:rPr>
          <w:color w:val="333333"/>
        </w:rPr>
        <w:t xml:space="preserve"> (SOA) that issued on September 3, 2021</w:t>
      </w:r>
      <w:r w:rsidR="009D3BF8">
        <w:rPr>
          <w:color w:val="333333"/>
        </w:rPr>
        <w:t xml:space="preserve">, </w:t>
      </w:r>
      <w:r w:rsidR="00472516">
        <w:rPr>
          <w:color w:val="333333"/>
        </w:rPr>
        <w:t xml:space="preserve">should </w:t>
      </w:r>
      <w:r w:rsidR="009D3BF8">
        <w:rPr>
          <w:color w:val="333333"/>
        </w:rPr>
        <w:t>be disciplined for failing to</w:t>
      </w:r>
      <w:r w:rsidR="00A42CFD">
        <w:rPr>
          <w:color w:val="333333"/>
        </w:rPr>
        <w:t xml:space="preserve"> </w:t>
      </w:r>
      <w:r w:rsidR="009D3BF8">
        <w:rPr>
          <w:color w:val="333333"/>
        </w:rPr>
        <w:t>wear a mask while performing acupuncture.</w:t>
      </w:r>
      <w:r w:rsidR="008F550F">
        <w:rPr>
          <w:color w:val="333333"/>
        </w:rPr>
        <w:t xml:space="preserve"> </w:t>
      </w:r>
      <w:r w:rsidR="005E4198">
        <w:rPr>
          <w:color w:val="333333"/>
        </w:rPr>
        <w:t xml:space="preserve"> </w:t>
      </w:r>
    </w:p>
    <w:p w:rsidR="008929B9" w:rsidRDefault="00090017" w:rsidP="00090017">
      <w:pPr>
        <w:spacing w:line="360" w:lineRule="auto"/>
        <w:rPr>
          <w:color w:val="333333"/>
        </w:rPr>
      </w:pPr>
      <w:r>
        <w:rPr>
          <w:rFonts w:eastAsia="Calibri"/>
        </w:rPr>
        <w:tab/>
      </w:r>
      <w:r w:rsidR="003E70E9">
        <w:rPr>
          <w:color w:val="333333"/>
        </w:rPr>
        <w:t xml:space="preserve">Both parties were offered the opportunity to file objections to the Recommended Decision as well as Memoranda on Disposition.  </w:t>
      </w:r>
      <w:r w:rsidR="005E4198">
        <w:rPr>
          <w:color w:val="333333"/>
        </w:rPr>
        <w:t xml:space="preserve">Neither party filed objections </w:t>
      </w:r>
      <w:r w:rsidR="003E70E9">
        <w:rPr>
          <w:color w:val="333333"/>
        </w:rPr>
        <w:t xml:space="preserve">or </w:t>
      </w:r>
      <w:r w:rsidR="008929B9">
        <w:rPr>
          <w:color w:val="333333"/>
        </w:rPr>
        <w:t>Memoranda on Disposition.</w:t>
      </w:r>
    </w:p>
    <w:p w:rsidR="008340BB" w:rsidRDefault="00D50C96" w:rsidP="008340BB">
      <w:pPr>
        <w:spacing w:line="360" w:lineRule="auto"/>
        <w:rPr>
          <w:color w:val="333333"/>
        </w:rPr>
      </w:pPr>
      <w:r>
        <w:rPr>
          <w:color w:val="333333"/>
        </w:rPr>
        <w:tab/>
        <w:t>The COA has reviewed the Recommended Decision</w:t>
      </w:r>
      <w:r w:rsidR="008A6E40">
        <w:rPr>
          <w:color w:val="333333"/>
        </w:rPr>
        <w:t xml:space="preserve">.  On the basis of its review the COA hereby </w:t>
      </w:r>
      <w:r w:rsidR="008A6E40" w:rsidRPr="00280D24">
        <w:rPr>
          <w:color w:val="333333"/>
        </w:rPr>
        <w:t>adopts the Recommended Decision</w:t>
      </w:r>
      <w:r w:rsidR="008A6E40">
        <w:rPr>
          <w:color w:val="333333"/>
        </w:rPr>
        <w:t xml:space="preserve">, </w:t>
      </w:r>
      <w:r w:rsidR="008A6E40" w:rsidRPr="00280D24">
        <w:rPr>
          <w:color w:val="333333"/>
        </w:rPr>
        <w:t>which is attached hereto and incorporated by reference</w:t>
      </w:r>
      <w:r w:rsidR="008A6E40">
        <w:rPr>
          <w:color w:val="333333"/>
        </w:rPr>
        <w:t>, with the following amendments:</w:t>
      </w:r>
    </w:p>
    <w:p w:rsidR="008340BB" w:rsidRDefault="008340BB" w:rsidP="008340BB">
      <w:pPr>
        <w:numPr>
          <w:ilvl w:val="0"/>
          <w:numId w:val="21"/>
        </w:numPr>
        <w:shd w:val="clear" w:color="auto" w:fill="FFFFFF"/>
        <w:spacing w:line="360" w:lineRule="auto"/>
      </w:pPr>
      <w:r>
        <w:rPr>
          <w:color w:val="333333"/>
        </w:rPr>
        <w:t xml:space="preserve">deleting </w:t>
      </w:r>
      <w:r w:rsidRPr="00921A79">
        <w:t xml:space="preserve">on Page </w:t>
      </w:r>
      <w:r>
        <w:t>1, in the paragraph entitled “Summary of Decision”, the reference to “….and gloves</w:t>
      </w:r>
      <w:r>
        <w:rPr>
          <w:rStyle w:val="FootnoteReference"/>
        </w:rPr>
        <w:footnoteReference w:id="4"/>
      </w:r>
      <w:r w:rsidR="0063633B">
        <w:t>”</w:t>
      </w:r>
      <w:r>
        <w:t>, and</w:t>
      </w:r>
    </w:p>
    <w:p w:rsidR="008340BB" w:rsidRDefault="008340BB" w:rsidP="008340BB">
      <w:pPr>
        <w:numPr>
          <w:ilvl w:val="0"/>
          <w:numId w:val="21"/>
        </w:numPr>
        <w:spacing w:line="360" w:lineRule="auto"/>
      </w:pPr>
      <w:r>
        <w:t>deleting on Page 3, top paragraph, and last paragraph, the reference to “…and gloves”</w:t>
      </w:r>
    </w:p>
    <w:p w:rsidR="00BD7AC7" w:rsidRDefault="00BD7AC7" w:rsidP="00BD7AC7">
      <w:pPr>
        <w:shd w:val="clear" w:color="auto" w:fill="FFFFFF"/>
        <w:spacing w:line="360" w:lineRule="auto"/>
        <w:jc w:val="center"/>
        <w:rPr>
          <w:b/>
          <w:bCs/>
          <w:color w:val="333333"/>
          <w:u w:val="single"/>
        </w:rPr>
      </w:pPr>
      <w:r>
        <w:rPr>
          <w:b/>
          <w:bCs/>
          <w:color w:val="333333"/>
          <w:u w:val="single"/>
        </w:rPr>
        <w:t>Discussion</w:t>
      </w:r>
      <w:r w:rsidR="00FB4347">
        <w:rPr>
          <w:b/>
          <w:bCs/>
          <w:color w:val="333333"/>
          <w:u w:val="single"/>
        </w:rPr>
        <w:t xml:space="preserve"> and Sanction</w:t>
      </w:r>
    </w:p>
    <w:p w:rsidR="00E95686" w:rsidRDefault="00E95686" w:rsidP="00EA2B4F">
      <w:pPr>
        <w:shd w:val="clear" w:color="auto" w:fill="FFFFFF"/>
        <w:spacing w:line="360" w:lineRule="auto"/>
        <w:ind w:firstLine="720"/>
        <w:rPr>
          <w:color w:val="333333"/>
        </w:rPr>
      </w:pPr>
    </w:p>
    <w:p w:rsidR="00E879ED" w:rsidRDefault="005408D1" w:rsidP="00EA2B4F">
      <w:pPr>
        <w:shd w:val="clear" w:color="auto" w:fill="FFFFFF"/>
        <w:spacing w:line="360" w:lineRule="auto"/>
        <w:ind w:firstLine="720"/>
        <w:rPr>
          <w:color w:val="333333"/>
        </w:rPr>
      </w:pPr>
      <w:r>
        <w:rPr>
          <w:color w:val="333333"/>
        </w:rPr>
        <w:t>Without using the term “default”, t</w:t>
      </w:r>
      <w:r w:rsidR="009722B0">
        <w:rPr>
          <w:color w:val="333333"/>
        </w:rPr>
        <w:t>he Magistrate</w:t>
      </w:r>
      <w:r>
        <w:rPr>
          <w:color w:val="333333"/>
        </w:rPr>
        <w:t xml:space="preserve"> cited the elements that constitute a default – namely that the Respondent did not respond to his order and that she did not file an answer to the SOA. </w:t>
      </w:r>
      <w:r w:rsidR="000A4248">
        <w:rPr>
          <w:color w:val="333333"/>
        </w:rPr>
        <w:t xml:space="preserve">Therefore, the COA finds the Respondent in default.  </w:t>
      </w:r>
      <w:r w:rsidR="00577512">
        <w:rPr>
          <w:color w:val="333333"/>
        </w:rPr>
        <w:t>When a Respondent defaults</w:t>
      </w:r>
      <w:r w:rsidR="00F1356D">
        <w:rPr>
          <w:color w:val="333333"/>
        </w:rPr>
        <w:t xml:space="preserve">, the allegations in the Statement of Allegations are deemed admitted.  See </w:t>
      </w:r>
      <w:r w:rsidR="00F1356D">
        <w:rPr>
          <w:i/>
          <w:iCs/>
        </w:rPr>
        <w:t>Metropolitan Property and Casualty Insurance Company v. Morrison</w:t>
      </w:r>
      <w:r w:rsidR="00F1356D" w:rsidRPr="00AA4FF2">
        <w:t xml:space="preserve">, </w:t>
      </w:r>
      <w:r w:rsidR="00F1356D">
        <w:t xml:space="preserve">Supreme </w:t>
      </w:r>
      <w:r w:rsidR="00F1356D">
        <w:lastRenderedPageBreak/>
        <w:t xml:space="preserve">Judicial Court, 460 Mass 352 (2011).  </w:t>
      </w:r>
      <w:r w:rsidR="00F1356D">
        <w:rPr>
          <w:color w:val="333333"/>
        </w:rPr>
        <w:t>Those admitted facts</w:t>
      </w:r>
      <w:r w:rsidR="00BD7AC7">
        <w:rPr>
          <w:color w:val="333333"/>
        </w:rPr>
        <w:t xml:space="preserve"> and conclusions of law</w:t>
      </w:r>
      <w:r w:rsidR="00F1356D">
        <w:rPr>
          <w:color w:val="333333"/>
        </w:rPr>
        <w:t xml:space="preserve"> include</w:t>
      </w:r>
      <w:r w:rsidR="00D1653A">
        <w:rPr>
          <w:color w:val="333333"/>
        </w:rPr>
        <w:t>:</w:t>
      </w:r>
    </w:p>
    <w:p w:rsidR="00E0133A" w:rsidRDefault="00E0133A" w:rsidP="00E0133A">
      <w:pPr>
        <w:shd w:val="clear" w:color="auto" w:fill="FFFFFF"/>
        <w:spacing w:line="360" w:lineRule="auto"/>
        <w:ind w:firstLine="720"/>
        <w:jc w:val="center"/>
        <w:rPr>
          <w:color w:val="333333"/>
        </w:rPr>
      </w:pPr>
      <w:r w:rsidRPr="00E0133A">
        <w:rPr>
          <w:color w:val="333333"/>
          <w:u w:val="single"/>
        </w:rPr>
        <w:t>Findings of Fact</w:t>
      </w:r>
    </w:p>
    <w:p w:rsidR="00E0133A" w:rsidRPr="00E0133A" w:rsidRDefault="00E0133A" w:rsidP="00E0133A">
      <w:pPr>
        <w:shd w:val="clear" w:color="auto" w:fill="FFFFFF"/>
        <w:spacing w:line="360" w:lineRule="auto"/>
        <w:ind w:firstLine="720"/>
        <w:jc w:val="center"/>
        <w:rPr>
          <w:color w:val="333333"/>
        </w:rPr>
      </w:pPr>
    </w:p>
    <w:p w:rsidR="00E879ED" w:rsidRPr="00E879ED" w:rsidRDefault="00A42CFD" w:rsidP="00E879ED">
      <w:pPr>
        <w:numPr>
          <w:ilvl w:val="0"/>
          <w:numId w:val="20"/>
        </w:numPr>
        <w:shd w:val="clear" w:color="auto" w:fill="FFFFFF"/>
        <w:spacing w:line="360" w:lineRule="auto"/>
        <w:rPr>
          <w:color w:val="333333"/>
        </w:rPr>
      </w:pPr>
      <w:r w:rsidRPr="00A42CFD">
        <w:rPr>
          <w:rFonts w:eastAsia="Calibri"/>
        </w:rPr>
        <w:t>The Respondent was born on September 27, 1964.  She graduated from New England School of Acupuncture in April 2014.  She has been licensed to practice acupuncture in Massachusetts under certificate number 258462.</w:t>
      </w:r>
    </w:p>
    <w:p w:rsidR="0015465F" w:rsidRPr="0015465F" w:rsidRDefault="00A42CFD" w:rsidP="00E879ED">
      <w:pPr>
        <w:numPr>
          <w:ilvl w:val="0"/>
          <w:numId w:val="20"/>
        </w:numPr>
        <w:shd w:val="clear" w:color="auto" w:fill="FFFFFF"/>
        <w:spacing w:line="360" w:lineRule="auto"/>
        <w:rPr>
          <w:color w:val="333333"/>
        </w:rPr>
      </w:pPr>
      <w:r w:rsidRPr="0015465F">
        <w:rPr>
          <w:rFonts w:eastAsia="Calibri"/>
        </w:rPr>
        <w:t xml:space="preserve">On or around November 6, 2020, Charles D. Baker, Governor of the Commonwealth of Massachusetts (“Governor Baker”), issued COVID-19 Order No. 55 in response to the ongoing COVID-19 Pandemic, through which he ordered that “all persons in Massachusetts over the age of 5 years old are required to wear a mask or cloth face covering over their mouth and nose when in a public location, whether indoors or outdoors.”  </w:t>
      </w:r>
    </w:p>
    <w:p w:rsidR="00E879ED" w:rsidRPr="0015465F" w:rsidRDefault="00A42CFD" w:rsidP="00E879ED">
      <w:pPr>
        <w:numPr>
          <w:ilvl w:val="0"/>
          <w:numId w:val="20"/>
        </w:numPr>
        <w:shd w:val="clear" w:color="auto" w:fill="FFFFFF"/>
        <w:spacing w:line="360" w:lineRule="auto"/>
        <w:rPr>
          <w:color w:val="333333"/>
        </w:rPr>
      </w:pPr>
      <w:r w:rsidRPr="0015465F">
        <w:rPr>
          <w:rFonts w:eastAsia="Calibri"/>
        </w:rPr>
        <w:t xml:space="preserve">In response to an anonymous consumer complaint received on or around November 27, 2020, a representative of the </w:t>
      </w:r>
      <w:r w:rsidR="00577512">
        <w:rPr>
          <w:rFonts w:eastAsia="Calibri"/>
        </w:rPr>
        <w:t>COA</w:t>
      </w:r>
      <w:r w:rsidR="00577512" w:rsidRPr="0015465F">
        <w:rPr>
          <w:rFonts w:eastAsia="Calibri"/>
        </w:rPr>
        <w:t xml:space="preserve"> </w:t>
      </w:r>
      <w:r w:rsidRPr="0015465F">
        <w:rPr>
          <w:rFonts w:eastAsia="Calibri"/>
        </w:rPr>
        <w:t>left a voice-mail message for the Respondent on November 27, 2020 and spoke with the Respondent by phone on December 1, 2020 regarding same.</w:t>
      </w:r>
    </w:p>
    <w:p w:rsidR="00E879ED" w:rsidRDefault="00A42CFD" w:rsidP="00E879ED">
      <w:pPr>
        <w:numPr>
          <w:ilvl w:val="0"/>
          <w:numId w:val="13"/>
        </w:numPr>
        <w:shd w:val="clear" w:color="auto" w:fill="FFFFFF"/>
        <w:spacing w:after="200" w:line="360" w:lineRule="auto"/>
        <w:ind w:left="360" w:firstLine="0"/>
        <w:contextualSpacing/>
        <w:rPr>
          <w:rFonts w:eastAsia="Calibri"/>
        </w:rPr>
      </w:pPr>
      <w:r w:rsidRPr="00A42CFD">
        <w:rPr>
          <w:rFonts w:eastAsia="Calibri"/>
        </w:rPr>
        <w:t xml:space="preserve">During the December 1, 2020 phone call as described in the preceding paragraph, </w:t>
      </w:r>
      <w:r w:rsidR="00E879ED">
        <w:rPr>
          <w:rFonts w:eastAsia="Calibri"/>
        </w:rPr>
        <w:tab/>
      </w:r>
      <w:r w:rsidRPr="00A42CFD">
        <w:rPr>
          <w:rFonts w:eastAsia="Calibri"/>
        </w:rPr>
        <w:t xml:space="preserve">the Respondent acknowledged that neither she nor her patients wore masks during </w:t>
      </w:r>
      <w:r w:rsidR="00E879ED">
        <w:rPr>
          <w:rFonts w:eastAsia="Calibri"/>
        </w:rPr>
        <w:tab/>
      </w:r>
      <w:r w:rsidRPr="00A42CFD">
        <w:rPr>
          <w:rFonts w:eastAsia="Calibri"/>
        </w:rPr>
        <w:t xml:space="preserve">acupuncture appointments conducted by the Respondent at her office, located at </w:t>
      </w:r>
      <w:r w:rsidR="00E879ED">
        <w:rPr>
          <w:rFonts w:eastAsia="Calibri"/>
        </w:rPr>
        <w:tab/>
      </w:r>
      <w:r w:rsidRPr="00A42CFD">
        <w:rPr>
          <w:rFonts w:eastAsia="Calibri"/>
        </w:rPr>
        <w:t xml:space="preserve">332 Washington Street, Suite 280, in Wellesley, Massachusetts, since the </w:t>
      </w:r>
      <w:r w:rsidR="00E879ED">
        <w:rPr>
          <w:rFonts w:eastAsia="Calibri"/>
        </w:rPr>
        <w:tab/>
      </w:r>
      <w:r w:rsidRPr="00A42CFD">
        <w:rPr>
          <w:rFonts w:eastAsia="Calibri"/>
        </w:rPr>
        <w:t>imposition of COVID-19 Order No. 55.</w:t>
      </w:r>
    </w:p>
    <w:p w:rsidR="00D21D80" w:rsidRDefault="00A42CFD" w:rsidP="00D21D80">
      <w:pPr>
        <w:numPr>
          <w:ilvl w:val="0"/>
          <w:numId w:val="13"/>
        </w:numPr>
        <w:shd w:val="clear" w:color="auto" w:fill="FFFFFF"/>
        <w:spacing w:after="200" w:line="360" w:lineRule="auto"/>
        <w:ind w:left="360" w:firstLine="0"/>
        <w:contextualSpacing/>
        <w:rPr>
          <w:rFonts w:eastAsia="Calibri"/>
        </w:rPr>
      </w:pPr>
      <w:r w:rsidRPr="00A42CFD">
        <w:rPr>
          <w:rFonts w:eastAsia="Calibri"/>
        </w:rPr>
        <w:t xml:space="preserve">The Respondent’s office, as described in the preceding paragraph, is open to </w:t>
      </w:r>
      <w:r w:rsidR="00E879ED" w:rsidRPr="00E879ED">
        <w:rPr>
          <w:rFonts w:eastAsia="Calibri"/>
        </w:rPr>
        <w:tab/>
      </w:r>
      <w:r w:rsidRPr="00A42CFD">
        <w:rPr>
          <w:rFonts w:eastAsia="Calibri"/>
        </w:rPr>
        <w:t>and/or accessible by the public.</w:t>
      </w:r>
    </w:p>
    <w:p w:rsidR="00D21D80" w:rsidRDefault="00A42CFD" w:rsidP="00D21D80">
      <w:pPr>
        <w:numPr>
          <w:ilvl w:val="0"/>
          <w:numId w:val="13"/>
        </w:numPr>
        <w:shd w:val="clear" w:color="auto" w:fill="FFFFFF"/>
        <w:spacing w:after="200" w:line="360" w:lineRule="auto"/>
        <w:ind w:left="360" w:firstLine="0"/>
        <w:contextualSpacing/>
        <w:rPr>
          <w:rFonts w:eastAsia="Calibri"/>
        </w:rPr>
      </w:pPr>
      <w:r w:rsidRPr="00A42CFD">
        <w:rPr>
          <w:rFonts w:eastAsia="Calibri"/>
        </w:rPr>
        <w:t xml:space="preserve">The aforementioned representative of the </w:t>
      </w:r>
      <w:r w:rsidR="00577512">
        <w:rPr>
          <w:rFonts w:eastAsia="Calibri"/>
        </w:rPr>
        <w:t>COA</w:t>
      </w:r>
      <w:r w:rsidR="00577512" w:rsidRPr="00A42CFD">
        <w:rPr>
          <w:rFonts w:eastAsia="Calibri"/>
        </w:rPr>
        <w:t xml:space="preserve"> </w:t>
      </w:r>
      <w:r w:rsidRPr="00A42CFD">
        <w:rPr>
          <w:rFonts w:eastAsia="Calibri"/>
        </w:rPr>
        <w:t xml:space="preserve">then referred the above </w:t>
      </w:r>
      <w:r w:rsidR="00090017">
        <w:rPr>
          <w:rFonts w:eastAsia="Calibri"/>
        </w:rPr>
        <w:tab/>
        <w:t>in</w:t>
      </w:r>
      <w:r w:rsidRPr="00A42CFD">
        <w:rPr>
          <w:rFonts w:eastAsia="Calibri"/>
        </w:rPr>
        <w:t>formation to the Town of Wellesley Health Department.</w:t>
      </w:r>
    </w:p>
    <w:p w:rsidR="00D21D80" w:rsidRDefault="00A42CFD" w:rsidP="00D21D80">
      <w:pPr>
        <w:numPr>
          <w:ilvl w:val="0"/>
          <w:numId w:val="13"/>
        </w:numPr>
        <w:shd w:val="clear" w:color="auto" w:fill="FFFFFF"/>
        <w:spacing w:after="200" w:line="360" w:lineRule="auto"/>
        <w:ind w:left="360" w:firstLine="0"/>
        <w:contextualSpacing/>
        <w:rPr>
          <w:rFonts w:eastAsia="Calibri"/>
        </w:rPr>
      </w:pPr>
      <w:r w:rsidRPr="00A42CFD">
        <w:rPr>
          <w:rFonts w:eastAsia="Calibri"/>
        </w:rPr>
        <w:t xml:space="preserve">On or about December 3, 2020, a representative of the Town of Wellesley Health </w:t>
      </w:r>
      <w:r w:rsidR="00D21D80" w:rsidRPr="00D21D80">
        <w:rPr>
          <w:rFonts w:eastAsia="Calibri"/>
        </w:rPr>
        <w:tab/>
      </w:r>
      <w:r w:rsidRPr="00A42CFD">
        <w:rPr>
          <w:rFonts w:eastAsia="Calibri"/>
        </w:rPr>
        <w:t xml:space="preserve">Department inspected the Respondent’s office and noted that the Respondent did </w:t>
      </w:r>
      <w:r w:rsidR="00D21D80" w:rsidRPr="00D21D80">
        <w:rPr>
          <w:rFonts w:eastAsia="Calibri"/>
        </w:rPr>
        <w:tab/>
      </w:r>
      <w:r w:rsidRPr="00A42CFD">
        <w:rPr>
          <w:rFonts w:eastAsia="Calibri"/>
        </w:rPr>
        <w:t xml:space="preserve">not wear a mask throughout the entire inspection and that one (1) of the </w:t>
      </w:r>
      <w:r w:rsidR="00D21D80" w:rsidRPr="00D21D80">
        <w:rPr>
          <w:rFonts w:eastAsia="Calibri"/>
        </w:rPr>
        <w:tab/>
      </w:r>
      <w:r w:rsidRPr="00A42CFD">
        <w:rPr>
          <w:rFonts w:eastAsia="Calibri"/>
        </w:rPr>
        <w:t xml:space="preserve">Respondent’s patients, also present for acupuncture treatment during the </w:t>
      </w:r>
      <w:r w:rsidR="00D21D80" w:rsidRPr="00D21D80">
        <w:rPr>
          <w:rFonts w:eastAsia="Calibri"/>
        </w:rPr>
        <w:tab/>
      </w:r>
      <w:r w:rsidRPr="00A42CFD">
        <w:rPr>
          <w:rFonts w:eastAsia="Calibri"/>
        </w:rPr>
        <w:t>inspection, was not wearing a mask.</w:t>
      </w:r>
    </w:p>
    <w:p w:rsidR="00D21D80" w:rsidRDefault="00A42CFD" w:rsidP="00D21D80">
      <w:pPr>
        <w:numPr>
          <w:ilvl w:val="0"/>
          <w:numId w:val="13"/>
        </w:numPr>
        <w:shd w:val="clear" w:color="auto" w:fill="FFFFFF"/>
        <w:spacing w:after="200" w:line="360" w:lineRule="auto"/>
        <w:ind w:left="360" w:firstLine="0"/>
        <w:contextualSpacing/>
        <w:rPr>
          <w:rFonts w:eastAsia="Calibri"/>
        </w:rPr>
      </w:pPr>
      <w:r w:rsidRPr="00A42CFD">
        <w:rPr>
          <w:rFonts w:eastAsia="Calibri"/>
        </w:rPr>
        <w:lastRenderedPageBreak/>
        <w:t xml:space="preserve">The representative of the Town of Wellesley Health Department informed the </w:t>
      </w:r>
      <w:r w:rsidR="00D21D80">
        <w:rPr>
          <w:rFonts w:eastAsia="Calibri"/>
        </w:rPr>
        <w:tab/>
      </w:r>
      <w:r w:rsidRPr="00A42CFD">
        <w:rPr>
          <w:rFonts w:eastAsia="Calibri"/>
        </w:rPr>
        <w:t xml:space="preserve">Respondent during the aforementioned inspection that she was required to wear a </w:t>
      </w:r>
      <w:r w:rsidR="00D21D80">
        <w:rPr>
          <w:rFonts w:eastAsia="Calibri"/>
        </w:rPr>
        <w:tab/>
      </w:r>
      <w:r w:rsidRPr="00A42CFD">
        <w:rPr>
          <w:rFonts w:eastAsia="Calibri"/>
        </w:rPr>
        <w:t>mask at all times in her</w:t>
      </w:r>
      <w:r w:rsidR="00D21D80">
        <w:rPr>
          <w:rFonts w:eastAsia="Calibri"/>
        </w:rPr>
        <w:t xml:space="preserve"> office during operating hours.</w:t>
      </w:r>
    </w:p>
    <w:p w:rsidR="00D21D80" w:rsidRDefault="00A42CFD" w:rsidP="00D21D80">
      <w:pPr>
        <w:numPr>
          <w:ilvl w:val="0"/>
          <w:numId w:val="13"/>
        </w:numPr>
        <w:shd w:val="clear" w:color="auto" w:fill="FFFFFF"/>
        <w:spacing w:after="200" w:line="360" w:lineRule="auto"/>
        <w:ind w:left="360" w:firstLine="0"/>
        <w:contextualSpacing/>
        <w:rPr>
          <w:rFonts w:eastAsia="Calibri"/>
        </w:rPr>
      </w:pPr>
      <w:r w:rsidRPr="00A42CFD">
        <w:rPr>
          <w:rFonts w:eastAsia="Calibri"/>
        </w:rPr>
        <w:t xml:space="preserve">Representatives of the Committee interviewed the Respondent by phone on </w:t>
      </w:r>
      <w:r w:rsidR="00D21D80">
        <w:rPr>
          <w:rFonts w:eastAsia="Calibri"/>
        </w:rPr>
        <w:tab/>
      </w:r>
      <w:r w:rsidRPr="00A42CFD">
        <w:rPr>
          <w:rFonts w:eastAsia="Calibri"/>
        </w:rPr>
        <w:t xml:space="preserve">February 18, 2021, during which the Respondent again confirmed that she does </w:t>
      </w:r>
      <w:r w:rsidR="00D21D80">
        <w:rPr>
          <w:rFonts w:eastAsia="Calibri"/>
        </w:rPr>
        <w:tab/>
      </w:r>
      <w:r w:rsidRPr="00A42CFD">
        <w:rPr>
          <w:rFonts w:eastAsia="Calibri"/>
        </w:rPr>
        <w:t>not wear a mask in her office while treating patients.</w:t>
      </w:r>
    </w:p>
    <w:p w:rsidR="008B1719" w:rsidRDefault="00A42CFD" w:rsidP="008B1719">
      <w:pPr>
        <w:numPr>
          <w:ilvl w:val="0"/>
          <w:numId w:val="13"/>
        </w:numPr>
        <w:shd w:val="clear" w:color="auto" w:fill="FFFFFF"/>
        <w:spacing w:after="200" w:line="360" w:lineRule="auto"/>
        <w:ind w:left="360" w:firstLine="0"/>
        <w:contextualSpacing/>
        <w:rPr>
          <w:rFonts w:eastAsia="Calibri"/>
        </w:rPr>
      </w:pPr>
      <w:r w:rsidRPr="00A42CFD">
        <w:rPr>
          <w:rFonts w:eastAsia="Calibri"/>
        </w:rPr>
        <w:t xml:space="preserve">On April 29, 2021, Governor Baker, issued COVID-19 Order No. 67 through </w:t>
      </w:r>
      <w:r w:rsidR="00D21D80">
        <w:rPr>
          <w:rFonts w:eastAsia="Calibri"/>
        </w:rPr>
        <w:tab/>
      </w:r>
      <w:r w:rsidRPr="00A42CFD">
        <w:rPr>
          <w:rFonts w:eastAsia="Calibri"/>
        </w:rPr>
        <w:t xml:space="preserve">which he, in part, expanded on the above-referenced COVID-19 Order No. 55 and </w:t>
      </w:r>
      <w:r w:rsidR="00D21D80">
        <w:rPr>
          <w:rFonts w:eastAsia="Calibri"/>
        </w:rPr>
        <w:tab/>
      </w:r>
      <w:r w:rsidRPr="00A42CFD">
        <w:rPr>
          <w:rFonts w:eastAsia="Calibri"/>
        </w:rPr>
        <w:t xml:space="preserve">maintained that “all persons in Massachusetts over the age of 5 years old are </w:t>
      </w:r>
      <w:r w:rsidR="00D21D80">
        <w:rPr>
          <w:rFonts w:eastAsia="Calibri"/>
        </w:rPr>
        <w:tab/>
      </w:r>
      <w:r w:rsidRPr="00A42CFD">
        <w:rPr>
          <w:rFonts w:eastAsia="Calibri"/>
        </w:rPr>
        <w:t>required to wear a mask or face covering over their mouth and nose</w:t>
      </w:r>
      <w:r w:rsidR="00090017">
        <w:rPr>
          <w:rFonts w:eastAsia="Calibri"/>
        </w:rPr>
        <w:t>..</w:t>
      </w:r>
      <w:r w:rsidRPr="00A42CFD">
        <w:rPr>
          <w:rFonts w:eastAsia="Calibri"/>
        </w:rPr>
        <w:t xml:space="preserve">…when </w:t>
      </w:r>
      <w:r w:rsidR="00D21D80">
        <w:rPr>
          <w:rFonts w:eastAsia="Calibri"/>
        </w:rPr>
        <w:tab/>
      </w:r>
      <w:r w:rsidRPr="00A42CFD">
        <w:rPr>
          <w:rFonts w:eastAsia="Calibri"/>
        </w:rPr>
        <w:t>indoors and in a public location.”</w:t>
      </w:r>
    </w:p>
    <w:p w:rsidR="008340BB" w:rsidRPr="008B1719" w:rsidRDefault="008B1719" w:rsidP="008B1719">
      <w:pPr>
        <w:numPr>
          <w:ilvl w:val="0"/>
          <w:numId w:val="13"/>
        </w:numPr>
        <w:shd w:val="clear" w:color="auto" w:fill="FFFFFF"/>
        <w:tabs>
          <w:tab w:val="left" w:pos="450"/>
          <w:tab w:val="left" w:pos="720"/>
          <w:tab w:val="left" w:pos="810"/>
        </w:tabs>
        <w:spacing w:after="200" w:line="360" w:lineRule="auto"/>
        <w:ind w:left="720" w:hanging="360"/>
        <w:contextualSpacing/>
        <w:rPr>
          <w:rFonts w:eastAsia="Calibri"/>
        </w:rPr>
      </w:pPr>
      <w:r w:rsidRPr="008B1719">
        <w:rPr>
          <w:rFonts w:eastAsia="Calibri"/>
        </w:rPr>
        <w:t>On May 18, 2021, the Respondent sent an email to Complaint Counsel for the Committee on Acupuncture stating, among other things, she agreed her office needs to be kept clean and comport with most OSHA requirements but she disagreed that she should be required to wear a mask</w:t>
      </w:r>
      <w:r>
        <w:rPr>
          <w:rStyle w:val="FootnoteReference"/>
          <w:rFonts w:eastAsia="Calibri"/>
        </w:rPr>
        <w:footnoteReference w:id="5"/>
      </w:r>
      <w:r w:rsidRPr="008B1719">
        <w:rPr>
          <w:rFonts w:eastAsia="Calibri"/>
        </w:rPr>
        <w:t xml:space="preserve"> while performing     acupuncture.</w:t>
      </w:r>
    </w:p>
    <w:p w:rsidR="00A6269B" w:rsidRPr="00E95686" w:rsidRDefault="00A42CFD" w:rsidP="000176B8">
      <w:pPr>
        <w:numPr>
          <w:ilvl w:val="0"/>
          <w:numId w:val="13"/>
        </w:numPr>
        <w:shd w:val="clear" w:color="auto" w:fill="FFFFFF"/>
        <w:spacing w:after="200" w:line="360" w:lineRule="auto"/>
        <w:ind w:left="360" w:firstLine="0"/>
        <w:contextualSpacing/>
        <w:rPr>
          <w:color w:val="333333"/>
        </w:rPr>
      </w:pPr>
      <w:r w:rsidRPr="00A6269B">
        <w:rPr>
          <w:rFonts w:eastAsia="Calibri"/>
        </w:rPr>
        <w:t xml:space="preserve">On May 29, 2021, the above-referenced COVID-19 Order No. 67 was rescinded; </w:t>
      </w:r>
      <w:r w:rsidR="00D21D80" w:rsidRPr="00A6269B">
        <w:rPr>
          <w:rFonts w:eastAsia="Calibri"/>
        </w:rPr>
        <w:tab/>
      </w:r>
      <w:r w:rsidRPr="00A6269B">
        <w:rPr>
          <w:rFonts w:eastAsia="Calibri"/>
        </w:rPr>
        <w:t xml:space="preserve">however, per an Order of the Commissioner of Public Health issued May 28, </w:t>
      </w:r>
      <w:r w:rsidR="00D21D80" w:rsidRPr="00A6269B">
        <w:rPr>
          <w:rFonts w:eastAsia="Calibri"/>
        </w:rPr>
        <w:tab/>
      </w:r>
      <w:r w:rsidRPr="00A6269B">
        <w:rPr>
          <w:rFonts w:eastAsia="Calibri"/>
        </w:rPr>
        <w:t xml:space="preserve">2021, a requirement remained in place that masks be worn at all times in certain </w:t>
      </w:r>
      <w:r w:rsidR="00D21D80" w:rsidRPr="00A6269B">
        <w:rPr>
          <w:rFonts w:eastAsia="Calibri"/>
        </w:rPr>
        <w:tab/>
      </w:r>
      <w:r w:rsidRPr="00A6269B">
        <w:rPr>
          <w:rFonts w:eastAsia="Calibri"/>
        </w:rPr>
        <w:t xml:space="preserve">locations, including but not limited to “healthcare practice locations of any </w:t>
      </w:r>
      <w:r w:rsidR="00D21D80" w:rsidRPr="00A6269B">
        <w:rPr>
          <w:rFonts w:eastAsia="Calibri"/>
        </w:rPr>
        <w:tab/>
      </w:r>
      <w:r w:rsidRPr="00A6269B">
        <w:rPr>
          <w:rFonts w:eastAsia="Calibri"/>
        </w:rPr>
        <w:t xml:space="preserve">provider licensed by a professional board which sits within the Department of </w:t>
      </w:r>
      <w:r w:rsidR="00D21D80" w:rsidRPr="00A6269B">
        <w:rPr>
          <w:rFonts w:eastAsia="Calibri"/>
        </w:rPr>
        <w:tab/>
      </w:r>
      <w:r w:rsidRPr="00A6269B">
        <w:rPr>
          <w:rFonts w:eastAsia="Calibri"/>
        </w:rPr>
        <w:t xml:space="preserve">Public Health or the Division of Professional Licensure.” </w:t>
      </w:r>
    </w:p>
    <w:p w:rsidR="00E95686" w:rsidRPr="00A6269B" w:rsidRDefault="00E95686" w:rsidP="00E95686">
      <w:pPr>
        <w:shd w:val="clear" w:color="auto" w:fill="FFFFFF"/>
        <w:spacing w:after="200" w:line="360" w:lineRule="auto"/>
        <w:ind w:left="360"/>
        <w:contextualSpacing/>
        <w:rPr>
          <w:color w:val="333333"/>
        </w:rPr>
      </w:pPr>
    </w:p>
    <w:p w:rsidR="00DF7474" w:rsidRPr="00A6269B" w:rsidRDefault="00BF0D84" w:rsidP="00187EE9">
      <w:pPr>
        <w:shd w:val="clear" w:color="auto" w:fill="FFFFFF"/>
        <w:spacing w:after="200" w:line="360" w:lineRule="auto"/>
        <w:contextualSpacing/>
        <w:jc w:val="center"/>
        <w:rPr>
          <w:color w:val="333333"/>
        </w:rPr>
      </w:pPr>
      <w:r w:rsidRPr="00BF0D84">
        <w:rPr>
          <w:color w:val="333333"/>
          <w:u w:val="single"/>
        </w:rPr>
        <w:t>Conclusions of Law</w:t>
      </w:r>
      <w:r w:rsidR="0015465F">
        <w:rPr>
          <w:color w:val="333333"/>
        </w:rPr>
        <w:tab/>
      </w:r>
      <w:r w:rsidR="00FA5AAC" w:rsidRPr="00DF7474">
        <w:rPr>
          <w:noProof/>
          <w:color w:val="333333"/>
        </w:rPr>
        <w:drawing>
          <wp:inline distT="0" distB="0" distL="0" distR="0">
            <wp:extent cx="9525" cy="9525"/>
            <wp:effectExtent l="0" t="0" r="0" b="0"/>
            <wp:docPr id="1" name="Picture 12"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l.gvpi.net/images/1x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95686" w:rsidRDefault="007F0E33" w:rsidP="00D21D80">
      <w:pPr>
        <w:spacing w:line="360" w:lineRule="auto"/>
        <w:rPr>
          <w:rFonts w:eastAsia="Calibri"/>
        </w:rPr>
      </w:pPr>
      <w:r>
        <w:rPr>
          <w:rFonts w:eastAsia="Calibri"/>
        </w:rPr>
        <w:tab/>
      </w:r>
    </w:p>
    <w:p w:rsidR="00D21D80" w:rsidRPr="00D21D80" w:rsidRDefault="00D21D80" w:rsidP="00D21D80">
      <w:pPr>
        <w:spacing w:line="360" w:lineRule="auto"/>
        <w:rPr>
          <w:rFonts w:eastAsia="Calibri"/>
        </w:rPr>
      </w:pPr>
      <w:r w:rsidRPr="00D21D80">
        <w:rPr>
          <w:rFonts w:eastAsia="Calibri"/>
        </w:rPr>
        <w:t xml:space="preserve">A.  </w:t>
      </w:r>
      <w:r w:rsidR="00BF0D84">
        <w:rPr>
          <w:rFonts w:eastAsia="Calibri"/>
        </w:rPr>
        <w:t xml:space="preserve">The Respondent violated </w:t>
      </w:r>
      <w:r w:rsidRPr="00D21D80">
        <w:rPr>
          <w:rFonts w:eastAsia="Calibri"/>
        </w:rPr>
        <w:t>243 CMR 4.03(5)(a)2</w:t>
      </w:r>
      <w:r w:rsidR="004D20B2">
        <w:rPr>
          <w:rFonts w:eastAsia="Calibri"/>
        </w:rPr>
        <w:t>,</w:t>
      </w:r>
      <w:r w:rsidRPr="00D21D80">
        <w:rPr>
          <w:rFonts w:eastAsia="Calibri"/>
        </w:rPr>
        <w:t xml:space="preserve"> </w:t>
      </w:r>
      <w:r w:rsidR="00BF0D84">
        <w:rPr>
          <w:rFonts w:eastAsia="Calibri"/>
        </w:rPr>
        <w:t>by violating</w:t>
      </w:r>
      <w:r w:rsidRPr="00D21D80">
        <w:rPr>
          <w:rFonts w:eastAsia="Calibri"/>
        </w:rPr>
        <w:t xml:space="preserve"> any provision of the laws of the Commonwealth relating to the practice of medicine or acupuncture, or any rule or regulation adopted thereunder.</w:t>
      </w:r>
    </w:p>
    <w:p w:rsidR="00AA5785" w:rsidRDefault="007F0E33" w:rsidP="00D21D80">
      <w:pPr>
        <w:spacing w:line="360" w:lineRule="auto"/>
        <w:rPr>
          <w:rFonts w:eastAsia="Calibri"/>
        </w:rPr>
      </w:pPr>
      <w:r>
        <w:rPr>
          <w:rFonts w:eastAsia="Calibri"/>
        </w:rPr>
        <w:lastRenderedPageBreak/>
        <w:tab/>
      </w:r>
      <w:r w:rsidR="00D21D80" w:rsidRPr="00D21D80">
        <w:rPr>
          <w:rFonts w:eastAsia="Calibri"/>
        </w:rPr>
        <w:t xml:space="preserve">B.  </w:t>
      </w:r>
      <w:r w:rsidR="00BF0D84">
        <w:rPr>
          <w:rFonts w:eastAsia="Calibri"/>
        </w:rPr>
        <w:t xml:space="preserve">The Respondent lacks good moral character and has engaged </w:t>
      </w:r>
      <w:r w:rsidR="00BF0D84" w:rsidRPr="00D21D80">
        <w:rPr>
          <w:rFonts w:eastAsia="Calibri"/>
        </w:rPr>
        <w:t xml:space="preserve">in conduct that undermines the public confidence in the integrity of the </w:t>
      </w:r>
      <w:r w:rsidR="00BF0D84">
        <w:rPr>
          <w:rFonts w:eastAsia="Calibri"/>
        </w:rPr>
        <w:t>acupuncture</w:t>
      </w:r>
      <w:r w:rsidR="00BF0D84" w:rsidRPr="00D21D80">
        <w:rPr>
          <w:rFonts w:eastAsia="Calibri"/>
        </w:rPr>
        <w:t xml:space="preserve"> </w:t>
      </w:r>
      <w:r w:rsidR="00BF0D84">
        <w:rPr>
          <w:rFonts w:eastAsia="Calibri"/>
        </w:rPr>
        <w:t>profession p</w:t>
      </w:r>
      <w:r w:rsidR="008B4C62">
        <w:rPr>
          <w:rFonts w:eastAsia="Calibri"/>
        </w:rPr>
        <w:t>ursuant to</w:t>
      </w:r>
      <w:r w:rsidR="004D20B2">
        <w:rPr>
          <w:rFonts w:eastAsia="Calibri"/>
        </w:rPr>
        <w:t xml:space="preserve"> </w:t>
      </w:r>
      <w:r w:rsidR="00D21D80" w:rsidRPr="00D21D80">
        <w:rPr>
          <w:rFonts w:eastAsia="Calibri"/>
        </w:rPr>
        <w:t xml:space="preserve"> </w:t>
      </w:r>
      <w:r w:rsidR="00D21D80" w:rsidRPr="00D21D80">
        <w:rPr>
          <w:rFonts w:eastAsia="Calibri"/>
          <w:u w:val="single"/>
        </w:rPr>
        <w:t>Levy v. Board of Registration in Medicine</w:t>
      </w:r>
      <w:r w:rsidR="00D21D80" w:rsidRPr="00D21D80">
        <w:rPr>
          <w:rFonts w:eastAsia="Calibri"/>
        </w:rPr>
        <w:t xml:space="preserve">, 378 Mass. 519 (1979); </w:t>
      </w:r>
      <w:r w:rsidR="00D21D80" w:rsidRPr="00D21D80">
        <w:rPr>
          <w:rFonts w:eastAsia="Calibri"/>
          <w:u w:val="single"/>
        </w:rPr>
        <w:t>Raymond v. Board of Registration in Medicine</w:t>
      </w:r>
      <w:r w:rsidR="00D21D80" w:rsidRPr="00D21D80">
        <w:rPr>
          <w:rFonts w:eastAsia="Calibri"/>
        </w:rPr>
        <w:t xml:space="preserve">, 387 Mass. 708 (1982), and </w:t>
      </w:r>
      <w:r w:rsidR="00D21D80" w:rsidRPr="00D21D80">
        <w:rPr>
          <w:rFonts w:eastAsia="Calibri"/>
          <w:u w:val="single"/>
        </w:rPr>
        <w:t>Sugarman v. Board of Registration in Medicine</w:t>
      </w:r>
      <w:r w:rsidR="00BF0D84">
        <w:rPr>
          <w:rFonts w:eastAsia="Calibri"/>
        </w:rPr>
        <w:t>, 422 Mass. 338 (1996).</w:t>
      </w:r>
    </w:p>
    <w:p w:rsidR="00187EE9" w:rsidRDefault="00187EE9" w:rsidP="00D21D80">
      <w:pPr>
        <w:spacing w:line="360" w:lineRule="auto"/>
        <w:rPr>
          <w:rFonts w:eastAsia="Calibri"/>
        </w:rPr>
      </w:pPr>
    </w:p>
    <w:p w:rsidR="002052E3" w:rsidRDefault="005A1BB8" w:rsidP="00341D9D">
      <w:pPr>
        <w:tabs>
          <w:tab w:val="left" w:pos="0"/>
        </w:tabs>
        <w:spacing w:line="360" w:lineRule="auto"/>
      </w:pPr>
      <w:r>
        <w:tab/>
      </w:r>
      <w:r w:rsidR="00CF533C">
        <w:t xml:space="preserve">When determining the appropriate sanction </w:t>
      </w:r>
      <w:r w:rsidR="003F3122">
        <w:t>where there has been</w:t>
      </w:r>
      <w:r w:rsidR="007A7C05">
        <w:t xml:space="preserve"> </w:t>
      </w:r>
      <w:r w:rsidR="00A6269B">
        <w:t>a violation of the laws and rules relating to the practice of medicine or acupuncture</w:t>
      </w:r>
      <w:r w:rsidR="00CF533C">
        <w:t xml:space="preserve">, the </w:t>
      </w:r>
      <w:r w:rsidR="008929B9">
        <w:t xml:space="preserve">COA </w:t>
      </w:r>
      <w:r w:rsidR="00CF533C">
        <w:t xml:space="preserve">takes into consideration </w:t>
      </w:r>
      <w:r w:rsidR="00A6269B">
        <w:t>which laws, rules or regulations were violated, the nature or severity of the violation(s) that occurred, and the inclusion or absence of additional infractions of other laws or regulations</w:t>
      </w:r>
      <w:r w:rsidR="00341D9D">
        <w:t>.  T</w:t>
      </w:r>
      <w:r w:rsidR="007365B7">
        <w:t>he present matter involves</w:t>
      </w:r>
      <w:r w:rsidR="007A7C05">
        <w:t xml:space="preserve"> </w:t>
      </w:r>
      <w:r w:rsidR="00A6269B">
        <w:t xml:space="preserve">the Respondent violating </w:t>
      </w:r>
      <w:r w:rsidR="00341D9D">
        <w:t xml:space="preserve">the Governor’s </w:t>
      </w:r>
      <w:r w:rsidR="002052E3">
        <w:t>COVID</w:t>
      </w:r>
      <w:r w:rsidR="00341D9D">
        <w:t xml:space="preserve">-19 Orders, </w:t>
      </w:r>
      <w:r w:rsidR="00A6269B">
        <w:t xml:space="preserve">regulation </w:t>
      </w:r>
      <w:r w:rsidR="0015465F" w:rsidRPr="00D21D80">
        <w:rPr>
          <w:rFonts w:eastAsia="Calibri"/>
        </w:rPr>
        <w:t xml:space="preserve">243 CMR 4.03(5)(a)2 </w:t>
      </w:r>
      <w:r w:rsidR="00A6269B">
        <w:t xml:space="preserve">and also engaging in conduct that undermines the public confidence in the integrity of the medical profession. </w:t>
      </w:r>
      <w:r w:rsidR="007A7C05">
        <w:t xml:space="preserve">                                    </w:t>
      </w:r>
    </w:p>
    <w:p w:rsidR="00341D9D" w:rsidRDefault="002052E3" w:rsidP="00341D9D">
      <w:pPr>
        <w:tabs>
          <w:tab w:val="left" w:pos="0"/>
        </w:tabs>
        <w:spacing w:line="360" w:lineRule="auto"/>
      </w:pPr>
      <w:r>
        <w:tab/>
      </w:r>
      <w:r w:rsidR="00403BBF" w:rsidRPr="00403BBF">
        <w:t xml:space="preserve">The Respondent’s failure to file an Answer to the </w:t>
      </w:r>
      <w:r w:rsidR="00403BBF">
        <w:t>Statement of Allegations</w:t>
      </w:r>
      <w:r w:rsidR="00403BBF" w:rsidRPr="00403BBF">
        <w:t>, failure to appear for a pre-hearing conference, and h</w:t>
      </w:r>
      <w:r w:rsidR="007A7C05">
        <w:t>er</w:t>
      </w:r>
      <w:r w:rsidR="00403BBF" w:rsidRPr="00403BBF">
        <w:t xml:space="preserve"> default demonstrate h</w:t>
      </w:r>
      <w:r w:rsidR="007A7C05">
        <w:t>er</w:t>
      </w:r>
      <w:r w:rsidR="00403BBF" w:rsidRPr="00403BBF">
        <w:t xml:space="preserve"> utter disregard for the </w:t>
      </w:r>
      <w:r w:rsidR="008929B9">
        <w:t>COA</w:t>
      </w:r>
      <w:r w:rsidR="008929B9" w:rsidRPr="00403BBF">
        <w:t xml:space="preserve">’s </w:t>
      </w:r>
      <w:r w:rsidR="00403BBF" w:rsidRPr="00403BBF">
        <w:t>statutory mandate</w:t>
      </w:r>
      <w:r w:rsidR="00403BBF">
        <w:t xml:space="preserve"> to protect the public</w:t>
      </w:r>
      <w:r w:rsidR="007A7C05">
        <w:t xml:space="preserve">.  Her </w:t>
      </w:r>
      <w:r w:rsidR="00403BBF" w:rsidRPr="00403BBF">
        <w:t xml:space="preserve">violations of the </w:t>
      </w:r>
      <w:r w:rsidR="007A7C05">
        <w:t>Governor</w:t>
      </w:r>
      <w:r w:rsidR="00403BBF" w:rsidRPr="00403BBF">
        <w:t xml:space="preserve">’s </w:t>
      </w:r>
      <w:r>
        <w:t>COVID</w:t>
      </w:r>
      <w:r w:rsidR="007A7C05">
        <w:t>-19 Orders</w:t>
      </w:r>
      <w:r w:rsidR="00403BBF" w:rsidRPr="00403BBF">
        <w:t xml:space="preserve"> undermine the public’s confidence in the medical profession.  </w:t>
      </w:r>
      <w:r w:rsidR="00403BBF" w:rsidRPr="00403BBF">
        <w:rPr>
          <w:u w:val="single"/>
        </w:rPr>
        <w:t>See</w:t>
      </w:r>
      <w:r w:rsidR="00403BBF" w:rsidRPr="00403BBF">
        <w:t xml:space="preserve"> </w:t>
      </w:r>
      <w:r w:rsidR="00403BBF" w:rsidRPr="00403BBF">
        <w:rPr>
          <w:i/>
        </w:rPr>
        <w:t>In the Matter of Joshua P. Golden, M.D.</w:t>
      </w:r>
      <w:r w:rsidR="00403BBF" w:rsidRPr="00403BBF">
        <w:t>, Board of Registration in Medicine, Adjudicatory Case No. 89-10-SU (Final Decision and Order, August 1, 1990) (Board may discipline a physician who “undermines public confidence in the integrity of the medical profession by flouting the rules and regulations of the agency which</w:t>
      </w:r>
      <w:r w:rsidR="00403BBF">
        <w:t xml:space="preserve"> granted his license” by failin</w:t>
      </w:r>
      <w:r w:rsidR="00A76358">
        <w:t>g</w:t>
      </w:r>
      <w:r w:rsidR="00403BBF" w:rsidRPr="00403BBF">
        <w:t xml:space="preserve"> to respond to Board inquiries.)</w:t>
      </w:r>
    </w:p>
    <w:p w:rsidR="006A2D9B" w:rsidRDefault="0015465F" w:rsidP="006A2D9B">
      <w:pPr>
        <w:pStyle w:val="le-normal-32-level"/>
        <w:shd w:val="clear" w:color="auto" w:fill="FFFFFF"/>
        <w:spacing w:before="20" w:beforeAutospacing="0" w:after="20" w:afterAutospacing="0" w:line="360" w:lineRule="auto"/>
      </w:pPr>
      <w:r>
        <w:tab/>
      </w:r>
      <w:r w:rsidR="00CF091A" w:rsidRPr="00CF091A">
        <w:t xml:space="preserve">The COA notes that, in the past, </w:t>
      </w:r>
      <w:r w:rsidR="00CF091A" w:rsidRPr="00CF091A">
        <w:rPr>
          <w:color w:val="000000"/>
        </w:rPr>
        <w:t xml:space="preserve">the Board </w:t>
      </w:r>
      <w:r w:rsidR="00CF091A" w:rsidRPr="00877CD8">
        <w:rPr>
          <w:color w:val="000000"/>
        </w:rPr>
        <w:t xml:space="preserve">of Registration in Medicine has </w:t>
      </w:r>
      <w:r w:rsidR="00CF091A">
        <w:rPr>
          <w:color w:val="000000"/>
        </w:rPr>
        <w:t>historically</w:t>
      </w:r>
      <w:r w:rsidR="00CF091A" w:rsidRPr="00877CD8">
        <w:rPr>
          <w:color w:val="000000"/>
        </w:rPr>
        <w:t xml:space="preserve"> imposed the sanction of license revocation in </w:t>
      </w:r>
      <w:r w:rsidR="00CF091A" w:rsidRPr="00CF091A">
        <w:rPr>
          <w:color w:val="000000"/>
        </w:rPr>
        <w:t xml:space="preserve">cases involving similar issues </w:t>
      </w:r>
      <w:r w:rsidR="00CF091A">
        <w:rPr>
          <w:color w:val="000000"/>
        </w:rPr>
        <w:t>of default</w:t>
      </w:r>
      <w:r w:rsidR="00B83ED3">
        <w:rPr>
          <w:rStyle w:val="FootnoteReference"/>
          <w:color w:val="000000"/>
        </w:rPr>
        <w:footnoteReference w:id="6"/>
      </w:r>
      <w:r w:rsidR="00CF091A" w:rsidRPr="00877CD8">
        <w:rPr>
          <w:color w:val="000000"/>
        </w:rPr>
        <w:t>.</w:t>
      </w:r>
      <w:r w:rsidR="00341D9D">
        <w:t xml:space="preserve"> </w:t>
      </w:r>
      <w:r w:rsidR="00341D9D">
        <w:rPr>
          <w:i/>
        </w:rPr>
        <w:t>See</w:t>
      </w:r>
      <w:r w:rsidR="00341D9D">
        <w:t xml:space="preserve">, </w:t>
      </w:r>
      <w:r w:rsidR="00341D9D">
        <w:rPr>
          <w:i/>
        </w:rPr>
        <w:t>e.g.</w:t>
      </w:r>
      <w:r w:rsidR="00341D9D">
        <w:t xml:space="preserve">, </w:t>
      </w:r>
      <w:r w:rsidR="00341D9D">
        <w:rPr>
          <w:i/>
        </w:rPr>
        <w:t>In the Matter of Paul M. Willette, M.D.</w:t>
      </w:r>
      <w:r w:rsidR="00341D9D">
        <w:t xml:space="preserve">, Board of Registration in Medicine, Adjudicatory Case No. 2017-035 (Final Decision and Order, September 13, 2018); </w:t>
      </w:r>
      <w:r w:rsidR="00341D9D">
        <w:rPr>
          <w:i/>
        </w:rPr>
        <w:t>In the Matter of John P. Katzenberg, M.D.</w:t>
      </w:r>
      <w:r w:rsidR="00341D9D">
        <w:t xml:space="preserve">, Board of Registration in Medicine, Adjudicatory Case No. 2017-054 (Final Decision and Order, August 9, 2018); </w:t>
      </w:r>
      <w:r w:rsidR="00341D9D">
        <w:rPr>
          <w:i/>
        </w:rPr>
        <w:t xml:space="preserve">In the </w:t>
      </w:r>
      <w:r w:rsidR="00341D9D">
        <w:rPr>
          <w:i/>
        </w:rPr>
        <w:lastRenderedPageBreak/>
        <w:t>Matter of Christopher D. Owens, M.D.</w:t>
      </w:r>
      <w:r w:rsidR="00341D9D">
        <w:t xml:space="preserve">, Board of Registration in Medicine, Adjudicatory Case No. 2017-031 (Final Decision and Order, April 25, 2018); </w:t>
      </w:r>
      <w:r w:rsidR="00341D9D">
        <w:rPr>
          <w:i/>
        </w:rPr>
        <w:t>In the Matter of John E. Strobeck, M.D.</w:t>
      </w:r>
      <w:r w:rsidR="00341D9D">
        <w:t xml:space="preserve">, Board of Registration in Medicine, Adjudicatory Case No. 2017-044 (Final Decision and Order, April 25, 2018). In these cases, the Board reasoned that a default demonstrates a physician’s “utter disregard for the Board’s statutory mandate.” </w:t>
      </w:r>
      <w:r w:rsidR="006A2D9B">
        <w:t>Similarly, b</w:t>
      </w:r>
      <w:r w:rsidR="00341D9D">
        <w:t xml:space="preserve">y failing to respond to the </w:t>
      </w:r>
      <w:r w:rsidR="008929B9">
        <w:t>COA</w:t>
      </w:r>
      <w:r w:rsidR="00341D9D">
        <w:t xml:space="preserve">, </w:t>
      </w:r>
      <w:r w:rsidR="008929B9">
        <w:t>an acupunctur</w:t>
      </w:r>
      <w:r w:rsidR="004D20B2">
        <w:t>i</w:t>
      </w:r>
      <w:r w:rsidR="008929B9">
        <w:t>st</w:t>
      </w:r>
      <w:r w:rsidR="00341D9D">
        <w:t xml:space="preserve"> prevents the </w:t>
      </w:r>
      <w:r w:rsidR="008929B9">
        <w:t>COA</w:t>
      </w:r>
      <w:r w:rsidR="00341D9D">
        <w:t xml:space="preserve"> from investigating the allegations concerning his or her misconduct. </w:t>
      </w:r>
    </w:p>
    <w:p w:rsidR="00341D9D" w:rsidRDefault="006A2D9B" w:rsidP="00EA2B4F">
      <w:pPr>
        <w:pStyle w:val="le-normal-32-level"/>
        <w:shd w:val="clear" w:color="auto" w:fill="FFFFFF"/>
        <w:spacing w:before="20" w:beforeAutospacing="0" w:after="20" w:afterAutospacing="0" w:line="360" w:lineRule="auto"/>
        <w:ind w:firstLine="720"/>
      </w:pPr>
      <w:r>
        <w:t>In this instance, t</w:t>
      </w:r>
      <w:r w:rsidR="00341D9D">
        <w:t xml:space="preserve">he </w:t>
      </w:r>
      <w:r w:rsidR="008929B9">
        <w:t xml:space="preserve">acupuncturist’s </w:t>
      </w:r>
      <w:r w:rsidR="00341D9D">
        <w:t xml:space="preserve">failure </w:t>
      </w:r>
      <w:r>
        <w:t xml:space="preserve">to comply with the Governor’s COVID-19 public health orders </w:t>
      </w:r>
      <w:r w:rsidR="00BA0E64">
        <w:t>issued in response to</w:t>
      </w:r>
      <w:r>
        <w:t xml:space="preserve"> a public health emergency is </w:t>
      </w:r>
      <w:r w:rsidR="00BA0E64">
        <w:t xml:space="preserve">further </w:t>
      </w:r>
      <w:r>
        <w:t xml:space="preserve">compounded by her </w:t>
      </w:r>
      <w:r w:rsidR="00BA0E64">
        <w:t xml:space="preserve">subsequent </w:t>
      </w:r>
      <w:r>
        <w:t xml:space="preserve">failure </w:t>
      </w:r>
      <w:r w:rsidR="00341D9D">
        <w:t>to respond to these allegations</w:t>
      </w:r>
      <w:r w:rsidR="00BA0E64">
        <w:t xml:space="preserve">.  Her actions </w:t>
      </w:r>
      <w:r w:rsidR="00341D9D">
        <w:t xml:space="preserve">hinder </w:t>
      </w:r>
      <w:r w:rsidR="00FB4347">
        <w:t xml:space="preserve">and demonstrate disregard for </w:t>
      </w:r>
      <w:r w:rsidR="00341D9D">
        <w:t xml:space="preserve">the </w:t>
      </w:r>
      <w:r w:rsidR="008929B9">
        <w:t xml:space="preserve">COA’s </w:t>
      </w:r>
      <w:r w:rsidR="00341D9D">
        <w:t>efforts to fulfill its mission to protect the public health, safety, and welfare.</w:t>
      </w:r>
    </w:p>
    <w:p w:rsidR="00A91729" w:rsidRPr="00284F04" w:rsidRDefault="00FB4347" w:rsidP="00403BBF">
      <w:pPr>
        <w:spacing w:line="360" w:lineRule="auto"/>
        <w:ind w:firstLine="720"/>
        <w:jc w:val="both"/>
      </w:pPr>
      <w:r>
        <w:t xml:space="preserve">Based on the </w:t>
      </w:r>
      <w:r w:rsidR="00BA0E64">
        <w:t xml:space="preserve">foregoing, the </w:t>
      </w:r>
      <w:r w:rsidR="004D20B2">
        <w:t>COA</w:t>
      </w:r>
      <w:r w:rsidR="004D20B2" w:rsidRPr="003F6DE6">
        <w:t xml:space="preserve"> </w:t>
      </w:r>
      <w:r w:rsidR="003F6DE6" w:rsidRPr="003F6DE6">
        <w:t xml:space="preserve">hereby </w:t>
      </w:r>
      <w:r w:rsidR="007365B7">
        <w:t>REVOKES</w:t>
      </w:r>
      <w:r w:rsidR="003F6DE6" w:rsidRPr="003F6DE6">
        <w:t xml:space="preserve"> the Respondent</w:t>
      </w:r>
      <w:r w:rsidR="00A07660">
        <w:t xml:space="preserve">’s </w:t>
      </w:r>
      <w:r w:rsidR="00E95686">
        <w:t xml:space="preserve">inchoate right to renew her </w:t>
      </w:r>
      <w:r w:rsidR="007A7C05">
        <w:t>license to practice acupuncture</w:t>
      </w:r>
      <w:r w:rsidR="00E0133A">
        <w:rPr>
          <w:rStyle w:val="FootnoteReference"/>
        </w:rPr>
        <w:footnoteReference w:id="7"/>
      </w:r>
      <w:r w:rsidR="006E4C47">
        <w:t>,</w:t>
      </w:r>
      <w:r w:rsidR="009A0353">
        <w:t xml:space="preserve"> effective as of the date of this Final Decision and Order</w:t>
      </w:r>
      <w:r w:rsidR="00DE57E4">
        <w:t>.</w:t>
      </w:r>
    </w:p>
    <w:p w:rsidR="00640812" w:rsidRPr="000A15F7" w:rsidRDefault="008A2296" w:rsidP="00090017">
      <w:pPr>
        <w:spacing w:line="360" w:lineRule="auto"/>
      </w:pPr>
      <w:r>
        <w:tab/>
      </w:r>
      <w:r w:rsidR="00640812">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7A7C05">
        <w:t>s</w:t>
      </w:r>
      <w:r w:rsidR="00640812">
        <w:t xml:space="preserve">he practices </w:t>
      </w:r>
      <w:r w:rsidR="007A7C05">
        <w:t>acupuncture</w:t>
      </w:r>
      <w:r w:rsidR="00640812">
        <w:t xml:space="preserve">; any in- or out-of-state health maintenance organization with whom </w:t>
      </w:r>
      <w:r w:rsidR="007A7C05">
        <w:t>s</w:t>
      </w:r>
      <w:r w:rsidR="00640812">
        <w:t xml:space="preserve">he has privileges or any other kind of association; any state agency, in- or out-of-state, with which </w:t>
      </w:r>
      <w:r w:rsidR="007A7C05">
        <w:t>s</w:t>
      </w:r>
      <w:r w:rsidR="00640812">
        <w:t xml:space="preserve">he has a provider contract; any in- or out-of-state medical employer, whether or not </w:t>
      </w:r>
      <w:r w:rsidR="007A7C05">
        <w:t>s</w:t>
      </w:r>
      <w:r w:rsidR="00640812">
        <w:t xml:space="preserve">he practices </w:t>
      </w:r>
      <w:r w:rsidR="007A7C05">
        <w:t>acupuncture</w:t>
      </w:r>
      <w:r w:rsidR="00640812">
        <w:t xml:space="preserve"> there; </w:t>
      </w:r>
      <w:r w:rsidR="0015465F">
        <w:t xml:space="preserve">and </w:t>
      </w:r>
      <w:r w:rsidR="00640812">
        <w:t xml:space="preserve">the state licensing boards of all states in which </w:t>
      </w:r>
      <w:r w:rsidR="007A7C05">
        <w:t>s</w:t>
      </w:r>
      <w:r w:rsidR="00640812">
        <w:t xml:space="preserve">he has any kind of license to practice </w:t>
      </w:r>
      <w:r w:rsidR="0015465F">
        <w:t>acupuncture.</w:t>
      </w:r>
      <w:r w:rsidR="00640812">
        <w:t xml:space="preserve">  The Respondent shall also provide this notification to any such designated entities with which </w:t>
      </w:r>
      <w:r w:rsidR="007A7C05">
        <w:t>s</w:t>
      </w:r>
      <w:r w:rsidR="00640812">
        <w:t xml:space="preserve">he becomes associated </w:t>
      </w:r>
      <w:r w:rsidR="00496C79">
        <w:t>for the duration of this</w:t>
      </w:r>
      <w:r w:rsidR="000815F0">
        <w:t xml:space="preserve"> </w:t>
      </w:r>
      <w:r w:rsidR="00AA5785">
        <w:t>revocation</w:t>
      </w:r>
      <w:r w:rsidR="00640812">
        <w:t xml:space="preserve">.  The Respondent is further directed to certify to the Board within ten (10) days that </w:t>
      </w:r>
      <w:r w:rsidR="007A7C05">
        <w:t>s</w:t>
      </w:r>
      <w:r w:rsidR="00640812">
        <w:t xml:space="preserve">he has complied with this directive.  The Board expressly reserves the authority to independently notify, at any time, any of the entities designated above, or any other affected entity, of any action it </w:t>
      </w:r>
      <w:r w:rsidR="00640812">
        <w:lastRenderedPageBreak/>
        <w:t>has taken. T</w:t>
      </w:r>
      <w:r w:rsidR="00640812" w:rsidRPr="000A15F7">
        <w:t xml:space="preserve">he Respondent has the right to appeal this Final Decision and Order within thirty (30) days, pursuant to G.L. c. 30A, §§14 and 15, and G.L. c. 112, § 64.      </w:t>
      </w:r>
    </w:p>
    <w:p w:rsidR="00313823" w:rsidRDefault="00313823" w:rsidP="00BF7EBC"/>
    <w:p w:rsidR="00E0133A" w:rsidRDefault="00E0133A" w:rsidP="00BF7EBC"/>
    <w:p w:rsidR="00590A13" w:rsidRPr="00BF7BF6" w:rsidRDefault="00590A13" w:rsidP="00BF7EBC">
      <w:r w:rsidRPr="00BF7BF6">
        <w:t>Date:</w:t>
      </w:r>
      <w:r w:rsidR="00BF7EBC">
        <w:tab/>
      </w:r>
      <w:r w:rsidR="007A7C05">
        <w:t>April 21, 2022</w:t>
      </w:r>
      <w:r w:rsidR="007A7C05">
        <w:tab/>
      </w:r>
      <w:r w:rsidR="005D0418">
        <w:tab/>
      </w:r>
      <w:r w:rsidRPr="00BF7BF6">
        <w:tab/>
        <w:t>_____________________________</w:t>
      </w:r>
    </w:p>
    <w:p w:rsidR="00590A13" w:rsidRPr="00BF7BF6" w:rsidRDefault="00590A13" w:rsidP="00BF7EBC">
      <w:r w:rsidRPr="00BF7BF6">
        <w:tab/>
      </w:r>
      <w:r w:rsidRPr="00BF7BF6">
        <w:tab/>
      </w:r>
      <w:r w:rsidRPr="00BF7BF6">
        <w:tab/>
      </w:r>
      <w:r w:rsidRPr="00BF7BF6">
        <w:tab/>
      </w:r>
      <w:r w:rsidR="005D0418">
        <w:tab/>
      </w:r>
      <w:r w:rsidR="007A7C05">
        <w:t>Weidong Lu, Lic. Ac.</w:t>
      </w:r>
    </w:p>
    <w:p w:rsidR="00590A13" w:rsidRPr="00BF7BF6" w:rsidRDefault="00590A13" w:rsidP="00BF7EBC">
      <w:r w:rsidRPr="00BF7BF6">
        <w:tab/>
      </w:r>
      <w:r w:rsidRPr="00BF7BF6">
        <w:tab/>
      </w:r>
      <w:r w:rsidRPr="00BF7BF6">
        <w:tab/>
      </w:r>
      <w:r w:rsidRPr="00BF7BF6">
        <w:tab/>
      </w:r>
      <w:r w:rsidR="005D0418">
        <w:tab/>
      </w:r>
      <w:r w:rsidRPr="00BF7BF6">
        <w:t>Chair</w:t>
      </w:r>
    </w:p>
    <w:p w:rsidR="001C1641" w:rsidRPr="00BF7BF6" w:rsidRDefault="00590A13" w:rsidP="00BF7EBC">
      <w:r w:rsidRPr="00BF7BF6">
        <w:tab/>
      </w:r>
      <w:r w:rsidRPr="00BF7BF6">
        <w:tab/>
      </w:r>
      <w:r w:rsidRPr="00BF7BF6">
        <w:tab/>
      </w:r>
      <w:r w:rsidRPr="00BF7BF6">
        <w:tab/>
      </w:r>
      <w:r w:rsidR="005D0418">
        <w:tab/>
      </w:r>
      <w:r w:rsidR="00B468C7">
        <w:t>Committee on Acupuncture</w:t>
      </w:r>
    </w:p>
    <w:sectPr w:rsidR="001C1641" w:rsidRPr="00BF7BF6" w:rsidSect="00D54BCD">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662" w:rsidRDefault="00076662">
      <w:r>
        <w:separator/>
      </w:r>
    </w:p>
  </w:endnote>
  <w:endnote w:type="continuationSeparator" w:id="0">
    <w:p w:rsidR="00076662" w:rsidRDefault="0007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11E4" w:rsidRDefault="009E11E4" w:rsidP="00E67B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40A1">
      <w:rPr>
        <w:rStyle w:val="PageNumber"/>
        <w:noProof/>
      </w:rPr>
      <w:t>2</w:t>
    </w:r>
    <w:r>
      <w:rPr>
        <w:rStyle w:val="PageNumber"/>
      </w:rPr>
      <w:fldChar w:fldCharType="end"/>
    </w:r>
  </w:p>
  <w:p w:rsidR="009E11E4" w:rsidRDefault="009E11E4" w:rsidP="00E67B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662" w:rsidRDefault="00076662">
      <w:r>
        <w:separator/>
      </w:r>
    </w:p>
  </w:footnote>
  <w:footnote w:type="continuationSeparator" w:id="0">
    <w:p w:rsidR="00076662" w:rsidRDefault="00076662">
      <w:r>
        <w:continuationSeparator/>
      </w:r>
    </w:p>
  </w:footnote>
  <w:footnote w:id="1">
    <w:p w:rsidR="00834071" w:rsidRDefault="00834071">
      <w:pPr>
        <w:pStyle w:val="FootnoteText"/>
      </w:pPr>
      <w:r>
        <w:rPr>
          <w:rStyle w:val="FootnoteReference"/>
        </w:rPr>
        <w:footnoteRef/>
      </w:r>
      <w:r>
        <w:t xml:space="preserve"> 243 CMR 4.03(7) requires Respondent’s to submit a written answer to a SOA within thirty days after the issuance of the SOA.</w:t>
      </w:r>
    </w:p>
  </w:footnote>
  <w:footnote w:id="2">
    <w:p w:rsidR="00834071" w:rsidRPr="00472516" w:rsidRDefault="00834071" w:rsidP="00834071">
      <w:pPr>
        <w:pStyle w:val="FootnoteText"/>
        <w:rPr>
          <w:rFonts w:eastAsia="Calibri"/>
        </w:rPr>
      </w:pPr>
      <w:r>
        <w:rPr>
          <w:rStyle w:val="FootnoteReference"/>
        </w:rPr>
        <w:footnoteRef/>
      </w:r>
      <w:r>
        <w:t xml:space="preserve"> </w:t>
      </w:r>
      <w:r w:rsidRPr="00472516">
        <w:rPr>
          <w:rFonts w:eastAsia="Calibri"/>
        </w:rPr>
        <w:t>The only hearing date scheduled was September 10, 2021.  The Recommended Decision made a reference to September 20, 2021, which was likely in error.</w:t>
      </w:r>
    </w:p>
  </w:footnote>
  <w:footnote w:id="3">
    <w:p w:rsidR="004C6F2F" w:rsidRDefault="004C6F2F" w:rsidP="004C6F2F">
      <w:pPr>
        <w:pStyle w:val="FootnoteText"/>
      </w:pPr>
      <w:r>
        <w:rPr>
          <w:rStyle w:val="FootnoteReference"/>
        </w:rPr>
        <w:footnoteRef/>
      </w:r>
      <w:r>
        <w:t xml:space="preserve"> In the Recommended Decision, the Magistrate initially refers to the “Board of Registration in Medicine Committee on Acupuncture”, but thereafter frequently makes reference to “the Board”.  For clarity, the governing body will be referred to as the Committee on Acupuncture, or “COA”, and any reference to the Board of Registration in Medicine will be referenced as “the Board.”</w:t>
      </w:r>
    </w:p>
  </w:footnote>
  <w:footnote w:id="4">
    <w:p w:rsidR="008340BB" w:rsidRDefault="008340BB" w:rsidP="008340BB">
      <w:pPr>
        <w:pStyle w:val="FootnoteText"/>
      </w:pPr>
      <w:r>
        <w:rPr>
          <w:rStyle w:val="FootnoteReference"/>
        </w:rPr>
        <w:footnoteRef/>
      </w:r>
      <w:r>
        <w:t xml:space="preserve"> The Respondent was not charged with failing to wear gloves, nor did any of the Governor’s </w:t>
      </w:r>
      <w:r w:rsidR="002052E3">
        <w:t xml:space="preserve">COVID </w:t>
      </w:r>
      <w:r>
        <w:t>orders require the wearing of gloves</w:t>
      </w:r>
    </w:p>
  </w:footnote>
  <w:footnote w:id="5">
    <w:p w:rsidR="008B1719" w:rsidRDefault="008B1719" w:rsidP="008B1719">
      <w:pPr>
        <w:pStyle w:val="FootnoteText"/>
      </w:pPr>
      <w:r>
        <w:rPr>
          <w:rStyle w:val="FootnoteReference"/>
        </w:rPr>
        <w:footnoteRef/>
      </w:r>
      <w:r>
        <w:t xml:space="preserve"> Although the Respondent additionally indicated she disagreed to wear gloves as well, she was not charged with failing to wear gloves, nor did any of the Governor’s </w:t>
      </w:r>
      <w:r w:rsidR="002052E3">
        <w:t>COVID</w:t>
      </w:r>
      <w:r w:rsidR="00187EE9">
        <w:t>-19</w:t>
      </w:r>
      <w:r>
        <w:t xml:space="preserve"> orders require the wearing of gloves.</w:t>
      </w:r>
    </w:p>
  </w:footnote>
  <w:footnote w:id="6">
    <w:p w:rsidR="00B83ED3" w:rsidRDefault="00E6719A">
      <w:pPr>
        <w:pStyle w:val="FootnoteText"/>
      </w:pPr>
      <w:r>
        <w:rPr>
          <w:rStyle w:val="FootnoteReference"/>
        </w:rPr>
        <w:footnoteRef/>
      </w:r>
      <w:r>
        <w:t>Pursuant to the provisions of 243 CMR 5.01, acupuncture is defined as</w:t>
      </w:r>
      <w:r w:rsidR="00187EE9">
        <w:t xml:space="preserve"> </w:t>
      </w:r>
      <w:r>
        <w:t>“</w:t>
      </w:r>
      <w:r w:rsidRPr="009F2DD7">
        <w:rPr>
          <w:color w:val="141414"/>
        </w:rPr>
        <w:t>the practice of medicine based upon traditional oriental medical theories</w:t>
      </w:r>
      <w:r>
        <w:rPr>
          <w:color w:val="141414"/>
        </w:rPr>
        <w:t>”.  Where acupuncture is included in the definition of “the practice of medicine”, case law having to do with the “practice of medicine” would apply to acupuncture matters as well.</w:t>
      </w:r>
    </w:p>
  </w:footnote>
  <w:footnote w:id="7">
    <w:p w:rsidR="00E0133A" w:rsidRDefault="00E0133A">
      <w:pPr>
        <w:pStyle w:val="FootnoteText"/>
      </w:pPr>
      <w:r>
        <w:rPr>
          <w:rStyle w:val="FootnoteReference"/>
        </w:rPr>
        <w:footnoteRef/>
      </w:r>
      <w:r>
        <w:t xml:space="preserve"> Because the Respondent’s license lapsed during the pendency of these proceedings on September 27, 2021, disciplinary action is being imposed against her inchoate right to renew her license.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62E3"/>
    <w:multiLevelType w:val="hybridMultilevel"/>
    <w:tmpl w:val="F2C89D7C"/>
    <w:lvl w:ilvl="0" w:tplc="272C2252">
      <w:start w:val="7"/>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64C58"/>
    <w:multiLevelType w:val="hybridMultilevel"/>
    <w:tmpl w:val="69D0D3C8"/>
    <w:lvl w:ilvl="0" w:tplc="4AC846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A5A9BC6">
      <w:start w:val="3"/>
      <w:numFmt w:val="upperRoman"/>
      <w:lvlText w:val="%3."/>
      <w:lvlJc w:val="left"/>
      <w:pPr>
        <w:ind w:left="3060" w:hanging="720"/>
      </w:pPr>
      <w:rPr>
        <w:rFonts w:hint="default"/>
      </w:rPr>
    </w:lvl>
    <w:lvl w:ilvl="3" w:tplc="0409000F">
      <w:start w:val="1"/>
      <w:numFmt w:val="decimal"/>
      <w:lvlText w:val="%4."/>
      <w:lvlJc w:val="left"/>
      <w:pPr>
        <w:ind w:left="3240" w:hanging="360"/>
      </w:pPr>
      <w:rPr>
        <w:rFonts w:hint="default"/>
      </w:rPr>
    </w:lvl>
    <w:lvl w:ilvl="4" w:tplc="0409001B">
      <w:start w:val="1"/>
      <w:numFmt w:val="lowerRoman"/>
      <w:lvlText w:val="%5."/>
      <w:lvlJc w:val="righ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145D24"/>
    <w:multiLevelType w:val="hybridMultilevel"/>
    <w:tmpl w:val="E65CF2F8"/>
    <w:lvl w:ilvl="0" w:tplc="5C34C46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97F76"/>
    <w:multiLevelType w:val="hybridMultilevel"/>
    <w:tmpl w:val="412821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3D147CD"/>
    <w:multiLevelType w:val="hybridMultilevel"/>
    <w:tmpl w:val="A2FE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C26AA"/>
    <w:multiLevelType w:val="hybridMultilevel"/>
    <w:tmpl w:val="09E4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54614"/>
    <w:multiLevelType w:val="hybridMultilevel"/>
    <w:tmpl w:val="712C2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CE02712"/>
    <w:multiLevelType w:val="hybridMultilevel"/>
    <w:tmpl w:val="3E9A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01355C"/>
    <w:multiLevelType w:val="hybridMultilevel"/>
    <w:tmpl w:val="8408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011DB"/>
    <w:multiLevelType w:val="hybridMultilevel"/>
    <w:tmpl w:val="881C3B9E"/>
    <w:lvl w:ilvl="0" w:tplc="BC8E3E62">
      <w:start w:val="1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77B52"/>
    <w:multiLevelType w:val="hybridMultilevel"/>
    <w:tmpl w:val="AA1EE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501BAC"/>
    <w:multiLevelType w:val="hybridMultilevel"/>
    <w:tmpl w:val="99C254CE"/>
    <w:lvl w:ilvl="0" w:tplc="6C2E9940">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B64344"/>
    <w:multiLevelType w:val="hybridMultilevel"/>
    <w:tmpl w:val="AAA0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97F25"/>
    <w:multiLevelType w:val="hybridMultilevel"/>
    <w:tmpl w:val="2206B2C0"/>
    <w:lvl w:ilvl="0" w:tplc="9918D42E">
      <w:start w:val="4"/>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6C1C68"/>
    <w:multiLevelType w:val="hybridMultilevel"/>
    <w:tmpl w:val="0FACAB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9002D02"/>
    <w:multiLevelType w:val="hybridMultilevel"/>
    <w:tmpl w:val="16D4359E"/>
    <w:lvl w:ilvl="0" w:tplc="FC6436A6">
      <w:start w:val="1"/>
      <w:numFmt w:val="upperRoman"/>
      <w:lvlText w:val="%1."/>
      <w:lvlJc w:val="left"/>
      <w:pPr>
        <w:ind w:left="1080" w:hanging="720"/>
      </w:pPr>
      <w:rPr>
        <w:rFonts w:hint="default"/>
      </w:rPr>
    </w:lvl>
    <w:lvl w:ilvl="1" w:tplc="3AA66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F3859"/>
    <w:multiLevelType w:val="hybridMultilevel"/>
    <w:tmpl w:val="B5DC7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067A45"/>
    <w:multiLevelType w:val="hybridMultilevel"/>
    <w:tmpl w:val="1562CB88"/>
    <w:lvl w:ilvl="0" w:tplc="BBCCF50E">
      <w:start w:val="10"/>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976C11"/>
    <w:multiLevelType w:val="hybridMultilevel"/>
    <w:tmpl w:val="34F4CADE"/>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6B957E12"/>
    <w:multiLevelType w:val="hybridMultilevel"/>
    <w:tmpl w:val="96DCFA7E"/>
    <w:lvl w:ilvl="0" w:tplc="69E873C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472FEF"/>
    <w:multiLevelType w:val="hybridMultilevel"/>
    <w:tmpl w:val="025A6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20"/>
  </w:num>
  <w:num w:numId="4">
    <w:abstractNumId w:val="12"/>
  </w:num>
  <w:num w:numId="5">
    <w:abstractNumId w:val="14"/>
  </w:num>
  <w:num w:numId="6">
    <w:abstractNumId w:val="8"/>
  </w:num>
  <w:num w:numId="7">
    <w:abstractNumId w:val="15"/>
  </w:num>
  <w:num w:numId="8">
    <w:abstractNumId w:val="6"/>
  </w:num>
  <w:num w:numId="9">
    <w:abstractNumId w:val="1"/>
  </w:num>
  <w:num w:numId="10">
    <w:abstractNumId w:val="5"/>
  </w:num>
  <w:num w:numId="11">
    <w:abstractNumId w:val="7"/>
  </w:num>
  <w:num w:numId="12">
    <w:abstractNumId w:val="11"/>
  </w:num>
  <w:num w:numId="13">
    <w:abstractNumId w:val="13"/>
  </w:num>
  <w:num w:numId="14">
    <w:abstractNumId w:val="0"/>
  </w:num>
  <w:num w:numId="15">
    <w:abstractNumId w:val="2"/>
  </w:num>
  <w:num w:numId="16">
    <w:abstractNumId w:val="19"/>
  </w:num>
  <w:num w:numId="17">
    <w:abstractNumId w:val="17"/>
  </w:num>
  <w:num w:numId="18">
    <w:abstractNumId w:val="9"/>
  </w:num>
  <w:num w:numId="19">
    <w:abstractNumId w:val="16"/>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13"/>
    <w:rsid w:val="0000012F"/>
    <w:rsid w:val="00000180"/>
    <w:rsid w:val="00000C33"/>
    <w:rsid w:val="000018CA"/>
    <w:rsid w:val="000023CB"/>
    <w:rsid w:val="000033D2"/>
    <w:rsid w:val="000034F8"/>
    <w:rsid w:val="00004392"/>
    <w:rsid w:val="00004411"/>
    <w:rsid w:val="000045E3"/>
    <w:rsid w:val="00004F3B"/>
    <w:rsid w:val="0000536B"/>
    <w:rsid w:val="0000664A"/>
    <w:rsid w:val="000078BE"/>
    <w:rsid w:val="00007DF6"/>
    <w:rsid w:val="00010155"/>
    <w:rsid w:val="00010B8D"/>
    <w:rsid w:val="00012F32"/>
    <w:rsid w:val="000139DC"/>
    <w:rsid w:val="00013CB3"/>
    <w:rsid w:val="0001402D"/>
    <w:rsid w:val="00014445"/>
    <w:rsid w:val="00015AA0"/>
    <w:rsid w:val="000160AE"/>
    <w:rsid w:val="000176B8"/>
    <w:rsid w:val="000216D0"/>
    <w:rsid w:val="00021B1E"/>
    <w:rsid w:val="000220E7"/>
    <w:rsid w:val="00022300"/>
    <w:rsid w:val="00024868"/>
    <w:rsid w:val="00024A9A"/>
    <w:rsid w:val="000254E2"/>
    <w:rsid w:val="00026A10"/>
    <w:rsid w:val="00026BAE"/>
    <w:rsid w:val="0002718F"/>
    <w:rsid w:val="0003099D"/>
    <w:rsid w:val="00030C38"/>
    <w:rsid w:val="00030FA1"/>
    <w:rsid w:val="00030FDE"/>
    <w:rsid w:val="000314AC"/>
    <w:rsid w:val="000315D2"/>
    <w:rsid w:val="000330CD"/>
    <w:rsid w:val="0003431E"/>
    <w:rsid w:val="00034513"/>
    <w:rsid w:val="000355D5"/>
    <w:rsid w:val="00035631"/>
    <w:rsid w:val="000360F4"/>
    <w:rsid w:val="00036328"/>
    <w:rsid w:val="000363A0"/>
    <w:rsid w:val="00036FEF"/>
    <w:rsid w:val="000409DB"/>
    <w:rsid w:val="000413FB"/>
    <w:rsid w:val="0004151F"/>
    <w:rsid w:val="000418DA"/>
    <w:rsid w:val="00041A4B"/>
    <w:rsid w:val="000425E3"/>
    <w:rsid w:val="000432C6"/>
    <w:rsid w:val="00044A14"/>
    <w:rsid w:val="00044A97"/>
    <w:rsid w:val="0004753D"/>
    <w:rsid w:val="00047F4B"/>
    <w:rsid w:val="000503A1"/>
    <w:rsid w:val="000506EA"/>
    <w:rsid w:val="00051E04"/>
    <w:rsid w:val="00051FE7"/>
    <w:rsid w:val="00052C67"/>
    <w:rsid w:val="00053F17"/>
    <w:rsid w:val="00053F89"/>
    <w:rsid w:val="0005497C"/>
    <w:rsid w:val="00054D32"/>
    <w:rsid w:val="00055C79"/>
    <w:rsid w:val="00055DA7"/>
    <w:rsid w:val="000563C2"/>
    <w:rsid w:val="0005651B"/>
    <w:rsid w:val="00056F18"/>
    <w:rsid w:val="000573DB"/>
    <w:rsid w:val="00060182"/>
    <w:rsid w:val="00062647"/>
    <w:rsid w:val="00062928"/>
    <w:rsid w:val="00062930"/>
    <w:rsid w:val="00062C05"/>
    <w:rsid w:val="00062D89"/>
    <w:rsid w:val="00062F58"/>
    <w:rsid w:val="00063B25"/>
    <w:rsid w:val="00063E09"/>
    <w:rsid w:val="000641B3"/>
    <w:rsid w:val="00064589"/>
    <w:rsid w:val="00064611"/>
    <w:rsid w:val="0006525D"/>
    <w:rsid w:val="00065F11"/>
    <w:rsid w:val="00066A20"/>
    <w:rsid w:val="00067382"/>
    <w:rsid w:val="00067649"/>
    <w:rsid w:val="000678D5"/>
    <w:rsid w:val="000705AC"/>
    <w:rsid w:val="0007129B"/>
    <w:rsid w:val="00071BED"/>
    <w:rsid w:val="00071E92"/>
    <w:rsid w:val="00071FFA"/>
    <w:rsid w:val="0007204F"/>
    <w:rsid w:val="00072738"/>
    <w:rsid w:val="00072EB7"/>
    <w:rsid w:val="0007311F"/>
    <w:rsid w:val="0007423C"/>
    <w:rsid w:val="00074C45"/>
    <w:rsid w:val="00074E5D"/>
    <w:rsid w:val="00075F00"/>
    <w:rsid w:val="00076662"/>
    <w:rsid w:val="00076B03"/>
    <w:rsid w:val="000771AC"/>
    <w:rsid w:val="00077260"/>
    <w:rsid w:val="00080271"/>
    <w:rsid w:val="0008134A"/>
    <w:rsid w:val="000815F0"/>
    <w:rsid w:val="00082160"/>
    <w:rsid w:val="00082D54"/>
    <w:rsid w:val="00083951"/>
    <w:rsid w:val="0008506C"/>
    <w:rsid w:val="000850B5"/>
    <w:rsid w:val="00085BC2"/>
    <w:rsid w:val="00090017"/>
    <w:rsid w:val="000902FC"/>
    <w:rsid w:val="00090B5A"/>
    <w:rsid w:val="00090BBF"/>
    <w:rsid w:val="000911FA"/>
    <w:rsid w:val="00091721"/>
    <w:rsid w:val="0009215A"/>
    <w:rsid w:val="000921A0"/>
    <w:rsid w:val="0009250C"/>
    <w:rsid w:val="00092A2D"/>
    <w:rsid w:val="00092E4D"/>
    <w:rsid w:val="0009320D"/>
    <w:rsid w:val="000933F9"/>
    <w:rsid w:val="000939A8"/>
    <w:rsid w:val="00094615"/>
    <w:rsid w:val="000946EE"/>
    <w:rsid w:val="00094C1C"/>
    <w:rsid w:val="00094C64"/>
    <w:rsid w:val="000950D7"/>
    <w:rsid w:val="00096455"/>
    <w:rsid w:val="00096B3C"/>
    <w:rsid w:val="00097F09"/>
    <w:rsid w:val="000A066E"/>
    <w:rsid w:val="000A083A"/>
    <w:rsid w:val="000A0D13"/>
    <w:rsid w:val="000A1170"/>
    <w:rsid w:val="000A1E89"/>
    <w:rsid w:val="000A279F"/>
    <w:rsid w:val="000A3183"/>
    <w:rsid w:val="000A3DB3"/>
    <w:rsid w:val="000A4248"/>
    <w:rsid w:val="000A43E4"/>
    <w:rsid w:val="000A43FE"/>
    <w:rsid w:val="000A46BA"/>
    <w:rsid w:val="000A4875"/>
    <w:rsid w:val="000A4EEE"/>
    <w:rsid w:val="000A6611"/>
    <w:rsid w:val="000A687F"/>
    <w:rsid w:val="000A76E5"/>
    <w:rsid w:val="000A7E87"/>
    <w:rsid w:val="000B08D1"/>
    <w:rsid w:val="000B1536"/>
    <w:rsid w:val="000B1EB1"/>
    <w:rsid w:val="000B26F3"/>
    <w:rsid w:val="000B2A09"/>
    <w:rsid w:val="000B41AA"/>
    <w:rsid w:val="000B4A14"/>
    <w:rsid w:val="000B4EFC"/>
    <w:rsid w:val="000B553B"/>
    <w:rsid w:val="000B60D6"/>
    <w:rsid w:val="000B65FF"/>
    <w:rsid w:val="000B6F2D"/>
    <w:rsid w:val="000B7129"/>
    <w:rsid w:val="000B72F3"/>
    <w:rsid w:val="000B7ABE"/>
    <w:rsid w:val="000B7F8E"/>
    <w:rsid w:val="000C0837"/>
    <w:rsid w:val="000C0AE5"/>
    <w:rsid w:val="000C13E6"/>
    <w:rsid w:val="000C261C"/>
    <w:rsid w:val="000C4B1B"/>
    <w:rsid w:val="000C4FBD"/>
    <w:rsid w:val="000C5AA8"/>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11AF"/>
    <w:rsid w:val="000E23D6"/>
    <w:rsid w:val="000E279A"/>
    <w:rsid w:val="000E403C"/>
    <w:rsid w:val="000E48C2"/>
    <w:rsid w:val="000E4CB3"/>
    <w:rsid w:val="000E57E0"/>
    <w:rsid w:val="000E5DF5"/>
    <w:rsid w:val="000E6119"/>
    <w:rsid w:val="000E650A"/>
    <w:rsid w:val="000E6C20"/>
    <w:rsid w:val="000E706C"/>
    <w:rsid w:val="000E73FF"/>
    <w:rsid w:val="000E7714"/>
    <w:rsid w:val="000E77CE"/>
    <w:rsid w:val="000E78C8"/>
    <w:rsid w:val="000E7943"/>
    <w:rsid w:val="000F0252"/>
    <w:rsid w:val="000F10D1"/>
    <w:rsid w:val="000F1560"/>
    <w:rsid w:val="000F176C"/>
    <w:rsid w:val="000F179D"/>
    <w:rsid w:val="000F2989"/>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3967"/>
    <w:rsid w:val="001046D2"/>
    <w:rsid w:val="00104CBF"/>
    <w:rsid w:val="0010514C"/>
    <w:rsid w:val="00105196"/>
    <w:rsid w:val="001057CC"/>
    <w:rsid w:val="00105990"/>
    <w:rsid w:val="0010606D"/>
    <w:rsid w:val="00106B12"/>
    <w:rsid w:val="001076E6"/>
    <w:rsid w:val="00107CD8"/>
    <w:rsid w:val="0011349F"/>
    <w:rsid w:val="001140E4"/>
    <w:rsid w:val="00115878"/>
    <w:rsid w:val="00116598"/>
    <w:rsid w:val="00117ED7"/>
    <w:rsid w:val="00120B0E"/>
    <w:rsid w:val="00121480"/>
    <w:rsid w:val="00122ADE"/>
    <w:rsid w:val="00123C30"/>
    <w:rsid w:val="00124C25"/>
    <w:rsid w:val="0012581E"/>
    <w:rsid w:val="001259C5"/>
    <w:rsid w:val="0012611F"/>
    <w:rsid w:val="00126607"/>
    <w:rsid w:val="00126AC7"/>
    <w:rsid w:val="00126C53"/>
    <w:rsid w:val="00130008"/>
    <w:rsid w:val="00130E65"/>
    <w:rsid w:val="0013161B"/>
    <w:rsid w:val="00131D1B"/>
    <w:rsid w:val="001323B6"/>
    <w:rsid w:val="00133223"/>
    <w:rsid w:val="0013347A"/>
    <w:rsid w:val="001336E1"/>
    <w:rsid w:val="00133DB0"/>
    <w:rsid w:val="0013463E"/>
    <w:rsid w:val="00135543"/>
    <w:rsid w:val="001402F4"/>
    <w:rsid w:val="001403E8"/>
    <w:rsid w:val="0014074A"/>
    <w:rsid w:val="00140C73"/>
    <w:rsid w:val="00141530"/>
    <w:rsid w:val="001422BC"/>
    <w:rsid w:val="00142B5C"/>
    <w:rsid w:val="00143751"/>
    <w:rsid w:val="00143F0E"/>
    <w:rsid w:val="00145F94"/>
    <w:rsid w:val="001461E0"/>
    <w:rsid w:val="001471BA"/>
    <w:rsid w:val="00147574"/>
    <w:rsid w:val="00147B8C"/>
    <w:rsid w:val="00150E27"/>
    <w:rsid w:val="00151ED9"/>
    <w:rsid w:val="0015209E"/>
    <w:rsid w:val="00152D67"/>
    <w:rsid w:val="00154015"/>
    <w:rsid w:val="0015465F"/>
    <w:rsid w:val="00156102"/>
    <w:rsid w:val="001566A2"/>
    <w:rsid w:val="00157547"/>
    <w:rsid w:val="00157D1D"/>
    <w:rsid w:val="00160559"/>
    <w:rsid w:val="001620BF"/>
    <w:rsid w:val="00162401"/>
    <w:rsid w:val="001629C8"/>
    <w:rsid w:val="00164061"/>
    <w:rsid w:val="0016620A"/>
    <w:rsid w:val="001665CB"/>
    <w:rsid w:val="00166CE5"/>
    <w:rsid w:val="001676B4"/>
    <w:rsid w:val="00170308"/>
    <w:rsid w:val="00170ECF"/>
    <w:rsid w:val="00170FF6"/>
    <w:rsid w:val="00171266"/>
    <w:rsid w:val="00171F8F"/>
    <w:rsid w:val="00172275"/>
    <w:rsid w:val="001726C7"/>
    <w:rsid w:val="001731A1"/>
    <w:rsid w:val="0017358B"/>
    <w:rsid w:val="001736A7"/>
    <w:rsid w:val="001752D7"/>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F35"/>
    <w:rsid w:val="00187011"/>
    <w:rsid w:val="001874DD"/>
    <w:rsid w:val="00187EE9"/>
    <w:rsid w:val="0019096B"/>
    <w:rsid w:val="00190D84"/>
    <w:rsid w:val="00190E56"/>
    <w:rsid w:val="0019110A"/>
    <w:rsid w:val="00191C04"/>
    <w:rsid w:val="001928AE"/>
    <w:rsid w:val="00192BD0"/>
    <w:rsid w:val="001934F1"/>
    <w:rsid w:val="00194046"/>
    <w:rsid w:val="00194452"/>
    <w:rsid w:val="00194487"/>
    <w:rsid w:val="0019482C"/>
    <w:rsid w:val="00194EED"/>
    <w:rsid w:val="00195DA0"/>
    <w:rsid w:val="001963F5"/>
    <w:rsid w:val="001967F7"/>
    <w:rsid w:val="00197320"/>
    <w:rsid w:val="0019754F"/>
    <w:rsid w:val="00197B09"/>
    <w:rsid w:val="001A0696"/>
    <w:rsid w:val="001A1329"/>
    <w:rsid w:val="001A1F33"/>
    <w:rsid w:val="001A200F"/>
    <w:rsid w:val="001A33A4"/>
    <w:rsid w:val="001A35AA"/>
    <w:rsid w:val="001A36C3"/>
    <w:rsid w:val="001A4C2A"/>
    <w:rsid w:val="001A553B"/>
    <w:rsid w:val="001A5569"/>
    <w:rsid w:val="001A557E"/>
    <w:rsid w:val="001A6B79"/>
    <w:rsid w:val="001A78A8"/>
    <w:rsid w:val="001A7F34"/>
    <w:rsid w:val="001B203A"/>
    <w:rsid w:val="001B2089"/>
    <w:rsid w:val="001B21E3"/>
    <w:rsid w:val="001B404E"/>
    <w:rsid w:val="001B4671"/>
    <w:rsid w:val="001B470E"/>
    <w:rsid w:val="001B4E55"/>
    <w:rsid w:val="001B5223"/>
    <w:rsid w:val="001B5699"/>
    <w:rsid w:val="001C1641"/>
    <w:rsid w:val="001C171A"/>
    <w:rsid w:val="001C2331"/>
    <w:rsid w:val="001C312E"/>
    <w:rsid w:val="001C34B9"/>
    <w:rsid w:val="001C389F"/>
    <w:rsid w:val="001C3E00"/>
    <w:rsid w:val="001C4316"/>
    <w:rsid w:val="001C48FB"/>
    <w:rsid w:val="001C5362"/>
    <w:rsid w:val="001C5FE2"/>
    <w:rsid w:val="001C66F9"/>
    <w:rsid w:val="001C6F5A"/>
    <w:rsid w:val="001D07DB"/>
    <w:rsid w:val="001D0A99"/>
    <w:rsid w:val="001D1B81"/>
    <w:rsid w:val="001D1FE5"/>
    <w:rsid w:val="001D23A3"/>
    <w:rsid w:val="001D24A3"/>
    <w:rsid w:val="001D260D"/>
    <w:rsid w:val="001D29FF"/>
    <w:rsid w:val="001D2A75"/>
    <w:rsid w:val="001D2CD5"/>
    <w:rsid w:val="001D4CFD"/>
    <w:rsid w:val="001D51DD"/>
    <w:rsid w:val="001D5C7A"/>
    <w:rsid w:val="001D6632"/>
    <w:rsid w:val="001E0899"/>
    <w:rsid w:val="001E1DC4"/>
    <w:rsid w:val="001E38CD"/>
    <w:rsid w:val="001E438B"/>
    <w:rsid w:val="001E461B"/>
    <w:rsid w:val="001E4A93"/>
    <w:rsid w:val="001E5AC7"/>
    <w:rsid w:val="001E70B3"/>
    <w:rsid w:val="001E76DC"/>
    <w:rsid w:val="001E7EAE"/>
    <w:rsid w:val="001F05D1"/>
    <w:rsid w:val="001F12F9"/>
    <w:rsid w:val="001F1414"/>
    <w:rsid w:val="001F22B6"/>
    <w:rsid w:val="001F241F"/>
    <w:rsid w:val="001F2501"/>
    <w:rsid w:val="001F271D"/>
    <w:rsid w:val="001F4472"/>
    <w:rsid w:val="001F5B80"/>
    <w:rsid w:val="001F5BEA"/>
    <w:rsid w:val="001F68AE"/>
    <w:rsid w:val="001F6C72"/>
    <w:rsid w:val="001F6EDC"/>
    <w:rsid w:val="002001A0"/>
    <w:rsid w:val="00201C86"/>
    <w:rsid w:val="002032B2"/>
    <w:rsid w:val="00204931"/>
    <w:rsid w:val="0020508E"/>
    <w:rsid w:val="002052E3"/>
    <w:rsid w:val="0020701F"/>
    <w:rsid w:val="002073CD"/>
    <w:rsid w:val="00207E10"/>
    <w:rsid w:val="00210626"/>
    <w:rsid w:val="0021145D"/>
    <w:rsid w:val="00211B19"/>
    <w:rsid w:val="00211F8E"/>
    <w:rsid w:val="0021265B"/>
    <w:rsid w:val="00212CBB"/>
    <w:rsid w:val="00213251"/>
    <w:rsid w:val="00214198"/>
    <w:rsid w:val="0021574A"/>
    <w:rsid w:val="00215B3E"/>
    <w:rsid w:val="0021628F"/>
    <w:rsid w:val="00216352"/>
    <w:rsid w:val="002164CF"/>
    <w:rsid w:val="00216D0F"/>
    <w:rsid w:val="002173FB"/>
    <w:rsid w:val="00217C92"/>
    <w:rsid w:val="00220179"/>
    <w:rsid w:val="002209F9"/>
    <w:rsid w:val="0022361B"/>
    <w:rsid w:val="00223853"/>
    <w:rsid w:val="002247D9"/>
    <w:rsid w:val="00224CBE"/>
    <w:rsid w:val="0022529C"/>
    <w:rsid w:val="00226155"/>
    <w:rsid w:val="00226CFF"/>
    <w:rsid w:val="0022725D"/>
    <w:rsid w:val="00230B62"/>
    <w:rsid w:val="00230BB4"/>
    <w:rsid w:val="002310B5"/>
    <w:rsid w:val="002314B9"/>
    <w:rsid w:val="002323AB"/>
    <w:rsid w:val="00232FE0"/>
    <w:rsid w:val="00233404"/>
    <w:rsid w:val="0023370C"/>
    <w:rsid w:val="00233B61"/>
    <w:rsid w:val="00233B78"/>
    <w:rsid w:val="0023401D"/>
    <w:rsid w:val="00235263"/>
    <w:rsid w:val="00235F74"/>
    <w:rsid w:val="002362C9"/>
    <w:rsid w:val="002366A1"/>
    <w:rsid w:val="00237263"/>
    <w:rsid w:val="00237A9C"/>
    <w:rsid w:val="00237B18"/>
    <w:rsid w:val="002407C9"/>
    <w:rsid w:val="0024198E"/>
    <w:rsid w:val="002427FB"/>
    <w:rsid w:val="002433E6"/>
    <w:rsid w:val="0024550A"/>
    <w:rsid w:val="00245900"/>
    <w:rsid w:val="0024655E"/>
    <w:rsid w:val="00246899"/>
    <w:rsid w:val="00246C2C"/>
    <w:rsid w:val="00250879"/>
    <w:rsid w:val="002508E6"/>
    <w:rsid w:val="00250C9A"/>
    <w:rsid w:val="00250CA9"/>
    <w:rsid w:val="00251A46"/>
    <w:rsid w:val="00252E58"/>
    <w:rsid w:val="00253B42"/>
    <w:rsid w:val="00254617"/>
    <w:rsid w:val="002548D9"/>
    <w:rsid w:val="00255B81"/>
    <w:rsid w:val="00255C89"/>
    <w:rsid w:val="0025616C"/>
    <w:rsid w:val="00256C25"/>
    <w:rsid w:val="00257165"/>
    <w:rsid w:val="00261F73"/>
    <w:rsid w:val="002650C3"/>
    <w:rsid w:val="00265F65"/>
    <w:rsid w:val="0026602E"/>
    <w:rsid w:val="00266743"/>
    <w:rsid w:val="002705FD"/>
    <w:rsid w:val="00270A86"/>
    <w:rsid w:val="00270A93"/>
    <w:rsid w:val="00270EEB"/>
    <w:rsid w:val="00271375"/>
    <w:rsid w:val="00271694"/>
    <w:rsid w:val="002723DA"/>
    <w:rsid w:val="002731A4"/>
    <w:rsid w:val="002731D9"/>
    <w:rsid w:val="00273834"/>
    <w:rsid w:val="00273FB0"/>
    <w:rsid w:val="00277671"/>
    <w:rsid w:val="00277749"/>
    <w:rsid w:val="00277888"/>
    <w:rsid w:val="00281050"/>
    <w:rsid w:val="002815F4"/>
    <w:rsid w:val="0028228D"/>
    <w:rsid w:val="002829F9"/>
    <w:rsid w:val="00283A80"/>
    <w:rsid w:val="00283CD5"/>
    <w:rsid w:val="00284F04"/>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560"/>
    <w:rsid w:val="00292E20"/>
    <w:rsid w:val="00293878"/>
    <w:rsid w:val="00294F85"/>
    <w:rsid w:val="00295808"/>
    <w:rsid w:val="002959DF"/>
    <w:rsid w:val="00296BD3"/>
    <w:rsid w:val="00297047"/>
    <w:rsid w:val="0029719A"/>
    <w:rsid w:val="002978C4"/>
    <w:rsid w:val="00297CBF"/>
    <w:rsid w:val="002A0535"/>
    <w:rsid w:val="002A0B4B"/>
    <w:rsid w:val="002A34C7"/>
    <w:rsid w:val="002A4A16"/>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914"/>
    <w:rsid w:val="002B2DBC"/>
    <w:rsid w:val="002B387E"/>
    <w:rsid w:val="002B3BBA"/>
    <w:rsid w:val="002B41A7"/>
    <w:rsid w:val="002B4C2F"/>
    <w:rsid w:val="002B5FE6"/>
    <w:rsid w:val="002B62EB"/>
    <w:rsid w:val="002B75F1"/>
    <w:rsid w:val="002C113B"/>
    <w:rsid w:val="002C1492"/>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C81"/>
    <w:rsid w:val="002D4F9D"/>
    <w:rsid w:val="002D57B9"/>
    <w:rsid w:val="002D5A58"/>
    <w:rsid w:val="002D69AA"/>
    <w:rsid w:val="002D70C4"/>
    <w:rsid w:val="002D7654"/>
    <w:rsid w:val="002E0219"/>
    <w:rsid w:val="002E0663"/>
    <w:rsid w:val="002E13A3"/>
    <w:rsid w:val="002E1424"/>
    <w:rsid w:val="002E1EC8"/>
    <w:rsid w:val="002E24F1"/>
    <w:rsid w:val="002E2FF9"/>
    <w:rsid w:val="002E3267"/>
    <w:rsid w:val="002E354A"/>
    <w:rsid w:val="002E355E"/>
    <w:rsid w:val="002E3976"/>
    <w:rsid w:val="002E3CA0"/>
    <w:rsid w:val="002E55B7"/>
    <w:rsid w:val="002E6067"/>
    <w:rsid w:val="002E665E"/>
    <w:rsid w:val="002E7408"/>
    <w:rsid w:val="002E7551"/>
    <w:rsid w:val="002E7DF2"/>
    <w:rsid w:val="002F107A"/>
    <w:rsid w:val="002F1C91"/>
    <w:rsid w:val="002F2196"/>
    <w:rsid w:val="002F385D"/>
    <w:rsid w:val="002F390B"/>
    <w:rsid w:val="002F393B"/>
    <w:rsid w:val="002F3A0D"/>
    <w:rsid w:val="002F3AB9"/>
    <w:rsid w:val="002F7846"/>
    <w:rsid w:val="002F7C6D"/>
    <w:rsid w:val="002F7E78"/>
    <w:rsid w:val="003005A2"/>
    <w:rsid w:val="003007C9"/>
    <w:rsid w:val="003012B8"/>
    <w:rsid w:val="003012F8"/>
    <w:rsid w:val="003027BC"/>
    <w:rsid w:val="003031BB"/>
    <w:rsid w:val="003038B1"/>
    <w:rsid w:val="003044A6"/>
    <w:rsid w:val="00304B6A"/>
    <w:rsid w:val="0030583F"/>
    <w:rsid w:val="0030597F"/>
    <w:rsid w:val="0030721E"/>
    <w:rsid w:val="0030726F"/>
    <w:rsid w:val="0030728F"/>
    <w:rsid w:val="0031046B"/>
    <w:rsid w:val="00311222"/>
    <w:rsid w:val="00313711"/>
    <w:rsid w:val="00313823"/>
    <w:rsid w:val="00314721"/>
    <w:rsid w:val="003153CC"/>
    <w:rsid w:val="00315461"/>
    <w:rsid w:val="003155B4"/>
    <w:rsid w:val="00315854"/>
    <w:rsid w:val="003176D3"/>
    <w:rsid w:val="003222E6"/>
    <w:rsid w:val="00322E91"/>
    <w:rsid w:val="003232BD"/>
    <w:rsid w:val="00323EEC"/>
    <w:rsid w:val="003246DF"/>
    <w:rsid w:val="00324B94"/>
    <w:rsid w:val="0032504E"/>
    <w:rsid w:val="003251AC"/>
    <w:rsid w:val="00325D2A"/>
    <w:rsid w:val="00325E24"/>
    <w:rsid w:val="00326722"/>
    <w:rsid w:val="0032683B"/>
    <w:rsid w:val="00326BE7"/>
    <w:rsid w:val="00326D3B"/>
    <w:rsid w:val="00326E50"/>
    <w:rsid w:val="003272D9"/>
    <w:rsid w:val="003307F1"/>
    <w:rsid w:val="00330A75"/>
    <w:rsid w:val="00330B5B"/>
    <w:rsid w:val="00332327"/>
    <w:rsid w:val="0033327E"/>
    <w:rsid w:val="00334EC7"/>
    <w:rsid w:val="0033504D"/>
    <w:rsid w:val="00335813"/>
    <w:rsid w:val="00337D3B"/>
    <w:rsid w:val="00337DF1"/>
    <w:rsid w:val="00340036"/>
    <w:rsid w:val="00341005"/>
    <w:rsid w:val="00341156"/>
    <w:rsid w:val="00341273"/>
    <w:rsid w:val="00341D9D"/>
    <w:rsid w:val="00342E6E"/>
    <w:rsid w:val="003430FA"/>
    <w:rsid w:val="0034494F"/>
    <w:rsid w:val="0034572E"/>
    <w:rsid w:val="00345D39"/>
    <w:rsid w:val="003463E6"/>
    <w:rsid w:val="003469D1"/>
    <w:rsid w:val="003471E2"/>
    <w:rsid w:val="0035034E"/>
    <w:rsid w:val="003508F2"/>
    <w:rsid w:val="00351DD9"/>
    <w:rsid w:val="00351FD7"/>
    <w:rsid w:val="00353053"/>
    <w:rsid w:val="0035512F"/>
    <w:rsid w:val="00355B74"/>
    <w:rsid w:val="00355E10"/>
    <w:rsid w:val="0035799D"/>
    <w:rsid w:val="00362035"/>
    <w:rsid w:val="00362B42"/>
    <w:rsid w:val="003632E3"/>
    <w:rsid w:val="00363396"/>
    <w:rsid w:val="0036469F"/>
    <w:rsid w:val="00364BAE"/>
    <w:rsid w:val="0036589B"/>
    <w:rsid w:val="003677FE"/>
    <w:rsid w:val="00367E45"/>
    <w:rsid w:val="00367FA8"/>
    <w:rsid w:val="003703FC"/>
    <w:rsid w:val="00370C59"/>
    <w:rsid w:val="00371551"/>
    <w:rsid w:val="003736CF"/>
    <w:rsid w:val="0037377E"/>
    <w:rsid w:val="003742EB"/>
    <w:rsid w:val="00374832"/>
    <w:rsid w:val="00374F4E"/>
    <w:rsid w:val="00374F5C"/>
    <w:rsid w:val="0037560B"/>
    <w:rsid w:val="00375BC5"/>
    <w:rsid w:val="003760F5"/>
    <w:rsid w:val="00376535"/>
    <w:rsid w:val="00377071"/>
    <w:rsid w:val="003779AE"/>
    <w:rsid w:val="003828B0"/>
    <w:rsid w:val="00382931"/>
    <w:rsid w:val="00383845"/>
    <w:rsid w:val="00383D5E"/>
    <w:rsid w:val="00384B5E"/>
    <w:rsid w:val="00385C0F"/>
    <w:rsid w:val="00386C7D"/>
    <w:rsid w:val="00387164"/>
    <w:rsid w:val="00387753"/>
    <w:rsid w:val="0039037D"/>
    <w:rsid w:val="00390DC0"/>
    <w:rsid w:val="00390E62"/>
    <w:rsid w:val="00392116"/>
    <w:rsid w:val="00392D49"/>
    <w:rsid w:val="00392E5E"/>
    <w:rsid w:val="00393B2E"/>
    <w:rsid w:val="00393C8B"/>
    <w:rsid w:val="00393CEA"/>
    <w:rsid w:val="003944C0"/>
    <w:rsid w:val="00394E1D"/>
    <w:rsid w:val="0039646B"/>
    <w:rsid w:val="0039664E"/>
    <w:rsid w:val="003A0C93"/>
    <w:rsid w:val="003A0E75"/>
    <w:rsid w:val="003A0EF6"/>
    <w:rsid w:val="003A1EB9"/>
    <w:rsid w:val="003A1F14"/>
    <w:rsid w:val="003A366E"/>
    <w:rsid w:val="003A3819"/>
    <w:rsid w:val="003A4B2D"/>
    <w:rsid w:val="003A6DB9"/>
    <w:rsid w:val="003A7637"/>
    <w:rsid w:val="003A7E0B"/>
    <w:rsid w:val="003B09F2"/>
    <w:rsid w:val="003B0E42"/>
    <w:rsid w:val="003B0F21"/>
    <w:rsid w:val="003B1235"/>
    <w:rsid w:val="003B1491"/>
    <w:rsid w:val="003B1667"/>
    <w:rsid w:val="003B1E66"/>
    <w:rsid w:val="003B2A84"/>
    <w:rsid w:val="003B2EF5"/>
    <w:rsid w:val="003B3C8D"/>
    <w:rsid w:val="003B3F98"/>
    <w:rsid w:val="003B4888"/>
    <w:rsid w:val="003B5B3D"/>
    <w:rsid w:val="003B6010"/>
    <w:rsid w:val="003B626C"/>
    <w:rsid w:val="003B78E3"/>
    <w:rsid w:val="003B7A8C"/>
    <w:rsid w:val="003C012C"/>
    <w:rsid w:val="003C14BE"/>
    <w:rsid w:val="003C17B5"/>
    <w:rsid w:val="003C18DE"/>
    <w:rsid w:val="003C1B25"/>
    <w:rsid w:val="003C1BE0"/>
    <w:rsid w:val="003C1DA3"/>
    <w:rsid w:val="003C2078"/>
    <w:rsid w:val="003C2130"/>
    <w:rsid w:val="003C2905"/>
    <w:rsid w:val="003C2E25"/>
    <w:rsid w:val="003C40E5"/>
    <w:rsid w:val="003C4DAC"/>
    <w:rsid w:val="003C548C"/>
    <w:rsid w:val="003C5BCF"/>
    <w:rsid w:val="003C63DE"/>
    <w:rsid w:val="003C6ABB"/>
    <w:rsid w:val="003C6D70"/>
    <w:rsid w:val="003C7532"/>
    <w:rsid w:val="003C7827"/>
    <w:rsid w:val="003D01FF"/>
    <w:rsid w:val="003D04E8"/>
    <w:rsid w:val="003D06DA"/>
    <w:rsid w:val="003D0863"/>
    <w:rsid w:val="003D0D8E"/>
    <w:rsid w:val="003D1152"/>
    <w:rsid w:val="003D19BD"/>
    <w:rsid w:val="003D2C59"/>
    <w:rsid w:val="003D31FD"/>
    <w:rsid w:val="003D4CEA"/>
    <w:rsid w:val="003D575B"/>
    <w:rsid w:val="003E034B"/>
    <w:rsid w:val="003E0350"/>
    <w:rsid w:val="003E0599"/>
    <w:rsid w:val="003E148C"/>
    <w:rsid w:val="003E2854"/>
    <w:rsid w:val="003E33F0"/>
    <w:rsid w:val="003E341A"/>
    <w:rsid w:val="003E3956"/>
    <w:rsid w:val="003E4A38"/>
    <w:rsid w:val="003E4BF8"/>
    <w:rsid w:val="003E4D82"/>
    <w:rsid w:val="003E522E"/>
    <w:rsid w:val="003E5971"/>
    <w:rsid w:val="003E6200"/>
    <w:rsid w:val="003E639B"/>
    <w:rsid w:val="003E6554"/>
    <w:rsid w:val="003E70E9"/>
    <w:rsid w:val="003F2A91"/>
    <w:rsid w:val="003F3122"/>
    <w:rsid w:val="003F33DC"/>
    <w:rsid w:val="003F3AB5"/>
    <w:rsid w:val="003F4221"/>
    <w:rsid w:val="003F6B4B"/>
    <w:rsid w:val="003F6D11"/>
    <w:rsid w:val="003F6DE6"/>
    <w:rsid w:val="003F71E6"/>
    <w:rsid w:val="00400390"/>
    <w:rsid w:val="00400C9B"/>
    <w:rsid w:val="00402CAE"/>
    <w:rsid w:val="00403BBF"/>
    <w:rsid w:val="00403F5A"/>
    <w:rsid w:val="00404021"/>
    <w:rsid w:val="0040507E"/>
    <w:rsid w:val="00405D05"/>
    <w:rsid w:val="004068F5"/>
    <w:rsid w:val="00407371"/>
    <w:rsid w:val="00407B68"/>
    <w:rsid w:val="004108B1"/>
    <w:rsid w:val="004110FE"/>
    <w:rsid w:val="004119FC"/>
    <w:rsid w:val="00413ED2"/>
    <w:rsid w:val="00413F85"/>
    <w:rsid w:val="00414EB2"/>
    <w:rsid w:val="00415371"/>
    <w:rsid w:val="00415950"/>
    <w:rsid w:val="00415C95"/>
    <w:rsid w:val="004160BE"/>
    <w:rsid w:val="004200D3"/>
    <w:rsid w:val="004212A5"/>
    <w:rsid w:val="00421397"/>
    <w:rsid w:val="00421887"/>
    <w:rsid w:val="004218E0"/>
    <w:rsid w:val="0042190D"/>
    <w:rsid w:val="00422725"/>
    <w:rsid w:val="00423ED7"/>
    <w:rsid w:val="004246CC"/>
    <w:rsid w:val="00425731"/>
    <w:rsid w:val="00426F30"/>
    <w:rsid w:val="004275DB"/>
    <w:rsid w:val="00430034"/>
    <w:rsid w:val="00430397"/>
    <w:rsid w:val="00431F5A"/>
    <w:rsid w:val="0043253F"/>
    <w:rsid w:val="0043348E"/>
    <w:rsid w:val="004334C1"/>
    <w:rsid w:val="00433B14"/>
    <w:rsid w:val="00433B40"/>
    <w:rsid w:val="004342CB"/>
    <w:rsid w:val="0043445B"/>
    <w:rsid w:val="00434833"/>
    <w:rsid w:val="00434A0B"/>
    <w:rsid w:val="004360CA"/>
    <w:rsid w:val="0043678D"/>
    <w:rsid w:val="00440705"/>
    <w:rsid w:val="00440D55"/>
    <w:rsid w:val="004411B2"/>
    <w:rsid w:val="004411C7"/>
    <w:rsid w:val="00442450"/>
    <w:rsid w:val="0044275A"/>
    <w:rsid w:val="00443AC6"/>
    <w:rsid w:val="00443C3E"/>
    <w:rsid w:val="00443ECC"/>
    <w:rsid w:val="00444666"/>
    <w:rsid w:val="00444E49"/>
    <w:rsid w:val="004466CE"/>
    <w:rsid w:val="00446D7B"/>
    <w:rsid w:val="00446F70"/>
    <w:rsid w:val="0044772D"/>
    <w:rsid w:val="004502A8"/>
    <w:rsid w:val="00450D79"/>
    <w:rsid w:val="004510A0"/>
    <w:rsid w:val="00451B20"/>
    <w:rsid w:val="004525F2"/>
    <w:rsid w:val="004529B8"/>
    <w:rsid w:val="00452BA6"/>
    <w:rsid w:val="00452ED7"/>
    <w:rsid w:val="004533D6"/>
    <w:rsid w:val="00453868"/>
    <w:rsid w:val="0045443E"/>
    <w:rsid w:val="004545CB"/>
    <w:rsid w:val="00454983"/>
    <w:rsid w:val="004550B6"/>
    <w:rsid w:val="00455B02"/>
    <w:rsid w:val="00460768"/>
    <w:rsid w:val="004612F3"/>
    <w:rsid w:val="0046148A"/>
    <w:rsid w:val="0046248E"/>
    <w:rsid w:val="00463B4B"/>
    <w:rsid w:val="00463F58"/>
    <w:rsid w:val="00464ABD"/>
    <w:rsid w:val="0046621F"/>
    <w:rsid w:val="00466806"/>
    <w:rsid w:val="0047070B"/>
    <w:rsid w:val="00470B00"/>
    <w:rsid w:val="004714CB"/>
    <w:rsid w:val="00471AF7"/>
    <w:rsid w:val="00472516"/>
    <w:rsid w:val="0047475D"/>
    <w:rsid w:val="00474AC8"/>
    <w:rsid w:val="00475191"/>
    <w:rsid w:val="004752B1"/>
    <w:rsid w:val="00475910"/>
    <w:rsid w:val="00475DDB"/>
    <w:rsid w:val="004776E4"/>
    <w:rsid w:val="00477C0B"/>
    <w:rsid w:val="00477DA2"/>
    <w:rsid w:val="0048042B"/>
    <w:rsid w:val="0048099F"/>
    <w:rsid w:val="00482130"/>
    <w:rsid w:val="0048241A"/>
    <w:rsid w:val="00482F48"/>
    <w:rsid w:val="00483711"/>
    <w:rsid w:val="00487F5B"/>
    <w:rsid w:val="00487F7B"/>
    <w:rsid w:val="004901F7"/>
    <w:rsid w:val="00490A17"/>
    <w:rsid w:val="00490DCE"/>
    <w:rsid w:val="00492127"/>
    <w:rsid w:val="00492C57"/>
    <w:rsid w:val="00492F57"/>
    <w:rsid w:val="004935E2"/>
    <w:rsid w:val="004940AD"/>
    <w:rsid w:val="00496C79"/>
    <w:rsid w:val="00497991"/>
    <w:rsid w:val="004A07AD"/>
    <w:rsid w:val="004A1534"/>
    <w:rsid w:val="004A1FC1"/>
    <w:rsid w:val="004A2E34"/>
    <w:rsid w:val="004A4D68"/>
    <w:rsid w:val="004A54A5"/>
    <w:rsid w:val="004A5B3C"/>
    <w:rsid w:val="004A62A9"/>
    <w:rsid w:val="004A6869"/>
    <w:rsid w:val="004A6D4A"/>
    <w:rsid w:val="004A78CC"/>
    <w:rsid w:val="004A7E80"/>
    <w:rsid w:val="004A7EEF"/>
    <w:rsid w:val="004B0BA2"/>
    <w:rsid w:val="004B14BA"/>
    <w:rsid w:val="004B1886"/>
    <w:rsid w:val="004B3462"/>
    <w:rsid w:val="004B383F"/>
    <w:rsid w:val="004B48AE"/>
    <w:rsid w:val="004B4E85"/>
    <w:rsid w:val="004B5800"/>
    <w:rsid w:val="004B5A9E"/>
    <w:rsid w:val="004B5C68"/>
    <w:rsid w:val="004B6672"/>
    <w:rsid w:val="004B67CC"/>
    <w:rsid w:val="004B7F84"/>
    <w:rsid w:val="004C09D2"/>
    <w:rsid w:val="004C0BC9"/>
    <w:rsid w:val="004C1418"/>
    <w:rsid w:val="004C21DA"/>
    <w:rsid w:val="004C2600"/>
    <w:rsid w:val="004C2824"/>
    <w:rsid w:val="004C28F9"/>
    <w:rsid w:val="004C305E"/>
    <w:rsid w:val="004C337D"/>
    <w:rsid w:val="004C4437"/>
    <w:rsid w:val="004C4EC8"/>
    <w:rsid w:val="004C50FF"/>
    <w:rsid w:val="004C5205"/>
    <w:rsid w:val="004C5C2B"/>
    <w:rsid w:val="004C6857"/>
    <w:rsid w:val="004C6962"/>
    <w:rsid w:val="004C6F2F"/>
    <w:rsid w:val="004C7436"/>
    <w:rsid w:val="004C763A"/>
    <w:rsid w:val="004D0098"/>
    <w:rsid w:val="004D074C"/>
    <w:rsid w:val="004D101E"/>
    <w:rsid w:val="004D1156"/>
    <w:rsid w:val="004D148F"/>
    <w:rsid w:val="004D1536"/>
    <w:rsid w:val="004D20B2"/>
    <w:rsid w:val="004D30EB"/>
    <w:rsid w:val="004D35A7"/>
    <w:rsid w:val="004D3F98"/>
    <w:rsid w:val="004D444A"/>
    <w:rsid w:val="004D4D18"/>
    <w:rsid w:val="004D603A"/>
    <w:rsid w:val="004E0E4C"/>
    <w:rsid w:val="004E2126"/>
    <w:rsid w:val="004E253D"/>
    <w:rsid w:val="004E294B"/>
    <w:rsid w:val="004E30AD"/>
    <w:rsid w:val="004E31FF"/>
    <w:rsid w:val="004E372E"/>
    <w:rsid w:val="004E4F32"/>
    <w:rsid w:val="004E56BE"/>
    <w:rsid w:val="004E5C1F"/>
    <w:rsid w:val="004E7623"/>
    <w:rsid w:val="004E787B"/>
    <w:rsid w:val="004E79E5"/>
    <w:rsid w:val="004E7A37"/>
    <w:rsid w:val="004F01E5"/>
    <w:rsid w:val="004F09C1"/>
    <w:rsid w:val="004F1118"/>
    <w:rsid w:val="004F11AC"/>
    <w:rsid w:val="004F185E"/>
    <w:rsid w:val="004F2032"/>
    <w:rsid w:val="004F3AD2"/>
    <w:rsid w:val="004F3FC1"/>
    <w:rsid w:val="004F444F"/>
    <w:rsid w:val="004F546D"/>
    <w:rsid w:val="004F6504"/>
    <w:rsid w:val="004F6B20"/>
    <w:rsid w:val="004F71B1"/>
    <w:rsid w:val="004F7B62"/>
    <w:rsid w:val="00500054"/>
    <w:rsid w:val="005008C8"/>
    <w:rsid w:val="005011C1"/>
    <w:rsid w:val="0050145E"/>
    <w:rsid w:val="00502FA5"/>
    <w:rsid w:val="00504DAF"/>
    <w:rsid w:val="005054EF"/>
    <w:rsid w:val="005059DC"/>
    <w:rsid w:val="005061BF"/>
    <w:rsid w:val="005064D5"/>
    <w:rsid w:val="00506B25"/>
    <w:rsid w:val="00506E9A"/>
    <w:rsid w:val="00507626"/>
    <w:rsid w:val="0050781E"/>
    <w:rsid w:val="00510D3C"/>
    <w:rsid w:val="00511191"/>
    <w:rsid w:val="0051259F"/>
    <w:rsid w:val="00512BD6"/>
    <w:rsid w:val="00513064"/>
    <w:rsid w:val="00513299"/>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3240"/>
    <w:rsid w:val="0052450C"/>
    <w:rsid w:val="00525829"/>
    <w:rsid w:val="00525FCD"/>
    <w:rsid w:val="0052761E"/>
    <w:rsid w:val="0052786B"/>
    <w:rsid w:val="00527AEC"/>
    <w:rsid w:val="00530842"/>
    <w:rsid w:val="00530BFF"/>
    <w:rsid w:val="00531017"/>
    <w:rsid w:val="00531280"/>
    <w:rsid w:val="005314FA"/>
    <w:rsid w:val="0053212E"/>
    <w:rsid w:val="00532E30"/>
    <w:rsid w:val="0053333F"/>
    <w:rsid w:val="00533EE2"/>
    <w:rsid w:val="00534312"/>
    <w:rsid w:val="00534A1B"/>
    <w:rsid w:val="00534A52"/>
    <w:rsid w:val="005358A8"/>
    <w:rsid w:val="00535AF8"/>
    <w:rsid w:val="00536205"/>
    <w:rsid w:val="00536540"/>
    <w:rsid w:val="005367D6"/>
    <w:rsid w:val="00536901"/>
    <w:rsid w:val="00537B00"/>
    <w:rsid w:val="0054045A"/>
    <w:rsid w:val="005408D1"/>
    <w:rsid w:val="005408FC"/>
    <w:rsid w:val="00540EC0"/>
    <w:rsid w:val="00541EB9"/>
    <w:rsid w:val="00542696"/>
    <w:rsid w:val="00543803"/>
    <w:rsid w:val="00543A37"/>
    <w:rsid w:val="0054477F"/>
    <w:rsid w:val="00545608"/>
    <w:rsid w:val="00545FB1"/>
    <w:rsid w:val="00547854"/>
    <w:rsid w:val="00550A2A"/>
    <w:rsid w:val="00550AAE"/>
    <w:rsid w:val="00550AC0"/>
    <w:rsid w:val="00550B79"/>
    <w:rsid w:val="00550EB8"/>
    <w:rsid w:val="0055137F"/>
    <w:rsid w:val="00551906"/>
    <w:rsid w:val="00552011"/>
    <w:rsid w:val="00553350"/>
    <w:rsid w:val="005542AA"/>
    <w:rsid w:val="00554C02"/>
    <w:rsid w:val="005553F6"/>
    <w:rsid w:val="00555DA4"/>
    <w:rsid w:val="005560AF"/>
    <w:rsid w:val="00556FA4"/>
    <w:rsid w:val="00557501"/>
    <w:rsid w:val="00560EB7"/>
    <w:rsid w:val="00561607"/>
    <w:rsid w:val="00561834"/>
    <w:rsid w:val="005619C2"/>
    <w:rsid w:val="00561AB0"/>
    <w:rsid w:val="0056222D"/>
    <w:rsid w:val="00562283"/>
    <w:rsid w:val="00562CBD"/>
    <w:rsid w:val="00563083"/>
    <w:rsid w:val="00565389"/>
    <w:rsid w:val="00566654"/>
    <w:rsid w:val="0057091E"/>
    <w:rsid w:val="00571B5C"/>
    <w:rsid w:val="00574FB1"/>
    <w:rsid w:val="00575161"/>
    <w:rsid w:val="00577512"/>
    <w:rsid w:val="005779D9"/>
    <w:rsid w:val="00580891"/>
    <w:rsid w:val="00580B10"/>
    <w:rsid w:val="00580C02"/>
    <w:rsid w:val="00581F69"/>
    <w:rsid w:val="00582876"/>
    <w:rsid w:val="00582A0A"/>
    <w:rsid w:val="0058309B"/>
    <w:rsid w:val="005830A1"/>
    <w:rsid w:val="00583F26"/>
    <w:rsid w:val="0058409C"/>
    <w:rsid w:val="005841D1"/>
    <w:rsid w:val="0058450D"/>
    <w:rsid w:val="00584A3E"/>
    <w:rsid w:val="00585839"/>
    <w:rsid w:val="005860CC"/>
    <w:rsid w:val="00586568"/>
    <w:rsid w:val="00586631"/>
    <w:rsid w:val="00587590"/>
    <w:rsid w:val="00587948"/>
    <w:rsid w:val="00587A28"/>
    <w:rsid w:val="00587BF1"/>
    <w:rsid w:val="00587C51"/>
    <w:rsid w:val="00587EF0"/>
    <w:rsid w:val="00590A13"/>
    <w:rsid w:val="005912A0"/>
    <w:rsid w:val="00591D99"/>
    <w:rsid w:val="0059260D"/>
    <w:rsid w:val="00592AA8"/>
    <w:rsid w:val="00593C75"/>
    <w:rsid w:val="00593C79"/>
    <w:rsid w:val="0059422C"/>
    <w:rsid w:val="00595415"/>
    <w:rsid w:val="00595488"/>
    <w:rsid w:val="00595BCC"/>
    <w:rsid w:val="00595FFE"/>
    <w:rsid w:val="00596121"/>
    <w:rsid w:val="00597F9F"/>
    <w:rsid w:val="005A073F"/>
    <w:rsid w:val="005A08AB"/>
    <w:rsid w:val="005A0B88"/>
    <w:rsid w:val="005A14C6"/>
    <w:rsid w:val="005A1BB8"/>
    <w:rsid w:val="005A275C"/>
    <w:rsid w:val="005A36DB"/>
    <w:rsid w:val="005A3BCD"/>
    <w:rsid w:val="005A4AAD"/>
    <w:rsid w:val="005A4FF2"/>
    <w:rsid w:val="005A50A2"/>
    <w:rsid w:val="005A5502"/>
    <w:rsid w:val="005A67EA"/>
    <w:rsid w:val="005A6C6D"/>
    <w:rsid w:val="005A6F1B"/>
    <w:rsid w:val="005A7693"/>
    <w:rsid w:val="005B0AE8"/>
    <w:rsid w:val="005B194E"/>
    <w:rsid w:val="005B3A28"/>
    <w:rsid w:val="005B3F19"/>
    <w:rsid w:val="005B4391"/>
    <w:rsid w:val="005B5C9D"/>
    <w:rsid w:val="005B6040"/>
    <w:rsid w:val="005B65F6"/>
    <w:rsid w:val="005B698D"/>
    <w:rsid w:val="005B6D0D"/>
    <w:rsid w:val="005B7E8E"/>
    <w:rsid w:val="005C0316"/>
    <w:rsid w:val="005C1EF0"/>
    <w:rsid w:val="005C2CB6"/>
    <w:rsid w:val="005C34C2"/>
    <w:rsid w:val="005C35A7"/>
    <w:rsid w:val="005C3CAD"/>
    <w:rsid w:val="005C3E9C"/>
    <w:rsid w:val="005C5202"/>
    <w:rsid w:val="005C5BBE"/>
    <w:rsid w:val="005C7AC3"/>
    <w:rsid w:val="005D0418"/>
    <w:rsid w:val="005D0FE3"/>
    <w:rsid w:val="005D115B"/>
    <w:rsid w:val="005D18FC"/>
    <w:rsid w:val="005D1B4C"/>
    <w:rsid w:val="005D4AAD"/>
    <w:rsid w:val="005D62E6"/>
    <w:rsid w:val="005D7859"/>
    <w:rsid w:val="005D7FA9"/>
    <w:rsid w:val="005E05D7"/>
    <w:rsid w:val="005E0A57"/>
    <w:rsid w:val="005E23E9"/>
    <w:rsid w:val="005E2464"/>
    <w:rsid w:val="005E29F0"/>
    <w:rsid w:val="005E2B93"/>
    <w:rsid w:val="005E3067"/>
    <w:rsid w:val="005E3BD5"/>
    <w:rsid w:val="005E4198"/>
    <w:rsid w:val="005E5676"/>
    <w:rsid w:val="005E5AC0"/>
    <w:rsid w:val="005E5DD8"/>
    <w:rsid w:val="005E64E0"/>
    <w:rsid w:val="005E6805"/>
    <w:rsid w:val="005E7511"/>
    <w:rsid w:val="005E7894"/>
    <w:rsid w:val="005F08A9"/>
    <w:rsid w:val="005F0BF7"/>
    <w:rsid w:val="005F102E"/>
    <w:rsid w:val="005F159A"/>
    <w:rsid w:val="005F1C86"/>
    <w:rsid w:val="005F1DD2"/>
    <w:rsid w:val="005F1E0E"/>
    <w:rsid w:val="005F20C5"/>
    <w:rsid w:val="005F2889"/>
    <w:rsid w:val="005F2BD7"/>
    <w:rsid w:val="005F3693"/>
    <w:rsid w:val="005F5355"/>
    <w:rsid w:val="005F623F"/>
    <w:rsid w:val="005F6697"/>
    <w:rsid w:val="005F67E7"/>
    <w:rsid w:val="005F6894"/>
    <w:rsid w:val="005F723F"/>
    <w:rsid w:val="005F726B"/>
    <w:rsid w:val="00600E55"/>
    <w:rsid w:val="006019B2"/>
    <w:rsid w:val="006021F3"/>
    <w:rsid w:val="00602390"/>
    <w:rsid w:val="00605B2A"/>
    <w:rsid w:val="00606C9D"/>
    <w:rsid w:val="00607730"/>
    <w:rsid w:val="00607CF6"/>
    <w:rsid w:val="00607EAC"/>
    <w:rsid w:val="0061000B"/>
    <w:rsid w:val="00610EE7"/>
    <w:rsid w:val="0061122F"/>
    <w:rsid w:val="00612987"/>
    <w:rsid w:val="00612C9C"/>
    <w:rsid w:val="00612FE0"/>
    <w:rsid w:val="0061365E"/>
    <w:rsid w:val="00613C40"/>
    <w:rsid w:val="00613CF6"/>
    <w:rsid w:val="006141DF"/>
    <w:rsid w:val="006154EF"/>
    <w:rsid w:val="00615BB2"/>
    <w:rsid w:val="00617347"/>
    <w:rsid w:val="0061763B"/>
    <w:rsid w:val="00617818"/>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3759"/>
    <w:rsid w:val="00634641"/>
    <w:rsid w:val="00635DEC"/>
    <w:rsid w:val="0063633B"/>
    <w:rsid w:val="006365C7"/>
    <w:rsid w:val="00636A52"/>
    <w:rsid w:val="00637009"/>
    <w:rsid w:val="006376B0"/>
    <w:rsid w:val="00637F67"/>
    <w:rsid w:val="00640812"/>
    <w:rsid w:val="00640874"/>
    <w:rsid w:val="0064093E"/>
    <w:rsid w:val="00640C55"/>
    <w:rsid w:val="00640DB8"/>
    <w:rsid w:val="00640FAC"/>
    <w:rsid w:val="00640FD4"/>
    <w:rsid w:val="00644B80"/>
    <w:rsid w:val="006463D7"/>
    <w:rsid w:val="006463EF"/>
    <w:rsid w:val="00647765"/>
    <w:rsid w:val="00650A8D"/>
    <w:rsid w:val="006534AA"/>
    <w:rsid w:val="00655844"/>
    <w:rsid w:val="00656111"/>
    <w:rsid w:val="00656912"/>
    <w:rsid w:val="00656DC4"/>
    <w:rsid w:val="0065720D"/>
    <w:rsid w:val="00657220"/>
    <w:rsid w:val="0065782D"/>
    <w:rsid w:val="00657B91"/>
    <w:rsid w:val="00657FA3"/>
    <w:rsid w:val="00660B93"/>
    <w:rsid w:val="006616B6"/>
    <w:rsid w:val="0066176F"/>
    <w:rsid w:val="006621AB"/>
    <w:rsid w:val="00663970"/>
    <w:rsid w:val="00663977"/>
    <w:rsid w:val="00663F4E"/>
    <w:rsid w:val="006648E5"/>
    <w:rsid w:val="006649D3"/>
    <w:rsid w:val="006660A3"/>
    <w:rsid w:val="0066696D"/>
    <w:rsid w:val="00666A5A"/>
    <w:rsid w:val="00666CEB"/>
    <w:rsid w:val="00667971"/>
    <w:rsid w:val="00670A7B"/>
    <w:rsid w:val="00670C8A"/>
    <w:rsid w:val="00671468"/>
    <w:rsid w:val="00671680"/>
    <w:rsid w:val="0067213A"/>
    <w:rsid w:val="00673624"/>
    <w:rsid w:val="006737E7"/>
    <w:rsid w:val="00673C8C"/>
    <w:rsid w:val="00674162"/>
    <w:rsid w:val="00674564"/>
    <w:rsid w:val="00674A5C"/>
    <w:rsid w:val="00675465"/>
    <w:rsid w:val="006759A0"/>
    <w:rsid w:val="0067639C"/>
    <w:rsid w:val="00676D36"/>
    <w:rsid w:val="00677A42"/>
    <w:rsid w:val="006803E1"/>
    <w:rsid w:val="006804DC"/>
    <w:rsid w:val="006805EC"/>
    <w:rsid w:val="00682753"/>
    <w:rsid w:val="00682B14"/>
    <w:rsid w:val="00683810"/>
    <w:rsid w:val="00683A16"/>
    <w:rsid w:val="00683A8A"/>
    <w:rsid w:val="0068442C"/>
    <w:rsid w:val="00684632"/>
    <w:rsid w:val="00685129"/>
    <w:rsid w:val="00685949"/>
    <w:rsid w:val="00685F3D"/>
    <w:rsid w:val="00686D58"/>
    <w:rsid w:val="00686DAB"/>
    <w:rsid w:val="00687A6E"/>
    <w:rsid w:val="006903A6"/>
    <w:rsid w:val="00691C6A"/>
    <w:rsid w:val="00691F67"/>
    <w:rsid w:val="006921BA"/>
    <w:rsid w:val="00692E37"/>
    <w:rsid w:val="00693D97"/>
    <w:rsid w:val="006943FB"/>
    <w:rsid w:val="006956E4"/>
    <w:rsid w:val="00695A4E"/>
    <w:rsid w:val="00696E71"/>
    <w:rsid w:val="00697C3A"/>
    <w:rsid w:val="00697D5B"/>
    <w:rsid w:val="006A0C87"/>
    <w:rsid w:val="006A1238"/>
    <w:rsid w:val="006A16D2"/>
    <w:rsid w:val="006A1AFF"/>
    <w:rsid w:val="006A1F47"/>
    <w:rsid w:val="006A2D9B"/>
    <w:rsid w:val="006A305A"/>
    <w:rsid w:val="006A3AC6"/>
    <w:rsid w:val="006A3E03"/>
    <w:rsid w:val="006A46C8"/>
    <w:rsid w:val="006A530A"/>
    <w:rsid w:val="006A55C0"/>
    <w:rsid w:val="006A578B"/>
    <w:rsid w:val="006A5889"/>
    <w:rsid w:val="006A5FD8"/>
    <w:rsid w:val="006A6E4C"/>
    <w:rsid w:val="006A7084"/>
    <w:rsid w:val="006A70F6"/>
    <w:rsid w:val="006A7FF1"/>
    <w:rsid w:val="006B0368"/>
    <w:rsid w:val="006B17DC"/>
    <w:rsid w:val="006B251D"/>
    <w:rsid w:val="006B2C8E"/>
    <w:rsid w:val="006B2F3B"/>
    <w:rsid w:val="006B33A1"/>
    <w:rsid w:val="006B3E08"/>
    <w:rsid w:val="006B3EAE"/>
    <w:rsid w:val="006B4189"/>
    <w:rsid w:val="006B4A6D"/>
    <w:rsid w:val="006B4CEA"/>
    <w:rsid w:val="006B555E"/>
    <w:rsid w:val="006B60B7"/>
    <w:rsid w:val="006B78DE"/>
    <w:rsid w:val="006C017A"/>
    <w:rsid w:val="006C0B7E"/>
    <w:rsid w:val="006C262C"/>
    <w:rsid w:val="006C445E"/>
    <w:rsid w:val="006C487E"/>
    <w:rsid w:val="006C5D00"/>
    <w:rsid w:val="006C6A5B"/>
    <w:rsid w:val="006C71D0"/>
    <w:rsid w:val="006C7290"/>
    <w:rsid w:val="006C7327"/>
    <w:rsid w:val="006C7447"/>
    <w:rsid w:val="006C763B"/>
    <w:rsid w:val="006C7693"/>
    <w:rsid w:val="006D1B51"/>
    <w:rsid w:val="006D1DD1"/>
    <w:rsid w:val="006D202B"/>
    <w:rsid w:val="006D2BB0"/>
    <w:rsid w:val="006D53EE"/>
    <w:rsid w:val="006D7DDE"/>
    <w:rsid w:val="006E00D9"/>
    <w:rsid w:val="006E3642"/>
    <w:rsid w:val="006E4C47"/>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2E58"/>
    <w:rsid w:val="0070300F"/>
    <w:rsid w:val="00703B26"/>
    <w:rsid w:val="0070440E"/>
    <w:rsid w:val="00705136"/>
    <w:rsid w:val="0070576C"/>
    <w:rsid w:val="00705BDB"/>
    <w:rsid w:val="00705D25"/>
    <w:rsid w:val="00707433"/>
    <w:rsid w:val="007074C2"/>
    <w:rsid w:val="007110A9"/>
    <w:rsid w:val="00711A83"/>
    <w:rsid w:val="00712DA0"/>
    <w:rsid w:val="007136D3"/>
    <w:rsid w:val="007136DD"/>
    <w:rsid w:val="00714F15"/>
    <w:rsid w:val="0071635F"/>
    <w:rsid w:val="00717CBC"/>
    <w:rsid w:val="00717CDC"/>
    <w:rsid w:val="00717F9D"/>
    <w:rsid w:val="00720E16"/>
    <w:rsid w:val="007210D7"/>
    <w:rsid w:val="007219E8"/>
    <w:rsid w:val="00722244"/>
    <w:rsid w:val="00724E3E"/>
    <w:rsid w:val="00725DFC"/>
    <w:rsid w:val="00725ED7"/>
    <w:rsid w:val="007265A7"/>
    <w:rsid w:val="0072665F"/>
    <w:rsid w:val="00726BEE"/>
    <w:rsid w:val="00727C06"/>
    <w:rsid w:val="007315ED"/>
    <w:rsid w:val="0073174E"/>
    <w:rsid w:val="00733858"/>
    <w:rsid w:val="00733B62"/>
    <w:rsid w:val="0073574F"/>
    <w:rsid w:val="00735A54"/>
    <w:rsid w:val="007365B7"/>
    <w:rsid w:val="0073759C"/>
    <w:rsid w:val="00737D7A"/>
    <w:rsid w:val="00740297"/>
    <w:rsid w:val="00740A6C"/>
    <w:rsid w:val="00743954"/>
    <w:rsid w:val="0074434D"/>
    <w:rsid w:val="00745924"/>
    <w:rsid w:val="00746038"/>
    <w:rsid w:val="0074613B"/>
    <w:rsid w:val="00746ED6"/>
    <w:rsid w:val="00746FCA"/>
    <w:rsid w:val="00747B2E"/>
    <w:rsid w:val="00750ABA"/>
    <w:rsid w:val="00751717"/>
    <w:rsid w:val="00751F51"/>
    <w:rsid w:val="00752C48"/>
    <w:rsid w:val="00753FB6"/>
    <w:rsid w:val="007544E1"/>
    <w:rsid w:val="00754E6B"/>
    <w:rsid w:val="00756025"/>
    <w:rsid w:val="00756705"/>
    <w:rsid w:val="007574E2"/>
    <w:rsid w:val="0076067F"/>
    <w:rsid w:val="00760D16"/>
    <w:rsid w:val="007617CF"/>
    <w:rsid w:val="00762570"/>
    <w:rsid w:val="00762CC2"/>
    <w:rsid w:val="007637D9"/>
    <w:rsid w:val="00763D31"/>
    <w:rsid w:val="007640E6"/>
    <w:rsid w:val="00764907"/>
    <w:rsid w:val="007649C4"/>
    <w:rsid w:val="00765290"/>
    <w:rsid w:val="00765533"/>
    <w:rsid w:val="007658DB"/>
    <w:rsid w:val="00766494"/>
    <w:rsid w:val="00767720"/>
    <w:rsid w:val="00767C87"/>
    <w:rsid w:val="0077033F"/>
    <w:rsid w:val="00770A2F"/>
    <w:rsid w:val="00770BA1"/>
    <w:rsid w:val="00771248"/>
    <w:rsid w:val="0077155B"/>
    <w:rsid w:val="00771574"/>
    <w:rsid w:val="00771BC9"/>
    <w:rsid w:val="00772BEC"/>
    <w:rsid w:val="00772C9A"/>
    <w:rsid w:val="00772CD2"/>
    <w:rsid w:val="00773897"/>
    <w:rsid w:val="007738C9"/>
    <w:rsid w:val="00773AB9"/>
    <w:rsid w:val="0077488B"/>
    <w:rsid w:val="00775C96"/>
    <w:rsid w:val="0077606C"/>
    <w:rsid w:val="007760BC"/>
    <w:rsid w:val="00776DFC"/>
    <w:rsid w:val="0077789C"/>
    <w:rsid w:val="00777C8F"/>
    <w:rsid w:val="0078003F"/>
    <w:rsid w:val="0078006A"/>
    <w:rsid w:val="007803A3"/>
    <w:rsid w:val="007804D0"/>
    <w:rsid w:val="007825D5"/>
    <w:rsid w:val="007833B3"/>
    <w:rsid w:val="00784499"/>
    <w:rsid w:val="007869D2"/>
    <w:rsid w:val="00787448"/>
    <w:rsid w:val="00790DBA"/>
    <w:rsid w:val="0079145B"/>
    <w:rsid w:val="00791693"/>
    <w:rsid w:val="00791D1E"/>
    <w:rsid w:val="007923DE"/>
    <w:rsid w:val="00793387"/>
    <w:rsid w:val="00793F6A"/>
    <w:rsid w:val="0079438E"/>
    <w:rsid w:val="00794A0D"/>
    <w:rsid w:val="00795AB7"/>
    <w:rsid w:val="00795B7C"/>
    <w:rsid w:val="0079616A"/>
    <w:rsid w:val="007969C1"/>
    <w:rsid w:val="007971AB"/>
    <w:rsid w:val="007974C1"/>
    <w:rsid w:val="00797A90"/>
    <w:rsid w:val="007A08B8"/>
    <w:rsid w:val="007A0A73"/>
    <w:rsid w:val="007A11C6"/>
    <w:rsid w:val="007A1A60"/>
    <w:rsid w:val="007A22E2"/>
    <w:rsid w:val="007A26C9"/>
    <w:rsid w:val="007A288B"/>
    <w:rsid w:val="007A363C"/>
    <w:rsid w:val="007A3FF9"/>
    <w:rsid w:val="007A4041"/>
    <w:rsid w:val="007A41A4"/>
    <w:rsid w:val="007A4DDE"/>
    <w:rsid w:val="007A5057"/>
    <w:rsid w:val="007A58E1"/>
    <w:rsid w:val="007A65E1"/>
    <w:rsid w:val="007A6B4A"/>
    <w:rsid w:val="007A7C05"/>
    <w:rsid w:val="007A7D9A"/>
    <w:rsid w:val="007B0C9B"/>
    <w:rsid w:val="007B135B"/>
    <w:rsid w:val="007B33BC"/>
    <w:rsid w:val="007B33E1"/>
    <w:rsid w:val="007B33F1"/>
    <w:rsid w:val="007B4054"/>
    <w:rsid w:val="007B4E4C"/>
    <w:rsid w:val="007B566E"/>
    <w:rsid w:val="007B59A2"/>
    <w:rsid w:val="007B709F"/>
    <w:rsid w:val="007B7DDE"/>
    <w:rsid w:val="007C019B"/>
    <w:rsid w:val="007C1983"/>
    <w:rsid w:val="007C1B04"/>
    <w:rsid w:val="007C1C5A"/>
    <w:rsid w:val="007C2962"/>
    <w:rsid w:val="007C2DBF"/>
    <w:rsid w:val="007C31F3"/>
    <w:rsid w:val="007C3C92"/>
    <w:rsid w:val="007C421D"/>
    <w:rsid w:val="007D1453"/>
    <w:rsid w:val="007D17FA"/>
    <w:rsid w:val="007D35AA"/>
    <w:rsid w:val="007D5536"/>
    <w:rsid w:val="007D5E4D"/>
    <w:rsid w:val="007D73DA"/>
    <w:rsid w:val="007E0DF4"/>
    <w:rsid w:val="007E1073"/>
    <w:rsid w:val="007E1612"/>
    <w:rsid w:val="007E2195"/>
    <w:rsid w:val="007E22D5"/>
    <w:rsid w:val="007E26D1"/>
    <w:rsid w:val="007E27CA"/>
    <w:rsid w:val="007E30D6"/>
    <w:rsid w:val="007E3AE5"/>
    <w:rsid w:val="007E3C7B"/>
    <w:rsid w:val="007E4BA3"/>
    <w:rsid w:val="007E4CFA"/>
    <w:rsid w:val="007E5371"/>
    <w:rsid w:val="007E5593"/>
    <w:rsid w:val="007E68B4"/>
    <w:rsid w:val="007E7F69"/>
    <w:rsid w:val="007F092E"/>
    <w:rsid w:val="007F0BEC"/>
    <w:rsid w:val="007F0C39"/>
    <w:rsid w:val="007F0E33"/>
    <w:rsid w:val="007F4DF9"/>
    <w:rsid w:val="007F55B3"/>
    <w:rsid w:val="007F59D8"/>
    <w:rsid w:val="007F5D0E"/>
    <w:rsid w:val="007F6390"/>
    <w:rsid w:val="007F6C12"/>
    <w:rsid w:val="007F6E4F"/>
    <w:rsid w:val="007F6F08"/>
    <w:rsid w:val="007F7D4A"/>
    <w:rsid w:val="008018C8"/>
    <w:rsid w:val="008020D5"/>
    <w:rsid w:val="008029B1"/>
    <w:rsid w:val="0080313D"/>
    <w:rsid w:val="00804161"/>
    <w:rsid w:val="0080768E"/>
    <w:rsid w:val="00807AB8"/>
    <w:rsid w:val="008132C9"/>
    <w:rsid w:val="0081358F"/>
    <w:rsid w:val="00813F84"/>
    <w:rsid w:val="0081448C"/>
    <w:rsid w:val="0081499E"/>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A4F"/>
    <w:rsid w:val="00832EAA"/>
    <w:rsid w:val="00833A3D"/>
    <w:rsid w:val="00834071"/>
    <w:rsid w:val="008340BB"/>
    <w:rsid w:val="0083654B"/>
    <w:rsid w:val="008365B9"/>
    <w:rsid w:val="0083694B"/>
    <w:rsid w:val="008369FB"/>
    <w:rsid w:val="0083701D"/>
    <w:rsid w:val="0084064E"/>
    <w:rsid w:val="008421E3"/>
    <w:rsid w:val="0084324D"/>
    <w:rsid w:val="0084471A"/>
    <w:rsid w:val="0084548B"/>
    <w:rsid w:val="008455C2"/>
    <w:rsid w:val="00845AF8"/>
    <w:rsid w:val="00845EDD"/>
    <w:rsid w:val="00847176"/>
    <w:rsid w:val="00847216"/>
    <w:rsid w:val="008477A5"/>
    <w:rsid w:val="00847ACF"/>
    <w:rsid w:val="008519E3"/>
    <w:rsid w:val="00851FAE"/>
    <w:rsid w:val="00852124"/>
    <w:rsid w:val="008538D1"/>
    <w:rsid w:val="00853C7B"/>
    <w:rsid w:val="00854423"/>
    <w:rsid w:val="0085559D"/>
    <w:rsid w:val="00855919"/>
    <w:rsid w:val="00855C60"/>
    <w:rsid w:val="00855D9D"/>
    <w:rsid w:val="0085798E"/>
    <w:rsid w:val="00860B0C"/>
    <w:rsid w:val="008611AD"/>
    <w:rsid w:val="00862746"/>
    <w:rsid w:val="00863549"/>
    <w:rsid w:val="00864A70"/>
    <w:rsid w:val="00864BDD"/>
    <w:rsid w:val="008656F6"/>
    <w:rsid w:val="00865910"/>
    <w:rsid w:val="00871436"/>
    <w:rsid w:val="0087226C"/>
    <w:rsid w:val="00874DBA"/>
    <w:rsid w:val="00874F68"/>
    <w:rsid w:val="008751B5"/>
    <w:rsid w:val="00875396"/>
    <w:rsid w:val="008770F7"/>
    <w:rsid w:val="00877B78"/>
    <w:rsid w:val="00877CD8"/>
    <w:rsid w:val="00877F41"/>
    <w:rsid w:val="00880875"/>
    <w:rsid w:val="00881BFF"/>
    <w:rsid w:val="00882189"/>
    <w:rsid w:val="008838A5"/>
    <w:rsid w:val="00886897"/>
    <w:rsid w:val="008868D9"/>
    <w:rsid w:val="00887D43"/>
    <w:rsid w:val="008902D2"/>
    <w:rsid w:val="008906FC"/>
    <w:rsid w:val="008911A7"/>
    <w:rsid w:val="008929B9"/>
    <w:rsid w:val="00892D66"/>
    <w:rsid w:val="00892D83"/>
    <w:rsid w:val="008944E0"/>
    <w:rsid w:val="00894CD8"/>
    <w:rsid w:val="008950B2"/>
    <w:rsid w:val="00895665"/>
    <w:rsid w:val="008964DE"/>
    <w:rsid w:val="0089673F"/>
    <w:rsid w:val="0089692A"/>
    <w:rsid w:val="008978BD"/>
    <w:rsid w:val="00897A2C"/>
    <w:rsid w:val="00897A9A"/>
    <w:rsid w:val="00897F4E"/>
    <w:rsid w:val="008A0068"/>
    <w:rsid w:val="008A01C8"/>
    <w:rsid w:val="008A1862"/>
    <w:rsid w:val="008A2296"/>
    <w:rsid w:val="008A3574"/>
    <w:rsid w:val="008A3A0E"/>
    <w:rsid w:val="008A3BBF"/>
    <w:rsid w:val="008A4089"/>
    <w:rsid w:val="008A44A9"/>
    <w:rsid w:val="008A4832"/>
    <w:rsid w:val="008A5A7B"/>
    <w:rsid w:val="008A5B90"/>
    <w:rsid w:val="008A5C15"/>
    <w:rsid w:val="008A6A80"/>
    <w:rsid w:val="008A6E40"/>
    <w:rsid w:val="008A733B"/>
    <w:rsid w:val="008A73C1"/>
    <w:rsid w:val="008A7F93"/>
    <w:rsid w:val="008B0626"/>
    <w:rsid w:val="008B0F1D"/>
    <w:rsid w:val="008B10E1"/>
    <w:rsid w:val="008B13B4"/>
    <w:rsid w:val="008B1719"/>
    <w:rsid w:val="008B20FF"/>
    <w:rsid w:val="008B34AB"/>
    <w:rsid w:val="008B38C2"/>
    <w:rsid w:val="008B3FB9"/>
    <w:rsid w:val="008B486F"/>
    <w:rsid w:val="008B4BFD"/>
    <w:rsid w:val="008B4C62"/>
    <w:rsid w:val="008B5B59"/>
    <w:rsid w:val="008B5DA9"/>
    <w:rsid w:val="008B6157"/>
    <w:rsid w:val="008B638A"/>
    <w:rsid w:val="008B64B8"/>
    <w:rsid w:val="008B7523"/>
    <w:rsid w:val="008B7659"/>
    <w:rsid w:val="008B7B7B"/>
    <w:rsid w:val="008C17BD"/>
    <w:rsid w:val="008C1D81"/>
    <w:rsid w:val="008C2043"/>
    <w:rsid w:val="008C3AC2"/>
    <w:rsid w:val="008C3F0F"/>
    <w:rsid w:val="008C4C81"/>
    <w:rsid w:val="008C5A98"/>
    <w:rsid w:val="008C5E85"/>
    <w:rsid w:val="008C5E88"/>
    <w:rsid w:val="008C6CE3"/>
    <w:rsid w:val="008C6FE5"/>
    <w:rsid w:val="008C738F"/>
    <w:rsid w:val="008C748D"/>
    <w:rsid w:val="008C7636"/>
    <w:rsid w:val="008C7746"/>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3EAE"/>
    <w:rsid w:val="008E5170"/>
    <w:rsid w:val="008E53B1"/>
    <w:rsid w:val="008E5CBC"/>
    <w:rsid w:val="008E7A3B"/>
    <w:rsid w:val="008E7EB6"/>
    <w:rsid w:val="008F0C0F"/>
    <w:rsid w:val="008F2C9B"/>
    <w:rsid w:val="008F2D76"/>
    <w:rsid w:val="008F3AD4"/>
    <w:rsid w:val="008F40B1"/>
    <w:rsid w:val="008F4492"/>
    <w:rsid w:val="008F46D3"/>
    <w:rsid w:val="008F5182"/>
    <w:rsid w:val="008F550F"/>
    <w:rsid w:val="008F61FC"/>
    <w:rsid w:val="00900323"/>
    <w:rsid w:val="00900A4E"/>
    <w:rsid w:val="00902FE0"/>
    <w:rsid w:val="0090316A"/>
    <w:rsid w:val="00905AFB"/>
    <w:rsid w:val="00905DF6"/>
    <w:rsid w:val="00907C8E"/>
    <w:rsid w:val="00907ED3"/>
    <w:rsid w:val="00910118"/>
    <w:rsid w:val="0091121D"/>
    <w:rsid w:val="00911453"/>
    <w:rsid w:val="0091295A"/>
    <w:rsid w:val="009163E9"/>
    <w:rsid w:val="00916BB2"/>
    <w:rsid w:val="00916F5D"/>
    <w:rsid w:val="00917CFA"/>
    <w:rsid w:val="0092058C"/>
    <w:rsid w:val="009217BE"/>
    <w:rsid w:val="00921B63"/>
    <w:rsid w:val="00922124"/>
    <w:rsid w:val="009226D5"/>
    <w:rsid w:val="00922D79"/>
    <w:rsid w:val="00922FDD"/>
    <w:rsid w:val="00923349"/>
    <w:rsid w:val="00923670"/>
    <w:rsid w:val="00923886"/>
    <w:rsid w:val="00923C45"/>
    <w:rsid w:val="00923F8A"/>
    <w:rsid w:val="009251D9"/>
    <w:rsid w:val="009255FF"/>
    <w:rsid w:val="00925C33"/>
    <w:rsid w:val="00926DB2"/>
    <w:rsid w:val="009270F6"/>
    <w:rsid w:val="009276DE"/>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416B"/>
    <w:rsid w:val="0094487B"/>
    <w:rsid w:val="009459C6"/>
    <w:rsid w:val="00945D77"/>
    <w:rsid w:val="00947600"/>
    <w:rsid w:val="00950977"/>
    <w:rsid w:val="00950A76"/>
    <w:rsid w:val="00950FE5"/>
    <w:rsid w:val="00952EB8"/>
    <w:rsid w:val="0095325F"/>
    <w:rsid w:val="00953ADA"/>
    <w:rsid w:val="00953DF7"/>
    <w:rsid w:val="00954C9B"/>
    <w:rsid w:val="009550CD"/>
    <w:rsid w:val="009555AA"/>
    <w:rsid w:val="00956567"/>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E5D"/>
    <w:rsid w:val="00967956"/>
    <w:rsid w:val="00970FAB"/>
    <w:rsid w:val="00971580"/>
    <w:rsid w:val="009719AA"/>
    <w:rsid w:val="00972270"/>
    <w:rsid w:val="009722B0"/>
    <w:rsid w:val="0097344C"/>
    <w:rsid w:val="009738E4"/>
    <w:rsid w:val="00974496"/>
    <w:rsid w:val="009746A4"/>
    <w:rsid w:val="0097492A"/>
    <w:rsid w:val="00974DDE"/>
    <w:rsid w:val="00975AD3"/>
    <w:rsid w:val="00975E3B"/>
    <w:rsid w:val="00976CCA"/>
    <w:rsid w:val="0098063E"/>
    <w:rsid w:val="00980DFA"/>
    <w:rsid w:val="00981343"/>
    <w:rsid w:val="009817FF"/>
    <w:rsid w:val="00982269"/>
    <w:rsid w:val="0098377C"/>
    <w:rsid w:val="00984656"/>
    <w:rsid w:val="009848F5"/>
    <w:rsid w:val="00984C40"/>
    <w:rsid w:val="00984C53"/>
    <w:rsid w:val="00984E21"/>
    <w:rsid w:val="00986741"/>
    <w:rsid w:val="00986E86"/>
    <w:rsid w:val="0099062D"/>
    <w:rsid w:val="009907F3"/>
    <w:rsid w:val="00991466"/>
    <w:rsid w:val="009932FA"/>
    <w:rsid w:val="00993868"/>
    <w:rsid w:val="00993B08"/>
    <w:rsid w:val="0099492C"/>
    <w:rsid w:val="009949B1"/>
    <w:rsid w:val="00994F9C"/>
    <w:rsid w:val="0099586A"/>
    <w:rsid w:val="009960F5"/>
    <w:rsid w:val="0099647E"/>
    <w:rsid w:val="00997653"/>
    <w:rsid w:val="00997EBB"/>
    <w:rsid w:val="009A0141"/>
    <w:rsid w:val="009A0353"/>
    <w:rsid w:val="009A0487"/>
    <w:rsid w:val="009A364B"/>
    <w:rsid w:val="009A45E9"/>
    <w:rsid w:val="009A4D76"/>
    <w:rsid w:val="009A6A10"/>
    <w:rsid w:val="009A70D2"/>
    <w:rsid w:val="009A7890"/>
    <w:rsid w:val="009B0518"/>
    <w:rsid w:val="009B0630"/>
    <w:rsid w:val="009B0633"/>
    <w:rsid w:val="009B098E"/>
    <w:rsid w:val="009B0B9F"/>
    <w:rsid w:val="009B0E7E"/>
    <w:rsid w:val="009B103C"/>
    <w:rsid w:val="009B1895"/>
    <w:rsid w:val="009B1AFB"/>
    <w:rsid w:val="009B1D1A"/>
    <w:rsid w:val="009B3479"/>
    <w:rsid w:val="009B3536"/>
    <w:rsid w:val="009B4A69"/>
    <w:rsid w:val="009B5846"/>
    <w:rsid w:val="009B64A1"/>
    <w:rsid w:val="009B654B"/>
    <w:rsid w:val="009B7544"/>
    <w:rsid w:val="009B79B9"/>
    <w:rsid w:val="009C2676"/>
    <w:rsid w:val="009C2AED"/>
    <w:rsid w:val="009C3A5A"/>
    <w:rsid w:val="009C3B83"/>
    <w:rsid w:val="009C3DF0"/>
    <w:rsid w:val="009C43D1"/>
    <w:rsid w:val="009C4631"/>
    <w:rsid w:val="009C4686"/>
    <w:rsid w:val="009C4E18"/>
    <w:rsid w:val="009C5250"/>
    <w:rsid w:val="009C5A9C"/>
    <w:rsid w:val="009C5DD0"/>
    <w:rsid w:val="009C5E6C"/>
    <w:rsid w:val="009C6142"/>
    <w:rsid w:val="009C6836"/>
    <w:rsid w:val="009C69AD"/>
    <w:rsid w:val="009C6D3A"/>
    <w:rsid w:val="009C6EF7"/>
    <w:rsid w:val="009C7C12"/>
    <w:rsid w:val="009D07CD"/>
    <w:rsid w:val="009D09C2"/>
    <w:rsid w:val="009D2114"/>
    <w:rsid w:val="009D2623"/>
    <w:rsid w:val="009D2EDE"/>
    <w:rsid w:val="009D377B"/>
    <w:rsid w:val="009D3BF8"/>
    <w:rsid w:val="009D3D2B"/>
    <w:rsid w:val="009D3E28"/>
    <w:rsid w:val="009D509F"/>
    <w:rsid w:val="009D53A2"/>
    <w:rsid w:val="009D5522"/>
    <w:rsid w:val="009D591F"/>
    <w:rsid w:val="009D64AA"/>
    <w:rsid w:val="009D7B36"/>
    <w:rsid w:val="009E00BF"/>
    <w:rsid w:val="009E030F"/>
    <w:rsid w:val="009E0DD7"/>
    <w:rsid w:val="009E11E4"/>
    <w:rsid w:val="009E21AB"/>
    <w:rsid w:val="009E39FA"/>
    <w:rsid w:val="009E460E"/>
    <w:rsid w:val="009E52AB"/>
    <w:rsid w:val="009E6C95"/>
    <w:rsid w:val="009F132D"/>
    <w:rsid w:val="009F1BC5"/>
    <w:rsid w:val="009F22EC"/>
    <w:rsid w:val="009F2455"/>
    <w:rsid w:val="009F247A"/>
    <w:rsid w:val="009F3756"/>
    <w:rsid w:val="009F49BE"/>
    <w:rsid w:val="009F4A43"/>
    <w:rsid w:val="009F54D9"/>
    <w:rsid w:val="009F5876"/>
    <w:rsid w:val="009F7DE8"/>
    <w:rsid w:val="00A003D7"/>
    <w:rsid w:val="00A01404"/>
    <w:rsid w:val="00A031BB"/>
    <w:rsid w:val="00A03C05"/>
    <w:rsid w:val="00A03C24"/>
    <w:rsid w:val="00A04C07"/>
    <w:rsid w:val="00A05AE1"/>
    <w:rsid w:val="00A05E81"/>
    <w:rsid w:val="00A05EEF"/>
    <w:rsid w:val="00A06A9F"/>
    <w:rsid w:val="00A06AA2"/>
    <w:rsid w:val="00A07660"/>
    <w:rsid w:val="00A07721"/>
    <w:rsid w:val="00A07BBB"/>
    <w:rsid w:val="00A1026B"/>
    <w:rsid w:val="00A102F8"/>
    <w:rsid w:val="00A10CF8"/>
    <w:rsid w:val="00A114D5"/>
    <w:rsid w:val="00A11639"/>
    <w:rsid w:val="00A11B06"/>
    <w:rsid w:val="00A12B53"/>
    <w:rsid w:val="00A13E33"/>
    <w:rsid w:val="00A13FF5"/>
    <w:rsid w:val="00A14026"/>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E7C"/>
    <w:rsid w:val="00A25CE4"/>
    <w:rsid w:val="00A2786E"/>
    <w:rsid w:val="00A27E32"/>
    <w:rsid w:val="00A31806"/>
    <w:rsid w:val="00A318DA"/>
    <w:rsid w:val="00A31B73"/>
    <w:rsid w:val="00A31E63"/>
    <w:rsid w:val="00A31F49"/>
    <w:rsid w:val="00A32702"/>
    <w:rsid w:val="00A32A8E"/>
    <w:rsid w:val="00A331CC"/>
    <w:rsid w:val="00A33E08"/>
    <w:rsid w:val="00A34E23"/>
    <w:rsid w:val="00A356CD"/>
    <w:rsid w:val="00A36177"/>
    <w:rsid w:val="00A3650F"/>
    <w:rsid w:val="00A368C3"/>
    <w:rsid w:val="00A36AC4"/>
    <w:rsid w:val="00A370B0"/>
    <w:rsid w:val="00A3728E"/>
    <w:rsid w:val="00A37E07"/>
    <w:rsid w:val="00A4119A"/>
    <w:rsid w:val="00A41249"/>
    <w:rsid w:val="00A4195C"/>
    <w:rsid w:val="00A41BC3"/>
    <w:rsid w:val="00A42993"/>
    <w:rsid w:val="00A42CFD"/>
    <w:rsid w:val="00A42D6C"/>
    <w:rsid w:val="00A42E26"/>
    <w:rsid w:val="00A42E36"/>
    <w:rsid w:val="00A439CE"/>
    <w:rsid w:val="00A43ED4"/>
    <w:rsid w:val="00A44036"/>
    <w:rsid w:val="00A448B1"/>
    <w:rsid w:val="00A448FC"/>
    <w:rsid w:val="00A44E96"/>
    <w:rsid w:val="00A44F88"/>
    <w:rsid w:val="00A45C3C"/>
    <w:rsid w:val="00A45F89"/>
    <w:rsid w:val="00A47762"/>
    <w:rsid w:val="00A47EF3"/>
    <w:rsid w:val="00A50075"/>
    <w:rsid w:val="00A501E6"/>
    <w:rsid w:val="00A50470"/>
    <w:rsid w:val="00A51AA2"/>
    <w:rsid w:val="00A5352F"/>
    <w:rsid w:val="00A5353C"/>
    <w:rsid w:val="00A54353"/>
    <w:rsid w:val="00A54802"/>
    <w:rsid w:val="00A5545E"/>
    <w:rsid w:val="00A56579"/>
    <w:rsid w:val="00A5680D"/>
    <w:rsid w:val="00A56BF2"/>
    <w:rsid w:val="00A60637"/>
    <w:rsid w:val="00A616F6"/>
    <w:rsid w:val="00A61D3D"/>
    <w:rsid w:val="00A61E43"/>
    <w:rsid w:val="00A623B9"/>
    <w:rsid w:val="00A6269B"/>
    <w:rsid w:val="00A6350F"/>
    <w:rsid w:val="00A63C6E"/>
    <w:rsid w:val="00A63DA1"/>
    <w:rsid w:val="00A641E1"/>
    <w:rsid w:val="00A64239"/>
    <w:rsid w:val="00A64C6F"/>
    <w:rsid w:val="00A6556F"/>
    <w:rsid w:val="00A65C16"/>
    <w:rsid w:val="00A65CA3"/>
    <w:rsid w:val="00A65F0D"/>
    <w:rsid w:val="00A66AB7"/>
    <w:rsid w:val="00A66CF6"/>
    <w:rsid w:val="00A66F0C"/>
    <w:rsid w:val="00A67070"/>
    <w:rsid w:val="00A67865"/>
    <w:rsid w:val="00A71424"/>
    <w:rsid w:val="00A71976"/>
    <w:rsid w:val="00A71C8A"/>
    <w:rsid w:val="00A721CA"/>
    <w:rsid w:val="00A72B31"/>
    <w:rsid w:val="00A743FD"/>
    <w:rsid w:val="00A74E14"/>
    <w:rsid w:val="00A74E49"/>
    <w:rsid w:val="00A75C0B"/>
    <w:rsid w:val="00A75E1E"/>
    <w:rsid w:val="00A761DE"/>
    <w:rsid w:val="00A76358"/>
    <w:rsid w:val="00A76C20"/>
    <w:rsid w:val="00A80EBF"/>
    <w:rsid w:val="00A823A5"/>
    <w:rsid w:val="00A823CA"/>
    <w:rsid w:val="00A8370F"/>
    <w:rsid w:val="00A84033"/>
    <w:rsid w:val="00A84A19"/>
    <w:rsid w:val="00A84A20"/>
    <w:rsid w:val="00A854F1"/>
    <w:rsid w:val="00A86D87"/>
    <w:rsid w:val="00A91729"/>
    <w:rsid w:val="00A917CF"/>
    <w:rsid w:val="00A91A3F"/>
    <w:rsid w:val="00A92E96"/>
    <w:rsid w:val="00A93122"/>
    <w:rsid w:val="00A93BAD"/>
    <w:rsid w:val="00A94660"/>
    <w:rsid w:val="00A94AC6"/>
    <w:rsid w:val="00A9509B"/>
    <w:rsid w:val="00A95359"/>
    <w:rsid w:val="00A95521"/>
    <w:rsid w:val="00A96111"/>
    <w:rsid w:val="00A96912"/>
    <w:rsid w:val="00A96990"/>
    <w:rsid w:val="00A9720F"/>
    <w:rsid w:val="00A97215"/>
    <w:rsid w:val="00A97F75"/>
    <w:rsid w:val="00AA0806"/>
    <w:rsid w:val="00AA1072"/>
    <w:rsid w:val="00AA1816"/>
    <w:rsid w:val="00AA2757"/>
    <w:rsid w:val="00AA3189"/>
    <w:rsid w:val="00AA3803"/>
    <w:rsid w:val="00AA4321"/>
    <w:rsid w:val="00AA4AAA"/>
    <w:rsid w:val="00AA4E64"/>
    <w:rsid w:val="00AA54B4"/>
    <w:rsid w:val="00AA5768"/>
    <w:rsid w:val="00AA5785"/>
    <w:rsid w:val="00AA5B47"/>
    <w:rsid w:val="00AA5F65"/>
    <w:rsid w:val="00AA7B6C"/>
    <w:rsid w:val="00AA7D5E"/>
    <w:rsid w:val="00AB028E"/>
    <w:rsid w:val="00AB0952"/>
    <w:rsid w:val="00AB0AA9"/>
    <w:rsid w:val="00AB0F2E"/>
    <w:rsid w:val="00AB15B6"/>
    <w:rsid w:val="00AB24D4"/>
    <w:rsid w:val="00AB2811"/>
    <w:rsid w:val="00AB4021"/>
    <w:rsid w:val="00AB494B"/>
    <w:rsid w:val="00AB4B08"/>
    <w:rsid w:val="00AB4CCE"/>
    <w:rsid w:val="00AB6A54"/>
    <w:rsid w:val="00AB73DA"/>
    <w:rsid w:val="00AB748D"/>
    <w:rsid w:val="00AB74FC"/>
    <w:rsid w:val="00AB78F7"/>
    <w:rsid w:val="00AB7A8B"/>
    <w:rsid w:val="00AB7DB5"/>
    <w:rsid w:val="00AC056D"/>
    <w:rsid w:val="00AC0EB1"/>
    <w:rsid w:val="00AC1C35"/>
    <w:rsid w:val="00AC2D38"/>
    <w:rsid w:val="00AC3075"/>
    <w:rsid w:val="00AC3C6E"/>
    <w:rsid w:val="00AC58B4"/>
    <w:rsid w:val="00AC6276"/>
    <w:rsid w:val="00AC63D5"/>
    <w:rsid w:val="00AC6B3B"/>
    <w:rsid w:val="00AC74A8"/>
    <w:rsid w:val="00AC7D8C"/>
    <w:rsid w:val="00AD1AD8"/>
    <w:rsid w:val="00AD2375"/>
    <w:rsid w:val="00AD39AF"/>
    <w:rsid w:val="00AD46D7"/>
    <w:rsid w:val="00AD54FA"/>
    <w:rsid w:val="00AD79FA"/>
    <w:rsid w:val="00AE1019"/>
    <w:rsid w:val="00AE19CD"/>
    <w:rsid w:val="00AE2226"/>
    <w:rsid w:val="00AE3795"/>
    <w:rsid w:val="00AE3F9E"/>
    <w:rsid w:val="00AE4367"/>
    <w:rsid w:val="00AE56D1"/>
    <w:rsid w:val="00AE690B"/>
    <w:rsid w:val="00AE745A"/>
    <w:rsid w:val="00AE7810"/>
    <w:rsid w:val="00AF024C"/>
    <w:rsid w:val="00AF02EA"/>
    <w:rsid w:val="00AF04A2"/>
    <w:rsid w:val="00AF0BC4"/>
    <w:rsid w:val="00AF14F9"/>
    <w:rsid w:val="00AF15FB"/>
    <w:rsid w:val="00AF16C5"/>
    <w:rsid w:val="00AF2C08"/>
    <w:rsid w:val="00AF354A"/>
    <w:rsid w:val="00AF3A49"/>
    <w:rsid w:val="00AF4E38"/>
    <w:rsid w:val="00AF5E02"/>
    <w:rsid w:val="00AF6383"/>
    <w:rsid w:val="00AF6E35"/>
    <w:rsid w:val="00AF7519"/>
    <w:rsid w:val="00AF7FA2"/>
    <w:rsid w:val="00B001F1"/>
    <w:rsid w:val="00B00DCD"/>
    <w:rsid w:val="00B01444"/>
    <w:rsid w:val="00B017FC"/>
    <w:rsid w:val="00B0190D"/>
    <w:rsid w:val="00B01A2B"/>
    <w:rsid w:val="00B01AA6"/>
    <w:rsid w:val="00B01DCA"/>
    <w:rsid w:val="00B02F6D"/>
    <w:rsid w:val="00B0335D"/>
    <w:rsid w:val="00B04B10"/>
    <w:rsid w:val="00B04C7D"/>
    <w:rsid w:val="00B06621"/>
    <w:rsid w:val="00B06BD8"/>
    <w:rsid w:val="00B06C9B"/>
    <w:rsid w:val="00B071BD"/>
    <w:rsid w:val="00B1031C"/>
    <w:rsid w:val="00B1080C"/>
    <w:rsid w:val="00B11292"/>
    <w:rsid w:val="00B11420"/>
    <w:rsid w:val="00B12B55"/>
    <w:rsid w:val="00B1314D"/>
    <w:rsid w:val="00B13219"/>
    <w:rsid w:val="00B13444"/>
    <w:rsid w:val="00B144BF"/>
    <w:rsid w:val="00B14F5A"/>
    <w:rsid w:val="00B15266"/>
    <w:rsid w:val="00B15D21"/>
    <w:rsid w:val="00B16084"/>
    <w:rsid w:val="00B16A97"/>
    <w:rsid w:val="00B16ADD"/>
    <w:rsid w:val="00B1729C"/>
    <w:rsid w:val="00B2010F"/>
    <w:rsid w:val="00B223FE"/>
    <w:rsid w:val="00B2283B"/>
    <w:rsid w:val="00B22AB0"/>
    <w:rsid w:val="00B22B7D"/>
    <w:rsid w:val="00B22BF0"/>
    <w:rsid w:val="00B2358E"/>
    <w:rsid w:val="00B2646A"/>
    <w:rsid w:val="00B26D62"/>
    <w:rsid w:val="00B27D35"/>
    <w:rsid w:val="00B303B2"/>
    <w:rsid w:val="00B32D28"/>
    <w:rsid w:val="00B32E0B"/>
    <w:rsid w:val="00B35D59"/>
    <w:rsid w:val="00B368B1"/>
    <w:rsid w:val="00B37666"/>
    <w:rsid w:val="00B37D7D"/>
    <w:rsid w:val="00B400CB"/>
    <w:rsid w:val="00B40467"/>
    <w:rsid w:val="00B406AA"/>
    <w:rsid w:val="00B40F00"/>
    <w:rsid w:val="00B41565"/>
    <w:rsid w:val="00B426A6"/>
    <w:rsid w:val="00B42996"/>
    <w:rsid w:val="00B4399B"/>
    <w:rsid w:val="00B443B3"/>
    <w:rsid w:val="00B468C7"/>
    <w:rsid w:val="00B47697"/>
    <w:rsid w:val="00B50434"/>
    <w:rsid w:val="00B50492"/>
    <w:rsid w:val="00B505AD"/>
    <w:rsid w:val="00B50A9A"/>
    <w:rsid w:val="00B528BC"/>
    <w:rsid w:val="00B53A7B"/>
    <w:rsid w:val="00B54A58"/>
    <w:rsid w:val="00B55160"/>
    <w:rsid w:val="00B5570D"/>
    <w:rsid w:val="00B5665D"/>
    <w:rsid w:val="00B56803"/>
    <w:rsid w:val="00B56A20"/>
    <w:rsid w:val="00B571B3"/>
    <w:rsid w:val="00B60FA5"/>
    <w:rsid w:val="00B62796"/>
    <w:rsid w:val="00B63266"/>
    <w:rsid w:val="00B63D82"/>
    <w:rsid w:val="00B64203"/>
    <w:rsid w:val="00B651FD"/>
    <w:rsid w:val="00B65991"/>
    <w:rsid w:val="00B70E51"/>
    <w:rsid w:val="00B71444"/>
    <w:rsid w:val="00B71B82"/>
    <w:rsid w:val="00B73727"/>
    <w:rsid w:val="00B74C31"/>
    <w:rsid w:val="00B75A30"/>
    <w:rsid w:val="00B75C9B"/>
    <w:rsid w:val="00B75D11"/>
    <w:rsid w:val="00B76E94"/>
    <w:rsid w:val="00B77192"/>
    <w:rsid w:val="00B77379"/>
    <w:rsid w:val="00B80633"/>
    <w:rsid w:val="00B80F6E"/>
    <w:rsid w:val="00B8179B"/>
    <w:rsid w:val="00B820AC"/>
    <w:rsid w:val="00B8211E"/>
    <w:rsid w:val="00B82516"/>
    <w:rsid w:val="00B83ED3"/>
    <w:rsid w:val="00B84FAB"/>
    <w:rsid w:val="00B854D1"/>
    <w:rsid w:val="00B861B7"/>
    <w:rsid w:val="00B86659"/>
    <w:rsid w:val="00B868E0"/>
    <w:rsid w:val="00B86A6F"/>
    <w:rsid w:val="00B877F7"/>
    <w:rsid w:val="00B906D7"/>
    <w:rsid w:val="00B91510"/>
    <w:rsid w:val="00B91686"/>
    <w:rsid w:val="00B92A92"/>
    <w:rsid w:val="00B935F9"/>
    <w:rsid w:val="00B9373E"/>
    <w:rsid w:val="00B94BC0"/>
    <w:rsid w:val="00B969BB"/>
    <w:rsid w:val="00B97871"/>
    <w:rsid w:val="00B97953"/>
    <w:rsid w:val="00BA07C4"/>
    <w:rsid w:val="00BA0A55"/>
    <w:rsid w:val="00BA0B71"/>
    <w:rsid w:val="00BA0E64"/>
    <w:rsid w:val="00BA1ABF"/>
    <w:rsid w:val="00BA28C4"/>
    <w:rsid w:val="00BA29F0"/>
    <w:rsid w:val="00BA2AF6"/>
    <w:rsid w:val="00BA2C42"/>
    <w:rsid w:val="00BA2EDB"/>
    <w:rsid w:val="00BA2FF6"/>
    <w:rsid w:val="00BA31CA"/>
    <w:rsid w:val="00BA4178"/>
    <w:rsid w:val="00BA4EC3"/>
    <w:rsid w:val="00BA5F14"/>
    <w:rsid w:val="00BA5F70"/>
    <w:rsid w:val="00BA5FBE"/>
    <w:rsid w:val="00BA6669"/>
    <w:rsid w:val="00BA7027"/>
    <w:rsid w:val="00BA7868"/>
    <w:rsid w:val="00BB01BC"/>
    <w:rsid w:val="00BB2FDB"/>
    <w:rsid w:val="00BB3DAA"/>
    <w:rsid w:val="00BB5282"/>
    <w:rsid w:val="00BB5811"/>
    <w:rsid w:val="00BB5D35"/>
    <w:rsid w:val="00BB6219"/>
    <w:rsid w:val="00BB6F05"/>
    <w:rsid w:val="00BB7296"/>
    <w:rsid w:val="00BB752B"/>
    <w:rsid w:val="00BC0744"/>
    <w:rsid w:val="00BC1424"/>
    <w:rsid w:val="00BC1507"/>
    <w:rsid w:val="00BC21C6"/>
    <w:rsid w:val="00BC2EC6"/>
    <w:rsid w:val="00BC31B1"/>
    <w:rsid w:val="00BC45C7"/>
    <w:rsid w:val="00BC65DA"/>
    <w:rsid w:val="00BC66B6"/>
    <w:rsid w:val="00BD1A38"/>
    <w:rsid w:val="00BD21E3"/>
    <w:rsid w:val="00BD2201"/>
    <w:rsid w:val="00BD379A"/>
    <w:rsid w:val="00BD4328"/>
    <w:rsid w:val="00BD4EBE"/>
    <w:rsid w:val="00BD63B6"/>
    <w:rsid w:val="00BD708B"/>
    <w:rsid w:val="00BD7800"/>
    <w:rsid w:val="00BD796C"/>
    <w:rsid w:val="00BD7AC7"/>
    <w:rsid w:val="00BE0E3E"/>
    <w:rsid w:val="00BE3529"/>
    <w:rsid w:val="00BE47A0"/>
    <w:rsid w:val="00BE482E"/>
    <w:rsid w:val="00BE4AF7"/>
    <w:rsid w:val="00BE4D53"/>
    <w:rsid w:val="00BE5176"/>
    <w:rsid w:val="00BE6197"/>
    <w:rsid w:val="00BE65BE"/>
    <w:rsid w:val="00BE7018"/>
    <w:rsid w:val="00BE76C9"/>
    <w:rsid w:val="00BF0D84"/>
    <w:rsid w:val="00BF1D28"/>
    <w:rsid w:val="00BF1DC9"/>
    <w:rsid w:val="00BF30DA"/>
    <w:rsid w:val="00BF3A70"/>
    <w:rsid w:val="00BF3B0C"/>
    <w:rsid w:val="00BF4246"/>
    <w:rsid w:val="00BF44BB"/>
    <w:rsid w:val="00BF53B9"/>
    <w:rsid w:val="00BF7BF6"/>
    <w:rsid w:val="00BF7EBC"/>
    <w:rsid w:val="00C00364"/>
    <w:rsid w:val="00C006B9"/>
    <w:rsid w:val="00C00B30"/>
    <w:rsid w:val="00C00F47"/>
    <w:rsid w:val="00C01605"/>
    <w:rsid w:val="00C0259A"/>
    <w:rsid w:val="00C0368A"/>
    <w:rsid w:val="00C039F9"/>
    <w:rsid w:val="00C03D0A"/>
    <w:rsid w:val="00C03E9E"/>
    <w:rsid w:val="00C0488C"/>
    <w:rsid w:val="00C05256"/>
    <w:rsid w:val="00C06422"/>
    <w:rsid w:val="00C06B5D"/>
    <w:rsid w:val="00C072F0"/>
    <w:rsid w:val="00C07E0E"/>
    <w:rsid w:val="00C129A6"/>
    <w:rsid w:val="00C13045"/>
    <w:rsid w:val="00C136B6"/>
    <w:rsid w:val="00C136F6"/>
    <w:rsid w:val="00C13C18"/>
    <w:rsid w:val="00C13F9E"/>
    <w:rsid w:val="00C15394"/>
    <w:rsid w:val="00C16A72"/>
    <w:rsid w:val="00C17B92"/>
    <w:rsid w:val="00C20532"/>
    <w:rsid w:val="00C2216D"/>
    <w:rsid w:val="00C228C6"/>
    <w:rsid w:val="00C23007"/>
    <w:rsid w:val="00C231D7"/>
    <w:rsid w:val="00C2334D"/>
    <w:rsid w:val="00C23EDB"/>
    <w:rsid w:val="00C24A3F"/>
    <w:rsid w:val="00C25F97"/>
    <w:rsid w:val="00C26D2C"/>
    <w:rsid w:val="00C27D63"/>
    <w:rsid w:val="00C30369"/>
    <w:rsid w:val="00C30DF9"/>
    <w:rsid w:val="00C31409"/>
    <w:rsid w:val="00C3268A"/>
    <w:rsid w:val="00C332F4"/>
    <w:rsid w:val="00C345C5"/>
    <w:rsid w:val="00C35319"/>
    <w:rsid w:val="00C35B18"/>
    <w:rsid w:val="00C35CB4"/>
    <w:rsid w:val="00C3788B"/>
    <w:rsid w:val="00C378EB"/>
    <w:rsid w:val="00C37A55"/>
    <w:rsid w:val="00C40276"/>
    <w:rsid w:val="00C4041C"/>
    <w:rsid w:val="00C4072A"/>
    <w:rsid w:val="00C41D5F"/>
    <w:rsid w:val="00C426FA"/>
    <w:rsid w:val="00C42CB0"/>
    <w:rsid w:val="00C4363D"/>
    <w:rsid w:val="00C445CA"/>
    <w:rsid w:val="00C448E9"/>
    <w:rsid w:val="00C45128"/>
    <w:rsid w:val="00C45545"/>
    <w:rsid w:val="00C46282"/>
    <w:rsid w:val="00C46A4C"/>
    <w:rsid w:val="00C50046"/>
    <w:rsid w:val="00C50DA5"/>
    <w:rsid w:val="00C513E2"/>
    <w:rsid w:val="00C519F0"/>
    <w:rsid w:val="00C523EA"/>
    <w:rsid w:val="00C529E5"/>
    <w:rsid w:val="00C52DDC"/>
    <w:rsid w:val="00C53B7B"/>
    <w:rsid w:val="00C550E1"/>
    <w:rsid w:val="00C56320"/>
    <w:rsid w:val="00C563D0"/>
    <w:rsid w:val="00C56742"/>
    <w:rsid w:val="00C568BF"/>
    <w:rsid w:val="00C57AC7"/>
    <w:rsid w:val="00C60163"/>
    <w:rsid w:val="00C60316"/>
    <w:rsid w:val="00C603FE"/>
    <w:rsid w:val="00C60411"/>
    <w:rsid w:val="00C607B2"/>
    <w:rsid w:val="00C60B57"/>
    <w:rsid w:val="00C61EFB"/>
    <w:rsid w:val="00C61F88"/>
    <w:rsid w:val="00C62248"/>
    <w:rsid w:val="00C62C39"/>
    <w:rsid w:val="00C62F7E"/>
    <w:rsid w:val="00C638B4"/>
    <w:rsid w:val="00C6401C"/>
    <w:rsid w:val="00C64CFF"/>
    <w:rsid w:val="00C66E1E"/>
    <w:rsid w:val="00C678C0"/>
    <w:rsid w:val="00C67F95"/>
    <w:rsid w:val="00C704EC"/>
    <w:rsid w:val="00C71A4F"/>
    <w:rsid w:val="00C71A5C"/>
    <w:rsid w:val="00C71DED"/>
    <w:rsid w:val="00C73105"/>
    <w:rsid w:val="00C748CC"/>
    <w:rsid w:val="00C76016"/>
    <w:rsid w:val="00C7664E"/>
    <w:rsid w:val="00C76D23"/>
    <w:rsid w:val="00C7733E"/>
    <w:rsid w:val="00C77C2E"/>
    <w:rsid w:val="00C805C7"/>
    <w:rsid w:val="00C80C78"/>
    <w:rsid w:val="00C82807"/>
    <w:rsid w:val="00C835D0"/>
    <w:rsid w:val="00C838BB"/>
    <w:rsid w:val="00C840E3"/>
    <w:rsid w:val="00C8467F"/>
    <w:rsid w:val="00C84728"/>
    <w:rsid w:val="00C85E26"/>
    <w:rsid w:val="00C87284"/>
    <w:rsid w:val="00C87853"/>
    <w:rsid w:val="00C9056B"/>
    <w:rsid w:val="00C907A6"/>
    <w:rsid w:val="00C91A67"/>
    <w:rsid w:val="00C92651"/>
    <w:rsid w:val="00C93214"/>
    <w:rsid w:val="00C94072"/>
    <w:rsid w:val="00C94D6B"/>
    <w:rsid w:val="00C9799B"/>
    <w:rsid w:val="00C97BB1"/>
    <w:rsid w:val="00CA06AE"/>
    <w:rsid w:val="00CA3398"/>
    <w:rsid w:val="00CA45C3"/>
    <w:rsid w:val="00CA5AC2"/>
    <w:rsid w:val="00CA6896"/>
    <w:rsid w:val="00CA6C30"/>
    <w:rsid w:val="00CA6F5E"/>
    <w:rsid w:val="00CA7792"/>
    <w:rsid w:val="00CA782D"/>
    <w:rsid w:val="00CA7F42"/>
    <w:rsid w:val="00CB032E"/>
    <w:rsid w:val="00CB04CE"/>
    <w:rsid w:val="00CB0BE6"/>
    <w:rsid w:val="00CB18B0"/>
    <w:rsid w:val="00CB1CA1"/>
    <w:rsid w:val="00CB1E6E"/>
    <w:rsid w:val="00CB23A4"/>
    <w:rsid w:val="00CB2D16"/>
    <w:rsid w:val="00CB2DBD"/>
    <w:rsid w:val="00CB2E6F"/>
    <w:rsid w:val="00CB39F2"/>
    <w:rsid w:val="00CB5B81"/>
    <w:rsid w:val="00CB64D2"/>
    <w:rsid w:val="00CB7631"/>
    <w:rsid w:val="00CB78AC"/>
    <w:rsid w:val="00CC0811"/>
    <w:rsid w:val="00CC08AF"/>
    <w:rsid w:val="00CC08B6"/>
    <w:rsid w:val="00CC08DB"/>
    <w:rsid w:val="00CC0CE7"/>
    <w:rsid w:val="00CC0E1D"/>
    <w:rsid w:val="00CC2D33"/>
    <w:rsid w:val="00CC3296"/>
    <w:rsid w:val="00CC32AA"/>
    <w:rsid w:val="00CC3466"/>
    <w:rsid w:val="00CC3822"/>
    <w:rsid w:val="00CC39A7"/>
    <w:rsid w:val="00CC6274"/>
    <w:rsid w:val="00CC6F0C"/>
    <w:rsid w:val="00CC706D"/>
    <w:rsid w:val="00CD01FC"/>
    <w:rsid w:val="00CD057D"/>
    <w:rsid w:val="00CD0E1C"/>
    <w:rsid w:val="00CD13EF"/>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FF"/>
    <w:rsid w:val="00CD6EC0"/>
    <w:rsid w:val="00CE0226"/>
    <w:rsid w:val="00CE02A0"/>
    <w:rsid w:val="00CE07A2"/>
    <w:rsid w:val="00CE1384"/>
    <w:rsid w:val="00CE13AB"/>
    <w:rsid w:val="00CE1744"/>
    <w:rsid w:val="00CE3E98"/>
    <w:rsid w:val="00CE3FC9"/>
    <w:rsid w:val="00CE47BB"/>
    <w:rsid w:val="00CE54EE"/>
    <w:rsid w:val="00CE5CFC"/>
    <w:rsid w:val="00CE7568"/>
    <w:rsid w:val="00CE7683"/>
    <w:rsid w:val="00CE7793"/>
    <w:rsid w:val="00CE7CA6"/>
    <w:rsid w:val="00CF02C5"/>
    <w:rsid w:val="00CF091A"/>
    <w:rsid w:val="00CF0B89"/>
    <w:rsid w:val="00CF1531"/>
    <w:rsid w:val="00CF16FB"/>
    <w:rsid w:val="00CF17A6"/>
    <w:rsid w:val="00CF1EC0"/>
    <w:rsid w:val="00CF2786"/>
    <w:rsid w:val="00CF350F"/>
    <w:rsid w:val="00CF367D"/>
    <w:rsid w:val="00CF3BF1"/>
    <w:rsid w:val="00CF3F09"/>
    <w:rsid w:val="00CF4412"/>
    <w:rsid w:val="00CF4BE7"/>
    <w:rsid w:val="00CF5227"/>
    <w:rsid w:val="00CF533C"/>
    <w:rsid w:val="00CF57E4"/>
    <w:rsid w:val="00CF5CB3"/>
    <w:rsid w:val="00CF738D"/>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07B"/>
    <w:rsid w:val="00D0660F"/>
    <w:rsid w:val="00D068BB"/>
    <w:rsid w:val="00D109B9"/>
    <w:rsid w:val="00D1172B"/>
    <w:rsid w:val="00D12017"/>
    <w:rsid w:val="00D12C8A"/>
    <w:rsid w:val="00D131E4"/>
    <w:rsid w:val="00D13513"/>
    <w:rsid w:val="00D13549"/>
    <w:rsid w:val="00D13D18"/>
    <w:rsid w:val="00D13D27"/>
    <w:rsid w:val="00D141DA"/>
    <w:rsid w:val="00D14A2A"/>
    <w:rsid w:val="00D15F02"/>
    <w:rsid w:val="00D161F7"/>
    <w:rsid w:val="00D1630F"/>
    <w:rsid w:val="00D164A1"/>
    <w:rsid w:val="00D1653A"/>
    <w:rsid w:val="00D16A6A"/>
    <w:rsid w:val="00D17A09"/>
    <w:rsid w:val="00D17F91"/>
    <w:rsid w:val="00D20602"/>
    <w:rsid w:val="00D20E78"/>
    <w:rsid w:val="00D20F71"/>
    <w:rsid w:val="00D2168C"/>
    <w:rsid w:val="00D21916"/>
    <w:rsid w:val="00D21D80"/>
    <w:rsid w:val="00D2263E"/>
    <w:rsid w:val="00D23689"/>
    <w:rsid w:val="00D249CE"/>
    <w:rsid w:val="00D24EDD"/>
    <w:rsid w:val="00D25169"/>
    <w:rsid w:val="00D25CCF"/>
    <w:rsid w:val="00D260B9"/>
    <w:rsid w:val="00D26315"/>
    <w:rsid w:val="00D26ED5"/>
    <w:rsid w:val="00D27CC2"/>
    <w:rsid w:val="00D3154D"/>
    <w:rsid w:val="00D3158A"/>
    <w:rsid w:val="00D3191C"/>
    <w:rsid w:val="00D34F09"/>
    <w:rsid w:val="00D350CC"/>
    <w:rsid w:val="00D35BE4"/>
    <w:rsid w:val="00D360A2"/>
    <w:rsid w:val="00D365E3"/>
    <w:rsid w:val="00D3663A"/>
    <w:rsid w:val="00D3663E"/>
    <w:rsid w:val="00D366E7"/>
    <w:rsid w:val="00D36A87"/>
    <w:rsid w:val="00D36A8E"/>
    <w:rsid w:val="00D36BE6"/>
    <w:rsid w:val="00D40661"/>
    <w:rsid w:val="00D408B0"/>
    <w:rsid w:val="00D4107D"/>
    <w:rsid w:val="00D41B36"/>
    <w:rsid w:val="00D41E04"/>
    <w:rsid w:val="00D4242F"/>
    <w:rsid w:val="00D42847"/>
    <w:rsid w:val="00D43AD7"/>
    <w:rsid w:val="00D43C22"/>
    <w:rsid w:val="00D44192"/>
    <w:rsid w:val="00D44480"/>
    <w:rsid w:val="00D447AF"/>
    <w:rsid w:val="00D457F7"/>
    <w:rsid w:val="00D45C05"/>
    <w:rsid w:val="00D46152"/>
    <w:rsid w:val="00D46820"/>
    <w:rsid w:val="00D469C1"/>
    <w:rsid w:val="00D505ED"/>
    <w:rsid w:val="00D50C96"/>
    <w:rsid w:val="00D50E66"/>
    <w:rsid w:val="00D50E86"/>
    <w:rsid w:val="00D5121E"/>
    <w:rsid w:val="00D520CC"/>
    <w:rsid w:val="00D5284C"/>
    <w:rsid w:val="00D52CF6"/>
    <w:rsid w:val="00D537B4"/>
    <w:rsid w:val="00D53C68"/>
    <w:rsid w:val="00D54299"/>
    <w:rsid w:val="00D548F7"/>
    <w:rsid w:val="00D54B9A"/>
    <w:rsid w:val="00D54BBB"/>
    <w:rsid w:val="00D54BCD"/>
    <w:rsid w:val="00D54CAB"/>
    <w:rsid w:val="00D5596D"/>
    <w:rsid w:val="00D55C30"/>
    <w:rsid w:val="00D566B0"/>
    <w:rsid w:val="00D5793A"/>
    <w:rsid w:val="00D57E75"/>
    <w:rsid w:val="00D601B7"/>
    <w:rsid w:val="00D6096C"/>
    <w:rsid w:val="00D60EA2"/>
    <w:rsid w:val="00D61EC9"/>
    <w:rsid w:val="00D62AF1"/>
    <w:rsid w:val="00D62E2C"/>
    <w:rsid w:val="00D62E5D"/>
    <w:rsid w:val="00D63A11"/>
    <w:rsid w:val="00D642C9"/>
    <w:rsid w:val="00D64437"/>
    <w:rsid w:val="00D6456F"/>
    <w:rsid w:val="00D64EC0"/>
    <w:rsid w:val="00D65180"/>
    <w:rsid w:val="00D65C90"/>
    <w:rsid w:val="00D660DB"/>
    <w:rsid w:val="00D6627E"/>
    <w:rsid w:val="00D66608"/>
    <w:rsid w:val="00D66AF7"/>
    <w:rsid w:val="00D66EF0"/>
    <w:rsid w:val="00D67179"/>
    <w:rsid w:val="00D724F2"/>
    <w:rsid w:val="00D72761"/>
    <w:rsid w:val="00D72DD4"/>
    <w:rsid w:val="00D735D3"/>
    <w:rsid w:val="00D76657"/>
    <w:rsid w:val="00D768F3"/>
    <w:rsid w:val="00D77880"/>
    <w:rsid w:val="00D77A33"/>
    <w:rsid w:val="00D77A61"/>
    <w:rsid w:val="00D77CC5"/>
    <w:rsid w:val="00D77FB2"/>
    <w:rsid w:val="00D80897"/>
    <w:rsid w:val="00D81E99"/>
    <w:rsid w:val="00D82100"/>
    <w:rsid w:val="00D82C52"/>
    <w:rsid w:val="00D82E43"/>
    <w:rsid w:val="00D83111"/>
    <w:rsid w:val="00D839AB"/>
    <w:rsid w:val="00D840D0"/>
    <w:rsid w:val="00D85C92"/>
    <w:rsid w:val="00D85E26"/>
    <w:rsid w:val="00D85F18"/>
    <w:rsid w:val="00D861B6"/>
    <w:rsid w:val="00D873D1"/>
    <w:rsid w:val="00D87C43"/>
    <w:rsid w:val="00D87E2D"/>
    <w:rsid w:val="00D87F9A"/>
    <w:rsid w:val="00D9010D"/>
    <w:rsid w:val="00D91392"/>
    <w:rsid w:val="00D92541"/>
    <w:rsid w:val="00D932FF"/>
    <w:rsid w:val="00D940CC"/>
    <w:rsid w:val="00D94FF9"/>
    <w:rsid w:val="00D951F8"/>
    <w:rsid w:val="00D95717"/>
    <w:rsid w:val="00D95E55"/>
    <w:rsid w:val="00D9790B"/>
    <w:rsid w:val="00DA0981"/>
    <w:rsid w:val="00DA1742"/>
    <w:rsid w:val="00DA1D59"/>
    <w:rsid w:val="00DA23AE"/>
    <w:rsid w:val="00DA2745"/>
    <w:rsid w:val="00DA2C6A"/>
    <w:rsid w:val="00DA318E"/>
    <w:rsid w:val="00DA417C"/>
    <w:rsid w:val="00DA4B51"/>
    <w:rsid w:val="00DA4B76"/>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B82"/>
    <w:rsid w:val="00DB5D25"/>
    <w:rsid w:val="00DB6489"/>
    <w:rsid w:val="00DB7FE4"/>
    <w:rsid w:val="00DC2018"/>
    <w:rsid w:val="00DC3656"/>
    <w:rsid w:val="00DC36A9"/>
    <w:rsid w:val="00DC39BA"/>
    <w:rsid w:val="00DC537D"/>
    <w:rsid w:val="00DC63FC"/>
    <w:rsid w:val="00DD0A33"/>
    <w:rsid w:val="00DD2089"/>
    <w:rsid w:val="00DD30CA"/>
    <w:rsid w:val="00DD3448"/>
    <w:rsid w:val="00DD4344"/>
    <w:rsid w:val="00DD48DB"/>
    <w:rsid w:val="00DD4AC6"/>
    <w:rsid w:val="00DD4F6F"/>
    <w:rsid w:val="00DD4F79"/>
    <w:rsid w:val="00DD5004"/>
    <w:rsid w:val="00DD7B78"/>
    <w:rsid w:val="00DE17B7"/>
    <w:rsid w:val="00DE2F4E"/>
    <w:rsid w:val="00DE3CF8"/>
    <w:rsid w:val="00DE5459"/>
    <w:rsid w:val="00DE57E4"/>
    <w:rsid w:val="00DE5E60"/>
    <w:rsid w:val="00DE74FF"/>
    <w:rsid w:val="00DF031C"/>
    <w:rsid w:val="00DF1446"/>
    <w:rsid w:val="00DF1ACD"/>
    <w:rsid w:val="00DF28BE"/>
    <w:rsid w:val="00DF2C4E"/>
    <w:rsid w:val="00DF3214"/>
    <w:rsid w:val="00DF3752"/>
    <w:rsid w:val="00DF4A8D"/>
    <w:rsid w:val="00DF531C"/>
    <w:rsid w:val="00DF57BB"/>
    <w:rsid w:val="00DF596E"/>
    <w:rsid w:val="00DF65FE"/>
    <w:rsid w:val="00DF7474"/>
    <w:rsid w:val="00DF7B39"/>
    <w:rsid w:val="00DF7D55"/>
    <w:rsid w:val="00DF7E56"/>
    <w:rsid w:val="00DF7FEB"/>
    <w:rsid w:val="00E0025E"/>
    <w:rsid w:val="00E00AFD"/>
    <w:rsid w:val="00E00BF6"/>
    <w:rsid w:val="00E0133A"/>
    <w:rsid w:val="00E01722"/>
    <w:rsid w:val="00E01FAA"/>
    <w:rsid w:val="00E02CBD"/>
    <w:rsid w:val="00E03AC9"/>
    <w:rsid w:val="00E03BD6"/>
    <w:rsid w:val="00E03E48"/>
    <w:rsid w:val="00E04E7F"/>
    <w:rsid w:val="00E051CA"/>
    <w:rsid w:val="00E05300"/>
    <w:rsid w:val="00E054FD"/>
    <w:rsid w:val="00E06081"/>
    <w:rsid w:val="00E063FB"/>
    <w:rsid w:val="00E068EB"/>
    <w:rsid w:val="00E07B03"/>
    <w:rsid w:val="00E11957"/>
    <w:rsid w:val="00E11A48"/>
    <w:rsid w:val="00E12364"/>
    <w:rsid w:val="00E128EE"/>
    <w:rsid w:val="00E1292D"/>
    <w:rsid w:val="00E13F48"/>
    <w:rsid w:val="00E14194"/>
    <w:rsid w:val="00E1433E"/>
    <w:rsid w:val="00E14C0B"/>
    <w:rsid w:val="00E15089"/>
    <w:rsid w:val="00E16235"/>
    <w:rsid w:val="00E16E1C"/>
    <w:rsid w:val="00E17650"/>
    <w:rsid w:val="00E177C3"/>
    <w:rsid w:val="00E17F49"/>
    <w:rsid w:val="00E20038"/>
    <w:rsid w:val="00E236F9"/>
    <w:rsid w:val="00E23A0E"/>
    <w:rsid w:val="00E240B6"/>
    <w:rsid w:val="00E24537"/>
    <w:rsid w:val="00E24546"/>
    <w:rsid w:val="00E252B1"/>
    <w:rsid w:val="00E260B4"/>
    <w:rsid w:val="00E267E8"/>
    <w:rsid w:val="00E26DEA"/>
    <w:rsid w:val="00E27B44"/>
    <w:rsid w:val="00E30E46"/>
    <w:rsid w:val="00E32611"/>
    <w:rsid w:val="00E3419F"/>
    <w:rsid w:val="00E346E0"/>
    <w:rsid w:val="00E35924"/>
    <w:rsid w:val="00E35C35"/>
    <w:rsid w:val="00E36A18"/>
    <w:rsid w:val="00E37C8B"/>
    <w:rsid w:val="00E40B84"/>
    <w:rsid w:val="00E413FC"/>
    <w:rsid w:val="00E4234C"/>
    <w:rsid w:val="00E42568"/>
    <w:rsid w:val="00E43DD9"/>
    <w:rsid w:val="00E45167"/>
    <w:rsid w:val="00E45B3A"/>
    <w:rsid w:val="00E473D6"/>
    <w:rsid w:val="00E4758C"/>
    <w:rsid w:val="00E47AB8"/>
    <w:rsid w:val="00E5031F"/>
    <w:rsid w:val="00E51289"/>
    <w:rsid w:val="00E51CD8"/>
    <w:rsid w:val="00E526C8"/>
    <w:rsid w:val="00E550CA"/>
    <w:rsid w:val="00E5536A"/>
    <w:rsid w:val="00E55ACF"/>
    <w:rsid w:val="00E5694C"/>
    <w:rsid w:val="00E578D8"/>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19A"/>
    <w:rsid w:val="00E67376"/>
    <w:rsid w:val="00E67BE8"/>
    <w:rsid w:val="00E70FA8"/>
    <w:rsid w:val="00E71181"/>
    <w:rsid w:val="00E71810"/>
    <w:rsid w:val="00E71A56"/>
    <w:rsid w:val="00E72488"/>
    <w:rsid w:val="00E72987"/>
    <w:rsid w:val="00E73087"/>
    <w:rsid w:val="00E730A5"/>
    <w:rsid w:val="00E74979"/>
    <w:rsid w:val="00E74DEA"/>
    <w:rsid w:val="00E7564A"/>
    <w:rsid w:val="00E7697E"/>
    <w:rsid w:val="00E76C8F"/>
    <w:rsid w:val="00E77D18"/>
    <w:rsid w:val="00E77F75"/>
    <w:rsid w:val="00E80D90"/>
    <w:rsid w:val="00E812BB"/>
    <w:rsid w:val="00E81591"/>
    <w:rsid w:val="00E81C29"/>
    <w:rsid w:val="00E82145"/>
    <w:rsid w:val="00E8254F"/>
    <w:rsid w:val="00E82D09"/>
    <w:rsid w:val="00E82FE6"/>
    <w:rsid w:val="00E8337D"/>
    <w:rsid w:val="00E84ACA"/>
    <w:rsid w:val="00E85AA5"/>
    <w:rsid w:val="00E85ADB"/>
    <w:rsid w:val="00E863B3"/>
    <w:rsid w:val="00E864D9"/>
    <w:rsid w:val="00E86BEF"/>
    <w:rsid w:val="00E879ED"/>
    <w:rsid w:val="00E900D6"/>
    <w:rsid w:val="00E903B3"/>
    <w:rsid w:val="00E90704"/>
    <w:rsid w:val="00E908CE"/>
    <w:rsid w:val="00E90B72"/>
    <w:rsid w:val="00E91629"/>
    <w:rsid w:val="00E9178A"/>
    <w:rsid w:val="00E91B59"/>
    <w:rsid w:val="00E923B9"/>
    <w:rsid w:val="00E92C08"/>
    <w:rsid w:val="00E92FB6"/>
    <w:rsid w:val="00E941DE"/>
    <w:rsid w:val="00E94366"/>
    <w:rsid w:val="00E94417"/>
    <w:rsid w:val="00E95686"/>
    <w:rsid w:val="00E968B1"/>
    <w:rsid w:val="00E96B07"/>
    <w:rsid w:val="00E975F6"/>
    <w:rsid w:val="00E97A0A"/>
    <w:rsid w:val="00EA0704"/>
    <w:rsid w:val="00EA0BAA"/>
    <w:rsid w:val="00EA1025"/>
    <w:rsid w:val="00EA232C"/>
    <w:rsid w:val="00EA2B4F"/>
    <w:rsid w:val="00EA3386"/>
    <w:rsid w:val="00EA38C6"/>
    <w:rsid w:val="00EA3B77"/>
    <w:rsid w:val="00EA3E7A"/>
    <w:rsid w:val="00EA4E98"/>
    <w:rsid w:val="00EA6875"/>
    <w:rsid w:val="00EA6B3C"/>
    <w:rsid w:val="00EB030A"/>
    <w:rsid w:val="00EB1983"/>
    <w:rsid w:val="00EB327C"/>
    <w:rsid w:val="00EB3317"/>
    <w:rsid w:val="00EB38A2"/>
    <w:rsid w:val="00EB3A0A"/>
    <w:rsid w:val="00EB429E"/>
    <w:rsid w:val="00EB4559"/>
    <w:rsid w:val="00EB6726"/>
    <w:rsid w:val="00EB6C86"/>
    <w:rsid w:val="00EB7268"/>
    <w:rsid w:val="00EB7C2C"/>
    <w:rsid w:val="00EC0327"/>
    <w:rsid w:val="00EC07A6"/>
    <w:rsid w:val="00EC107E"/>
    <w:rsid w:val="00EC199E"/>
    <w:rsid w:val="00EC1F27"/>
    <w:rsid w:val="00EC2219"/>
    <w:rsid w:val="00EC326D"/>
    <w:rsid w:val="00EC3E06"/>
    <w:rsid w:val="00EC4160"/>
    <w:rsid w:val="00EC42B8"/>
    <w:rsid w:val="00EC477B"/>
    <w:rsid w:val="00EC6588"/>
    <w:rsid w:val="00EC7FDC"/>
    <w:rsid w:val="00ED17B2"/>
    <w:rsid w:val="00ED21BA"/>
    <w:rsid w:val="00ED3654"/>
    <w:rsid w:val="00ED36AA"/>
    <w:rsid w:val="00ED3A0A"/>
    <w:rsid w:val="00ED3BDE"/>
    <w:rsid w:val="00ED40A1"/>
    <w:rsid w:val="00ED4963"/>
    <w:rsid w:val="00ED6726"/>
    <w:rsid w:val="00ED6C95"/>
    <w:rsid w:val="00EE00B1"/>
    <w:rsid w:val="00EE01FD"/>
    <w:rsid w:val="00EE0D5B"/>
    <w:rsid w:val="00EE2BEB"/>
    <w:rsid w:val="00EE2FE7"/>
    <w:rsid w:val="00EE42D0"/>
    <w:rsid w:val="00EE485C"/>
    <w:rsid w:val="00EE4F31"/>
    <w:rsid w:val="00EE6087"/>
    <w:rsid w:val="00EE78DA"/>
    <w:rsid w:val="00EF0C61"/>
    <w:rsid w:val="00EF1C4F"/>
    <w:rsid w:val="00EF3877"/>
    <w:rsid w:val="00EF432E"/>
    <w:rsid w:val="00EF4906"/>
    <w:rsid w:val="00EF500F"/>
    <w:rsid w:val="00EF5EDB"/>
    <w:rsid w:val="00EF63D5"/>
    <w:rsid w:val="00EF7305"/>
    <w:rsid w:val="00F00127"/>
    <w:rsid w:val="00F010A8"/>
    <w:rsid w:val="00F0140A"/>
    <w:rsid w:val="00F03E86"/>
    <w:rsid w:val="00F046B0"/>
    <w:rsid w:val="00F04A74"/>
    <w:rsid w:val="00F04A9C"/>
    <w:rsid w:val="00F053F8"/>
    <w:rsid w:val="00F0597E"/>
    <w:rsid w:val="00F1030E"/>
    <w:rsid w:val="00F10EB5"/>
    <w:rsid w:val="00F114D9"/>
    <w:rsid w:val="00F1199F"/>
    <w:rsid w:val="00F11A16"/>
    <w:rsid w:val="00F12037"/>
    <w:rsid w:val="00F1266E"/>
    <w:rsid w:val="00F129CB"/>
    <w:rsid w:val="00F1356D"/>
    <w:rsid w:val="00F1489E"/>
    <w:rsid w:val="00F14BAC"/>
    <w:rsid w:val="00F14D4A"/>
    <w:rsid w:val="00F14E81"/>
    <w:rsid w:val="00F158EF"/>
    <w:rsid w:val="00F1618F"/>
    <w:rsid w:val="00F163F3"/>
    <w:rsid w:val="00F16410"/>
    <w:rsid w:val="00F164C5"/>
    <w:rsid w:val="00F1653E"/>
    <w:rsid w:val="00F17039"/>
    <w:rsid w:val="00F171AB"/>
    <w:rsid w:val="00F1768F"/>
    <w:rsid w:val="00F20945"/>
    <w:rsid w:val="00F2121F"/>
    <w:rsid w:val="00F21220"/>
    <w:rsid w:val="00F215B9"/>
    <w:rsid w:val="00F21D23"/>
    <w:rsid w:val="00F21DD8"/>
    <w:rsid w:val="00F22853"/>
    <w:rsid w:val="00F23665"/>
    <w:rsid w:val="00F240D6"/>
    <w:rsid w:val="00F25208"/>
    <w:rsid w:val="00F25A3C"/>
    <w:rsid w:val="00F267C2"/>
    <w:rsid w:val="00F27901"/>
    <w:rsid w:val="00F301ED"/>
    <w:rsid w:val="00F30437"/>
    <w:rsid w:val="00F30EA3"/>
    <w:rsid w:val="00F311F7"/>
    <w:rsid w:val="00F312CE"/>
    <w:rsid w:val="00F31AFE"/>
    <w:rsid w:val="00F320E5"/>
    <w:rsid w:val="00F32209"/>
    <w:rsid w:val="00F3262C"/>
    <w:rsid w:val="00F32C75"/>
    <w:rsid w:val="00F3311A"/>
    <w:rsid w:val="00F34559"/>
    <w:rsid w:val="00F34959"/>
    <w:rsid w:val="00F3587B"/>
    <w:rsid w:val="00F363B2"/>
    <w:rsid w:val="00F36A27"/>
    <w:rsid w:val="00F37315"/>
    <w:rsid w:val="00F37469"/>
    <w:rsid w:val="00F37F39"/>
    <w:rsid w:val="00F40D34"/>
    <w:rsid w:val="00F4257B"/>
    <w:rsid w:val="00F426D6"/>
    <w:rsid w:val="00F42F26"/>
    <w:rsid w:val="00F43007"/>
    <w:rsid w:val="00F4334A"/>
    <w:rsid w:val="00F43A6E"/>
    <w:rsid w:val="00F43C70"/>
    <w:rsid w:val="00F44EC6"/>
    <w:rsid w:val="00F454CE"/>
    <w:rsid w:val="00F456B1"/>
    <w:rsid w:val="00F461CD"/>
    <w:rsid w:val="00F46F09"/>
    <w:rsid w:val="00F47C17"/>
    <w:rsid w:val="00F47C53"/>
    <w:rsid w:val="00F507C3"/>
    <w:rsid w:val="00F50FC4"/>
    <w:rsid w:val="00F519F1"/>
    <w:rsid w:val="00F53522"/>
    <w:rsid w:val="00F5393E"/>
    <w:rsid w:val="00F53DD3"/>
    <w:rsid w:val="00F54C1A"/>
    <w:rsid w:val="00F56221"/>
    <w:rsid w:val="00F5696E"/>
    <w:rsid w:val="00F60DA9"/>
    <w:rsid w:val="00F62317"/>
    <w:rsid w:val="00F638E8"/>
    <w:rsid w:val="00F64E23"/>
    <w:rsid w:val="00F6510D"/>
    <w:rsid w:val="00F66ED7"/>
    <w:rsid w:val="00F67A1F"/>
    <w:rsid w:val="00F70799"/>
    <w:rsid w:val="00F71877"/>
    <w:rsid w:val="00F73A29"/>
    <w:rsid w:val="00F73A92"/>
    <w:rsid w:val="00F741D6"/>
    <w:rsid w:val="00F75571"/>
    <w:rsid w:val="00F77408"/>
    <w:rsid w:val="00F7784A"/>
    <w:rsid w:val="00F7799D"/>
    <w:rsid w:val="00F779FF"/>
    <w:rsid w:val="00F77EC9"/>
    <w:rsid w:val="00F82DB0"/>
    <w:rsid w:val="00F83A48"/>
    <w:rsid w:val="00F83C12"/>
    <w:rsid w:val="00F84B7B"/>
    <w:rsid w:val="00F84EC4"/>
    <w:rsid w:val="00F85FFC"/>
    <w:rsid w:val="00F86009"/>
    <w:rsid w:val="00F87360"/>
    <w:rsid w:val="00F87C42"/>
    <w:rsid w:val="00F915CF"/>
    <w:rsid w:val="00F92EBD"/>
    <w:rsid w:val="00F9363F"/>
    <w:rsid w:val="00F93B73"/>
    <w:rsid w:val="00F94764"/>
    <w:rsid w:val="00F952A3"/>
    <w:rsid w:val="00F959BB"/>
    <w:rsid w:val="00F959C6"/>
    <w:rsid w:val="00F95EEE"/>
    <w:rsid w:val="00F9762B"/>
    <w:rsid w:val="00F9786F"/>
    <w:rsid w:val="00F97B70"/>
    <w:rsid w:val="00F97D01"/>
    <w:rsid w:val="00FA018A"/>
    <w:rsid w:val="00FA2B77"/>
    <w:rsid w:val="00FA5113"/>
    <w:rsid w:val="00FA57F0"/>
    <w:rsid w:val="00FA5AAC"/>
    <w:rsid w:val="00FA60FB"/>
    <w:rsid w:val="00FA7A9F"/>
    <w:rsid w:val="00FA7FBC"/>
    <w:rsid w:val="00FB0854"/>
    <w:rsid w:val="00FB252E"/>
    <w:rsid w:val="00FB36C9"/>
    <w:rsid w:val="00FB4347"/>
    <w:rsid w:val="00FB45B4"/>
    <w:rsid w:val="00FB4B94"/>
    <w:rsid w:val="00FB5714"/>
    <w:rsid w:val="00FB5C94"/>
    <w:rsid w:val="00FB62A0"/>
    <w:rsid w:val="00FB63C3"/>
    <w:rsid w:val="00FB6556"/>
    <w:rsid w:val="00FB722C"/>
    <w:rsid w:val="00FC06D7"/>
    <w:rsid w:val="00FC0A26"/>
    <w:rsid w:val="00FC0D09"/>
    <w:rsid w:val="00FC3C00"/>
    <w:rsid w:val="00FC3C4F"/>
    <w:rsid w:val="00FC42A8"/>
    <w:rsid w:val="00FC47C6"/>
    <w:rsid w:val="00FC48FF"/>
    <w:rsid w:val="00FC4CF7"/>
    <w:rsid w:val="00FC6F91"/>
    <w:rsid w:val="00FC73E1"/>
    <w:rsid w:val="00FD07F7"/>
    <w:rsid w:val="00FD0D26"/>
    <w:rsid w:val="00FD159B"/>
    <w:rsid w:val="00FD18DD"/>
    <w:rsid w:val="00FD2042"/>
    <w:rsid w:val="00FD2E23"/>
    <w:rsid w:val="00FD30C4"/>
    <w:rsid w:val="00FD349C"/>
    <w:rsid w:val="00FD3CBE"/>
    <w:rsid w:val="00FD4336"/>
    <w:rsid w:val="00FD54D8"/>
    <w:rsid w:val="00FD5B5B"/>
    <w:rsid w:val="00FD5E64"/>
    <w:rsid w:val="00FD610A"/>
    <w:rsid w:val="00FD62B3"/>
    <w:rsid w:val="00FD7262"/>
    <w:rsid w:val="00FE0574"/>
    <w:rsid w:val="00FE1E3B"/>
    <w:rsid w:val="00FE1F35"/>
    <w:rsid w:val="00FE37DE"/>
    <w:rsid w:val="00FE3BC8"/>
    <w:rsid w:val="00FE4B6B"/>
    <w:rsid w:val="00FE5494"/>
    <w:rsid w:val="00FE6A18"/>
    <w:rsid w:val="00FE72A4"/>
    <w:rsid w:val="00FE741B"/>
    <w:rsid w:val="00FF088E"/>
    <w:rsid w:val="00FF0B28"/>
    <w:rsid w:val="00FF0B99"/>
    <w:rsid w:val="00FF12AE"/>
    <w:rsid w:val="00FF1B51"/>
    <w:rsid w:val="00FF3CDA"/>
    <w:rsid w:val="00FF514B"/>
    <w:rsid w:val="00FF5370"/>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3D6D66A-29C6-4CA2-AF7C-1A976844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0A1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BodyText">
    <w:name w:val="Body Text"/>
    <w:basedOn w:val="Normal"/>
    <w:link w:val="BodyTextChar"/>
    <w:rsid w:val="00640812"/>
    <w:rPr>
      <w:szCs w:val="20"/>
    </w:rPr>
  </w:style>
  <w:style w:type="paragraph" w:styleId="Footer">
    <w:name w:val="footer"/>
    <w:basedOn w:val="Normal"/>
    <w:rsid w:val="00640812"/>
    <w:pPr>
      <w:tabs>
        <w:tab w:val="center" w:pos="4320"/>
        <w:tab w:val="right" w:pos="8640"/>
      </w:tabs>
    </w:pPr>
  </w:style>
  <w:style w:type="character" w:styleId="PageNumber">
    <w:name w:val="page number"/>
    <w:basedOn w:val="DefaultParagraphFont"/>
    <w:rsid w:val="00640812"/>
  </w:style>
  <w:style w:type="paragraph" w:customStyle="1" w:styleId="le-brm-normal-32-level">
    <w:name w:val="le-brm-normal-32-level"/>
    <w:basedOn w:val="Normal"/>
    <w:rsid w:val="00640812"/>
    <w:pPr>
      <w:spacing w:before="20" w:after="20"/>
    </w:pPr>
    <w:rPr>
      <w:rFonts w:ascii="Courier New" w:hAnsi="Courier New" w:cs="Courier New"/>
      <w:color w:val="000000"/>
      <w:sz w:val="20"/>
      <w:szCs w:val="20"/>
    </w:rPr>
  </w:style>
  <w:style w:type="character" w:customStyle="1" w:styleId="BodyTextChar">
    <w:name w:val="Body Text Char"/>
    <w:link w:val="BodyText"/>
    <w:locked/>
    <w:rsid w:val="00CF533C"/>
    <w:rPr>
      <w:sz w:val="24"/>
    </w:rPr>
  </w:style>
  <w:style w:type="paragraph" w:styleId="FootnoteText">
    <w:name w:val="footnote text"/>
    <w:basedOn w:val="Normal"/>
    <w:link w:val="FootnoteTextChar"/>
    <w:rsid w:val="00A71424"/>
    <w:rPr>
      <w:sz w:val="20"/>
      <w:szCs w:val="20"/>
    </w:rPr>
  </w:style>
  <w:style w:type="character" w:customStyle="1" w:styleId="FootnoteTextChar">
    <w:name w:val="Footnote Text Char"/>
    <w:basedOn w:val="DefaultParagraphFont"/>
    <w:link w:val="FootnoteText"/>
    <w:rsid w:val="00A71424"/>
  </w:style>
  <w:style w:type="character" w:styleId="FootnoteReference">
    <w:name w:val="footnote reference"/>
    <w:rsid w:val="00A71424"/>
    <w:rPr>
      <w:vertAlign w:val="superscript"/>
    </w:rPr>
  </w:style>
  <w:style w:type="paragraph" w:styleId="BodyTextIndent">
    <w:name w:val="Body Text Indent"/>
    <w:basedOn w:val="Normal"/>
    <w:link w:val="BodyTextIndentChar"/>
    <w:rsid w:val="000176B8"/>
    <w:pPr>
      <w:spacing w:after="120"/>
      <w:ind w:left="360"/>
    </w:pPr>
  </w:style>
  <w:style w:type="character" w:customStyle="1" w:styleId="BodyTextIndentChar">
    <w:name w:val="Body Text Indent Char"/>
    <w:link w:val="BodyTextIndent"/>
    <w:rsid w:val="000176B8"/>
    <w:rPr>
      <w:sz w:val="24"/>
      <w:szCs w:val="24"/>
    </w:rPr>
  </w:style>
  <w:style w:type="character" w:styleId="CommentReference">
    <w:name w:val="annotation reference"/>
    <w:rsid w:val="00B16ADD"/>
    <w:rPr>
      <w:sz w:val="16"/>
      <w:szCs w:val="16"/>
    </w:rPr>
  </w:style>
  <w:style w:type="paragraph" w:styleId="CommentText">
    <w:name w:val="annotation text"/>
    <w:basedOn w:val="Normal"/>
    <w:link w:val="CommentTextChar"/>
    <w:rsid w:val="00B16ADD"/>
    <w:rPr>
      <w:sz w:val="20"/>
      <w:szCs w:val="20"/>
    </w:rPr>
  </w:style>
  <w:style w:type="character" w:customStyle="1" w:styleId="CommentTextChar">
    <w:name w:val="Comment Text Char"/>
    <w:basedOn w:val="DefaultParagraphFont"/>
    <w:link w:val="CommentText"/>
    <w:rsid w:val="00B16ADD"/>
  </w:style>
  <w:style w:type="paragraph" w:styleId="CommentSubject">
    <w:name w:val="annotation subject"/>
    <w:basedOn w:val="CommentText"/>
    <w:next w:val="CommentText"/>
    <w:link w:val="CommentSubjectChar"/>
    <w:rsid w:val="00B16ADD"/>
    <w:rPr>
      <w:b/>
      <w:bCs/>
    </w:rPr>
  </w:style>
  <w:style w:type="character" w:customStyle="1" w:styleId="CommentSubjectChar">
    <w:name w:val="Comment Subject Char"/>
    <w:link w:val="CommentSubject"/>
    <w:rsid w:val="00B16ADD"/>
    <w:rPr>
      <w:b/>
      <w:bCs/>
    </w:rPr>
  </w:style>
  <w:style w:type="paragraph" w:customStyle="1" w:styleId="le-normal-32-level">
    <w:name w:val="le-normal-32-level"/>
    <w:basedOn w:val="Normal"/>
    <w:rsid w:val="00CF09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01982">
      <w:bodyDiv w:val="1"/>
      <w:marLeft w:val="0"/>
      <w:marRight w:val="0"/>
      <w:marTop w:val="0"/>
      <w:marBottom w:val="0"/>
      <w:divBdr>
        <w:top w:val="none" w:sz="0" w:space="0" w:color="auto"/>
        <w:left w:val="none" w:sz="0" w:space="0" w:color="auto"/>
        <w:bottom w:val="none" w:sz="0" w:space="0" w:color="auto"/>
        <w:right w:val="none" w:sz="0" w:space="0" w:color="auto"/>
      </w:divBdr>
      <w:divsChild>
        <w:div w:id="624701225">
          <w:marLeft w:val="0"/>
          <w:marRight w:val="0"/>
          <w:marTop w:val="20"/>
          <w:marBottom w:val="20"/>
          <w:divBdr>
            <w:top w:val="none" w:sz="0" w:space="0" w:color="auto"/>
            <w:left w:val="none" w:sz="0" w:space="0" w:color="auto"/>
            <w:bottom w:val="none" w:sz="0" w:space="0" w:color="auto"/>
            <w:right w:val="none" w:sz="0" w:space="0" w:color="auto"/>
          </w:divBdr>
        </w:div>
        <w:div w:id="677344498">
          <w:marLeft w:val="0"/>
          <w:marRight w:val="0"/>
          <w:marTop w:val="20"/>
          <w:marBottom w:val="20"/>
          <w:divBdr>
            <w:top w:val="none" w:sz="0" w:space="0" w:color="auto"/>
            <w:left w:val="none" w:sz="0" w:space="0" w:color="auto"/>
            <w:bottom w:val="none" w:sz="0" w:space="0" w:color="auto"/>
            <w:right w:val="none" w:sz="0" w:space="0" w:color="auto"/>
          </w:divBdr>
        </w:div>
        <w:div w:id="1049260890">
          <w:marLeft w:val="0"/>
          <w:marRight w:val="0"/>
          <w:marTop w:val="20"/>
          <w:marBottom w:val="20"/>
          <w:divBdr>
            <w:top w:val="none" w:sz="0" w:space="0" w:color="auto"/>
            <w:left w:val="none" w:sz="0" w:space="0" w:color="auto"/>
            <w:bottom w:val="none" w:sz="0" w:space="0" w:color="auto"/>
            <w:right w:val="none" w:sz="0" w:space="0" w:color="auto"/>
          </w:divBdr>
        </w:div>
        <w:div w:id="1779374690">
          <w:marLeft w:val="0"/>
          <w:marRight w:val="0"/>
          <w:marTop w:val="20"/>
          <w:marBottom w:val="20"/>
          <w:divBdr>
            <w:top w:val="none" w:sz="0" w:space="0" w:color="auto"/>
            <w:left w:val="none" w:sz="0" w:space="0" w:color="auto"/>
            <w:bottom w:val="none" w:sz="0" w:space="0" w:color="auto"/>
            <w:right w:val="none" w:sz="0" w:space="0" w:color="auto"/>
          </w:divBdr>
        </w:div>
      </w:divsChild>
    </w:div>
    <w:div w:id="1199468275">
      <w:bodyDiv w:val="1"/>
      <w:marLeft w:val="0"/>
      <w:marRight w:val="0"/>
      <w:marTop w:val="0"/>
      <w:marBottom w:val="0"/>
      <w:divBdr>
        <w:top w:val="none" w:sz="0" w:space="0" w:color="auto"/>
        <w:left w:val="none" w:sz="0" w:space="0" w:color="auto"/>
        <w:bottom w:val="none" w:sz="0" w:space="0" w:color="auto"/>
        <w:right w:val="none" w:sz="0" w:space="0" w:color="auto"/>
      </w:divBdr>
      <w:divsChild>
        <w:div w:id="269823771">
          <w:marLeft w:val="0"/>
          <w:marRight w:val="0"/>
          <w:marTop w:val="20"/>
          <w:marBottom w:val="20"/>
          <w:divBdr>
            <w:top w:val="none" w:sz="0" w:space="0" w:color="auto"/>
            <w:left w:val="none" w:sz="0" w:space="0" w:color="auto"/>
            <w:bottom w:val="none" w:sz="0" w:space="0" w:color="auto"/>
            <w:right w:val="none" w:sz="0" w:space="0" w:color="auto"/>
          </w:divBdr>
        </w:div>
        <w:div w:id="512838045">
          <w:marLeft w:val="0"/>
          <w:marRight w:val="0"/>
          <w:marTop w:val="20"/>
          <w:marBottom w:val="20"/>
          <w:divBdr>
            <w:top w:val="none" w:sz="0" w:space="0" w:color="auto"/>
            <w:left w:val="none" w:sz="0" w:space="0" w:color="auto"/>
            <w:bottom w:val="none" w:sz="0" w:space="0" w:color="auto"/>
            <w:right w:val="none" w:sz="0" w:space="0" w:color="auto"/>
          </w:divBdr>
        </w:div>
        <w:div w:id="705109022">
          <w:marLeft w:val="0"/>
          <w:marRight w:val="0"/>
          <w:marTop w:val="20"/>
          <w:marBottom w:val="20"/>
          <w:divBdr>
            <w:top w:val="none" w:sz="0" w:space="0" w:color="auto"/>
            <w:left w:val="none" w:sz="0" w:space="0" w:color="auto"/>
            <w:bottom w:val="none" w:sz="0" w:space="0" w:color="auto"/>
            <w:right w:val="none" w:sz="0" w:space="0" w:color="auto"/>
          </w:divBdr>
        </w:div>
        <w:div w:id="971521506">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7" ma:contentTypeDescription="Create a new document." ma:contentTypeScope="" ma:versionID="43f60b2e30ae7e6a4cb3f0bcc58993b2">
  <xsd:schema xmlns:xsd="http://www.w3.org/2001/XMLSchema" xmlns:xs="http://www.w3.org/2001/XMLSchema" xmlns:p="http://schemas.microsoft.com/office/2006/metadata/properties" xmlns:ns3="75b29da9-7512-4ff8-84cc-0b8e167e62a3" targetNamespace="http://schemas.microsoft.com/office/2006/metadata/properties" ma:root="true" ma:fieldsID="69d5785911c23f55020b76bc3d66af86" ns3:_="">
    <xsd:import namespace="75b29da9-7512-4ff8-84cc-0b8e167e62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24009-EB15-4B9B-B60F-2B92ED347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3008A-4A35-4BF0-A494-CA51F7FFEB4F}">
  <ds:schemaRefs>
    <ds:schemaRef ds:uri="http://schemas.microsoft.com/sharepoint/v3/contenttype/forms"/>
  </ds:schemaRefs>
</ds:datastoreItem>
</file>

<file path=customXml/itemProps3.xml><?xml version="1.0" encoding="utf-8"?>
<ds:datastoreItem xmlns:ds="http://schemas.openxmlformats.org/officeDocument/2006/customXml" ds:itemID="{B9382A5A-EC43-4C28-925E-3659C37C2476}">
  <ds:schemaRefs>
    <ds:schemaRef ds:uri="http://purl.org/dc/dcmitype/"/>
    <ds:schemaRef ds:uri="http://schemas.microsoft.com/office/infopath/2007/PartnerControls"/>
    <ds:schemaRef ds:uri="http://www.w3.org/XML/1998/namespace"/>
    <ds:schemaRef ds:uri="http://purl.org/dc/terms/"/>
    <ds:schemaRef ds:uri="http://schemas.microsoft.com/office/2006/metadata/properties"/>
    <ds:schemaRef ds:uri="http://schemas.microsoft.com/office/2006/documentManagement/types"/>
    <ds:schemaRef ds:uri="75b29da9-7512-4ff8-84cc-0b8e167e62a3"/>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ADA95C35-C569-4CAD-80E7-83F045ED5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Kumin, Daniel (MED)</dc:creator>
  <cp:keywords/>
  <cp:lastModifiedBy>LaPointe, Donald (DPH)</cp:lastModifiedBy>
  <cp:revision>2</cp:revision>
  <cp:lastPrinted>2019-02-28T14:11:00Z</cp:lastPrinted>
  <dcterms:created xsi:type="dcterms:W3CDTF">2022-05-10T12:47:00Z</dcterms:created>
  <dcterms:modified xsi:type="dcterms:W3CDTF">2022-05-10T12:47:00Z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