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DAB" w:rsidRDefault="00035DAB" w:rsidP="00035DAB">
      <w:pPr>
        <w:rPr>
          <w:b/>
          <w:bCs/>
          <w:color w:val="000000"/>
          <w:u w:val="single"/>
        </w:rPr>
      </w:pPr>
      <w:bookmarkStart w:id="0" w:name="_GoBack"/>
      <w:bookmarkEnd w:id="0"/>
    </w:p>
    <w:p w:rsidR="00035DAB" w:rsidRDefault="008B2004" w:rsidP="00035DAB">
      <w:pPr>
        <w:rPr>
          <w:b/>
          <w:bCs/>
          <w:color w:val="000000"/>
          <w:u w:val="single"/>
        </w:rPr>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0</wp:posOffset>
                </wp:positionV>
                <wp:extent cx="5857875" cy="2664460"/>
                <wp:effectExtent l="0" t="0" r="285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4460"/>
                        </a:xfrm>
                        <a:prstGeom prst="rect">
                          <a:avLst/>
                        </a:prstGeom>
                        <a:solidFill>
                          <a:srgbClr val="FFFFFF"/>
                        </a:solidFill>
                        <a:ln w="9525">
                          <a:solidFill>
                            <a:srgbClr val="000000"/>
                          </a:solidFill>
                          <a:miter lim="800000"/>
                          <a:headEnd/>
                          <a:tailEnd/>
                        </a:ln>
                      </wps:spPr>
                      <wps:txbx>
                        <w:txbxContent>
                          <w:p w:rsidR="00035DAB" w:rsidRPr="005B0761" w:rsidRDefault="00035DAB" w:rsidP="00035DAB">
                            <w:pPr>
                              <w:rPr>
                                <w:rFonts w:ascii="Calibri" w:hAnsi="Calibri"/>
                                <w:sz w:val="22"/>
                                <w:szCs w:val="22"/>
                              </w:rPr>
                            </w:pPr>
                            <w:r w:rsidRPr="005B0761">
                              <w:rPr>
                                <w:rFonts w:ascii="Calibri" w:hAnsi="Calibri"/>
                                <w:sz w:val="22"/>
                                <w:szCs w:val="22"/>
                              </w:rPr>
                              <w:t xml:space="preserve">Highlights from this </w:t>
                            </w:r>
                            <w:r w:rsidR="000B0256">
                              <w:rPr>
                                <w:rFonts w:ascii="Calibri" w:hAnsi="Calibri"/>
                                <w:sz w:val="22"/>
                                <w:szCs w:val="22"/>
                              </w:rPr>
                              <w:t xml:space="preserve">week’s </w:t>
                            </w:r>
                            <w:r w:rsidRPr="005B0761">
                              <w:rPr>
                                <w:rFonts w:ascii="Calibri" w:hAnsi="Calibri"/>
                                <w:sz w:val="22"/>
                                <w:szCs w:val="22"/>
                              </w:rPr>
                              <w:t>report:</w:t>
                            </w:r>
                          </w:p>
                          <w:p w:rsidR="00FF71E5" w:rsidRPr="005B0761" w:rsidRDefault="00FF71E5" w:rsidP="00FF71E5">
                            <w:pPr>
                              <w:pStyle w:val="ListParagraph"/>
                              <w:numPr>
                                <w:ilvl w:val="0"/>
                                <w:numId w:val="2"/>
                              </w:numPr>
                              <w:rPr>
                                <w:sz w:val="20"/>
                                <w:szCs w:val="20"/>
                              </w:rPr>
                            </w:pPr>
                            <w:r w:rsidRPr="005B0761">
                              <w:rPr>
                                <w:sz w:val="20"/>
                                <w:szCs w:val="20"/>
                              </w:rPr>
                              <w:t xml:space="preserve">There is still time to get a flu shot to ensure you are protected as </w:t>
                            </w:r>
                            <w:r w:rsidR="00474342">
                              <w:rPr>
                                <w:sz w:val="20"/>
                                <w:szCs w:val="20"/>
                              </w:rPr>
                              <w:t xml:space="preserve">flu </w:t>
                            </w:r>
                            <w:r w:rsidRPr="005B0761">
                              <w:rPr>
                                <w:sz w:val="20"/>
                                <w:szCs w:val="20"/>
                              </w:rPr>
                              <w:t xml:space="preserve">activity </w:t>
                            </w:r>
                            <w:r w:rsidR="00474342">
                              <w:rPr>
                                <w:sz w:val="20"/>
                                <w:szCs w:val="20"/>
                              </w:rPr>
                              <w:t>continues</w:t>
                            </w:r>
                            <w:r w:rsidRPr="005B0761">
                              <w:rPr>
                                <w:sz w:val="20"/>
                                <w:szCs w:val="20"/>
                              </w:rPr>
                              <w:t>.</w:t>
                            </w:r>
                          </w:p>
                          <w:p w:rsidR="00035DAB" w:rsidRPr="00AB297C" w:rsidRDefault="00035DAB" w:rsidP="00035DAB">
                            <w:pPr>
                              <w:pStyle w:val="ListParagraph"/>
                              <w:numPr>
                                <w:ilvl w:val="0"/>
                                <w:numId w:val="2"/>
                              </w:numPr>
                              <w:rPr>
                                <w:sz w:val="20"/>
                                <w:szCs w:val="20"/>
                              </w:rPr>
                            </w:pPr>
                            <w:r w:rsidRPr="00AB297C">
                              <w:rPr>
                                <w:sz w:val="20"/>
                                <w:szCs w:val="20"/>
                              </w:rPr>
                              <w:t>Influenza-like illness activity in Massachusetts</w:t>
                            </w:r>
                            <w:r w:rsidR="00CC403D">
                              <w:rPr>
                                <w:sz w:val="20"/>
                                <w:szCs w:val="20"/>
                              </w:rPr>
                              <w:t xml:space="preserve"> </w:t>
                            </w:r>
                            <w:r w:rsidR="00C81CB1">
                              <w:rPr>
                                <w:sz w:val="20"/>
                                <w:szCs w:val="20"/>
                              </w:rPr>
                              <w:t xml:space="preserve">has </w:t>
                            </w:r>
                            <w:r w:rsidR="00940821">
                              <w:rPr>
                                <w:sz w:val="20"/>
                                <w:szCs w:val="20"/>
                              </w:rPr>
                              <w:t>declined</w:t>
                            </w:r>
                            <w:r w:rsidR="00C81CB1">
                              <w:rPr>
                                <w:sz w:val="20"/>
                                <w:szCs w:val="20"/>
                              </w:rPr>
                              <w:t xml:space="preserve"> </w:t>
                            </w:r>
                            <w:r w:rsidR="005F068F">
                              <w:rPr>
                                <w:sz w:val="20"/>
                                <w:szCs w:val="20"/>
                              </w:rPr>
                              <w:t>since February</w:t>
                            </w:r>
                            <w:r w:rsidR="00940821">
                              <w:rPr>
                                <w:sz w:val="20"/>
                                <w:szCs w:val="20"/>
                              </w:rPr>
                              <w:t>, but remains elevated</w:t>
                            </w:r>
                            <w:r w:rsidR="00CC403D">
                              <w:rPr>
                                <w:sz w:val="20"/>
                                <w:szCs w:val="20"/>
                              </w:rPr>
                              <w:t>.</w:t>
                            </w:r>
                          </w:p>
                          <w:p w:rsidR="00CD0F5C" w:rsidRPr="00620802" w:rsidRDefault="00D063F9" w:rsidP="00620802">
                            <w:pPr>
                              <w:pStyle w:val="ListParagraph"/>
                              <w:numPr>
                                <w:ilvl w:val="0"/>
                                <w:numId w:val="2"/>
                              </w:numPr>
                              <w:rPr>
                                <w:sz w:val="20"/>
                                <w:szCs w:val="20"/>
                              </w:rPr>
                            </w:pPr>
                            <w:r w:rsidRPr="005B0761">
                              <w:rPr>
                                <w:sz w:val="20"/>
                                <w:szCs w:val="20"/>
                              </w:rPr>
                              <w:t xml:space="preserve">Geographic spread is </w:t>
                            </w:r>
                            <w:r w:rsidR="00F800A2">
                              <w:rPr>
                                <w:sz w:val="20"/>
                                <w:szCs w:val="20"/>
                              </w:rPr>
                              <w:t>widespread</w:t>
                            </w:r>
                            <w:r w:rsidR="00F04568">
                              <w:rPr>
                                <w:sz w:val="20"/>
                                <w:szCs w:val="20"/>
                              </w:rPr>
                              <w:t xml:space="preserve">: ILI activity </w:t>
                            </w:r>
                            <w:r w:rsidR="00620802">
                              <w:rPr>
                                <w:sz w:val="20"/>
                                <w:szCs w:val="20"/>
                              </w:rPr>
                              <w:t>remains elevated</w:t>
                            </w:r>
                            <w:r w:rsidR="00F800A2">
                              <w:rPr>
                                <w:sz w:val="20"/>
                                <w:szCs w:val="20"/>
                              </w:rPr>
                              <w:t xml:space="preserve"> in</w:t>
                            </w:r>
                            <w:r w:rsidR="00620802">
                              <w:rPr>
                                <w:sz w:val="20"/>
                                <w:szCs w:val="20"/>
                              </w:rPr>
                              <w:t xml:space="preserve"> </w:t>
                            </w:r>
                            <w:r w:rsidR="00F800A2">
                              <w:rPr>
                                <w:sz w:val="20"/>
                                <w:szCs w:val="20"/>
                              </w:rPr>
                              <w:t>all</w:t>
                            </w:r>
                            <w:r w:rsidR="00620802">
                              <w:rPr>
                                <w:color w:val="000000"/>
                                <w:sz w:val="20"/>
                                <w:szCs w:val="20"/>
                              </w:rPr>
                              <w:t xml:space="preserve"> regions of Massachusetts </w:t>
                            </w:r>
                            <w:r w:rsidR="00F800A2">
                              <w:rPr>
                                <w:color w:val="000000"/>
                                <w:sz w:val="20"/>
                                <w:szCs w:val="20"/>
                              </w:rPr>
                              <w:t>except the Boston</w:t>
                            </w:r>
                            <w:r w:rsidR="005F068F">
                              <w:rPr>
                                <w:color w:val="000000"/>
                                <w:sz w:val="20"/>
                                <w:szCs w:val="20"/>
                              </w:rPr>
                              <w:t xml:space="preserve"> and </w:t>
                            </w:r>
                            <w:r w:rsidR="00F800A2">
                              <w:rPr>
                                <w:color w:val="000000"/>
                                <w:sz w:val="20"/>
                                <w:szCs w:val="20"/>
                              </w:rPr>
                              <w:t>West</w:t>
                            </w:r>
                            <w:r w:rsidR="005F068F">
                              <w:rPr>
                                <w:color w:val="000000"/>
                                <w:sz w:val="20"/>
                                <w:szCs w:val="20"/>
                              </w:rPr>
                              <w:t xml:space="preserve"> regions</w:t>
                            </w:r>
                            <w:r w:rsidR="004C45F0">
                              <w:rPr>
                                <w:color w:val="000000"/>
                                <w:sz w:val="20"/>
                                <w:szCs w:val="20"/>
                              </w:rPr>
                              <w:t xml:space="preserve">. </w:t>
                            </w:r>
                            <w:r w:rsidR="004C45F0">
                              <w:rPr>
                                <w:sz w:val="20"/>
                                <w:szCs w:val="20"/>
                              </w:rPr>
                              <w:t>Influenza laboratory confirmations remain elevated in all regions of the state</w:t>
                            </w:r>
                            <w:r w:rsidR="00F800A2">
                              <w:rPr>
                                <w:sz w:val="20"/>
                                <w:szCs w:val="20"/>
                              </w:rPr>
                              <w:t xml:space="preserve"> except the Central region</w:t>
                            </w:r>
                            <w:r w:rsidR="004C45F0">
                              <w:rPr>
                                <w:sz w:val="20"/>
                                <w:szCs w:val="20"/>
                              </w:rPr>
                              <w:t>.</w:t>
                            </w:r>
                          </w:p>
                          <w:p w:rsidR="00035DAB" w:rsidRPr="005B0761" w:rsidRDefault="00040908" w:rsidP="004D624E">
                            <w:pPr>
                              <w:pStyle w:val="ListParagraph"/>
                              <w:numPr>
                                <w:ilvl w:val="0"/>
                                <w:numId w:val="2"/>
                              </w:numPr>
                              <w:rPr>
                                <w:sz w:val="20"/>
                                <w:szCs w:val="20"/>
                              </w:rPr>
                            </w:pPr>
                            <w:r w:rsidRPr="005B0761">
                              <w:rPr>
                                <w:sz w:val="20"/>
                                <w:szCs w:val="20"/>
                              </w:rPr>
                              <w:t>Influenza-associated</w:t>
                            </w:r>
                            <w:r w:rsidR="00035DAB" w:rsidRPr="005B0761">
                              <w:rPr>
                                <w:sz w:val="20"/>
                                <w:szCs w:val="20"/>
                              </w:rPr>
                              <w:t xml:space="preserve"> hospitalizations in Massachusetts </w:t>
                            </w:r>
                            <w:r w:rsidR="00431DCC">
                              <w:rPr>
                                <w:sz w:val="20"/>
                                <w:szCs w:val="20"/>
                              </w:rPr>
                              <w:t>h</w:t>
                            </w:r>
                            <w:r w:rsidR="000365E8">
                              <w:rPr>
                                <w:sz w:val="20"/>
                                <w:szCs w:val="20"/>
                              </w:rPr>
                              <w:t xml:space="preserve">ave </w:t>
                            </w:r>
                            <w:r w:rsidR="0064218C" w:rsidRPr="00282289">
                              <w:rPr>
                                <w:sz w:val="20"/>
                                <w:szCs w:val="20"/>
                              </w:rPr>
                              <w:t>declined</w:t>
                            </w:r>
                            <w:r w:rsidR="00431DCC" w:rsidRPr="00431DCC">
                              <w:rPr>
                                <w:sz w:val="20"/>
                                <w:szCs w:val="20"/>
                              </w:rPr>
                              <w:t xml:space="preserve"> </w:t>
                            </w:r>
                            <w:r w:rsidR="006A05DD">
                              <w:rPr>
                                <w:sz w:val="20"/>
                                <w:szCs w:val="20"/>
                              </w:rPr>
                              <w:t>since February</w:t>
                            </w:r>
                            <w:r w:rsidR="00035DAB" w:rsidRPr="005B0761">
                              <w:rPr>
                                <w:sz w:val="20"/>
                                <w:szCs w:val="20"/>
                              </w:rPr>
                              <w:t>.</w:t>
                            </w:r>
                          </w:p>
                          <w:p w:rsidR="00035DAB" w:rsidRPr="005B0761" w:rsidRDefault="00035DAB" w:rsidP="00035DAB">
                            <w:pPr>
                              <w:pStyle w:val="ListParagraph"/>
                              <w:numPr>
                                <w:ilvl w:val="0"/>
                                <w:numId w:val="2"/>
                              </w:numPr>
                              <w:rPr>
                                <w:sz w:val="20"/>
                                <w:szCs w:val="20"/>
                              </w:rPr>
                            </w:pPr>
                            <w:r w:rsidRPr="005B0761">
                              <w:rPr>
                                <w:sz w:val="20"/>
                                <w:szCs w:val="20"/>
                              </w:rPr>
                              <w:t xml:space="preserve">The number of influenza positive laboratory tests reported to MDPH </w:t>
                            </w:r>
                            <w:r w:rsidR="00B627D8">
                              <w:rPr>
                                <w:sz w:val="20"/>
                                <w:szCs w:val="20"/>
                              </w:rPr>
                              <w:t>decreased</w:t>
                            </w:r>
                            <w:r w:rsidRPr="005B0761">
                              <w:rPr>
                                <w:sz w:val="20"/>
                                <w:szCs w:val="20"/>
                              </w:rPr>
                              <w:t xml:space="preserve"> this w</w:t>
                            </w:r>
                            <w:r w:rsidR="00531D34">
                              <w:rPr>
                                <w:sz w:val="20"/>
                                <w:szCs w:val="20"/>
                              </w:rPr>
                              <w:t xml:space="preserve">eek by </w:t>
                            </w:r>
                            <w:r w:rsidR="00F800A2">
                              <w:rPr>
                                <w:sz w:val="20"/>
                                <w:szCs w:val="20"/>
                              </w:rPr>
                              <w:t>33.3</w:t>
                            </w:r>
                            <w:r w:rsidRPr="00DD5518">
                              <w:rPr>
                                <w:sz w:val="20"/>
                                <w:szCs w:val="20"/>
                              </w:rPr>
                              <w:t>%</w:t>
                            </w:r>
                            <w:r w:rsidR="00627BCA">
                              <w:rPr>
                                <w:sz w:val="20"/>
                                <w:szCs w:val="20"/>
                              </w:rPr>
                              <w:t xml:space="preserve"> compared to last week.</w:t>
                            </w:r>
                          </w:p>
                          <w:p w:rsidR="00F04568" w:rsidRPr="00F04568" w:rsidRDefault="00F04568" w:rsidP="00035DAB">
                            <w:pPr>
                              <w:pStyle w:val="ListParagraph"/>
                              <w:numPr>
                                <w:ilvl w:val="0"/>
                                <w:numId w:val="2"/>
                              </w:numPr>
                              <w:rPr>
                                <w:sz w:val="20"/>
                                <w:szCs w:val="20"/>
                              </w:rPr>
                            </w:pPr>
                            <w:r>
                              <w:rPr>
                                <w:sz w:val="20"/>
                                <w:szCs w:val="20"/>
                              </w:rPr>
                              <w:t xml:space="preserve">For the 2018-2019 season to date, the predominant influenza strain is </w:t>
                            </w:r>
                            <w:r w:rsidRPr="00F04568">
                              <w:rPr>
                                <w:sz w:val="20"/>
                                <w:szCs w:val="20"/>
                              </w:rPr>
                              <w:t>A/2009 H1N1</w:t>
                            </w:r>
                            <w:r>
                              <w:rPr>
                                <w:sz w:val="20"/>
                                <w:szCs w:val="20"/>
                              </w:rPr>
                              <w:t xml:space="preserve">; </w:t>
                            </w:r>
                            <w:r w:rsidR="00DE37A0">
                              <w:rPr>
                                <w:sz w:val="20"/>
                                <w:szCs w:val="20"/>
                              </w:rPr>
                              <w:t xml:space="preserve">however, </w:t>
                            </w:r>
                            <w:r w:rsidR="004D624E">
                              <w:rPr>
                                <w:sz w:val="20"/>
                                <w:szCs w:val="20"/>
                              </w:rPr>
                              <w:t>over recent weeks influenza B has become more common than influenza A.</w:t>
                            </w:r>
                          </w:p>
                          <w:p w:rsidR="00D063F9" w:rsidRPr="005B0761" w:rsidRDefault="00D063F9" w:rsidP="00035DAB">
                            <w:pPr>
                              <w:pStyle w:val="ListParagraph"/>
                              <w:numPr>
                                <w:ilvl w:val="0"/>
                                <w:numId w:val="2"/>
                              </w:numPr>
                              <w:rPr>
                                <w:sz w:val="20"/>
                                <w:szCs w:val="20"/>
                              </w:rPr>
                            </w:pPr>
                            <w:r w:rsidRPr="00D063F9">
                              <w:rPr>
                                <w:sz w:val="20"/>
                                <w:szCs w:val="20"/>
                              </w:rPr>
                              <w:t xml:space="preserve">All </w:t>
                            </w:r>
                            <w:r w:rsidR="00040908">
                              <w:rPr>
                                <w:sz w:val="20"/>
                                <w:szCs w:val="20"/>
                              </w:rPr>
                              <w:t xml:space="preserve">influenza </w:t>
                            </w:r>
                            <w:r w:rsidRPr="00D063F9">
                              <w:rPr>
                                <w:sz w:val="20"/>
                                <w:szCs w:val="20"/>
                              </w:rPr>
                              <w:t>strains that have been characterized in Massachusetts</w:t>
                            </w:r>
                            <w:r w:rsidR="00040908">
                              <w:rPr>
                                <w:sz w:val="20"/>
                                <w:szCs w:val="20"/>
                              </w:rPr>
                              <w:t xml:space="preserve"> this season</w:t>
                            </w:r>
                            <w:r w:rsidR="004C47B9">
                              <w:rPr>
                                <w:sz w:val="20"/>
                                <w:szCs w:val="20"/>
                              </w:rPr>
                              <w:t xml:space="preserve"> to date</w:t>
                            </w:r>
                            <w:r w:rsidRPr="00D063F9">
                              <w:rPr>
                                <w:sz w:val="20"/>
                                <w:szCs w:val="20"/>
                              </w:rPr>
                              <w:t xml:space="preserve"> are covered by the current influenza vaccine.</w:t>
                            </w:r>
                          </w:p>
                          <w:p w:rsidR="00035DAB" w:rsidRPr="00AB297C" w:rsidRDefault="00035DAB" w:rsidP="00035DAB">
                            <w:pPr>
                              <w:pStyle w:val="ListParagraph"/>
                              <w:numPr>
                                <w:ilvl w:val="0"/>
                                <w:numId w:val="2"/>
                              </w:numPr>
                              <w:rPr>
                                <w:sz w:val="20"/>
                                <w:szCs w:val="20"/>
                              </w:rPr>
                            </w:pPr>
                            <w:r w:rsidRPr="00AB297C">
                              <w:rPr>
                                <w:sz w:val="20"/>
                                <w:szCs w:val="20"/>
                              </w:rPr>
                              <w:t>No resistance to antiviral medications has been detected this season.</w:t>
                            </w:r>
                          </w:p>
                          <w:p w:rsidR="00035DAB" w:rsidRPr="005B0761" w:rsidRDefault="00035DAB" w:rsidP="00035DAB">
                            <w:pPr>
                              <w:pStyle w:val="ListParagraph"/>
                              <w:numPr>
                                <w:ilvl w:val="0"/>
                                <w:numId w:val="2"/>
                              </w:numPr>
                              <w:rPr>
                                <w:sz w:val="20"/>
                                <w:szCs w:val="20"/>
                              </w:rPr>
                            </w:pPr>
                            <w:r w:rsidRPr="005B0761">
                              <w:rPr>
                                <w:sz w:val="20"/>
                                <w:szCs w:val="20"/>
                              </w:rPr>
                              <w:t xml:space="preserve">Nationally, flu activity </w:t>
                            </w:r>
                            <w:r w:rsidR="00552D3B">
                              <w:rPr>
                                <w:sz w:val="20"/>
                                <w:szCs w:val="20"/>
                              </w:rPr>
                              <w:t>is decreasing</w:t>
                            </w:r>
                            <w:r w:rsidR="004C47B9">
                              <w:rPr>
                                <w:sz w:val="20"/>
                                <w:szCs w:val="20"/>
                              </w:rPr>
                              <w:t xml:space="preserve">, </w:t>
                            </w:r>
                            <w:r w:rsidR="004F1934">
                              <w:rPr>
                                <w:sz w:val="20"/>
                                <w:szCs w:val="20"/>
                              </w:rPr>
                              <w:t>consistent with typical</w:t>
                            </w:r>
                            <w:r w:rsidR="00A60A0D">
                              <w:rPr>
                                <w:sz w:val="20"/>
                                <w:szCs w:val="20"/>
                              </w:rPr>
                              <w:t xml:space="preserve"> levels of activity at this time of year</w:t>
                            </w:r>
                            <w:r w:rsidR="004C47B9">
                              <w:rPr>
                                <w:sz w:val="20"/>
                                <w:szCs w:val="20"/>
                              </w:rPr>
                              <w:t>.</w:t>
                            </w:r>
                          </w:p>
                          <w:p w:rsidR="00035DAB" w:rsidRPr="005B0761" w:rsidRDefault="00035DAB" w:rsidP="00035DAB">
                            <w:pPr>
                              <w:pStyle w:val="ListParagraph"/>
                              <w:numPr>
                                <w:ilvl w:val="0"/>
                                <w:numId w:val="2"/>
                              </w:numPr>
                              <w:rPr>
                                <w:sz w:val="20"/>
                                <w:szCs w:val="20"/>
                              </w:rPr>
                            </w:pPr>
                            <w:r w:rsidRPr="005B0761">
                              <w:rPr>
                                <w:sz w:val="20"/>
                                <w:szCs w:val="20"/>
                              </w:rPr>
                              <w:t xml:space="preserve">Additional data are available upon request and at </w:t>
                            </w:r>
                            <w:hyperlink r:id="rId9" w:history="1">
                              <w:r w:rsidRPr="005B0761">
                                <w:rPr>
                                  <w:rStyle w:val="Hyperlink"/>
                                  <w:sz w:val="20"/>
                                  <w:szCs w:val="20"/>
                                </w:rPr>
                                <w:t>www.cdc.gov/flu/weekly</w:t>
                              </w:r>
                            </w:hyperlink>
                            <w:r w:rsidRPr="005B0761">
                              <w:rPr>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1.25pt;height:209.8pt;z-index:25165772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">
                <v:textbox style="mso-fit-shape-to-text:t">
                  <w:txbxContent>
                    <w:p w:rsidR="00035DAB" w:rsidRPr="005B0761" w:rsidRDefault="00035DAB" w:rsidP="00035DAB">
                      <w:pPr>
                        <w:rPr>
                          <w:rFonts w:ascii="Calibri" w:hAnsi="Calibri"/>
                          <w:sz w:val="22"/>
                          <w:szCs w:val="22"/>
                        </w:rPr>
                      </w:pPr>
                      <w:r w:rsidRPr="005B0761">
                        <w:rPr>
                          <w:rFonts w:ascii="Calibri" w:hAnsi="Calibri"/>
                          <w:sz w:val="22"/>
                          <w:szCs w:val="22"/>
                        </w:rPr>
                        <w:t xml:space="preserve">Highlights from this </w:t>
                      </w:r>
                      <w:r w:rsidR="000B0256">
                        <w:rPr>
                          <w:rFonts w:ascii="Calibri" w:hAnsi="Calibri"/>
                          <w:sz w:val="22"/>
                          <w:szCs w:val="22"/>
                        </w:rPr>
                        <w:t xml:space="preserve">week’s </w:t>
                      </w:r>
                      <w:r w:rsidRPr="005B0761">
                        <w:rPr>
                          <w:rFonts w:ascii="Calibri" w:hAnsi="Calibri"/>
                          <w:sz w:val="22"/>
                          <w:szCs w:val="22"/>
                        </w:rPr>
                        <w:t>report:</w:t>
                      </w:r>
                    </w:p>
                    <w:p w:rsidR="00FF71E5" w:rsidRPr="005B0761" w:rsidRDefault="00FF71E5" w:rsidP="00FF71E5">
                      <w:pPr>
                        <w:pStyle w:val="ListParagraph"/>
                        <w:numPr>
                          <w:ilvl w:val="0"/>
                          <w:numId w:val="2"/>
                        </w:numPr>
                        <w:rPr>
                          <w:sz w:val="20"/>
                          <w:szCs w:val="20"/>
                        </w:rPr>
                      </w:pPr>
                      <w:r w:rsidRPr="005B0761">
                        <w:rPr>
                          <w:sz w:val="20"/>
                          <w:szCs w:val="20"/>
                        </w:rPr>
                        <w:t xml:space="preserve">There is still time to get a flu shot to ensure you are protected as </w:t>
                      </w:r>
                      <w:r w:rsidR="00474342">
                        <w:rPr>
                          <w:sz w:val="20"/>
                          <w:szCs w:val="20"/>
                        </w:rPr>
                        <w:t xml:space="preserve">flu </w:t>
                      </w:r>
                      <w:r w:rsidRPr="005B0761">
                        <w:rPr>
                          <w:sz w:val="20"/>
                          <w:szCs w:val="20"/>
                        </w:rPr>
                        <w:t xml:space="preserve">activity </w:t>
                      </w:r>
                      <w:r w:rsidR="00474342">
                        <w:rPr>
                          <w:sz w:val="20"/>
                          <w:szCs w:val="20"/>
                        </w:rPr>
                        <w:t>continues</w:t>
                      </w:r>
                      <w:r w:rsidRPr="005B0761">
                        <w:rPr>
                          <w:sz w:val="20"/>
                          <w:szCs w:val="20"/>
                        </w:rPr>
                        <w:t>.</w:t>
                      </w:r>
                    </w:p>
                    <w:p w:rsidR="00035DAB" w:rsidRPr="00AB297C" w:rsidRDefault="00035DAB" w:rsidP="00035DAB">
                      <w:pPr>
                        <w:pStyle w:val="ListParagraph"/>
                        <w:numPr>
                          <w:ilvl w:val="0"/>
                          <w:numId w:val="2"/>
                        </w:numPr>
                        <w:rPr>
                          <w:sz w:val="20"/>
                          <w:szCs w:val="20"/>
                        </w:rPr>
                      </w:pPr>
                      <w:r w:rsidRPr="00AB297C">
                        <w:rPr>
                          <w:sz w:val="20"/>
                          <w:szCs w:val="20"/>
                        </w:rPr>
                        <w:t>Influenza-like illness activity in Massachusetts</w:t>
                      </w:r>
                      <w:r w:rsidR="00CC403D">
                        <w:rPr>
                          <w:sz w:val="20"/>
                          <w:szCs w:val="20"/>
                        </w:rPr>
                        <w:t xml:space="preserve"> </w:t>
                      </w:r>
                      <w:r w:rsidR="00C81CB1">
                        <w:rPr>
                          <w:sz w:val="20"/>
                          <w:szCs w:val="20"/>
                        </w:rPr>
                        <w:t xml:space="preserve">has </w:t>
                      </w:r>
                      <w:r w:rsidR="00940821">
                        <w:rPr>
                          <w:sz w:val="20"/>
                          <w:szCs w:val="20"/>
                        </w:rPr>
                        <w:t>declined</w:t>
                      </w:r>
                      <w:r w:rsidR="00C81CB1">
                        <w:rPr>
                          <w:sz w:val="20"/>
                          <w:szCs w:val="20"/>
                        </w:rPr>
                        <w:t xml:space="preserve"> </w:t>
                      </w:r>
                      <w:r w:rsidR="005F068F">
                        <w:rPr>
                          <w:sz w:val="20"/>
                          <w:szCs w:val="20"/>
                        </w:rPr>
                        <w:t>since February</w:t>
                      </w:r>
                      <w:r w:rsidR="00940821">
                        <w:rPr>
                          <w:sz w:val="20"/>
                          <w:szCs w:val="20"/>
                        </w:rPr>
                        <w:t>, but remains elevated</w:t>
                      </w:r>
                      <w:r w:rsidR="00CC403D">
                        <w:rPr>
                          <w:sz w:val="20"/>
                          <w:szCs w:val="20"/>
                        </w:rPr>
                        <w:t>.</w:t>
                      </w:r>
                    </w:p>
                    <w:p w:rsidR="00CD0F5C" w:rsidRPr="00620802" w:rsidRDefault="00D063F9" w:rsidP="00620802">
                      <w:pPr>
                        <w:pStyle w:val="ListParagraph"/>
                        <w:numPr>
                          <w:ilvl w:val="0"/>
                          <w:numId w:val="2"/>
                        </w:numPr>
                        <w:rPr>
                          <w:sz w:val="20"/>
                          <w:szCs w:val="20"/>
                        </w:rPr>
                      </w:pPr>
                      <w:r w:rsidRPr="005B0761">
                        <w:rPr>
                          <w:sz w:val="20"/>
                          <w:szCs w:val="20"/>
                        </w:rPr>
                        <w:t xml:space="preserve">Geographic spread is </w:t>
                      </w:r>
                      <w:r w:rsidR="00F800A2">
                        <w:rPr>
                          <w:sz w:val="20"/>
                          <w:szCs w:val="20"/>
                        </w:rPr>
                        <w:t>widespread</w:t>
                      </w:r>
                      <w:r w:rsidR="00F04568">
                        <w:rPr>
                          <w:sz w:val="20"/>
                          <w:szCs w:val="20"/>
                        </w:rPr>
                        <w:t xml:space="preserve">: ILI activity </w:t>
                      </w:r>
                      <w:r w:rsidR="00620802">
                        <w:rPr>
                          <w:sz w:val="20"/>
                          <w:szCs w:val="20"/>
                        </w:rPr>
                        <w:t>remains elevated</w:t>
                      </w:r>
                      <w:r w:rsidR="00F800A2">
                        <w:rPr>
                          <w:sz w:val="20"/>
                          <w:szCs w:val="20"/>
                        </w:rPr>
                        <w:t xml:space="preserve"> in</w:t>
                      </w:r>
                      <w:r w:rsidR="00620802">
                        <w:rPr>
                          <w:sz w:val="20"/>
                          <w:szCs w:val="20"/>
                        </w:rPr>
                        <w:t xml:space="preserve"> </w:t>
                      </w:r>
                      <w:r w:rsidR="00F800A2">
                        <w:rPr>
                          <w:sz w:val="20"/>
                          <w:szCs w:val="20"/>
                        </w:rPr>
                        <w:t>all</w:t>
                      </w:r>
                      <w:r w:rsidR="00620802">
                        <w:rPr>
                          <w:color w:val="000000"/>
                          <w:sz w:val="20"/>
                          <w:szCs w:val="20"/>
                        </w:rPr>
                        <w:t xml:space="preserve"> regions of Massachusetts </w:t>
                      </w:r>
                      <w:r w:rsidR="00F800A2">
                        <w:rPr>
                          <w:color w:val="000000"/>
                          <w:sz w:val="20"/>
                          <w:szCs w:val="20"/>
                        </w:rPr>
                        <w:t>except the Boston</w:t>
                      </w:r>
                      <w:r w:rsidR="005F068F">
                        <w:rPr>
                          <w:color w:val="000000"/>
                          <w:sz w:val="20"/>
                          <w:szCs w:val="20"/>
                        </w:rPr>
                        <w:t xml:space="preserve"> and </w:t>
                      </w:r>
                      <w:r w:rsidR="00F800A2">
                        <w:rPr>
                          <w:color w:val="000000"/>
                          <w:sz w:val="20"/>
                          <w:szCs w:val="20"/>
                        </w:rPr>
                        <w:t>West</w:t>
                      </w:r>
                      <w:r w:rsidR="005F068F">
                        <w:rPr>
                          <w:color w:val="000000"/>
                          <w:sz w:val="20"/>
                          <w:szCs w:val="20"/>
                        </w:rPr>
                        <w:t xml:space="preserve"> regions</w:t>
                      </w:r>
                      <w:r w:rsidR="004C45F0">
                        <w:rPr>
                          <w:color w:val="000000"/>
                          <w:sz w:val="20"/>
                          <w:szCs w:val="20"/>
                        </w:rPr>
                        <w:t xml:space="preserve">. </w:t>
                      </w:r>
                      <w:r w:rsidR="004C45F0">
                        <w:rPr>
                          <w:sz w:val="20"/>
                          <w:szCs w:val="20"/>
                        </w:rPr>
                        <w:t>Influenza laboratory confirmations remain elevated in all regions of the state</w:t>
                      </w:r>
                      <w:r w:rsidR="00F800A2">
                        <w:rPr>
                          <w:sz w:val="20"/>
                          <w:szCs w:val="20"/>
                        </w:rPr>
                        <w:t xml:space="preserve"> except the Central region</w:t>
                      </w:r>
                      <w:r w:rsidR="004C45F0">
                        <w:rPr>
                          <w:sz w:val="20"/>
                          <w:szCs w:val="20"/>
                        </w:rPr>
                        <w:t>.</w:t>
                      </w:r>
                    </w:p>
                    <w:p w:rsidR="00035DAB" w:rsidRPr="005B0761" w:rsidRDefault="00040908" w:rsidP="004D624E">
                      <w:pPr>
                        <w:pStyle w:val="ListParagraph"/>
                        <w:numPr>
                          <w:ilvl w:val="0"/>
                          <w:numId w:val="2"/>
                        </w:numPr>
                        <w:rPr>
                          <w:sz w:val="20"/>
                          <w:szCs w:val="20"/>
                        </w:rPr>
                      </w:pPr>
                      <w:r w:rsidRPr="005B0761">
                        <w:rPr>
                          <w:sz w:val="20"/>
                          <w:szCs w:val="20"/>
                        </w:rPr>
                        <w:t>Influenza-associated</w:t>
                      </w:r>
                      <w:r w:rsidR="00035DAB" w:rsidRPr="005B0761">
                        <w:rPr>
                          <w:sz w:val="20"/>
                          <w:szCs w:val="20"/>
                        </w:rPr>
                        <w:t xml:space="preserve"> hospitalizations in Massachusetts </w:t>
                      </w:r>
                      <w:r w:rsidR="00431DCC">
                        <w:rPr>
                          <w:sz w:val="20"/>
                          <w:szCs w:val="20"/>
                        </w:rPr>
                        <w:t>h</w:t>
                      </w:r>
                      <w:r w:rsidR="000365E8">
                        <w:rPr>
                          <w:sz w:val="20"/>
                          <w:szCs w:val="20"/>
                        </w:rPr>
                        <w:t xml:space="preserve">ave </w:t>
                      </w:r>
                      <w:r w:rsidR="0064218C" w:rsidRPr="00282289">
                        <w:rPr>
                          <w:sz w:val="20"/>
                          <w:szCs w:val="20"/>
                        </w:rPr>
                        <w:t>declined</w:t>
                      </w:r>
                      <w:r w:rsidR="00431DCC" w:rsidRPr="00431DCC">
                        <w:rPr>
                          <w:sz w:val="20"/>
                          <w:szCs w:val="20"/>
                        </w:rPr>
                        <w:t xml:space="preserve"> </w:t>
                      </w:r>
                      <w:r w:rsidR="006A05DD">
                        <w:rPr>
                          <w:sz w:val="20"/>
                          <w:szCs w:val="20"/>
                        </w:rPr>
                        <w:t>since February</w:t>
                      </w:r>
                      <w:r w:rsidR="00035DAB" w:rsidRPr="005B0761">
                        <w:rPr>
                          <w:sz w:val="20"/>
                          <w:szCs w:val="20"/>
                        </w:rPr>
                        <w:t>.</w:t>
                      </w:r>
                    </w:p>
                    <w:p w:rsidR="00035DAB" w:rsidRPr="005B0761" w:rsidRDefault="00035DAB" w:rsidP="00035DAB">
                      <w:pPr>
                        <w:pStyle w:val="ListParagraph"/>
                        <w:numPr>
                          <w:ilvl w:val="0"/>
                          <w:numId w:val="2"/>
                        </w:numPr>
                        <w:rPr>
                          <w:sz w:val="20"/>
                          <w:szCs w:val="20"/>
                        </w:rPr>
                      </w:pPr>
                      <w:r w:rsidRPr="005B0761">
                        <w:rPr>
                          <w:sz w:val="20"/>
                          <w:szCs w:val="20"/>
                        </w:rPr>
                        <w:t xml:space="preserve">The number of influenza positive laboratory tests reported to MDPH </w:t>
                      </w:r>
                      <w:r w:rsidR="00B627D8">
                        <w:rPr>
                          <w:sz w:val="20"/>
                          <w:szCs w:val="20"/>
                        </w:rPr>
                        <w:t>decreased</w:t>
                      </w:r>
                      <w:r w:rsidRPr="005B0761">
                        <w:rPr>
                          <w:sz w:val="20"/>
                          <w:szCs w:val="20"/>
                        </w:rPr>
                        <w:t xml:space="preserve"> this w</w:t>
                      </w:r>
                      <w:r w:rsidR="00531D34">
                        <w:rPr>
                          <w:sz w:val="20"/>
                          <w:szCs w:val="20"/>
                        </w:rPr>
                        <w:t xml:space="preserve">eek by </w:t>
                      </w:r>
                      <w:r w:rsidR="00F800A2">
                        <w:rPr>
                          <w:sz w:val="20"/>
                          <w:szCs w:val="20"/>
                        </w:rPr>
                        <w:t>33.3</w:t>
                      </w:r>
                      <w:r w:rsidRPr="00DD5518">
                        <w:rPr>
                          <w:sz w:val="20"/>
                          <w:szCs w:val="20"/>
                        </w:rPr>
                        <w:t>%</w:t>
                      </w:r>
                      <w:r w:rsidR="00627BCA">
                        <w:rPr>
                          <w:sz w:val="20"/>
                          <w:szCs w:val="20"/>
                        </w:rPr>
                        <w:t xml:space="preserve"> compared to last week.</w:t>
                      </w:r>
                    </w:p>
                    <w:p w:rsidR="00F04568" w:rsidRPr="00F04568" w:rsidRDefault="00F04568" w:rsidP="00035DAB">
                      <w:pPr>
                        <w:pStyle w:val="ListParagraph"/>
                        <w:numPr>
                          <w:ilvl w:val="0"/>
                          <w:numId w:val="2"/>
                        </w:numPr>
                        <w:rPr>
                          <w:sz w:val="20"/>
                          <w:szCs w:val="20"/>
                        </w:rPr>
                      </w:pPr>
                      <w:r>
                        <w:rPr>
                          <w:sz w:val="20"/>
                          <w:szCs w:val="20"/>
                        </w:rPr>
                        <w:t xml:space="preserve">For the 2018-2019 season to date, the predominant influenza strain is </w:t>
                      </w:r>
                      <w:r w:rsidRPr="00F04568">
                        <w:rPr>
                          <w:sz w:val="20"/>
                          <w:szCs w:val="20"/>
                        </w:rPr>
                        <w:t>A/2009 H1N1</w:t>
                      </w:r>
                      <w:r>
                        <w:rPr>
                          <w:sz w:val="20"/>
                          <w:szCs w:val="20"/>
                        </w:rPr>
                        <w:t xml:space="preserve">; </w:t>
                      </w:r>
                      <w:r w:rsidR="00DE37A0">
                        <w:rPr>
                          <w:sz w:val="20"/>
                          <w:szCs w:val="20"/>
                        </w:rPr>
                        <w:t xml:space="preserve">however, </w:t>
                      </w:r>
                      <w:r w:rsidR="004D624E">
                        <w:rPr>
                          <w:sz w:val="20"/>
                          <w:szCs w:val="20"/>
                        </w:rPr>
                        <w:t>over recent weeks influenza B has become more common than influenza A.</w:t>
                      </w:r>
                    </w:p>
                    <w:p w:rsidR="00D063F9" w:rsidRPr="005B0761" w:rsidRDefault="00D063F9" w:rsidP="00035DAB">
                      <w:pPr>
                        <w:pStyle w:val="ListParagraph"/>
                        <w:numPr>
                          <w:ilvl w:val="0"/>
                          <w:numId w:val="2"/>
                        </w:numPr>
                        <w:rPr>
                          <w:sz w:val="20"/>
                          <w:szCs w:val="20"/>
                        </w:rPr>
                      </w:pPr>
                      <w:r w:rsidRPr="00D063F9">
                        <w:rPr>
                          <w:sz w:val="20"/>
                          <w:szCs w:val="20"/>
                        </w:rPr>
                        <w:t xml:space="preserve">All </w:t>
                      </w:r>
                      <w:r w:rsidR="00040908">
                        <w:rPr>
                          <w:sz w:val="20"/>
                          <w:szCs w:val="20"/>
                        </w:rPr>
                        <w:t xml:space="preserve">influenza </w:t>
                      </w:r>
                      <w:r w:rsidRPr="00D063F9">
                        <w:rPr>
                          <w:sz w:val="20"/>
                          <w:szCs w:val="20"/>
                        </w:rPr>
                        <w:t>strains that have been characterized in Massachusetts</w:t>
                      </w:r>
                      <w:r w:rsidR="00040908">
                        <w:rPr>
                          <w:sz w:val="20"/>
                          <w:szCs w:val="20"/>
                        </w:rPr>
                        <w:t xml:space="preserve"> this season</w:t>
                      </w:r>
                      <w:r w:rsidR="004C47B9">
                        <w:rPr>
                          <w:sz w:val="20"/>
                          <w:szCs w:val="20"/>
                        </w:rPr>
                        <w:t xml:space="preserve"> to date</w:t>
                      </w:r>
                      <w:r w:rsidRPr="00D063F9">
                        <w:rPr>
                          <w:sz w:val="20"/>
                          <w:szCs w:val="20"/>
                        </w:rPr>
                        <w:t xml:space="preserve"> are covered by the current influenza vaccine.</w:t>
                      </w:r>
                    </w:p>
                    <w:p w:rsidR="00035DAB" w:rsidRPr="00AB297C" w:rsidRDefault="00035DAB" w:rsidP="00035DAB">
                      <w:pPr>
                        <w:pStyle w:val="ListParagraph"/>
                        <w:numPr>
                          <w:ilvl w:val="0"/>
                          <w:numId w:val="2"/>
                        </w:numPr>
                        <w:rPr>
                          <w:sz w:val="20"/>
                          <w:szCs w:val="20"/>
                        </w:rPr>
                      </w:pPr>
                      <w:r w:rsidRPr="00AB297C">
                        <w:rPr>
                          <w:sz w:val="20"/>
                          <w:szCs w:val="20"/>
                        </w:rPr>
                        <w:t>No resistance to antiviral medications has been detected this season.</w:t>
                      </w:r>
                    </w:p>
                    <w:p w:rsidR="00035DAB" w:rsidRPr="005B0761" w:rsidRDefault="00035DAB" w:rsidP="00035DAB">
                      <w:pPr>
                        <w:pStyle w:val="ListParagraph"/>
                        <w:numPr>
                          <w:ilvl w:val="0"/>
                          <w:numId w:val="2"/>
                        </w:numPr>
                        <w:rPr>
                          <w:sz w:val="20"/>
                          <w:szCs w:val="20"/>
                        </w:rPr>
                      </w:pPr>
                      <w:r w:rsidRPr="005B0761">
                        <w:rPr>
                          <w:sz w:val="20"/>
                          <w:szCs w:val="20"/>
                        </w:rPr>
                        <w:t xml:space="preserve">Nationally, flu activity </w:t>
                      </w:r>
                      <w:r w:rsidR="00552D3B">
                        <w:rPr>
                          <w:sz w:val="20"/>
                          <w:szCs w:val="20"/>
                        </w:rPr>
                        <w:t>is decreasing</w:t>
                      </w:r>
                      <w:r w:rsidR="004C47B9">
                        <w:rPr>
                          <w:sz w:val="20"/>
                          <w:szCs w:val="20"/>
                        </w:rPr>
                        <w:t xml:space="preserve">, </w:t>
                      </w:r>
                      <w:r w:rsidR="004F1934">
                        <w:rPr>
                          <w:sz w:val="20"/>
                          <w:szCs w:val="20"/>
                        </w:rPr>
                        <w:t>consistent with typical</w:t>
                      </w:r>
                      <w:r w:rsidR="00A60A0D">
                        <w:rPr>
                          <w:sz w:val="20"/>
                          <w:szCs w:val="20"/>
                        </w:rPr>
                        <w:t xml:space="preserve"> levels of activity at this time of year</w:t>
                      </w:r>
                      <w:r w:rsidR="004C47B9">
                        <w:rPr>
                          <w:sz w:val="20"/>
                          <w:szCs w:val="20"/>
                        </w:rPr>
                        <w:t>.</w:t>
                      </w:r>
                    </w:p>
                    <w:p w:rsidR="00035DAB" w:rsidRPr="005B0761" w:rsidRDefault="00035DAB" w:rsidP="00035DAB">
                      <w:pPr>
                        <w:pStyle w:val="ListParagraph"/>
                        <w:numPr>
                          <w:ilvl w:val="0"/>
                          <w:numId w:val="2"/>
                        </w:numPr>
                        <w:rPr>
                          <w:sz w:val="20"/>
                          <w:szCs w:val="20"/>
                        </w:rPr>
                      </w:pPr>
                      <w:r w:rsidRPr="005B0761">
                        <w:rPr>
                          <w:sz w:val="20"/>
                          <w:szCs w:val="20"/>
                        </w:rPr>
                        <w:t xml:space="preserve">Additional data are available upon request and at </w:t>
                      </w:r>
                      <w:hyperlink r:id="rId10" w:history="1">
                        <w:r w:rsidRPr="005B0761">
                          <w:rPr>
                            <w:rStyle w:val="Hyperlink"/>
                            <w:sz w:val="20"/>
                            <w:szCs w:val="20"/>
                          </w:rPr>
                          <w:t>www.cdc.gov/flu/weekly</w:t>
                        </w:r>
                      </w:hyperlink>
                      <w:r w:rsidRPr="005B0761">
                        <w:rPr>
                          <w:sz w:val="20"/>
                          <w:szCs w:val="20"/>
                        </w:rPr>
                        <w:t>.</w:t>
                      </w:r>
                    </w:p>
                  </w:txbxContent>
                </v:textbox>
              </v:shape>
            </w:pict>
          </mc:Fallback>
        </mc:AlternateContent>
      </w: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6136F2">
      <w:pPr>
        <w:rPr>
          <w:rFonts w:ascii="Calibri" w:hAnsi="Calibri"/>
          <w:b/>
          <w:bCs/>
          <w:color w:val="000000"/>
          <w:u w:val="single"/>
        </w:rPr>
      </w:pPr>
    </w:p>
    <w:p w:rsidR="00035DAB" w:rsidRDefault="00035DAB" w:rsidP="006136F2">
      <w:pPr>
        <w:rPr>
          <w:rFonts w:ascii="Calibri" w:hAnsi="Calibri"/>
          <w:b/>
          <w:bCs/>
          <w:color w:val="000000"/>
          <w:u w:val="single"/>
        </w:rPr>
      </w:pPr>
    </w:p>
    <w:p w:rsidR="00ED537C" w:rsidRDefault="00ED537C" w:rsidP="006136F2">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B448AB" w:rsidRDefault="00B448AB" w:rsidP="009C1AEA">
      <w:pPr>
        <w:rPr>
          <w:rFonts w:ascii="Calibri" w:hAnsi="Calibri"/>
          <w:b/>
          <w:bCs/>
          <w:color w:val="000000"/>
          <w:u w:val="single"/>
        </w:rPr>
      </w:pPr>
    </w:p>
    <w:p w:rsidR="00ED537C" w:rsidRPr="007812F4" w:rsidRDefault="006136F2" w:rsidP="009C1AEA">
      <w:pPr>
        <w:rPr>
          <w:rFonts w:ascii="Calibri" w:hAnsi="Calibri"/>
        </w:rPr>
      </w:pPr>
      <w:r w:rsidRPr="007E3EC9">
        <w:rPr>
          <w:rFonts w:ascii="Calibri" w:hAnsi="Calibri"/>
          <w:b/>
          <w:bCs/>
          <w:color w:val="000000"/>
          <w:u w:val="single"/>
        </w:rPr>
        <w:t>Influenza-like illness activity</w:t>
      </w:r>
      <w:r w:rsidRPr="007E3EC9">
        <w:rPr>
          <w:rFonts w:ascii="Calibri" w:hAnsi="Calibri"/>
        </w:rPr>
        <w:t xml:space="preserve"> </w:t>
      </w:r>
    </w:p>
    <w:p w:rsidR="00363344" w:rsidRPr="005B0761" w:rsidRDefault="00ED537C" w:rsidP="009C1AEA">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above 100F</w:t>
      </w:r>
      <w:r w:rsidRPr="005B0761">
        <w:rPr>
          <w:rFonts w:ascii="Calibri" w:hAnsi="Calibri"/>
          <w:color w:val="000000"/>
          <w:sz w:val="20"/>
          <w:szCs w:val="20"/>
          <w:vertAlign w:val="superscript"/>
        </w:rPr>
        <w:t xml:space="preserve"> </w:t>
      </w:r>
      <w:r w:rsidRPr="005B0761">
        <w:rPr>
          <w:rFonts w:ascii="Calibri" w:hAnsi="Calibri"/>
          <w:color w:val="000000"/>
          <w:sz w:val="20"/>
          <w:szCs w:val="20"/>
        </w:rPr>
        <w:t>in addition</w:t>
      </w:r>
      <w:r>
        <w:rPr>
          <w:rFonts w:ascii="Calibri" w:hAnsi="Calibri"/>
          <w:color w:val="000000"/>
          <w:sz w:val="20"/>
          <w:szCs w:val="20"/>
        </w:rPr>
        <w:t xml:space="preserve"> to either cough or sore throat. </w:t>
      </w:r>
      <w:r w:rsidR="00267B49" w:rsidRPr="005B0761">
        <w:rPr>
          <w:rFonts w:ascii="Calibri" w:hAnsi="Calibri"/>
          <w:color w:val="000000"/>
          <w:sz w:val="20"/>
          <w:szCs w:val="20"/>
        </w:rPr>
        <w:t xml:space="preserve">Many more </w:t>
      </w:r>
      <w:r w:rsidR="00D913E9">
        <w:rPr>
          <w:rFonts w:ascii="Calibri" w:hAnsi="Calibri"/>
          <w:color w:val="000000"/>
          <w:sz w:val="20"/>
          <w:szCs w:val="20"/>
        </w:rPr>
        <w:t>people are infected with</w:t>
      </w:r>
      <w:r w:rsidR="00267B49"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00865E4A" w:rsidRPr="005B0761">
        <w:rPr>
          <w:rFonts w:ascii="Calibri" w:hAnsi="Calibri"/>
          <w:color w:val="000000"/>
          <w:sz w:val="20"/>
          <w:szCs w:val="20"/>
        </w:rPr>
        <w:t xml:space="preserve"> </w:t>
      </w:r>
      <w:r>
        <w:rPr>
          <w:rFonts w:ascii="Calibri" w:hAnsi="Calibri"/>
          <w:color w:val="000000"/>
          <w:sz w:val="20"/>
          <w:szCs w:val="20"/>
        </w:rPr>
        <w:t>ILI is</w:t>
      </w:r>
      <w:r w:rsidR="00865E4A" w:rsidRPr="005B0761">
        <w:rPr>
          <w:rFonts w:ascii="Calibri" w:hAnsi="Calibri"/>
          <w:color w:val="000000"/>
          <w:sz w:val="20"/>
          <w:szCs w:val="20"/>
        </w:rPr>
        <w:t xml:space="preserve"> used throughout the regular influenza season </w:t>
      </w:r>
      <w:r w:rsidR="00D913E9">
        <w:rPr>
          <w:rFonts w:ascii="Calibri" w:hAnsi="Calibri"/>
          <w:color w:val="000000"/>
          <w:sz w:val="20"/>
          <w:szCs w:val="20"/>
        </w:rPr>
        <w:t xml:space="preserve">as a way to help track </w:t>
      </w:r>
      <w:r w:rsidR="00865E4A"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267B49" w:rsidRPr="005B0761">
        <w:rPr>
          <w:rFonts w:ascii="Calibri" w:hAnsi="Calibri"/>
          <w:color w:val="000000"/>
          <w:sz w:val="20"/>
          <w:szCs w:val="20"/>
        </w:rPr>
        <w:t xml:space="preserve">Sixty </w:t>
      </w:r>
      <w:r w:rsidR="00363344" w:rsidRPr="005B0761">
        <w:rPr>
          <w:rFonts w:ascii="Calibri" w:hAnsi="Calibri"/>
          <w:color w:val="000000"/>
          <w:sz w:val="20"/>
          <w:szCs w:val="20"/>
        </w:rPr>
        <w:t>healthcare facilities called ‘sentinel sites’</w:t>
      </w:r>
      <w:r w:rsidR="00267B49" w:rsidRPr="005B0761">
        <w:rPr>
          <w:rFonts w:ascii="Calibri" w:hAnsi="Calibri"/>
          <w:color w:val="000000"/>
          <w:sz w:val="20"/>
          <w:szCs w:val="20"/>
        </w:rPr>
        <w:t xml:space="preserve">, </w:t>
      </w:r>
      <w:r w:rsidR="00363344" w:rsidRPr="005B0761">
        <w:rPr>
          <w:rFonts w:ascii="Calibri" w:hAnsi="Calibri"/>
          <w:color w:val="000000"/>
          <w:sz w:val="20"/>
          <w:szCs w:val="20"/>
        </w:rPr>
        <w:t xml:space="preserve">including </w:t>
      </w:r>
      <w:r w:rsidR="00267B49" w:rsidRPr="005B0761">
        <w:rPr>
          <w:rFonts w:ascii="Calibri" w:hAnsi="Calibri"/>
          <w:color w:val="000000"/>
          <w:sz w:val="20"/>
          <w:szCs w:val="20"/>
        </w:rPr>
        <w:t>provider offices, school health services, community health centers,</w:t>
      </w:r>
      <w:r w:rsidR="00363344" w:rsidRPr="005B0761">
        <w:rPr>
          <w:rFonts w:ascii="Calibri" w:hAnsi="Calibri"/>
          <w:color w:val="000000"/>
          <w:sz w:val="20"/>
          <w:szCs w:val="20"/>
        </w:rPr>
        <w:t xml:space="preserve"> and emergency departments </w:t>
      </w:r>
      <w:r w:rsidR="00865E4A" w:rsidRPr="005B0761">
        <w:rPr>
          <w:rFonts w:ascii="Calibri" w:hAnsi="Calibri"/>
          <w:color w:val="000000"/>
          <w:sz w:val="20"/>
          <w:szCs w:val="20"/>
        </w:rPr>
        <w:t xml:space="preserve">across </w:t>
      </w:r>
      <w:r w:rsidR="00363344" w:rsidRPr="005B0761">
        <w:rPr>
          <w:rFonts w:ascii="Calibri" w:hAnsi="Calibri"/>
          <w:color w:val="000000"/>
          <w:sz w:val="20"/>
          <w:szCs w:val="20"/>
        </w:rPr>
        <w:t>Massachusetts</w:t>
      </w:r>
      <w:r w:rsidR="00865E4A" w:rsidRPr="005B0761">
        <w:rPr>
          <w:rFonts w:ascii="Calibri" w:hAnsi="Calibri"/>
          <w:color w:val="000000"/>
          <w:sz w:val="20"/>
          <w:szCs w:val="20"/>
        </w:rPr>
        <w:t xml:space="preserve"> report the </w:t>
      </w:r>
      <w:r w:rsidR="00267B49" w:rsidRPr="005B0761">
        <w:rPr>
          <w:rFonts w:ascii="Calibri" w:hAnsi="Calibri"/>
          <w:color w:val="000000"/>
          <w:sz w:val="20"/>
          <w:szCs w:val="20"/>
        </w:rPr>
        <w:t>number of patients they see with</w:t>
      </w:r>
      <w:r w:rsidR="00865E4A" w:rsidRPr="005B0761">
        <w:rPr>
          <w:rFonts w:ascii="Calibri" w:hAnsi="Calibri"/>
          <w:color w:val="000000"/>
          <w:sz w:val="20"/>
          <w:szCs w:val="20"/>
        </w:rPr>
        <w:t xml:space="preserve"> </w:t>
      </w:r>
      <w:r w:rsidR="00267B49" w:rsidRPr="005B0761">
        <w:rPr>
          <w:rFonts w:ascii="Calibri" w:hAnsi="Calibri"/>
          <w:color w:val="000000"/>
          <w:sz w:val="20"/>
          <w:szCs w:val="20"/>
        </w:rPr>
        <w:t>ILI</w:t>
      </w:r>
      <w:r w:rsidR="00865E4A" w:rsidRPr="005B0761">
        <w:rPr>
          <w:rFonts w:ascii="Calibri" w:hAnsi="Calibri"/>
          <w:color w:val="000000"/>
          <w:sz w:val="20"/>
          <w:szCs w:val="20"/>
        </w:rPr>
        <w:t xml:space="preserve"> each week during regular flu season</w:t>
      </w:r>
      <w:r w:rsidR="00363344" w:rsidRPr="005B0761">
        <w:rPr>
          <w:rFonts w:ascii="Calibri" w:hAnsi="Calibri"/>
          <w:color w:val="000000"/>
          <w:sz w:val="20"/>
          <w:szCs w:val="20"/>
        </w:rPr>
        <w:t>.</w:t>
      </w:r>
      <w:r w:rsidR="00865E4A" w:rsidRPr="005B0761">
        <w:rPr>
          <w:rFonts w:ascii="Calibri" w:hAnsi="Calibri"/>
          <w:color w:val="000000"/>
          <w:sz w:val="20"/>
          <w:szCs w:val="20"/>
        </w:rPr>
        <w:t xml:space="preserve"> </w:t>
      </w:r>
    </w:p>
    <w:p w:rsidR="00363344" w:rsidRPr="005B0761" w:rsidRDefault="00363344" w:rsidP="009C1AEA">
      <w:pPr>
        <w:rPr>
          <w:rFonts w:ascii="Calibri" w:hAnsi="Calibri"/>
          <w:color w:val="000000"/>
          <w:sz w:val="20"/>
          <w:szCs w:val="20"/>
        </w:rPr>
      </w:pPr>
    </w:p>
    <w:p w:rsidR="00A773B2" w:rsidRPr="005B0761" w:rsidRDefault="00757C6F" w:rsidP="009C1AEA">
      <w:pPr>
        <w:rPr>
          <w:rFonts w:ascii="Calibri" w:hAnsi="Calibri"/>
          <w:sz w:val="20"/>
          <w:szCs w:val="20"/>
        </w:rPr>
      </w:pPr>
      <w:r w:rsidRPr="005B0761">
        <w:rPr>
          <w:rFonts w:ascii="Calibri" w:hAnsi="Calibri"/>
          <w:color w:val="000000"/>
          <w:sz w:val="20"/>
          <w:szCs w:val="20"/>
        </w:rPr>
        <w:t xml:space="preserve">Figure 1 shows that ILI activity </w:t>
      </w:r>
      <w:r w:rsidR="00252F50">
        <w:rPr>
          <w:rFonts w:ascii="Calibri" w:hAnsi="Calibri"/>
          <w:color w:val="000000"/>
          <w:sz w:val="20"/>
          <w:szCs w:val="20"/>
        </w:rPr>
        <w:t xml:space="preserve">has </w:t>
      </w:r>
      <w:r w:rsidR="005F3770">
        <w:rPr>
          <w:rFonts w:ascii="Calibri" w:hAnsi="Calibri"/>
          <w:color w:val="000000"/>
          <w:sz w:val="20"/>
          <w:szCs w:val="20"/>
        </w:rPr>
        <w:t>remained elevated over recent weeks</w:t>
      </w:r>
      <w:r w:rsidRPr="005B0761">
        <w:rPr>
          <w:rFonts w:ascii="Calibri" w:hAnsi="Calibri"/>
          <w:color w:val="000000"/>
          <w:sz w:val="20"/>
          <w:szCs w:val="20"/>
        </w:rPr>
        <w:t xml:space="preserve">. </w:t>
      </w:r>
      <w:r w:rsidR="00A773B2" w:rsidRPr="005B0761">
        <w:rPr>
          <w:rFonts w:ascii="Calibri" w:hAnsi="Calibri"/>
          <w:color w:val="000000"/>
          <w:sz w:val="20"/>
          <w:szCs w:val="20"/>
        </w:rPr>
        <w:t xml:space="preserve">For more information, see CDC’s influenza surveillance website at </w:t>
      </w:r>
      <w:hyperlink r:id="rId11" w:tooltip="http://www.cdc.gov/flu/weekly/fluactivitysurv.htm" w:history="1">
        <w:r w:rsidR="00A90A47" w:rsidRPr="005B0761">
          <w:rPr>
            <w:rStyle w:val="Hyperlink"/>
            <w:rFonts w:ascii="Calibri" w:hAnsi="Calibri" w:cs="Arial"/>
            <w:sz w:val="20"/>
            <w:szCs w:val="20"/>
          </w:rPr>
          <w:t>www.cdc.gov/flu/weekly/fluactivit</w:t>
        </w:r>
        <w:r w:rsidR="00A90A47" w:rsidRPr="005B0761">
          <w:rPr>
            <w:rStyle w:val="Hyperlink"/>
            <w:rFonts w:ascii="Calibri" w:hAnsi="Calibri" w:cs="Arial"/>
            <w:sz w:val="20"/>
            <w:szCs w:val="20"/>
          </w:rPr>
          <w:t>y</w:t>
        </w:r>
        <w:r w:rsidR="00A90A47" w:rsidRPr="005B0761">
          <w:rPr>
            <w:rStyle w:val="Hyperlink"/>
            <w:rFonts w:ascii="Calibri" w:hAnsi="Calibri" w:cs="Arial"/>
            <w:sz w:val="20"/>
            <w:szCs w:val="20"/>
          </w:rPr>
          <w:t>surv.htm</w:t>
        </w:r>
      </w:hyperlink>
      <w:r w:rsidR="00A773B2" w:rsidRPr="005B0761">
        <w:rPr>
          <w:rFonts w:ascii="Calibri" w:hAnsi="Calibri"/>
          <w:sz w:val="20"/>
          <w:szCs w:val="20"/>
        </w:rPr>
        <w:t>.</w:t>
      </w:r>
    </w:p>
    <w:p w:rsidR="00E23502" w:rsidRDefault="00E23502" w:rsidP="00751719">
      <w:pPr>
        <w:rPr>
          <w:rFonts w:ascii="Calibri" w:hAnsi="Calibri"/>
          <w:sz w:val="20"/>
          <w:szCs w:val="20"/>
        </w:rPr>
      </w:pPr>
    </w:p>
    <w:p w:rsidR="002E2975" w:rsidRDefault="002E2975" w:rsidP="00751719">
      <w:pPr>
        <w:rPr>
          <w:rFonts w:ascii="Calibri" w:hAnsi="Calibri"/>
          <w:sz w:val="20"/>
          <w:szCs w:val="20"/>
        </w:rPr>
      </w:pPr>
    </w:p>
    <w:p w:rsidR="00134F6E" w:rsidRDefault="008B2004" w:rsidP="004F6E44">
      <w:pPr>
        <w:jc w:val="center"/>
        <w:rPr>
          <w:rFonts w:ascii="Calibri" w:hAnsi="Calibri"/>
          <w:sz w:val="20"/>
          <w:szCs w:val="20"/>
          <w:highlight w:val="yellow"/>
        </w:rPr>
      </w:pPr>
      <w:r>
        <w:rPr>
          <w:rFonts w:ascii="Calibri" w:hAnsi="Calibri"/>
          <w:noProof/>
          <w:sz w:val="20"/>
          <w:szCs w:val="20"/>
        </w:rPr>
        <w:drawing>
          <wp:inline distT="0" distB="0" distL="0" distR="0">
            <wp:extent cx="6096000" cy="4572000"/>
            <wp:effectExtent l="0" t="0" r="0" b="0"/>
            <wp:docPr id="1" name="Picture 1" descr="Figure one is a line graph showing the percentage of visits due to influenza-like illness (ILI) reported by sentinel provider sites in Massachusetts by week. Weekly percentage ILI is plotted for the 2016-2017, 2017-2018, and 2018-2019 influenza seasons. Percentage ILI for the 2018-2019 season has declined since February, but remains elevated. As of May 18, 2019, 1.31% of reported visits are due to ILI, which is higherthan last season and the previous season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one is a line graph showing the percentage of visits due to influenza-like illness (ILI) reported by sentinel provider sites in Massachusetts by week. Weekly percentage ILI is plotted for the 2016-2017, 2017-2018, and 2018-2019 influenza seasons. Percentage ILI for the 2018-2019 season has declined since February, but remains elevated. As of May 18, 2019, 1.31% of reported visits are due to ILI, which is higherthan last season and the previous season in the same wee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773D8D" w:rsidRDefault="00E23502" w:rsidP="00773D8D">
      <w:pPr>
        <w:rPr>
          <w:rFonts w:ascii="Calibri" w:hAnsi="Calibri"/>
          <w:b/>
          <w:bCs/>
          <w:color w:val="000000"/>
          <w:u w:val="single"/>
        </w:rPr>
      </w:pPr>
      <w:r>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rsidR="00E92CAA" w:rsidRDefault="00E92CAA" w:rsidP="00773D8D">
      <w:pPr>
        <w:rPr>
          <w:rFonts w:ascii="Calibri" w:hAnsi="Calibri"/>
          <w:color w:val="000000"/>
          <w:sz w:val="20"/>
          <w:szCs w:val="20"/>
        </w:rPr>
      </w:pPr>
      <w:r>
        <w:rPr>
          <w:rFonts w:ascii="Calibri" w:hAnsi="Calibri"/>
          <w:color w:val="000000"/>
          <w:sz w:val="20"/>
          <w:szCs w:val="20"/>
        </w:rPr>
        <w:t>A</w:t>
      </w:r>
      <w:r w:rsidR="00773D8D" w:rsidRPr="00BB2304">
        <w:rPr>
          <w:rFonts w:ascii="Calibri" w:hAnsi="Calibri"/>
          <w:color w:val="000000"/>
          <w:sz w:val="20"/>
          <w:szCs w:val="20"/>
        </w:rPr>
        <w:t>s part of the National</w:t>
      </w:r>
      <w:r>
        <w:rPr>
          <w:rFonts w:ascii="Calibri" w:hAnsi="Calibri"/>
          <w:color w:val="000000"/>
          <w:sz w:val="20"/>
          <w:szCs w:val="20"/>
        </w:rPr>
        <w:t xml:space="preserve"> Syndromic Surveillance Program,</w:t>
      </w:r>
      <w:r w:rsidR="004F38FF">
        <w:rPr>
          <w:rFonts w:ascii="Calibri" w:hAnsi="Calibri"/>
          <w:color w:val="000000"/>
          <w:sz w:val="20"/>
          <w:szCs w:val="20"/>
        </w:rPr>
        <w:t xml:space="preserve"> MDPH receives data from</w:t>
      </w:r>
      <w:r w:rsidR="00773D8D" w:rsidRPr="00BB2304">
        <w:rPr>
          <w:rFonts w:ascii="Calibri" w:hAnsi="Calibri"/>
          <w:color w:val="000000"/>
          <w:sz w:val="20"/>
          <w:szCs w:val="20"/>
        </w:rPr>
        <w:t xml:space="preserve"> </w:t>
      </w:r>
      <w:r>
        <w:rPr>
          <w:rFonts w:ascii="Calibri" w:hAnsi="Calibri"/>
          <w:color w:val="000000"/>
          <w:sz w:val="20"/>
          <w:szCs w:val="20"/>
        </w:rPr>
        <w:t>Emergency Department</w:t>
      </w:r>
      <w:r w:rsidR="004F38FF">
        <w:rPr>
          <w:rFonts w:ascii="Calibri" w:hAnsi="Calibri"/>
          <w:color w:val="000000"/>
          <w:sz w:val="20"/>
          <w:szCs w:val="20"/>
        </w:rPr>
        <w:t>s</w:t>
      </w:r>
      <w:r>
        <w:rPr>
          <w:rFonts w:ascii="Calibri" w:hAnsi="Calibri"/>
          <w:color w:val="000000"/>
          <w:sz w:val="20"/>
          <w:szCs w:val="20"/>
        </w:rPr>
        <w:t xml:space="preserve"> (</w:t>
      </w:r>
      <w:r w:rsidR="00773D8D" w:rsidRPr="00BB2304">
        <w:rPr>
          <w:rFonts w:ascii="Calibri" w:hAnsi="Calibri"/>
          <w:color w:val="000000"/>
          <w:sz w:val="20"/>
          <w:szCs w:val="20"/>
        </w:rPr>
        <w:t>ED</w:t>
      </w:r>
      <w:r w:rsidR="004F38FF">
        <w:rPr>
          <w:rFonts w:ascii="Calibri" w:hAnsi="Calibri"/>
          <w:color w:val="000000"/>
          <w:sz w:val="20"/>
          <w:szCs w:val="20"/>
        </w:rPr>
        <w:t>s</w:t>
      </w:r>
      <w:r>
        <w:rPr>
          <w:rFonts w:ascii="Calibri" w:hAnsi="Calibri"/>
          <w:color w:val="000000"/>
          <w:sz w:val="20"/>
          <w:szCs w:val="20"/>
        </w:rPr>
        <w:t>)</w:t>
      </w:r>
      <w:r w:rsidR="00773D8D" w:rsidRPr="00BB2304">
        <w:rPr>
          <w:rFonts w:ascii="Calibri" w:hAnsi="Calibri"/>
          <w:color w:val="000000"/>
          <w:sz w:val="20"/>
          <w:szCs w:val="20"/>
        </w:rPr>
        <w:t xml:space="preserve"> </w:t>
      </w:r>
      <w:r w:rsidR="00C8216E">
        <w:rPr>
          <w:rFonts w:ascii="Calibri" w:hAnsi="Calibri"/>
          <w:color w:val="000000"/>
          <w:sz w:val="20"/>
          <w:szCs w:val="20"/>
        </w:rPr>
        <w:t>covering</w:t>
      </w:r>
      <w:r w:rsidR="00773D8D" w:rsidRPr="00BB2304">
        <w:rPr>
          <w:rFonts w:ascii="Calibri" w:hAnsi="Calibri"/>
          <w:color w:val="000000"/>
          <w:sz w:val="20"/>
          <w:szCs w:val="20"/>
        </w:rPr>
        <w:t xml:space="preserve"> more than 90% of ED visits </w:t>
      </w:r>
      <w:r w:rsidR="00C8216E" w:rsidRPr="00BB2304">
        <w:rPr>
          <w:rFonts w:ascii="Calibri" w:hAnsi="Calibri"/>
          <w:color w:val="000000"/>
          <w:sz w:val="20"/>
          <w:szCs w:val="20"/>
        </w:rPr>
        <w:t>statewide</w:t>
      </w:r>
      <w:r w:rsidR="00C8216E">
        <w:rPr>
          <w:rFonts w:ascii="Calibri" w:hAnsi="Calibri"/>
          <w:color w:val="000000"/>
          <w:sz w:val="20"/>
          <w:szCs w:val="20"/>
        </w:rPr>
        <w:t>.</w:t>
      </w:r>
      <w:r w:rsidR="00773D8D" w:rsidRPr="00BB2304">
        <w:rPr>
          <w:rFonts w:ascii="Calibri" w:hAnsi="Calibri"/>
          <w:color w:val="000000"/>
          <w:sz w:val="20"/>
          <w:szCs w:val="20"/>
        </w:rPr>
        <w:t> </w:t>
      </w:r>
      <w:r w:rsidR="00D913E9" w:rsidRPr="00BB2304">
        <w:rPr>
          <w:rFonts w:ascii="Calibri" w:hAnsi="Calibri"/>
          <w:color w:val="000000"/>
          <w:sz w:val="20"/>
          <w:szCs w:val="20"/>
        </w:rPr>
        <w:t>Th</w:t>
      </w:r>
      <w:r w:rsidR="00D913E9">
        <w:rPr>
          <w:rFonts w:ascii="Calibri" w:hAnsi="Calibri"/>
          <w:color w:val="000000"/>
          <w:sz w:val="20"/>
          <w:szCs w:val="20"/>
        </w:rPr>
        <w:t>ese</w:t>
      </w:r>
      <w:r w:rsidR="00D913E9" w:rsidRPr="00BB2304">
        <w:rPr>
          <w:rFonts w:ascii="Calibri" w:hAnsi="Calibri"/>
          <w:color w:val="000000"/>
          <w:sz w:val="20"/>
          <w:szCs w:val="20"/>
        </w:rPr>
        <w:t xml:space="preserve"> </w:t>
      </w:r>
      <w:r w:rsidR="00773D8D" w:rsidRPr="00BB2304">
        <w:rPr>
          <w:rFonts w:ascii="Calibri" w:hAnsi="Calibri"/>
          <w:color w:val="000000"/>
          <w:sz w:val="20"/>
          <w:szCs w:val="20"/>
        </w:rPr>
        <w:t xml:space="preserve">data </w:t>
      </w:r>
      <w:r w:rsidR="00D913E9">
        <w:rPr>
          <w:rFonts w:ascii="Calibri" w:hAnsi="Calibri"/>
          <w:color w:val="000000"/>
          <w:sz w:val="20"/>
          <w:szCs w:val="20"/>
        </w:rPr>
        <w:t>are</w:t>
      </w:r>
      <w:r w:rsidR="00D913E9" w:rsidRPr="00BB2304">
        <w:rPr>
          <w:rFonts w:ascii="Calibri" w:hAnsi="Calibri"/>
          <w:color w:val="000000"/>
          <w:sz w:val="20"/>
          <w:szCs w:val="20"/>
        </w:rPr>
        <w:t xml:space="preserve"> </w:t>
      </w:r>
      <w:r w:rsidR="00773D8D" w:rsidRPr="00BB2304">
        <w:rPr>
          <w:rFonts w:ascii="Calibri" w:hAnsi="Calibri"/>
          <w:color w:val="000000"/>
          <w:sz w:val="20"/>
          <w:szCs w:val="20"/>
        </w:rPr>
        <w:t>used to track</w:t>
      </w:r>
      <w:r w:rsidR="00D913E9">
        <w:rPr>
          <w:rFonts w:ascii="Calibri" w:hAnsi="Calibri"/>
          <w:color w:val="000000"/>
          <w:sz w:val="20"/>
          <w:szCs w:val="20"/>
        </w:rPr>
        <w:t xml:space="preserve"> patient visits related to </w:t>
      </w:r>
      <w:r w:rsidR="00773D8D" w:rsidRPr="00BB2304">
        <w:rPr>
          <w:rFonts w:ascii="Calibri" w:hAnsi="Calibri"/>
          <w:color w:val="000000"/>
          <w:sz w:val="20"/>
          <w:szCs w:val="20"/>
        </w:rPr>
        <w:t xml:space="preserve">influenza by monitoring </w:t>
      </w:r>
      <w:r w:rsidR="00C8216E">
        <w:rPr>
          <w:rFonts w:ascii="Calibri" w:hAnsi="Calibri"/>
          <w:color w:val="000000"/>
          <w:sz w:val="20"/>
          <w:szCs w:val="20"/>
        </w:rPr>
        <w:t>the reason patients are seeking care (</w:t>
      </w:r>
      <w:r w:rsidR="00773D8D" w:rsidRPr="00BB2304">
        <w:rPr>
          <w:rFonts w:ascii="Calibri" w:hAnsi="Calibri"/>
          <w:color w:val="000000"/>
          <w:sz w:val="20"/>
          <w:szCs w:val="20"/>
        </w:rPr>
        <w:t>chief complaint</w:t>
      </w:r>
      <w:r w:rsidR="00C8216E">
        <w:rPr>
          <w:rFonts w:ascii="Calibri" w:hAnsi="Calibri"/>
          <w:color w:val="000000"/>
          <w:sz w:val="20"/>
          <w:szCs w:val="20"/>
        </w:rPr>
        <w:t>)</w:t>
      </w:r>
      <w:r w:rsidR="00773D8D" w:rsidRPr="00BB2304">
        <w:rPr>
          <w:rFonts w:ascii="Calibri" w:hAnsi="Calibri"/>
          <w:color w:val="000000"/>
          <w:sz w:val="20"/>
          <w:szCs w:val="20"/>
        </w:rPr>
        <w:t xml:space="preserve"> and </w:t>
      </w:r>
      <w:r w:rsidR="00C8216E">
        <w:rPr>
          <w:rFonts w:ascii="Calibri" w:hAnsi="Calibri"/>
          <w:color w:val="000000"/>
          <w:sz w:val="20"/>
          <w:szCs w:val="20"/>
        </w:rPr>
        <w:t>the diagnoses the patients receive (ICD-10 code). These data are available to MDPH in near real-time.</w:t>
      </w:r>
    </w:p>
    <w:p w:rsidR="00E92CAA" w:rsidRDefault="00E92CAA" w:rsidP="00773D8D">
      <w:pPr>
        <w:rPr>
          <w:rFonts w:ascii="Calibri" w:hAnsi="Calibri"/>
          <w:color w:val="000000"/>
          <w:sz w:val="20"/>
          <w:szCs w:val="20"/>
        </w:rPr>
      </w:pPr>
    </w:p>
    <w:p w:rsidR="00773D8D" w:rsidRPr="00E44726" w:rsidRDefault="00E92CAA" w:rsidP="00773D8D">
      <w:pPr>
        <w:rPr>
          <w:rFonts w:ascii="Calibri" w:hAnsi="Calibri"/>
          <w:color w:val="000000"/>
          <w:sz w:val="8"/>
          <w:szCs w:val="8"/>
        </w:rPr>
      </w:pPr>
      <w:r>
        <w:rPr>
          <w:rFonts w:ascii="Calibri" w:hAnsi="Calibri"/>
          <w:color w:val="000000"/>
          <w:sz w:val="20"/>
          <w:szCs w:val="20"/>
        </w:rPr>
        <w:t>Figure 2</w:t>
      </w:r>
      <w:r w:rsidR="00773D8D" w:rsidRPr="00BB2304">
        <w:rPr>
          <w:rFonts w:ascii="Calibri" w:hAnsi="Calibri"/>
          <w:color w:val="000000"/>
          <w:sz w:val="20"/>
          <w:szCs w:val="20"/>
        </w:rPr>
        <w:t xml:space="preserve"> shows </w:t>
      </w:r>
      <w:r>
        <w:rPr>
          <w:rFonts w:ascii="Calibri" w:hAnsi="Calibri"/>
          <w:color w:val="000000"/>
          <w:sz w:val="20"/>
          <w:szCs w:val="20"/>
        </w:rPr>
        <w:t xml:space="preserve">the </w:t>
      </w:r>
      <w:r w:rsidR="00773D8D" w:rsidRPr="00BB2304">
        <w:rPr>
          <w:rFonts w:ascii="Calibri" w:hAnsi="Calibri"/>
          <w:color w:val="000000"/>
          <w:sz w:val="20"/>
          <w:szCs w:val="20"/>
        </w:rPr>
        <w:t xml:space="preserve">percent of all ED </w:t>
      </w:r>
      <w:r w:rsidR="009773CE">
        <w:rPr>
          <w:rFonts w:ascii="Calibri" w:hAnsi="Calibri"/>
          <w:color w:val="000000"/>
          <w:sz w:val="20"/>
          <w:szCs w:val="20"/>
        </w:rPr>
        <w:t>visits which result in the patient being hospitalized</w:t>
      </w:r>
      <w:r w:rsidR="009773CE" w:rsidRPr="00BB2304" w:rsidDel="00C8216E">
        <w:rPr>
          <w:rFonts w:ascii="Calibri" w:hAnsi="Calibri"/>
          <w:color w:val="000000"/>
          <w:sz w:val="20"/>
          <w:szCs w:val="20"/>
        </w:rPr>
        <w:t xml:space="preserve"> </w:t>
      </w:r>
      <w:r w:rsidR="009773CE">
        <w:rPr>
          <w:rFonts w:ascii="Calibri" w:hAnsi="Calibri"/>
          <w:color w:val="000000"/>
          <w:sz w:val="20"/>
          <w:szCs w:val="20"/>
        </w:rPr>
        <w:t>that are associated with influenza infection.</w:t>
      </w:r>
    </w:p>
    <w:p w:rsidR="00773D8D" w:rsidRDefault="00773D8D" w:rsidP="00773D8D">
      <w:pPr>
        <w:adjustRightInd w:val="0"/>
        <w:jc w:val="center"/>
        <w:rPr>
          <w:rFonts w:ascii="Calibri" w:hAnsi="Calibri"/>
          <w:sz w:val="20"/>
          <w:szCs w:val="20"/>
        </w:rPr>
      </w:pPr>
    </w:p>
    <w:p w:rsidR="00773D8D" w:rsidRDefault="00773D8D" w:rsidP="00395A85">
      <w:pPr>
        <w:rPr>
          <w:rFonts w:ascii="Calibri" w:hAnsi="Calibri"/>
          <w:color w:val="000000"/>
          <w:sz w:val="20"/>
          <w:szCs w:val="20"/>
        </w:rPr>
      </w:pPr>
    </w:p>
    <w:p w:rsidR="00860062" w:rsidRDefault="008B2004" w:rsidP="00395A85">
      <w:pPr>
        <w:rPr>
          <w:rFonts w:ascii="Calibri" w:hAnsi="Calibri"/>
          <w:color w:val="000000"/>
          <w:sz w:val="20"/>
          <w:szCs w:val="20"/>
        </w:rPr>
      </w:pPr>
      <w:r>
        <w:rPr>
          <w:rFonts w:ascii="Calibri" w:hAnsi="Calibri"/>
          <w:noProof/>
          <w:color w:val="000000"/>
          <w:sz w:val="20"/>
          <w:szCs w:val="20"/>
        </w:rPr>
        <w:drawing>
          <wp:inline distT="0" distB="0" distL="0" distR="0">
            <wp:extent cx="6096000" cy="4572000"/>
            <wp:effectExtent l="0" t="0" r="0" b="0"/>
            <wp:docPr id="2" name="Picture 2" descr="Figure two is a line graph showing the percentage of  all emergency Department (ED) visits which result in the patient being hospitalized that are associated with influenza infection in Massachusetts by week. Weekly percent of influenza-associated hospitalizations is plotted for the 2016-2017, 2017-2018, and 2018-2019 influenza seasons to date. Percentage of influenza-associated hospitalizations for the 2018-2019 season has declined since February. As of May 18, 2019, the percentage of influenza-associated hospitalizations is 0.38%, which is comparable to last season and the previous season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two is a line graph showing the percentage of  all emergency Department (ED) visits which result in the patient being hospitalized that are associated with influenza infection in Massachusetts by week. Weekly percent of influenza-associated hospitalizations is plotted for the 2016-2017, 2017-2018, and 2018-2019 influenza seasons to date. Percentage of influenza-associated hospitalizations for the 2018-2019 season has declined since February. As of May 18, 2019, the percentage of influenza-associated hospitalizations is 0.38%, which is comparable to last season and the previous season in the same wee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Default="00860062" w:rsidP="00395A85">
      <w:pPr>
        <w:rPr>
          <w:rFonts w:ascii="Calibri" w:hAnsi="Calibri"/>
          <w:color w:val="000000"/>
          <w:sz w:val="20"/>
          <w:szCs w:val="20"/>
        </w:rPr>
      </w:pPr>
    </w:p>
    <w:p w:rsidR="00860062" w:rsidRPr="004902A2" w:rsidRDefault="005F5517" w:rsidP="00395A85">
      <w:pPr>
        <w:rPr>
          <w:rFonts w:ascii="Calibri" w:hAnsi="Calibri"/>
          <w:b/>
          <w:u w:val="single"/>
        </w:rPr>
      </w:pPr>
      <w:r w:rsidRPr="004902A2">
        <w:rPr>
          <w:rFonts w:ascii="Calibri" w:hAnsi="Calibri"/>
          <w:b/>
          <w:u w:val="single"/>
        </w:rPr>
        <w:lastRenderedPageBreak/>
        <w:t>Regional ILI activity</w:t>
      </w:r>
    </w:p>
    <w:p w:rsidR="004561F4" w:rsidRPr="00931721" w:rsidRDefault="00206BE1" w:rsidP="00395A85">
      <w:pPr>
        <w:rPr>
          <w:rFonts w:ascii="Calibri" w:hAnsi="Calibri"/>
          <w:color w:val="000000"/>
          <w:sz w:val="20"/>
          <w:szCs w:val="20"/>
        </w:rPr>
      </w:pPr>
      <w:r w:rsidRPr="004902A2">
        <w:rPr>
          <w:rFonts w:ascii="Calibri" w:hAnsi="Calibri"/>
          <w:color w:val="000000"/>
          <w:sz w:val="20"/>
          <w:szCs w:val="20"/>
        </w:rPr>
        <w:t>Figure 3</w:t>
      </w:r>
      <w:r w:rsidR="00E40F41" w:rsidRPr="004902A2">
        <w:rPr>
          <w:rFonts w:ascii="Calibri" w:hAnsi="Calibri"/>
          <w:color w:val="000000"/>
          <w:sz w:val="20"/>
          <w:szCs w:val="20"/>
        </w:rPr>
        <w:t xml:space="preserve"> shows the</w:t>
      </w:r>
      <w:r w:rsidR="00C8216E" w:rsidRPr="004902A2">
        <w:rPr>
          <w:rFonts w:ascii="Calibri" w:hAnsi="Calibri"/>
          <w:color w:val="000000"/>
          <w:sz w:val="20"/>
          <w:szCs w:val="20"/>
        </w:rPr>
        <w:t xml:space="preserve"> relative</w:t>
      </w:r>
      <w:r w:rsidR="00E40F41" w:rsidRPr="004902A2">
        <w:rPr>
          <w:rFonts w:ascii="Calibri" w:hAnsi="Calibri"/>
          <w:color w:val="000000"/>
          <w:sz w:val="20"/>
          <w:szCs w:val="20"/>
        </w:rPr>
        <w:t xml:space="preserve"> intensity of reported ILI activity in Massachusetts by region. </w:t>
      </w:r>
      <w:r w:rsidR="001D4FF4" w:rsidRPr="004902A2">
        <w:rPr>
          <w:rFonts w:ascii="Calibri" w:hAnsi="Calibri"/>
          <w:color w:val="000000"/>
          <w:sz w:val="20"/>
          <w:szCs w:val="20"/>
        </w:rPr>
        <w:t xml:space="preserve">Although regions may not all experience the same intensity of ILI at similar times, infections due to influenza can be found throughout Massachusetts during flu season. </w:t>
      </w:r>
      <w:r w:rsidR="00083739" w:rsidRPr="004902A2">
        <w:rPr>
          <w:rFonts w:ascii="Calibri" w:hAnsi="Calibri"/>
          <w:color w:val="000000"/>
          <w:sz w:val="20"/>
          <w:szCs w:val="20"/>
        </w:rPr>
        <w:t xml:space="preserve">Figure 3 shows </w:t>
      </w:r>
      <w:r w:rsidR="00F800A2">
        <w:rPr>
          <w:rFonts w:ascii="Calibri" w:hAnsi="Calibri"/>
          <w:color w:val="000000"/>
          <w:sz w:val="20"/>
          <w:szCs w:val="20"/>
        </w:rPr>
        <w:t xml:space="preserve">that all </w:t>
      </w:r>
      <w:r w:rsidR="00595E61" w:rsidRPr="004902A2">
        <w:rPr>
          <w:rFonts w:ascii="Calibri" w:hAnsi="Calibri"/>
          <w:color w:val="000000"/>
          <w:sz w:val="20"/>
          <w:szCs w:val="20"/>
        </w:rPr>
        <w:t xml:space="preserve">regions of Massachusetts </w:t>
      </w:r>
      <w:r w:rsidR="00CA0AD2" w:rsidRPr="004902A2">
        <w:rPr>
          <w:rFonts w:ascii="Calibri" w:hAnsi="Calibri"/>
          <w:color w:val="000000"/>
          <w:sz w:val="20"/>
          <w:szCs w:val="20"/>
        </w:rPr>
        <w:t>are reporting increased</w:t>
      </w:r>
      <w:r w:rsidR="00CA0AD2" w:rsidRPr="00931721">
        <w:rPr>
          <w:rFonts w:ascii="Calibri" w:hAnsi="Calibri"/>
          <w:color w:val="000000"/>
          <w:sz w:val="20"/>
          <w:szCs w:val="20"/>
        </w:rPr>
        <w:t xml:space="preserve"> ILI activity</w:t>
      </w:r>
      <w:r w:rsidR="005F068F" w:rsidRPr="00931721">
        <w:rPr>
          <w:rFonts w:ascii="Calibri" w:hAnsi="Calibri"/>
          <w:color w:val="000000"/>
          <w:sz w:val="20"/>
          <w:szCs w:val="20"/>
        </w:rPr>
        <w:t xml:space="preserve"> </w:t>
      </w:r>
      <w:r w:rsidR="00F800A2">
        <w:rPr>
          <w:rFonts w:ascii="Calibri" w:hAnsi="Calibri"/>
          <w:color w:val="000000"/>
          <w:sz w:val="20"/>
          <w:szCs w:val="20"/>
        </w:rPr>
        <w:t>except the Boston and West regions.</w:t>
      </w:r>
    </w:p>
    <w:p w:rsidR="00B2285D" w:rsidRPr="00002251" w:rsidRDefault="008B2004" w:rsidP="00395A85">
      <w:pPr>
        <w:contextualSpacing/>
        <w:jc w:val="center"/>
        <w:rPr>
          <w:rFonts w:ascii="Calibri" w:hAnsi="Calibri"/>
          <w:sz w:val="20"/>
          <w:szCs w:val="20"/>
        </w:rPr>
      </w:pPr>
      <w:r>
        <w:rPr>
          <w:rFonts w:ascii="Calibri" w:hAnsi="Calibri"/>
          <w:noProof/>
          <w:sz w:val="20"/>
          <w:szCs w:val="20"/>
        </w:rPr>
        <w:drawing>
          <wp:inline distT="0" distB="0" distL="0" distR="0">
            <wp:extent cx="6305550" cy="4200525"/>
            <wp:effectExtent l="0" t="0" r="0" b="9525"/>
            <wp:docPr id="3" name="Picture 3" descr="Figure three is a map of Massachusetts showing the current intensity of regional influenza-like illness (ILI) activity reported by sentinel provider sites. Regions are shaded from light to dark blue indicating minimal (1-3), low(4-5), moderate(6-7), or high (8-10) intensity of ILI activity. As of May 18, 2019, all seven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three is a map of Massachusetts showing the current intensity of regional influenza-like illness (ILI) activity reported by sentinel provider sites. Regions are shaded from light to dark blue indicating minimal (1-3), low(4-5), moderate(6-7), or high (8-10) intensity of ILI activity. As of May 18, 2019, all seven regions are reporting minimal ILI activity."/>
                    <pic:cNvPicPr>
                      <a:picLocks noChangeAspect="1" noChangeArrowheads="1"/>
                    </pic:cNvPicPr>
                  </pic:nvPicPr>
                  <pic:blipFill>
                    <a:blip r:embed="rId14">
                      <a:extLst>
                        <a:ext uri="{28A0092B-C50C-407E-A947-70E740481C1C}">
                          <a14:useLocalDpi xmlns:a14="http://schemas.microsoft.com/office/drawing/2010/main" val="0"/>
                        </a:ext>
                      </a:extLst>
                    </a:blip>
                    <a:srcRect t="2353" b="11530"/>
                    <a:stretch>
                      <a:fillRect/>
                    </a:stretch>
                  </pic:blipFill>
                  <pic:spPr bwMode="auto">
                    <a:xfrm>
                      <a:off x="0" y="0"/>
                      <a:ext cx="6305550" cy="4200525"/>
                    </a:xfrm>
                    <a:prstGeom prst="rect">
                      <a:avLst/>
                    </a:prstGeom>
                    <a:noFill/>
                    <a:ln>
                      <a:noFill/>
                    </a:ln>
                  </pic:spPr>
                </pic:pic>
              </a:graphicData>
            </a:graphic>
          </wp:inline>
        </w:drawing>
      </w: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EC5170" w:rsidRDefault="00EC5170" w:rsidP="00395A85">
      <w:pPr>
        <w:adjustRightInd w:val="0"/>
        <w:contextualSpacing/>
        <w:rPr>
          <w:rFonts w:ascii="Calibri" w:hAnsi="Calibri"/>
          <w:b/>
          <w:bCs/>
          <w:color w:val="000000"/>
          <w:u w:val="single"/>
        </w:rPr>
      </w:pPr>
    </w:p>
    <w:p w:rsidR="00B448AB" w:rsidRDefault="00B448AB" w:rsidP="00395A85">
      <w:pPr>
        <w:adjustRightInd w:val="0"/>
        <w:contextualSpacing/>
        <w:rPr>
          <w:rFonts w:ascii="Calibri" w:hAnsi="Calibri"/>
          <w:b/>
          <w:bCs/>
          <w:color w:val="000000"/>
          <w:u w:val="single"/>
        </w:rPr>
      </w:pPr>
    </w:p>
    <w:p w:rsidR="00B74464" w:rsidRPr="004F3C2D" w:rsidRDefault="00B74464" w:rsidP="00395A85">
      <w:pPr>
        <w:adjustRightInd w:val="0"/>
        <w:contextualSpacing/>
        <w:rPr>
          <w:rFonts w:ascii="Calibri" w:hAnsi="Calibri"/>
          <w:b/>
          <w:bCs/>
          <w:color w:val="000000"/>
          <w:u w:val="single"/>
        </w:rPr>
      </w:pPr>
      <w:r w:rsidRPr="00F05615">
        <w:rPr>
          <w:rFonts w:ascii="Calibri" w:hAnsi="Calibri"/>
          <w:b/>
          <w:bCs/>
          <w:color w:val="000000"/>
          <w:u w:val="single"/>
        </w:rPr>
        <w:lastRenderedPageBreak/>
        <w:t>Laboratory testing for influenza</w:t>
      </w:r>
    </w:p>
    <w:p w:rsidR="004B298F" w:rsidRDefault="00B74464" w:rsidP="00B74464">
      <w:pPr>
        <w:adjustRightInd w:val="0"/>
        <w:rPr>
          <w:rFonts w:ascii="Calibri" w:hAnsi="Calibri"/>
          <w:color w:val="000000"/>
          <w:sz w:val="20"/>
          <w:szCs w:val="20"/>
        </w:rPr>
      </w:pPr>
      <w:r>
        <w:rPr>
          <w:rFonts w:ascii="Calibri" w:hAnsi="Calibri"/>
          <w:color w:val="000000"/>
          <w:sz w:val="20"/>
          <w:szCs w:val="20"/>
        </w:rPr>
        <w:t>Laboratories in Massachusetts report a</w:t>
      </w:r>
      <w:r w:rsidR="00206BE1">
        <w:rPr>
          <w:rFonts w:ascii="Calibri" w:hAnsi="Calibri"/>
          <w:color w:val="000000"/>
          <w:sz w:val="20"/>
          <w:szCs w:val="20"/>
        </w:rPr>
        <w:t>ll positive influenza</w:t>
      </w:r>
      <w:r>
        <w:rPr>
          <w:rFonts w:ascii="Calibri" w:hAnsi="Calibri"/>
          <w:color w:val="000000"/>
          <w:sz w:val="20"/>
          <w:szCs w:val="20"/>
        </w:rPr>
        <w:t xml:space="preserve"> test</w:t>
      </w:r>
      <w:r w:rsidR="00870728">
        <w:rPr>
          <w:rFonts w:ascii="Calibri" w:hAnsi="Calibri"/>
          <w:color w:val="000000"/>
          <w:sz w:val="20"/>
          <w:szCs w:val="20"/>
        </w:rPr>
        <w:t xml:space="preserve"> results</w:t>
      </w:r>
      <w:r>
        <w:rPr>
          <w:rFonts w:ascii="Calibri" w:hAnsi="Calibri"/>
          <w:color w:val="000000"/>
          <w:sz w:val="20"/>
          <w:szCs w:val="20"/>
        </w:rPr>
        <w:t xml:space="preserve"> to</w:t>
      </w:r>
      <w:r w:rsidR="000056FE">
        <w:rPr>
          <w:rFonts w:ascii="Calibri" w:hAnsi="Calibri"/>
          <w:color w:val="000000"/>
          <w:sz w:val="20"/>
          <w:szCs w:val="20"/>
        </w:rPr>
        <w:t xml:space="preserve"> MDPH</w:t>
      </w:r>
      <w:r w:rsidR="00206BE1">
        <w:rPr>
          <w:rFonts w:ascii="Calibri" w:hAnsi="Calibri"/>
          <w:color w:val="000000"/>
          <w:sz w:val="20"/>
          <w:szCs w:val="20"/>
        </w:rPr>
        <w:t>.</w:t>
      </w:r>
      <w:r w:rsidR="000056FE">
        <w:rPr>
          <w:rFonts w:ascii="Calibri" w:hAnsi="Calibri"/>
          <w:color w:val="000000"/>
          <w:sz w:val="20"/>
          <w:szCs w:val="20"/>
        </w:rPr>
        <w:t xml:space="preserve"> </w:t>
      </w:r>
      <w:r w:rsidR="00870728">
        <w:rPr>
          <w:rFonts w:ascii="Calibri" w:hAnsi="Calibri"/>
          <w:color w:val="000000"/>
          <w:sz w:val="20"/>
          <w:szCs w:val="20"/>
        </w:rPr>
        <w:t>T</w:t>
      </w:r>
      <w:r>
        <w:rPr>
          <w:rFonts w:ascii="Calibri" w:hAnsi="Calibri"/>
          <w:color w:val="000000"/>
          <w:sz w:val="20"/>
          <w:szCs w:val="20"/>
        </w:rPr>
        <w:t xml:space="preserve">he majority of </w:t>
      </w:r>
      <w:r w:rsidR="00414649">
        <w:rPr>
          <w:rFonts w:ascii="Calibri" w:hAnsi="Calibri"/>
          <w:color w:val="000000"/>
          <w:sz w:val="20"/>
          <w:szCs w:val="20"/>
        </w:rPr>
        <w:t xml:space="preserve">individuals with influenza-like illness </w:t>
      </w:r>
      <w:r>
        <w:rPr>
          <w:rFonts w:ascii="Calibri" w:hAnsi="Calibri"/>
          <w:color w:val="000000"/>
          <w:sz w:val="20"/>
          <w:szCs w:val="20"/>
        </w:rPr>
        <w:t xml:space="preserve">are not </w:t>
      </w:r>
      <w:r w:rsidR="00414649">
        <w:rPr>
          <w:rFonts w:ascii="Calibri" w:hAnsi="Calibri"/>
          <w:color w:val="000000"/>
          <w:sz w:val="20"/>
          <w:szCs w:val="20"/>
        </w:rPr>
        <w:t>tested;</w:t>
      </w:r>
      <w:r w:rsidR="00206BE1">
        <w:rPr>
          <w:rFonts w:ascii="Calibri" w:hAnsi="Calibri"/>
          <w:color w:val="000000"/>
          <w:sz w:val="20"/>
          <w:szCs w:val="20"/>
        </w:rPr>
        <w:t xml:space="preserve"> t</w:t>
      </w:r>
      <w:r w:rsidR="00870728">
        <w:rPr>
          <w:rFonts w:ascii="Calibri" w:hAnsi="Calibri"/>
          <w:color w:val="000000"/>
          <w:sz w:val="20"/>
          <w:szCs w:val="20"/>
        </w:rPr>
        <w:t>heref</w:t>
      </w:r>
      <w:r w:rsidR="004B298F">
        <w:rPr>
          <w:rFonts w:ascii="Calibri" w:hAnsi="Calibri"/>
          <w:color w:val="000000"/>
          <w:sz w:val="20"/>
          <w:szCs w:val="20"/>
        </w:rPr>
        <w:t>ore the number of positive test results does</w:t>
      </w:r>
      <w:r w:rsidR="00870728">
        <w:rPr>
          <w:rFonts w:ascii="Calibri" w:hAnsi="Calibri"/>
          <w:color w:val="000000"/>
          <w:sz w:val="20"/>
          <w:szCs w:val="20"/>
        </w:rPr>
        <w:t xml:space="preserve"> </w:t>
      </w:r>
      <w:r w:rsidR="00870728" w:rsidRPr="009D7422">
        <w:rPr>
          <w:rFonts w:ascii="Calibri" w:hAnsi="Calibri"/>
          <w:b/>
          <w:color w:val="000000"/>
          <w:sz w:val="20"/>
          <w:szCs w:val="20"/>
          <w:u w:val="single"/>
        </w:rPr>
        <w:t>not</w:t>
      </w:r>
      <w:r w:rsidR="00870728">
        <w:rPr>
          <w:rFonts w:ascii="Calibri" w:hAnsi="Calibri"/>
          <w:color w:val="000000"/>
          <w:sz w:val="20"/>
          <w:szCs w:val="20"/>
        </w:rPr>
        <w:t xml:space="preserve"> reflect </w:t>
      </w:r>
      <w:r w:rsidR="004B298F">
        <w:rPr>
          <w:rFonts w:ascii="Calibri" w:hAnsi="Calibri"/>
          <w:color w:val="000000"/>
          <w:sz w:val="20"/>
          <w:szCs w:val="20"/>
        </w:rPr>
        <w:t>the total number of influenza cases</w:t>
      </w:r>
      <w:r w:rsidR="00414649">
        <w:rPr>
          <w:rFonts w:ascii="Calibri" w:hAnsi="Calibri"/>
          <w:color w:val="000000"/>
          <w:sz w:val="20"/>
          <w:szCs w:val="20"/>
        </w:rPr>
        <w:t xml:space="preserve"> in Massachusetts</w:t>
      </w:r>
      <w:r w:rsidR="004B298F">
        <w:rPr>
          <w:rFonts w:ascii="Calibri" w:hAnsi="Calibri"/>
          <w:color w:val="000000"/>
          <w:sz w:val="20"/>
          <w:szCs w:val="20"/>
        </w:rPr>
        <w:t>.</w:t>
      </w:r>
      <w:r w:rsidR="00870728">
        <w:rPr>
          <w:rFonts w:ascii="Calibri" w:hAnsi="Calibri"/>
          <w:color w:val="000000"/>
          <w:sz w:val="20"/>
          <w:szCs w:val="20"/>
        </w:rPr>
        <w:t xml:space="preserve"> H</w:t>
      </w:r>
      <w:r>
        <w:rPr>
          <w:rFonts w:ascii="Calibri" w:hAnsi="Calibri"/>
          <w:color w:val="000000"/>
          <w:sz w:val="20"/>
          <w:szCs w:val="20"/>
        </w:rPr>
        <w:t xml:space="preserve">owever, </w:t>
      </w:r>
      <w:r w:rsidR="00870728">
        <w:rPr>
          <w:rFonts w:ascii="Calibri" w:hAnsi="Calibri"/>
          <w:color w:val="000000"/>
          <w:sz w:val="20"/>
          <w:szCs w:val="20"/>
        </w:rPr>
        <w:t xml:space="preserve">laboratory data </w:t>
      </w:r>
      <w:r w:rsidR="004B298F">
        <w:rPr>
          <w:rFonts w:ascii="Calibri" w:hAnsi="Calibri"/>
          <w:color w:val="000000"/>
          <w:sz w:val="20"/>
          <w:szCs w:val="20"/>
        </w:rPr>
        <w:t>do provide information about the</w:t>
      </w:r>
      <w:r>
        <w:rPr>
          <w:rFonts w:ascii="Calibri" w:hAnsi="Calibri"/>
          <w:color w:val="000000"/>
          <w:sz w:val="20"/>
          <w:szCs w:val="20"/>
        </w:rPr>
        <w:t xml:space="preserve"> types of influenza </w:t>
      </w:r>
      <w:r w:rsidR="00870728">
        <w:rPr>
          <w:rFonts w:ascii="Calibri" w:hAnsi="Calibri"/>
          <w:color w:val="000000"/>
          <w:sz w:val="20"/>
          <w:szCs w:val="20"/>
        </w:rPr>
        <w:t xml:space="preserve">virus </w:t>
      </w:r>
      <w:r>
        <w:rPr>
          <w:rFonts w:ascii="Calibri" w:hAnsi="Calibri"/>
          <w:color w:val="000000"/>
          <w:sz w:val="20"/>
          <w:szCs w:val="20"/>
        </w:rPr>
        <w:t xml:space="preserve">circulating in Massachusetts and </w:t>
      </w:r>
      <w:r w:rsidR="00E70B5F">
        <w:rPr>
          <w:rFonts w:ascii="Calibri" w:hAnsi="Calibri"/>
          <w:color w:val="000000"/>
          <w:sz w:val="20"/>
          <w:szCs w:val="20"/>
        </w:rPr>
        <w:t xml:space="preserve">help indicate </w:t>
      </w:r>
      <w:r w:rsidR="004B298F">
        <w:rPr>
          <w:rFonts w:ascii="Calibri" w:hAnsi="Calibri"/>
          <w:color w:val="000000"/>
          <w:sz w:val="20"/>
          <w:szCs w:val="20"/>
        </w:rPr>
        <w:t>the presence and</w:t>
      </w:r>
      <w:r>
        <w:rPr>
          <w:rFonts w:ascii="Calibri" w:hAnsi="Calibri"/>
          <w:color w:val="000000"/>
          <w:sz w:val="20"/>
          <w:szCs w:val="20"/>
        </w:rPr>
        <w:t xml:space="preserve"> </w:t>
      </w:r>
      <w:r w:rsidR="00E70B5F">
        <w:rPr>
          <w:rFonts w:ascii="Calibri" w:hAnsi="Calibri"/>
          <w:color w:val="000000"/>
          <w:sz w:val="20"/>
          <w:szCs w:val="20"/>
        </w:rPr>
        <w:t xml:space="preserve">define the </w:t>
      </w:r>
      <w:r>
        <w:rPr>
          <w:rFonts w:ascii="Calibri" w:hAnsi="Calibri"/>
          <w:color w:val="000000"/>
          <w:sz w:val="20"/>
          <w:szCs w:val="20"/>
        </w:rPr>
        <w:t>distribution of influenza in the state</w:t>
      </w:r>
      <w:r w:rsidR="00396E7C">
        <w:rPr>
          <w:rFonts w:ascii="Calibri" w:hAnsi="Calibri"/>
          <w:color w:val="000000"/>
          <w:sz w:val="20"/>
          <w:szCs w:val="20"/>
        </w:rPr>
        <w:t>.  Figure 4</w:t>
      </w:r>
      <w:r w:rsidRPr="00E8562A">
        <w:rPr>
          <w:rFonts w:ascii="Calibri" w:hAnsi="Calibri"/>
          <w:color w:val="000000"/>
          <w:sz w:val="20"/>
          <w:szCs w:val="20"/>
        </w:rPr>
        <w:t xml:space="preserve"> illustrates the number of </w:t>
      </w:r>
      <w:r w:rsidR="00870728">
        <w:rPr>
          <w:rFonts w:ascii="Calibri" w:hAnsi="Calibri"/>
          <w:color w:val="000000"/>
          <w:sz w:val="20"/>
          <w:szCs w:val="20"/>
        </w:rPr>
        <w:t xml:space="preserve">positive </w:t>
      </w:r>
      <w:r w:rsidRPr="00E8562A">
        <w:rPr>
          <w:rFonts w:ascii="Calibri" w:hAnsi="Calibri"/>
          <w:color w:val="000000"/>
          <w:sz w:val="20"/>
          <w:szCs w:val="20"/>
        </w:rPr>
        <w:t xml:space="preserve">laboratory </w:t>
      </w:r>
      <w:r w:rsidR="00870728">
        <w:rPr>
          <w:rFonts w:ascii="Calibri" w:hAnsi="Calibri"/>
          <w:color w:val="000000"/>
          <w:sz w:val="20"/>
          <w:szCs w:val="20"/>
        </w:rPr>
        <w:t xml:space="preserve">confirmed influenza cases </w:t>
      </w:r>
      <w:r w:rsidRPr="00E8562A">
        <w:rPr>
          <w:rFonts w:ascii="Calibri" w:hAnsi="Calibri"/>
          <w:color w:val="000000"/>
          <w:sz w:val="20"/>
          <w:szCs w:val="20"/>
        </w:rPr>
        <w:t>in Massachusetts by week</w:t>
      </w:r>
      <w:r w:rsidR="00870728">
        <w:rPr>
          <w:rFonts w:ascii="Calibri" w:hAnsi="Calibri"/>
          <w:color w:val="000000"/>
          <w:sz w:val="20"/>
          <w:szCs w:val="20"/>
        </w:rPr>
        <w:t>.</w:t>
      </w:r>
    </w:p>
    <w:p w:rsidR="00B2285D" w:rsidRPr="00B2285D" w:rsidRDefault="00B2285D" w:rsidP="00B74464">
      <w:pPr>
        <w:adjustRightInd w:val="0"/>
        <w:rPr>
          <w:rFonts w:ascii="Calibri" w:hAnsi="Calibri"/>
          <w:color w:val="000000"/>
          <w:sz w:val="12"/>
          <w:szCs w:val="12"/>
        </w:rPr>
      </w:pPr>
    </w:p>
    <w:p w:rsidR="00B2285D" w:rsidRPr="009E7FA8" w:rsidRDefault="008B2004" w:rsidP="009E7FA8">
      <w:pPr>
        <w:adjustRightInd w:val="0"/>
        <w:jc w:val="center"/>
        <w:rPr>
          <w:rFonts w:ascii="Calibri" w:hAnsi="Calibri"/>
          <w:sz w:val="20"/>
          <w:szCs w:val="20"/>
        </w:rPr>
      </w:pPr>
      <w:r>
        <w:rPr>
          <w:rFonts w:ascii="Calibri" w:hAnsi="Calibri"/>
          <w:noProof/>
          <w:sz w:val="20"/>
          <w:szCs w:val="20"/>
        </w:rPr>
        <w:drawing>
          <wp:inline distT="0" distB="0" distL="0" distR="0">
            <wp:extent cx="6096000" cy="4572000"/>
            <wp:effectExtent l="0" t="0" r="0" b="0"/>
            <wp:docPr id="4" name="Picture 4" descr="Figure four is a bar chart displaying the number of laboratory-confirmed influenza cases reported in Massachusetts by week and influenza type for the 2018-2019 influenza season. As of May 18, 2019, the majority of reported cases most weeks are Influenza Type A, however the number of Influenza Type B cases reported have increased and is greater than the number of Influenza A cases reported over recent we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four is a bar chart displaying the number of laboratory-confirmed influenza cases reported in Massachusetts by week and influenza type for the 2018-2019 influenza season. As of May 18, 2019, the majority of reported cases most weeks are Influenza Type A, however the number of Influenza Type B cases reported have increased and is greater than the number of Influenza A cases reported over recent week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 xml:space="preserve">year 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 xml:space="preserve">outpatient healthcare providers (ILINet)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201</w:t>
      </w:r>
      <w:r w:rsidR="0070305E">
        <w:rPr>
          <w:color w:val="000000"/>
          <w:sz w:val="20"/>
          <w:szCs w:val="20"/>
        </w:rPr>
        <w:t>8</w:t>
      </w:r>
      <w:r w:rsidR="00CC567F" w:rsidRPr="003C3FF5">
        <w:rPr>
          <w:color w:val="000000"/>
          <w:sz w:val="20"/>
          <w:szCs w:val="20"/>
        </w:rPr>
        <w:t>-201</w:t>
      </w:r>
      <w:r w:rsidR="0070305E">
        <w:rPr>
          <w:color w:val="000000"/>
          <w:sz w:val="20"/>
          <w:szCs w:val="20"/>
        </w:rPr>
        <w:t>9</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Pr>
          <w:color w:val="000000"/>
          <w:sz w:val="20"/>
          <w:szCs w:val="20"/>
        </w:rPr>
        <w:t>September 30, 2018</w:t>
      </w:r>
      <w:r w:rsidR="00CC567F" w:rsidRPr="003C3FF5">
        <w:rPr>
          <w:color w:val="000000"/>
          <w:sz w:val="20"/>
          <w:szCs w:val="20"/>
        </w:rPr>
        <w:t xml:space="preserve">.  </w:t>
      </w:r>
      <w:r w:rsidR="007812F4">
        <w:rPr>
          <w:sz w:val="20"/>
          <w:szCs w:val="20"/>
        </w:rPr>
        <w:t xml:space="preserve">For the 2018-2019 season so far, the predominant influenza strain is </w:t>
      </w:r>
      <w:r w:rsidR="007812F4" w:rsidRPr="00F04568">
        <w:rPr>
          <w:sz w:val="20"/>
          <w:szCs w:val="20"/>
        </w:rPr>
        <w:t>A/2009 H1N1</w:t>
      </w:r>
      <w:r w:rsidR="009F455E">
        <w:rPr>
          <w:sz w:val="20"/>
          <w:szCs w:val="20"/>
        </w:rPr>
        <w:t xml:space="preserve">; however, </w:t>
      </w:r>
      <w:r w:rsidR="00893FEF">
        <w:rPr>
          <w:sz w:val="20"/>
          <w:szCs w:val="20"/>
        </w:rPr>
        <w:t xml:space="preserve">over recent weeks </w:t>
      </w:r>
      <w:r w:rsidR="00ED13EC">
        <w:rPr>
          <w:sz w:val="20"/>
          <w:szCs w:val="20"/>
        </w:rPr>
        <w:t>i</w:t>
      </w:r>
      <w:r w:rsidR="00893FEF">
        <w:rPr>
          <w:sz w:val="20"/>
          <w:szCs w:val="20"/>
        </w:rPr>
        <w:t xml:space="preserve">nfluenza B has </w:t>
      </w:r>
      <w:r w:rsidR="00ED13EC">
        <w:rPr>
          <w:sz w:val="20"/>
          <w:szCs w:val="20"/>
        </w:rPr>
        <w:t>become more common than influenza A.</w:t>
      </w:r>
    </w:p>
    <w:p w:rsidR="00040A6F" w:rsidRDefault="00040A6F" w:rsidP="00091087">
      <w:pPr>
        <w:rPr>
          <w:rFonts w:ascii="Calibri" w:hAnsi="Calibri"/>
          <w:color w:val="000000"/>
          <w:sz w:val="20"/>
          <w:szCs w:val="20"/>
        </w:rPr>
      </w:pPr>
    </w:p>
    <w:p w:rsidR="003A7309" w:rsidRPr="0068298E" w:rsidRDefault="00B74464" w:rsidP="0068298E">
      <w:pPr>
        <w:adjustRightInd w:val="0"/>
        <w:jc w:val="center"/>
        <w:rPr>
          <w:rFonts w:ascii="Calibri" w:hAnsi="Calibri"/>
          <w:b/>
          <w:bCs/>
          <w:i/>
          <w:iCs/>
          <w:color w:val="000000"/>
          <w:sz w:val="22"/>
          <w:szCs w:val="22"/>
        </w:rPr>
      </w:pPr>
      <w:r w:rsidRPr="00D9039B">
        <w:rPr>
          <w:rFonts w:ascii="Calibri" w:hAnsi="Calibri"/>
          <w:b/>
          <w:bCs/>
          <w:i/>
          <w:iCs/>
          <w:color w:val="000000"/>
          <w:sz w:val="22"/>
          <w:szCs w:val="22"/>
        </w:rPr>
        <w:t xml:space="preserve">Table </w:t>
      </w:r>
      <w:r w:rsidR="000669C3">
        <w:rPr>
          <w:rFonts w:ascii="Calibri" w:hAnsi="Calibri"/>
          <w:b/>
          <w:bCs/>
          <w:i/>
          <w:iCs/>
          <w:color w:val="000000"/>
          <w:sz w:val="22"/>
          <w:szCs w:val="22"/>
        </w:rPr>
        <w:t>1</w:t>
      </w:r>
      <w:r w:rsidRPr="00D9039B">
        <w:rPr>
          <w:rFonts w:ascii="Calibri" w:hAnsi="Calibri"/>
          <w:b/>
          <w:bCs/>
          <w:i/>
          <w:iCs/>
          <w:color w:val="000000"/>
          <w:sz w:val="22"/>
          <w:szCs w:val="22"/>
        </w:rPr>
        <w:t xml:space="preserve">: Weekly Summary of </w:t>
      </w:r>
      <w:r w:rsidR="00BA2897">
        <w:rPr>
          <w:rFonts w:ascii="Calibri" w:hAnsi="Calibri"/>
          <w:b/>
          <w:bCs/>
          <w:i/>
          <w:iCs/>
          <w:color w:val="000000"/>
          <w:sz w:val="22"/>
          <w:szCs w:val="22"/>
        </w:rPr>
        <w:t xml:space="preserve">Massachusetts State Public Health Laboratory </w:t>
      </w:r>
      <w:r w:rsidRPr="00D9039B">
        <w:rPr>
          <w:rFonts w:ascii="Calibri" w:hAnsi="Calibri"/>
          <w:b/>
          <w:bCs/>
          <w:i/>
          <w:iCs/>
          <w:color w:val="000000"/>
          <w:sz w:val="22"/>
          <w:szCs w:val="22"/>
        </w:rPr>
        <w:t>Influenza Surveillance Test Results</w:t>
      </w:r>
    </w:p>
    <w:tbl>
      <w:tblPr>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2"/>
        <w:gridCol w:w="720"/>
        <w:gridCol w:w="990"/>
        <w:gridCol w:w="810"/>
        <w:gridCol w:w="810"/>
        <w:gridCol w:w="630"/>
        <w:gridCol w:w="1170"/>
        <w:gridCol w:w="720"/>
        <w:gridCol w:w="810"/>
        <w:gridCol w:w="698"/>
      </w:tblGrid>
      <w:tr w:rsidR="00B74464" w:rsidRPr="009C5E07" w:rsidTr="00E27BEC">
        <w:trPr>
          <w:trHeight w:val="359"/>
          <w:jc w:val="center"/>
        </w:trPr>
        <w:tc>
          <w:tcPr>
            <w:tcW w:w="9460" w:type="dxa"/>
            <w:gridSpan w:val="10"/>
            <w:tcMar>
              <w:left w:w="115" w:type="dxa"/>
              <w:right w:w="115" w:type="dxa"/>
            </w:tcMar>
            <w:vAlign w:val="center"/>
          </w:tcPr>
          <w:p w:rsidR="00B74464" w:rsidRPr="000669C3" w:rsidRDefault="00B74464" w:rsidP="000669C3">
            <w:pPr>
              <w:jc w:val="center"/>
              <w:rPr>
                <w:rFonts w:ascii="Calibri" w:hAnsi="Calibri"/>
                <w:sz w:val="22"/>
              </w:rPr>
            </w:pPr>
            <w:r w:rsidRPr="009C5E07">
              <w:rPr>
                <w:rFonts w:ascii="Calibri" w:hAnsi="Calibri"/>
                <w:b/>
                <w:sz w:val="22"/>
              </w:rPr>
              <w:t>201</w:t>
            </w:r>
            <w:r w:rsidR="00061FB0">
              <w:rPr>
                <w:rFonts w:ascii="Calibri" w:hAnsi="Calibri"/>
                <w:b/>
                <w:sz w:val="22"/>
              </w:rPr>
              <w:t>8</w:t>
            </w:r>
            <w:r w:rsidRPr="009C5E07">
              <w:rPr>
                <w:rFonts w:ascii="Calibri" w:hAnsi="Calibri"/>
                <w:b/>
                <w:sz w:val="22"/>
              </w:rPr>
              <w:t>-201</w:t>
            </w:r>
            <w:r w:rsidR="00061FB0">
              <w:rPr>
                <w:rFonts w:ascii="Calibri" w:hAnsi="Calibri"/>
                <w:b/>
                <w:sz w:val="22"/>
              </w:rPr>
              <w:t>9</w:t>
            </w:r>
            <w:r w:rsidRPr="009C5E07">
              <w:rPr>
                <w:rFonts w:ascii="Calibri" w:hAnsi="Calibri"/>
                <w:b/>
                <w:sz w:val="22"/>
              </w:rPr>
              <w:t xml:space="preserve"> Season</w:t>
            </w:r>
            <w:r w:rsidRPr="009C5E07">
              <w:rPr>
                <w:rFonts w:ascii="Calibri" w:hAnsi="Calibri"/>
                <w:sz w:val="22"/>
              </w:rPr>
              <w:t>: Influenza Surveillance</w:t>
            </w:r>
          </w:p>
        </w:tc>
      </w:tr>
      <w:tr w:rsidR="007844FC" w:rsidRPr="009C5E07" w:rsidTr="00852A42">
        <w:trPr>
          <w:trHeight w:val="476"/>
          <w:jc w:val="center"/>
        </w:trPr>
        <w:tc>
          <w:tcPr>
            <w:tcW w:w="2102" w:type="dxa"/>
            <w:tcBorders>
              <w:bottom w:val="single" w:sz="4" w:space="0" w:color="000000"/>
            </w:tcBorders>
            <w:tcMar>
              <w:left w:w="115" w:type="dxa"/>
              <w:right w:w="115" w:type="dxa"/>
            </w:tcMar>
            <w:vAlign w:val="center"/>
          </w:tcPr>
          <w:p w:rsidR="00B74464" w:rsidRPr="004C47B9" w:rsidRDefault="00B74464" w:rsidP="000669C3">
            <w:pPr>
              <w:jc w:val="center"/>
              <w:rPr>
                <w:rFonts w:ascii="Calibri" w:hAnsi="Calibri"/>
                <w:sz w:val="20"/>
                <w:szCs w:val="20"/>
              </w:rPr>
            </w:pPr>
            <w:r w:rsidRPr="004C47B9">
              <w:rPr>
                <w:rFonts w:ascii="Calibri" w:hAnsi="Calibri"/>
                <w:sz w:val="20"/>
                <w:szCs w:val="20"/>
              </w:rPr>
              <w:t>Week</w:t>
            </w:r>
          </w:p>
        </w:tc>
        <w:tc>
          <w:tcPr>
            <w:tcW w:w="720" w:type="dxa"/>
            <w:tcBorders>
              <w:bottom w:val="single" w:sz="4" w:space="0" w:color="000000"/>
            </w:tcBorders>
            <w:vAlign w:val="center"/>
          </w:tcPr>
          <w:p w:rsidR="00B74464" w:rsidRPr="00852A42" w:rsidRDefault="00B74464" w:rsidP="00E27BEC">
            <w:pPr>
              <w:jc w:val="center"/>
              <w:rPr>
                <w:rFonts w:ascii="Calibri" w:hAnsi="Calibri"/>
                <w:sz w:val="20"/>
                <w:szCs w:val="20"/>
                <w:lang w:val="pt-BR"/>
              </w:rPr>
            </w:pPr>
            <w:r w:rsidRPr="00852A42">
              <w:rPr>
                <w:rFonts w:ascii="Calibri" w:hAnsi="Calibri"/>
                <w:sz w:val="20"/>
                <w:szCs w:val="20"/>
                <w:lang w:val="pt-BR"/>
              </w:rPr>
              <w:t>2009  H1N1</w:t>
            </w:r>
          </w:p>
        </w:tc>
        <w:tc>
          <w:tcPr>
            <w:tcW w:w="990" w:type="dxa"/>
            <w:tcBorders>
              <w:bottom w:val="single" w:sz="4" w:space="0" w:color="000000"/>
            </w:tcBorders>
            <w:vAlign w:val="center"/>
          </w:tcPr>
          <w:p w:rsidR="00B74464" w:rsidRPr="00852A42" w:rsidRDefault="00B74464" w:rsidP="00E27BEC">
            <w:pPr>
              <w:jc w:val="center"/>
              <w:rPr>
                <w:rFonts w:ascii="Calibri" w:hAnsi="Calibri"/>
                <w:sz w:val="20"/>
                <w:szCs w:val="20"/>
                <w:lang w:val="pt-BR"/>
              </w:rPr>
            </w:pPr>
            <w:r w:rsidRPr="00852A42">
              <w:rPr>
                <w:rFonts w:ascii="Calibri" w:hAnsi="Calibri"/>
                <w:sz w:val="20"/>
                <w:szCs w:val="20"/>
                <w:lang w:val="pt-BR"/>
              </w:rPr>
              <w:t>seasonal A/H3N2</w:t>
            </w:r>
          </w:p>
        </w:tc>
        <w:tc>
          <w:tcPr>
            <w:tcW w:w="810" w:type="dxa"/>
            <w:tcBorders>
              <w:bottom w:val="single" w:sz="4" w:space="0" w:color="000000"/>
            </w:tcBorders>
            <w:vAlign w:val="center"/>
          </w:tcPr>
          <w:p w:rsidR="00B74464" w:rsidRPr="00852A42" w:rsidRDefault="00B74464" w:rsidP="00E27BEC">
            <w:pPr>
              <w:jc w:val="center"/>
              <w:rPr>
                <w:rFonts w:ascii="Calibri" w:hAnsi="Calibri"/>
                <w:sz w:val="20"/>
                <w:szCs w:val="20"/>
              </w:rPr>
            </w:pPr>
            <w:r w:rsidRPr="00852A42">
              <w:rPr>
                <w:rFonts w:ascii="Calibri" w:hAnsi="Calibri"/>
                <w:sz w:val="20"/>
                <w:szCs w:val="20"/>
                <w:lang w:val="pt-BR"/>
              </w:rPr>
              <w:t>H3N2v</w:t>
            </w:r>
          </w:p>
        </w:tc>
        <w:tc>
          <w:tcPr>
            <w:tcW w:w="810" w:type="dxa"/>
            <w:tcBorders>
              <w:bottom w:val="single" w:sz="4" w:space="0" w:color="000000"/>
            </w:tcBorders>
            <w:shd w:val="clear" w:color="auto" w:fill="auto"/>
            <w:vAlign w:val="center"/>
          </w:tcPr>
          <w:p w:rsidR="00B74464" w:rsidRPr="00852A42" w:rsidRDefault="00B74464" w:rsidP="00E27BEC">
            <w:pPr>
              <w:jc w:val="center"/>
              <w:rPr>
                <w:rFonts w:ascii="Calibri" w:hAnsi="Calibri"/>
                <w:sz w:val="20"/>
                <w:szCs w:val="20"/>
                <w:lang w:val="pt-BR"/>
              </w:rPr>
            </w:pPr>
            <w:r w:rsidRPr="00852A42">
              <w:rPr>
                <w:rFonts w:ascii="Calibri" w:hAnsi="Calibri"/>
                <w:sz w:val="20"/>
                <w:szCs w:val="20"/>
              </w:rPr>
              <w:t>B Yam</w:t>
            </w:r>
          </w:p>
        </w:tc>
        <w:tc>
          <w:tcPr>
            <w:tcW w:w="630" w:type="dxa"/>
            <w:tcBorders>
              <w:bottom w:val="single" w:sz="4" w:space="0" w:color="000000"/>
            </w:tcBorders>
            <w:vAlign w:val="center"/>
          </w:tcPr>
          <w:p w:rsidR="00B74464" w:rsidRPr="00852A42" w:rsidRDefault="00B74464" w:rsidP="00E27BEC">
            <w:pPr>
              <w:jc w:val="center"/>
              <w:rPr>
                <w:rFonts w:ascii="Calibri" w:hAnsi="Calibri"/>
                <w:sz w:val="20"/>
                <w:szCs w:val="20"/>
                <w:lang w:val="pt-BR"/>
              </w:rPr>
            </w:pPr>
            <w:r w:rsidRPr="00852A42">
              <w:rPr>
                <w:rFonts w:ascii="Calibri" w:hAnsi="Calibri"/>
                <w:sz w:val="20"/>
                <w:szCs w:val="20"/>
              </w:rPr>
              <w:t>B Vic</w:t>
            </w:r>
          </w:p>
        </w:tc>
        <w:tc>
          <w:tcPr>
            <w:tcW w:w="1170" w:type="dxa"/>
            <w:tcBorders>
              <w:bottom w:val="single" w:sz="4" w:space="0" w:color="000000"/>
            </w:tcBorders>
            <w:vAlign w:val="center"/>
          </w:tcPr>
          <w:p w:rsidR="00B74464" w:rsidRPr="00852A42" w:rsidRDefault="00B74464" w:rsidP="00E27BEC">
            <w:pPr>
              <w:jc w:val="center"/>
              <w:rPr>
                <w:rFonts w:ascii="Calibri" w:hAnsi="Calibri"/>
                <w:sz w:val="20"/>
                <w:szCs w:val="20"/>
              </w:rPr>
            </w:pPr>
            <w:r w:rsidRPr="00852A42">
              <w:rPr>
                <w:rFonts w:ascii="Calibri" w:hAnsi="Calibri"/>
                <w:sz w:val="20"/>
                <w:szCs w:val="20"/>
              </w:rPr>
              <w:t>No. Flu Pos (%)</w:t>
            </w:r>
          </w:p>
        </w:tc>
        <w:tc>
          <w:tcPr>
            <w:tcW w:w="720" w:type="dxa"/>
            <w:tcBorders>
              <w:bottom w:val="single" w:sz="4" w:space="0" w:color="000000"/>
            </w:tcBorders>
            <w:vAlign w:val="center"/>
          </w:tcPr>
          <w:p w:rsidR="00B74464" w:rsidRPr="00852A42" w:rsidRDefault="00B74464" w:rsidP="00E27BEC">
            <w:pPr>
              <w:jc w:val="center"/>
              <w:rPr>
                <w:rFonts w:ascii="Calibri" w:hAnsi="Calibri"/>
                <w:sz w:val="20"/>
                <w:szCs w:val="20"/>
              </w:rPr>
            </w:pPr>
            <w:r w:rsidRPr="00852A42">
              <w:rPr>
                <w:rFonts w:ascii="Calibri" w:hAnsi="Calibri"/>
                <w:sz w:val="20"/>
                <w:szCs w:val="20"/>
              </w:rPr>
              <w:t>Unsat</w:t>
            </w:r>
          </w:p>
        </w:tc>
        <w:tc>
          <w:tcPr>
            <w:tcW w:w="810" w:type="dxa"/>
            <w:tcBorders>
              <w:bottom w:val="single" w:sz="4" w:space="0" w:color="000000"/>
            </w:tcBorders>
            <w:vAlign w:val="center"/>
          </w:tcPr>
          <w:p w:rsidR="00B74464" w:rsidRPr="00852A42" w:rsidRDefault="00B74464" w:rsidP="00E27BEC">
            <w:pPr>
              <w:jc w:val="center"/>
              <w:rPr>
                <w:rFonts w:ascii="Calibri" w:hAnsi="Calibri"/>
                <w:sz w:val="20"/>
                <w:szCs w:val="20"/>
              </w:rPr>
            </w:pPr>
            <w:r w:rsidRPr="00852A42">
              <w:rPr>
                <w:rFonts w:ascii="Calibri" w:hAnsi="Calibri"/>
                <w:sz w:val="20"/>
                <w:szCs w:val="20"/>
              </w:rPr>
              <w:t>Total Tested</w:t>
            </w:r>
          </w:p>
        </w:tc>
        <w:tc>
          <w:tcPr>
            <w:tcW w:w="698" w:type="dxa"/>
            <w:tcBorders>
              <w:bottom w:val="single" w:sz="4" w:space="0" w:color="000000"/>
            </w:tcBorders>
          </w:tcPr>
          <w:p w:rsidR="00B74464" w:rsidRPr="00852A42" w:rsidRDefault="00B74464" w:rsidP="00E27BEC">
            <w:pPr>
              <w:jc w:val="center"/>
              <w:rPr>
                <w:rFonts w:ascii="Calibri" w:hAnsi="Calibri"/>
                <w:sz w:val="20"/>
                <w:szCs w:val="20"/>
              </w:rPr>
            </w:pPr>
            <w:r w:rsidRPr="00852A42">
              <w:rPr>
                <w:rFonts w:ascii="Calibri" w:hAnsi="Calibri"/>
                <w:sz w:val="20"/>
                <w:szCs w:val="20"/>
              </w:rPr>
              <w:t>Total</w:t>
            </w:r>
          </w:p>
          <w:p w:rsidR="00B74464" w:rsidRPr="00852A42" w:rsidRDefault="00B74464" w:rsidP="00E27BEC">
            <w:pPr>
              <w:jc w:val="center"/>
              <w:rPr>
                <w:rFonts w:ascii="Calibri" w:hAnsi="Calibri"/>
                <w:sz w:val="20"/>
                <w:szCs w:val="20"/>
              </w:rPr>
            </w:pPr>
            <w:r w:rsidRPr="00852A42">
              <w:rPr>
                <w:rFonts w:ascii="Calibri" w:hAnsi="Calibri"/>
                <w:sz w:val="20"/>
                <w:szCs w:val="20"/>
              </w:rPr>
              <w:t>Rec’d</w:t>
            </w:r>
          </w:p>
        </w:tc>
      </w:tr>
      <w:tr w:rsidR="00342ADB" w:rsidRPr="009C5E07" w:rsidTr="00852A42">
        <w:trPr>
          <w:jc w:val="center"/>
        </w:trPr>
        <w:tc>
          <w:tcPr>
            <w:tcW w:w="2102" w:type="dxa"/>
            <w:shd w:val="clear" w:color="auto" w:fill="auto"/>
            <w:vAlign w:val="bottom"/>
          </w:tcPr>
          <w:p w:rsidR="00342ADB" w:rsidRPr="00342ADB" w:rsidRDefault="00342ADB">
            <w:pPr>
              <w:rPr>
                <w:rFonts w:ascii="Calibri" w:hAnsi="Calibri" w:cs="Arial"/>
                <w:sz w:val="18"/>
                <w:szCs w:val="18"/>
              </w:rPr>
            </w:pPr>
            <w:r w:rsidRPr="00342ADB">
              <w:rPr>
                <w:rFonts w:ascii="Calibri" w:hAnsi="Calibri" w:cs="Arial"/>
                <w:sz w:val="18"/>
                <w:szCs w:val="18"/>
              </w:rPr>
              <w:t>17 (04/21 – 04/27/19)</w:t>
            </w:r>
          </w:p>
        </w:tc>
        <w:tc>
          <w:tcPr>
            <w:tcW w:w="72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1</w:t>
            </w:r>
          </w:p>
        </w:tc>
        <w:tc>
          <w:tcPr>
            <w:tcW w:w="99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5</w:t>
            </w:r>
          </w:p>
        </w:tc>
        <w:tc>
          <w:tcPr>
            <w:tcW w:w="81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0</w:t>
            </w:r>
          </w:p>
        </w:tc>
        <w:tc>
          <w:tcPr>
            <w:tcW w:w="81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1</w:t>
            </w:r>
          </w:p>
        </w:tc>
        <w:tc>
          <w:tcPr>
            <w:tcW w:w="63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11</w:t>
            </w:r>
          </w:p>
        </w:tc>
        <w:tc>
          <w:tcPr>
            <w:tcW w:w="1170" w:type="dxa"/>
            <w:tcBorders>
              <w:bottom w:val="single" w:sz="4" w:space="0" w:color="000000"/>
            </w:tcBorders>
            <w:shd w:val="clear" w:color="auto" w:fill="auto"/>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18(67%)</w:t>
            </w:r>
          </w:p>
        </w:tc>
        <w:tc>
          <w:tcPr>
            <w:tcW w:w="72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1</w:t>
            </w:r>
          </w:p>
        </w:tc>
        <w:tc>
          <w:tcPr>
            <w:tcW w:w="810" w:type="dxa"/>
            <w:tcBorders>
              <w:bottom w:val="single" w:sz="4" w:space="0" w:color="000000"/>
            </w:tcBorders>
            <w:shd w:val="clear" w:color="auto" w:fill="auto"/>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27</w:t>
            </w:r>
          </w:p>
        </w:tc>
        <w:tc>
          <w:tcPr>
            <w:tcW w:w="698" w:type="dxa"/>
            <w:tcBorders>
              <w:bottom w:val="single" w:sz="4" w:space="0" w:color="000000"/>
            </w:tcBorders>
            <w:shd w:val="clear" w:color="auto" w:fill="auto"/>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28</w:t>
            </w:r>
          </w:p>
        </w:tc>
      </w:tr>
      <w:tr w:rsidR="00342ADB" w:rsidRPr="009C5E07" w:rsidTr="00852A42">
        <w:trPr>
          <w:jc w:val="center"/>
        </w:trPr>
        <w:tc>
          <w:tcPr>
            <w:tcW w:w="2102" w:type="dxa"/>
            <w:shd w:val="clear" w:color="auto" w:fill="auto"/>
            <w:vAlign w:val="bottom"/>
          </w:tcPr>
          <w:p w:rsidR="00342ADB" w:rsidRPr="00342ADB" w:rsidRDefault="00342ADB">
            <w:pPr>
              <w:rPr>
                <w:rFonts w:ascii="Calibri" w:hAnsi="Calibri" w:cs="Arial"/>
                <w:sz w:val="18"/>
                <w:szCs w:val="18"/>
              </w:rPr>
            </w:pPr>
            <w:r w:rsidRPr="00342ADB">
              <w:rPr>
                <w:rFonts w:ascii="Calibri" w:hAnsi="Calibri" w:cs="Arial"/>
                <w:sz w:val="18"/>
                <w:szCs w:val="18"/>
              </w:rPr>
              <w:t>18 (04/28 – 05/04/19)</w:t>
            </w:r>
          </w:p>
        </w:tc>
        <w:tc>
          <w:tcPr>
            <w:tcW w:w="720" w:type="dxa"/>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0</w:t>
            </w:r>
          </w:p>
        </w:tc>
        <w:tc>
          <w:tcPr>
            <w:tcW w:w="990" w:type="dxa"/>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0</w:t>
            </w:r>
          </w:p>
        </w:tc>
        <w:tc>
          <w:tcPr>
            <w:tcW w:w="810" w:type="dxa"/>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0</w:t>
            </w:r>
          </w:p>
        </w:tc>
        <w:tc>
          <w:tcPr>
            <w:tcW w:w="810" w:type="dxa"/>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0</w:t>
            </w:r>
          </w:p>
        </w:tc>
        <w:tc>
          <w:tcPr>
            <w:tcW w:w="630" w:type="dxa"/>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2</w:t>
            </w:r>
          </w:p>
        </w:tc>
        <w:tc>
          <w:tcPr>
            <w:tcW w:w="1170" w:type="dxa"/>
            <w:shd w:val="clear" w:color="auto" w:fill="auto"/>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2(67%)</w:t>
            </w:r>
          </w:p>
        </w:tc>
        <w:tc>
          <w:tcPr>
            <w:tcW w:w="720" w:type="dxa"/>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1</w:t>
            </w:r>
          </w:p>
        </w:tc>
        <w:tc>
          <w:tcPr>
            <w:tcW w:w="810" w:type="dxa"/>
            <w:shd w:val="clear" w:color="auto" w:fill="auto"/>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3</w:t>
            </w:r>
          </w:p>
        </w:tc>
        <w:tc>
          <w:tcPr>
            <w:tcW w:w="698" w:type="dxa"/>
            <w:shd w:val="clear" w:color="auto" w:fill="auto"/>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4</w:t>
            </w:r>
          </w:p>
        </w:tc>
      </w:tr>
      <w:tr w:rsidR="00342ADB" w:rsidRPr="009C5E07" w:rsidTr="00852A42">
        <w:trPr>
          <w:jc w:val="center"/>
        </w:trPr>
        <w:tc>
          <w:tcPr>
            <w:tcW w:w="2102" w:type="dxa"/>
            <w:tcBorders>
              <w:bottom w:val="single" w:sz="4" w:space="0" w:color="000000"/>
            </w:tcBorders>
            <w:shd w:val="clear" w:color="auto" w:fill="auto"/>
            <w:vAlign w:val="bottom"/>
          </w:tcPr>
          <w:p w:rsidR="00342ADB" w:rsidRPr="00342ADB" w:rsidRDefault="00342ADB">
            <w:pPr>
              <w:rPr>
                <w:rFonts w:ascii="Calibri" w:hAnsi="Calibri" w:cs="Arial"/>
                <w:sz w:val="18"/>
                <w:szCs w:val="18"/>
              </w:rPr>
            </w:pPr>
            <w:r w:rsidRPr="00342ADB">
              <w:rPr>
                <w:rFonts w:ascii="Calibri" w:hAnsi="Calibri" w:cs="Arial"/>
                <w:sz w:val="18"/>
                <w:szCs w:val="18"/>
              </w:rPr>
              <w:t>19 (05/05 – 05/11/19)</w:t>
            </w:r>
          </w:p>
        </w:tc>
        <w:tc>
          <w:tcPr>
            <w:tcW w:w="72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0</w:t>
            </w:r>
          </w:p>
        </w:tc>
        <w:tc>
          <w:tcPr>
            <w:tcW w:w="99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0</w:t>
            </w:r>
          </w:p>
        </w:tc>
        <w:tc>
          <w:tcPr>
            <w:tcW w:w="81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0</w:t>
            </w:r>
          </w:p>
        </w:tc>
        <w:tc>
          <w:tcPr>
            <w:tcW w:w="81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1</w:t>
            </w:r>
          </w:p>
        </w:tc>
        <w:tc>
          <w:tcPr>
            <w:tcW w:w="63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1</w:t>
            </w:r>
          </w:p>
        </w:tc>
        <w:tc>
          <w:tcPr>
            <w:tcW w:w="1170" w:type="dxa"/>
            <w:tcBorders>
              <w:bottom w:val="single" w:sz="4" w:space="0" w:color="000000"/>
            </w:tcBorders>
            <w:shd w:val="clear" w:color="auto" w:fill="auto"/>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2(100%)</w:t>
            </w:r>
          </w:p>
        </w:tc>
        <w:tc>
          <w:tcPr>
            <w:tcW w:w="72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0</w:t>
            </w:r>
          </w:p>
        </w:tc>
        <w:tc>
          <w:tcPr>
            <w:tcW w:w="810" w:type="dxa"/>
            <w:tcBorders>
              <w:bottom w:val="single" w:sz="4" w:space="0" w:color="000000"/>
            </w:tcBorders>
            <w:shd w:val="clear" w:color="auto" w:fill="auto"/>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2</w:t>
            </w:r>
          </w:p>
        </w:tc>
        <w:tc>
          <w:tcPr>
            <w:tcW w:w="698" w:type="dxa"/>
            <w:tcBorders>
              <w:bottom w:val="single" w:sz="4" w:space="0" w:color="000000"/>
            </w:tcBorders>
            <w:shd w:val="clear" w:color="auto" w:fill="auto"/>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2</w:t>
            </w:r>
          </w:p>
        </w:tc>
      </w:tr>
      <w:tr w:rsidR="00342ADB" w:rsidRPr="009C5E07" w:rsidTr="00852A42">
        <w:trPr>
          <w:jc w:val="center"/>
        </w:trPr>
        <w:tc>
          <w:tcPr>
            <w:tcW w:w="2102" w:type="dxa"/>
            <w:tcBorders>
              <w:bottom w:val="single" w:sz="4" w:space="0" w:color="000000"/>
            </w:tcBorders>
            <w:shd w:val="clear" w:color="auto" w:fill="auto"/>
            <w:vAlign w:val="bottom"/>
          </w:tcPr>
          <w:p w:rsidR="00342ADB" w:rsidRPr="00342ADB" w:rsidRDefault="00342ADB">
            <w:pPr>
              <w:rPr>
                <w:rFonts w:ascii="Calibri" w:hAnsi="Calibri" w:cs="Arial"/>
                <w:sz w:val="18"/>
                <w:szCs w:val="18"/>
              </w:rPr>
            </w:pPr>
            <w:r w:rsidRPr="00342ADB">
              <w:rPr>
                <w:rFonts w:ascii="Calibri" w:hAnsi="Calibri" w:cs="Arial"/>
                <w:sz w:val="18"/>
                <w:szCs w:val="18"/>
              </w:rPr>
              <w:t>20 (05/12 – 05/18/19)</w:t>
            </w:r>
          </w:p>
        </w:tc>
        <w:tc>
          <w:tcPr>
            <w:tcW w:w="72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0</w:t>
            </w:r>
          </w:p>
        </w:tc>
        <w:tc>
          <w:tcPr>
            <w:tcW w:w="99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0</w:t>
            </w:r>
          </w:p>
        </w:tc>
        <w:tc>
          <w:tcPr>
            <w:tcW w:w="81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0</w:t>
            </w:r>
          </w:p>
        </w:tc>
        <w:tc>
          <w:tcPr>
            <w:tcW w:w="81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0</w:t>
            </w:r>
          </w:p>
        </w:tc>
        <w:tc>
          <w:tcPr>
            <w:tcW w:w="63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2</w:t>
            </w:r>
          </w:p>
        </w:tc>
        <w:tc>
          <w:tcPr>
            <w:tcW w:w="1170" w:type="dxa"/>
            <w:tcBorders>
              <w:bottom w:val="single" w:sz="4" w:space="0" w:color="000000"/>
            </w:tcBorders>
            <w:shd w:val="clear" w:color="auto" w:fill="auto"/>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2(100%)</w:t>
            </w:r>
          </w:p>
        </w:tc>
        <w:tc>
          <w:tcPr>
            <w:tcW w:w="720" w:type="dxa"/>
            <w:tcBorders>
              <w:bottom w:val="single" w:sz="4" w:space="0" w:color="000000"/>
            </w:tcBorders>
            <w:shd w:val="clear" w:color="auto" w:fill="auto"/>
            <w:vAlign w:val="bottom"/>
          </w:tcPr>
          <w:p w:rsidR="00342ADB" w:rsidRPr="00342ADB" w:rsidRDefault="00342ADB">
            <w:pPr>
              <w:jc w:val="center"/>
              <w:rPr>
                <w:rFonts w:ascii="Calibri" w:hAnsi="Calibri" w:cs="Arial"/>
                <w:sz w:val="18"/>
                <w:szCs w:val="18"/>
              </w:rPr>
            </w:pPr>
            <w:r w:rsidRPr="00342ADB">
              <w:rPr>
                <w:rFonts w:ascii="Calibri" w:hAnsi="Calibri" w:cs="Arial"/>
                <w:sz w:val="18"/>
                <w:szCs w:val="18"/>
              </w:rPr>
              <w:t>0</w:t>
            </w:r>
          </w:p>
        </w:tc>
        <w:tc>
          <w:tcPr>
            <w:tcW w:w="810" w:type="dxa"/>
            <w:tcBorders>
              <w:bottom w:val="single" w:sz="4" w:space="0" w:color="000000"/>
            </w:tcBorders>
            <w:shd w:val="clear" w:color="auto" w:fill="auto"/>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2</w:t>
            </w:r>
          </w:p>
        </w:tc>
        <w:tc>
          <w:tcPr>
            <w:tcW w:w="698" w:type="dxa"/>
            <w:tcBorders>
              <w:bottom w:val="single" w:sz="4" w:space="0" w:color="000000"/>
            </w:tcBorders>
            <w:shd w:val="clear" w:color="auto" w:fill="auto"/>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2</w:t>
            </w:r>
          </w:p>
        </w:tc>
      </w:tr>
      <w:tr w:rsidR="00342ADB" w:rsidRPr="009C5E07" w:rsidTr="00852A42">
        <w:trPr>
          <w:trHeight w:val="70"/>
          <w:jc w:val="center"/>
        </w:trPr>
        <w:tc>
          <w:tcPr>
            <w:tcW w:w="2102" w:type="dxa"/>
            <w:tcBorders>
              <w:bottom w:val="single" w:sz="4" w:space="0" w:color="000000"/>
            </w:tcBorders>
            <w:shd w:val="clear" w:color="auto" w:fill="D9D9D9"/>
            <w:vAlign w:val="bottom"/>
          </w:tcPr>
          <w:p w:rsidR="00342ADB" w:rsidRPr="00342ADB" w:rsidRDefault="00342ADB">
            <w:pPr>
              <w:jc w:val="right"/>
              <w:rPr>
                <w:rFonts w:ascii="Calibri" w:hAnsi="Calibri" w:cs="Arial"/>
                <w:b/>
                <w:bCs/>
                <w:sz w:val="18"/>
                <w:szCs w:val="18"/>
              </w:rPr>
            </w:pPr>
            <w:r w:rsidRPr="00342ADB">
              <w:rPr>
                <w:rFonts w:ascii="Calibri" w:hAnsi="Calibri" w:cs="Arial"/>
                <w:b/>
                <w:bCs/>
                <w:sz w:val="18"/>
                <w:szCs w:val="18"/>
              </w:rPr>
              <w:t>Prior 4 wk Total</w:t>
            </w:r>
          </w:p>
        </w:tc>
        <w:tc>
          <w:tcPr>
            <w:tcW w:w="720" w:type="dxa"/>
            <w:tcBorders>
              <w:bottom w:val="single" w:sz="4" w:space="0" w:color="000000"/>
            </w:tcBorders>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1</w:t>
            </w:r>
          </w:p>
        </w:tc>
        <w:tc>
          <w:tcPr>
            <w:tcW w:w="990" w:type="dxa"/>
            <w:tcBorders>
              <w:bottom w:val="single" w:sz="4" w:space="0" w:color="000000"/>
            </w:tcBorders>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5</w:t>
            </w:r>
          </w:p>
        </w:tc>
        <w:tc>
          <w:tcPr>
            <w:tcW w:w="810" w:type="dxa"/>
            <w:tcBorders>
              <w:bottom w:val="single" w:sz="4" w:space="0" w:color="000000"/>
            </w:tcBorders>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0</w:t>
            </w:r>
          </w:p>
        </w:tc>
        <w:tc>
          <w:tcPr>
            <w:tcW w:w="810" w:type="dxa"/>
            <w:tcBorders>
              <w:bottom w:val="single" w:sz="4" w:space="0" w:color="000000"/>
            </w:tcBorders>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2</w:t>
            </w:r>
          </w:p>
        </w:tc>
        <w:tc>
          <w:tcPr>
            <w:tcW w:w="630" w:type="dxa"/>
            <w:tcBorders>
              <w:bottom w:val="single" w:sz="4" w:space="0" w:color="000000"/>
            </w:tcBorders>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16</w:t>
            </w:r>
          </w:p>
        </w:tc>
        <w:tc>
          <w:tcPr>
            <w:tcW w:w="1170" w:type="dxa"/>
            <w:tcBorders>
              <w:bottom w:val="single" w:sz="4" w:space="0" w:color="000000"/>
            </w:tcBorders>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24(71%)</w:t>
            </w:r>
          </w:p>
        </w:tc>
        <w:tc>
          <w:tcPr>
            <w:tcW w:w="720" w:type="dxa"/>
            <w:tcBorders>
              <w:bottom w:val="single" w:sz="4" w:space="0" w:color="000000"/>
            </w:tcBorders>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2</w:t>
            </w:r>
          </w:p>
        </w:tc>
        <w:tc>
          <w:tcPr>
            <w:tcW w:w="810" w:type="dxa"/>
            <w:tcBorders>
              <w:bottom w:val="single" w:sz="4" w:space="0" w:color="000000"/>
            </w:tcBorders>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34</w:t>
            </w:r>
          </w:p>
        </w:tc>
        <w:tc>
          <w:tcPr>
            <w:tcW w:w="698" w:type="dxa"/>
            <w:tcBorders>
              <w:bottom w:val="single" w:sz="4" w:space="0" w:color="000000"/>
            </w:tcBorders>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36</w:t>
            </w:r>
          </w:p>
        </w:tc>
      </w:tr>
      <w:tr w:rsidR="00342ADB" w:rsidTr="00852A42">
        <w:trPr>
          <w:jc w:val="center"/>
        </w:trPr>
        <w:tc>
          <w:tcPr>
            <w:tcW w:w="2102" w:type="dxa"/>
            <w:shd w:val="clear" w:color="auto" w:fill="D9D9D9"/>
            <w:vAlign w:val="bottom"/>
          </w:tcPr>
          <w:p w:rsidR="00342ADB" w:rsidRPr="00342ADB" w:rsidRDefault="00342ADB">
            <w:pPr>
              <w:jc w:val="right"/>
              <w:rPr>
                <w:rFonts w:ascii="Calibri" w:hAnsi="Calibri" w:cs="Arial"/>
                <w:b/>
                <w:bCs/>
                <w:sz w:val="18"/>
                <w:szCs w:val="18"/>
              </w:rPr>
            </w:pPr>
            <w:r w:rsidRPr="00342ADB">
              <w:rPr>
                <w:rFonts w:ascii="Calibri" w:hAnsi="Calibri" w:cs="Arial"/>
                <w:b/>
                <w:bCs/>
                <w:sz w:val="18"/>
                <w:szCs w:val="18"/>
              </w:rPr>
              <w:t>Cumulative Season total</w:t>
            </w:r>
          </w:p>
        </w:tc>
        <w:tc>
          <w:tcPr>
            <w:tcW w:w="720" w:type="dxa"/>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423</w:t>
            </w:r>
          </w:p>
        </w:tc>
        <w:tc>
          <w:tcPr>
            <w:tcW w:w="990" w:type="dxa"/>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169</w:t>
            </w:r>
          </w:p>
        </w:tc>
        <w:tc>
          <w:tcPr>
            <w:tcW w:w="810" w:type="dxa"/>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0</w:t>
            </w:r>
          </w:p>
        </w:tc>
        <w:tc>
          <w:tcPr>
            <w:tcW w:w="810" w:type="dxa"/>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31</w:t>
            </w:r>
          </w:p>
        </w:tc>
        <w:tc>
          <w:tcPr>
            <w:tcW w:w="630" w:type="dxa"/>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106</w:t>
            </w:r>
          </w:p>
        </w:tc>
        <w:tc>
          <w:tcPr>
            <w:tcW w:w="1170" w:type="dxa"/>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729(78%)</w:t>
            </w:r>
          </w:p>
        </w:tc>
        <w:tc>
          <w:tcPr>
            <w:tcW w:w="720" w:type="dxa"/>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18</w:t>
            </w:r>
          </w:p>
        </w:tc>
        <w:tc>
          <w:tcPr>
            <w:tcW w:w="810" w:type="dxa"/>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939</w:t>
            </w:r>
          </w:p>
        </w:tc>
        <w:tc>
          <w:tcPr>
            <w:tcW w:w="698" w:type="dxa"/>
            <w:shd w:val="clear" w:color="auto" w:fill="D9D9D9"/>
            <w:vAlign w:val="bottom"/>
          </w:tcPr>
          <w:p w:rsidR="00342ADB" w:rsidRPr="00342ADB" w:rsidRDefault="00342ADB">
            <w:pPr>
              <w:jc w:val="center"/>
              <w:rPr>
                <w:rFonts w:ascii="Calibri" w:hAnsi="Calibri" w:cs="Arial"/>
                <w:b/>
                <w:bCs/>
                <w:sz w:val="18"/>
                <w:szCs w:val="18"/>
              </w:rPr>
            </w:pPr>
            <w:r w:rsidRPr="00342ADB">
              <w:rPr>
                <w:rFonts w:ascii="Calibri" w:hAnsi="Calibri" w:cs="Arial"/>
                <w:b/>
                <w:bCs/>
                <w:sz w:val="18"/>
                <w:szCs w:val="18"/>
              </w:rPr>
              <w:t>957</w:t>
            </w:r>
          </w:p>
        </w:tc>
      </w:tr>
    </w:tbl>
    <w:p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201</w:t>
      </w:r>
      <w:r w:rsidR="00821D2F">
        <w:rPr>
          <w:rFonts w:ascii="Calibri" w:hAnsi="Calibri" w:cs="Arial"/>
          <w:sz w:val="16"/>
          <w:szCs w:val="20"/>
        </w:rPr>
        <w:t>8</w:t>
      </w:r>
      <w:r w:rsidRPr="00CC567F">
        <w:rPr>
          <w:rFonts w:ascii="Calibri" w:hAnsi="Calibri" w:cs="Arial"/>
          <w:sz w:val="16"/>
          <w:szCs w:val="20"/>
        </w:rPr>
        <w:t xml:space="preserve"> -201</w:t>
      </w:r>
      <w:r w:rsidR="00821D2F">
        <w:rPr>
          <w:rFonts w:ascii="Calibri" w:hAnsi="Calibri" w:cs="Arial"/>
          <w:sz w:val="16"/>
          <w:szCs w:val="20"/>
        </w:rPr>
        <w:t>9</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821D2F">
        <w:rPr>
          <w:rFonts w:ascii="Calibri" w:hAnsi="Calibri" w:cs="Arial"/>
          <w:sz w:val="16"/>
          <w:szCs w:val="20"/>
        </w:rPr>
        <w:t>09</w:t>
      </w:r>
      <w:r w:rsidRPr="00CC567F">
        <w:rPr>
          <w:rFonts w:ascii="Calibri" w:hAnsi="Calibri" w:cs="Arial"/>
          <w:sz w:val="16"/>
          <w:szCs w:val="20"/>
        </w:rPr>
        <w:t>/</w:t>
      </w:r>
      <w:r w:rsidR="00821D2F">
        <w:rPr>
          <w:rFonts w:ascii="Calibri" w:hAnsi="Calibri" w:cs="Arial"/>
          <w:sz w:val="16"/>
          <w:szCs w:val="20"/>
        </w:rPr>
        <w:t>30</w:t>
      </w:r>
      <w:r w:rsidR="000778A3">
        <w:rPr>
          <w:rFonts w:ascii="Calibri" w:hAnsi="Calibri" w:cs="Arial"/>
          <w:sz w:val="16"/>
          <w:szCs w:val="20"/>
        </w:rPr>
        <w:t>- 10/0</w:t>
      </w:r>
      <w:r w:rsidR="00821D2F">
        <w:rPr>
          <w:rFonts w:ascii="Calibri" w:hAnsi="Calibri" w:cs="Arial"/>
          <w:sz w:val="16"/>
          <w:szCs w:val="20"/>
        </w:rPr>
        <w:t>6</w:t>
      </w:r>
      <w:r w:rsidRPr="00CC567F">
        <w:rPr>
          <w:rFonts w:ascii="Calibri" w:hAnsi="Calibri" w:cs="Arial"/>
          <w:sz w:val="16"/>
          <w:szCs w:val="20"/>
        </w:rPr>
        <w:t>/201</w:t>
      </w:r>
      <w:r w:rsidR="00821D2F">
        <w:rPr>
          <w:rFonts w:ascii="Calibri" w:hAnsi="Calibri" w:cs="Arial"/>
          <w:sz w:val="16"/>
          <w:szCs w:val="20"/>
        </w:rPr>
        <w:t>8</w:t>
      </w:r>
      <w:r w:rsidRPr="00CC567F">
        <w:rPr>
          <w:rFonts w:ascii="Calibri" w:hAnsi="Calibri" w:cs="Arial"/>
          <w:sz w:val="16"/>
          <w:szCs w:val="20"/>
        </w:rPr>
        <w:t>.</w:t>
      </w:r>
    </w:p>
    <w:p w:rsidR="00186FE4" w:rsidRDefault="00186FE4" w:rsidP="004C4472">
      <w:pPr>
        <w:adjustRightInd w:val="0"/>
        <w:jc w:val="center"/>
        <w:rPr>
          <w:rFonts w:ascii="Calibri" w:hAnsi="Calibri" w:cs="Arial"/>
          <w:sz w:val="16"/>
          <w:szCs w:val="20"/>
        </w:rPr>
      </w:pPr>
    </w:p>
    <w:p w:rsidR="00186FE4" w:rsidRDefault="00186FE4" w:rsidP="004C4472">
      <w:pPr>
        <w:adjustRightInd w:val="0"/>
        <w:jc w:val="center"/>
        <w:rPr>
          <w:rFonts w:ascii="Calibri" w:hAnsi="Calibri" w:cs="Arial"/>
          <w:sz w:val="16"/>
          <w:szCs w:val="20"/>
        </w:rPr>
      </w:pPr>
    </w:p>
    <w:p w:rsidR="00B448AB" w:rsidRDefault="007812F4" w:rsidP="00B448AB">
      <w:pPr>
        <w:adjustRightInd w:val="0"/>
        <w:rPr>
          <w:rFonts w:ascii="Calibri" w:hAnsi="Calibri"/>
          <w:color w:val="000000"/>
          <w:sz w:val="20"/>
          <w:szCs w:val="20"/>
        </w:rPr>
      </w:pPr>
      <w:r>
        <w:rPr>
          <w:rFonts w:ascii="Calibri" w:hAnsi="Calibri" w:cs="Arial"/>
          <w:sz w:val="20"/>
          <w:szCs w:val="20"/>
        </w:rPr>
        <w:t>All specimens which test negative for influenza at MA SPHL are also tested</w:t>
      </w:r>
      <w:r w:rsidR="00186FE4" w:rsidRPr="007812F4">
        <w:rPr>
          <w:rFonts w:ascii="Calibri" w:hAnsi="Calibri" w:cs="Arial"/>
          <w:sz w:val="20"/>
          <w:szCs w:val="20"/>
        </w:rPr>
        <w:t xml:space="preserve"> for non-influenza respiratory diseases</w:t>
      </w:r>
      <w:r>
        <w:rPr>
          <w:rFonts w:ascii="Calibri" w:hAnsi="Calibri" w:cs="Arial"/>
          <w:sz w:val="20"/>
          <w:szCs w:val="20"/>
        </w:rPr>
        <w:t>. Table 2</w:t>
      </w:r>
      <w:r w:rsidR="00186FE4" w:rsidRPr="007812F4">
        <w:rPr>
          <w:rFonts w:ascii="Calibri" w:hAnsi="Calibri" w:cs="Arial"/>
          <w:sz w:val="20"/>
          <w:szCs w:val="20"/>
        </w:rPr>
        <w:t xml:space="preserve"> shows that</w:t>
      </w:r>
      <w:r w:rsidR="00186FE4">
        <w:rPr>
          <w:rFonts w:ascii="Calibri" w:hAnsi="Calibri" w:cs="Arial"/>
          <w:sz w:val="20"/>
          <w:szCs w:val="20"/>
        </w:rPr>
        <w:t xml:space="preserve"> viruses from </w:t>
      </w:r>
      <w:r w:rsidR="00186FE4" w:rsidRPr="00186FE4">
        <w:rPr>
          <w:rFonts w:ascii="Calibri" w:hAnsi="Calibri" w:cs="Arial"/>
          <w:sz w:val="20"/>
          <w:szCs w:val="20"/>
        </w:rPr>
        <w:t>rhinoviru</w:t>
      </w:r>
      <w:r w:rsidR="00186FE4">
        <w:rPr>
          <w:rFonts w:ascii="Calibri" w:hAnsi="Calibri" w:cs="Arial"/>
          <w:sz w:val="20"/>
          <w:szCs w:val="20"/>
        </w:rPr>
        <w:t>s</w:t>
      </w:r>
      <w:r w:rsidR="00CC5152">
        <w:rPr>
          <w:rFonts w:ascii="Calibri" w:hAnsi="Calibri" w:cs="Arial"/>
          <w:sz w:val="20"/>
          <w:szCs w:val="20"/>
        </w:rPr>
        <w:t xml:space="preserve"> (RHV)</w:t>
      </w:r>
      <w:r w:rsidR="00186FE4">
        <w:rPr>
          <w:rFonts w:ascii="Calibri" w:hAnsi="Calibri" w:cs="Arial"/>
          <w:sz w:val="20"/>
          <w:szCs w:val="20"/>
        </w:rPr>
        <w:t>/</w:t>
      </w:r>
      <w:r w:rsidR="00186FE4" w:rsidRPr="007812F4">
        <w:rPr>
          <w:rFonts w:ascii="Calibri" w:hAnsi="Calibri" w:cs="Arial"/>
          <w:sz w:val="20"/>
          <w:szCs w:val="20"/>
        </w:rPr>
        <w:t>e</w:t>
      </w:r>
      <w:r w:rsidR="00186FE4" w:rsidRPr="00186FE4">
        <w:rPr>
          <w:rFonts w:ascii="Calibri" w:hAnsi="Calibri" w:cs="Arial"/>
          <w:sz w:val="20"/>
          <w:szCs w:val="20"/>
        </w:rPr>
        <w:t>nterovirus</w:t>
      </w:r>
      <w:r w:rsidR="00CC5152">
        <w:rPr>
          <w:rFonts w:ascii="Calibri" w:hAnsi="Calibri" w:cs="Arial"/>
          <w:sz w:val="20"/>
          <w:szCs w:val="20"/>
        </w:rPr>
        <w:t xml:space="preserve"> (ENT)</w:t>
      </w:r>
      <w:r w:rsidR="00186FE4">
        <w:rPr>
          <w:rFonts w:ascii="Calibri" w:hAnsi="Calibri" w:cs="Arial"/>
          <w:sz w:val="20"/>
          <w:szCs w:val="20"/>
        </w:rPr>
        <w:t xml:space="preserve"> </w:t>
      </w:r>
      <w:r w:rsidR="00CC5152">
        <w:rPr>
          <w:rFonts w:ascii="Calibri" w:hAnsi="Calibri" w:cs="Arial"/>
          <w:sz w:val="20"/>
          <w:szCs w:val="20"/>
        </w:rPr>
        <w:t>and</w:t>
      </w:r>
      <w:r w:rsidR="00852A42">
        <w:rPr>
          <w:rFonts w:ascii="Calibri" w:hAnsi="Calibri" w:cs="Arial"/>
          <w:sz w:val="20"/>
          <w:szCs w:val="20"/>
        </w:rPr>
        <w:t xml:space="preserve"> coronavirus (HCoV) </w:t>
      </w:r>
      <w:r w:rsidR="00186FE4">
        <w:rPr>
          <w:rFonts w:ascii="Calibri" w:hAnsi="Calibri" w:cs="Arial"/>
          <w:sz w:val="20"/>
          <w:szCs w:val="20"/>
        </w:rPr>
        <w:t>group</w:t>
      </w:r>
      <w:r w:rsidR="00CC5152">
        <w:rPr>
          <w:rFonts w:ascii="Calibri" w:hAnsi="Calibri" w:cs="Arial"/>
          <w:sz w:val="20"/>
          <w:szCs w:val="20"/>
        </w:rPr>
        <w:t>s</w:t>
      </w:r>
      <w:r w:rsidR="00186FE4" w:rsidRPr="007812F4">
        <w:rPr>
          <w:rFonts w:ascii="Calibri" w:hAnsi="Calibri" w:cs="Arial"/>
          <w:sz w:val="20"/>
          <w:szCs w:val="20"/>
        </w:rPr>
        <w:t xml:space="preserve"> </w:t>
      </w:r>
      <w:r w:rsidR="00627BCA">
        <w:rPr>
          <w:rFonts w:ascii="Calibri" w:hAnsi="Calibri" w:cs="Arial"/>
          <w:sz w:val="20"/>
          <w:szCs w:val="20"/>
        </w:rPr>
        <w:t>have</w:t>
      </w:r>
      <w:r w:rsidR="00186FE4" w:rsidRPr="007812F4">
        <w:rPr>
          <w:rFonts w:ascii="Calibri" w:hAnsi="Calibri" w:cs="Arial"/>
          <w:sz w:val="20"/>
          <w:szCs w:val="20"/>
        </w:rPr>
        <w:t xml:space="preserve"> </w:t>
      </w:r>
      <w:r w:rsidR="00627BCA">
        <w:rPr>
          <w:rFonts w:ascii="Calibri" w:hAnsi="Calibri" w:cs="Arial"/>
          <w:sz w:val="20"/>
          <w:szCs w:val="20"/>
        </w:rPr>
        <w:t>circulated</w:t>
      </w:r>
      <w:r>
        <w:rPr>
          <w:rFonts w:ascii="Calibri" w:hAnsi="Calibri" w:cs="Arial"/>
          <w:sz w:val="20"/>
          <w:szCs w:val="20"/>
        </w:rPr>
        <w:t xml:space="preserve"> in Massachusetts</w:t>
      </w:r>
      <w:r w:rsidR="00627BCA">
        <w:rPr>
          <w:rFonts w:ascii="Calibri" w:hAnsi="Calibri" w:cs="Arial"/>
          <w:sz w:val="20"/>
          <w:szCs w:val="20"/>
        </w:rPr>
        <w:t xml:space="preserve"> this season</w:t>
      </w:r>
      <w:r>
        <w:rPr>
          <w:rFonts w:ascii="Calibri" w:hAnsi="Calibri" w:cs="Arial"/>
          <w:sz w:val="20"/>
          <w:szCs w:val="20"/>
        </w:rPr>
        <w:t>. This contributes to</w:t>
      </w:r>
      <w:r w:rsidR="00186FE4" w:rsidRPr="007812F4">
        <w:rPr>
          <w:rFonts w:ascii="Calibri" w:hAnsi="Calibri" w:cs="Arial"/>
          <w:sz w:val="20"/>
          <w:szCs w:val="20"/>
        </w:rPr>
        <w:t xml:space="preserve"> ILI</w:t>
      </w:r>
      <w:r>
        <w:rPr>
          <w:rFonts w:ascii="Calibri" w:hAnsi="Calibri" w:cs="Arial"/>
          <w:sz w:val="20"/>
          <w:szCs w:val="20"/>
        </w:rPr>
        <w:t xml:space="preserve"> trends</w:t>
      </w:r>
      <w:r w:rsidR="00186FE4" w:rsidRPr="007812F4">
        <w:rPr>
          <w:rFonts w:ascii="Calibri" w:hAnsi="Calibri" w:cs="Arial"/>
          <w:sz w:val="20"/>
          <w:szCs w:val="20"/>
        </w:rPr>
        <w:t xml:space="preserve"> in Massachusetts</w:t>
      </w:r>
      <w:r w:rsidR="00B448AB">
        <w:rPr>
          <w:rFonts w:ascii="Calibri" w:hAnsi="Calibri"/>
          <w:color w:val="000000"/>
          <w:sz w:val="20"/>
          <w:szCs w:val="20"/>
        </w:rPr>
        <w:t>.</w:t>
      </w:r>
    </w:p>
    <w:p w:rsidR="00B448AB" w:rsidRDefault="00B448AB" w:rsidP="00B448AB">
      <w:pPr>
        <w:adjustRightInd w:val="0"/>
        <w:rPr>
          <w:rFonts w:ascii="Calibri" w:hAnsi="Calibri"/>
          <w:color w:val="000000"/>
          <w:sz w:val="20"/>
          <w:szCs w:val="20"/>
        </w:rPr>
      </w:pPr>
    </w:p>
    <w:p w:rsidR="00B448AB" w:rsidRPr="00B448AB" w:rsidRDefault="00B448AB" w:rsidP="00B448AB">
      <w:pPr>
        <w:adjustRightInd w:val="0"/>
        <w:jc w:val="center"/>
        <w:rPr>
          <w:rFonts w:ascii="Calibri" w:hAnsi="Calibri"/>
          <w:color w:val="000000"/>
          <w:sz w:val="20"/>
          <w:szCs w:val="20"/>
        </w:rPr>
      </w:pPr>
      <w:r w:rsidRPr="0097453F">
        <w:rPr>
          <w:rFonts w:ascii="Calibri" w:hAnsi="Calibri"/>
          <w:b/>
          <w:i/>
          <w:color w:val="000000"/>
          <w:sz w:val="22"/>
          <w:szCs w:val="22"/>
        </w:rPr>
        <w:t xml:space="preserve">Table 2: Weekly Summary of </w:t>
      </w:r>
      <w:r w:rsidRPr="0097453F">
        <w:rPr>
          <w:rFonts w:ascii="Calibri" w:hAnsi="Calibri"/>
          <w:b/>
          <w:bCs/>
          <w:i/>
          <w:iCs/>
          <w:color w:val="000000"/>
          <w:sz w:val="22"/>
          <w:szCs w:val="22"/>
        </w:rPr>
        <w:t xml:space="preserve">Massachusetts State Public Health </w:t>
      </w:r>
      <w:r w:rsidRPr="0097453F">
        <w:rPr>
          <w:rFonts w:ascii="Calibri" w:hAnsi="Calibri"/>
          <w:b/>
          <w:bCs/>
          <w:i/>
          <w:iCs/>
          <w:color w:val="000000"/>
          <w:sz w:val="20"/>
          <w:szCs w:val="20"/>
        </w:rPr>
        <w:t>Laboratory</w:t>
      </w:r>
      <w:r w:rsidRPr="0097453F">
        <w:rPr>
          <w:rFonts w:ascii="Calibri" w:hAnsi="Calibri"/>
          <w:b/>
          <w:bCs/>
          <w:i/>
          <w:iCs/>
          <w:color w:val="000000"/>
          <w:sz w:val="22"/>
          <w:szCs w:val="22"/>
        </w:rPr>
        <w:t xml:space="preserve"> </w:t>
      </w:r>
      <w:r w:rsidRPr="0097453F">
        <w:rPr>
          <w:rFonts w:ascii="Calibri" w:hAnsi="Calibri"/>
          <w:b/>
          <w:i/>
          <w:color w:val="000000"/>
          <w:sz w:val="22"/>
          <w:szCs w:val="22"/>
        </w:rPr>
        <w:t>non-Influenza Respiratory Surveillance Test Results</w:t>
      </w:r>
    </w:p>
    <w:tbl>
      <w:tblPr>
        <w:tblW w:w="9843" w:type="dxa"/>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630"/>
        <w:gridCol w:w="630"/>
        <w:gridCol w:w="540"/>
        <w:gridCol w:w="720"/>
        <w:gridCol w:w="630"/>
        <w:gridCol w:w="546"/>
        <w:gridCol w:w="900"/>
        <w:gridCol w:w="894"/>
        <w:gridCol w:w="720"/>
        <w:gridCol w:w="810"/>
        <w:gridCol w:w="709"/>
      </w:tblGrid>
      <w:tr w:rsidR="00611AA3" w:rsidRPr="009C5E07" w:rsidTr="007C283D">
        <w:trPr>
          <w:trHeight w:val="431"/>
          <w:jc w:val="center"/>
        </w:trPr>
        <w:tc>
          <w:tcPr>
            <w:tcW w:w="9843" w:type="dxa"/>
            <w:gridSpan w:val="12"/>
            <w:vAlign w:val="center"/>
          </w:tcPr>
          <w:p w:rsidR="00611AA3" w:rsidRPr="00611AA3" w:rsidRDefault="00611AA3" w:rsidP="007C283D">
            <w:pPr>
              <w:jc w:val="center"/>
              <w:rPr>
                <w:rFonts w:ascii="Calibri" w:hAnsi="Calibri"/>
                <w:sz w:val="22"/>
                <w:szCs w:val="22"/>
              </w:rPr>
            </w:pPr>
            <w:r w:rsidRPr="00611AA3">
              <w:rPr>
                <w:rFonts w:ascii="Calibri" w:hAnsi="Calibri"/>
                <w:b/>
                <w:sz w:val="22"/>
                <w:szCs w:val="22"/>
              </w:rPr>
              <w:t>2018-2019 Season</w:t>
            </w:r>
            <w:r w:rsidRPr="00611AA3">
              <w:rPr>
                <w:rFonts w:ascii="Calibri" w:hAnsi="Calibri"/>
                <w:sz w:val="22"/>
                <w:szCs w:val="22"/>
              </w:rPr>
              <w:t>: Influenza Like Illness Surveillance</w:t>
            </w:r>
          </w:p>
        </w:tc>
      </w:tr>
      <w:tr w:rsidR="00B448AB" w:rsidRPr="009C5E07" w:rsidTr="00852A42">
        <w:trPr>
          <w:trHeight w:val="476"/>
          <w:jc w:val="center"/>
        </w:trPr>
        <w:tc>
          <w:tcPr>
            <w:tcW w:w="2114" w:type="dxa"/>
            <w:tcBorders>
              <w:bottom w:val="single" w:sz="4" w:space="0" w:color="000000"/>
            </w:tcBorders>
            <w:tcMar>
              <w:left w:w="115" w:type="dxa"/>
              <w:right w:w="115" w:type="dxa"/>
            </w:tcMar>
            <w:vAlign w:val="center"/>
          </w:tcPr>
          <w:p w:rsidR="00B448AB" w:rsidRPr="00A91BCF" w:rsidRDefault="00B448AB" w:rsidP="007C283D">
            <w:pPr>
              <w:jc w:val="center"/>
              <w:rPr>
                <w:rFonts w:ascii="Calibri" w:hAnsi="Calibri"/>
                <w:sz w:val="20"/>
                <w:szCs w:val="20"/>
              </w:rPr>
            </w:pPr>
            <w:r w:rsidRPr="00A91BCF">
              <w:rPr>
                <w:rFonts w:ascii="Calibri" w:hAnsi="Calibri"/>
                <w:sz w:val="20"/>
                <w:szCs w:val="20"/>
              </w:rPr>
              <w:t>Week:</w:t>
            </w:r>
          </w:p>
        </w:tc>
        <w:tc>
          <w:tcPr>
            <w:tcW w:w="630" w:type="dxa"/>
            <w:tcBorders>
              <w:bottom w:val="single" w:sz="4" w:space="0" w:color="000000"/>
            </w:tcBorders>
            <w:vAlign w:val="center"/>
          </w:tcPr>
          <w:p w:rsidR="00B448AB" w:rsidRPr="00852A42" w:rsidRDefault="00B448AB" w:rsidP="007C283D">
            <w:pPr>
              <w:jc w:val="center"/>
              <w:rPr>
                <w:rFonts w:ascii="Calibri" w:hAnsi="Calibri"/>
                <w:sz w:val="18"/>
                <w:szCs w:val="18"/>
                <w:lang w:val="pt-BR"/>
              </w:rPr>
            </w:pPr>
            <w:r w:rsidRPr="00852A42">
              <w:rPr>
                <w:rFonts w:ascii="Calibri" w:hAnsi="Calibri"/>
                <w:sz w:val="18"/>
                <w:szCs w:val="18"/>
                <w:lang w:val="pt-BR"/>
              </w:rPr>
              <w:t>RSV</w:t>
            </w:r>
          </w:p>
        </w:tc>
        <w:tc>
          <w:tcPr>
            <w:tcW w:w="630" w:type="dxa"/>
            <w:tcBorders>
              <w:bottom w:val="single" w:sz="4" w:space="0" w:color="000000"/>
            </w:tcBorders>
            <w:vAlign w:val="center"/>
          </w:tcPr>
          <w:p w:rsidR="00B448AB" w:rsidRPr="00852A42" w:rsidRDefault="00B448AB" w:rsidP="007C283D">
            <w:pPr>
              <w:jc w:val="center"/>
              <w:rPr>
                <w:rFonts w:ascii="Calibri" w:hAnsi="Calibri"/>
                <w:sz w:val="18"/>
                <w:szCs w:val="18"/>
                <w:lang w:val="pt-BR"/>
              </w:rPr>
            </w:pPr>
            <w:r w:rsidRPr="00852A42">
              <w:rPr>
                <w:rFonts w:ascii="Calibri" w:hAnsi="Calibri"/>
                <w:sz w:val="18"/>
                <w:szCs w:val="18"/>
                <w:lang w:val="pt-BR"/>
              </w:rPr>
              <w:t>RHV/ENT</w:t>
            </w:r>
          </w:p>
        </w:tc>
        <w:tc>
          <w:tcPr>
            <w:tcW w:w="540" w:type="dxa"/>
            <w:tcBorders>
              <w:bottom w:val="single" w:sz="4" w:space="0" w:color="000000"/>
            </w:tcBorders>
            <w:vAlign w:val="center"/>
          </w:tcPr>
          <w:p w:rsidR="00B448AB" w:rsidRPr="00852A42" w:rsidRDefault="00B448AB" w:rsidP="007C283D">
            <w:pPr>
              <w:jc w:val="center"/>
              <w:rPr>
                <w:rFonts w:ascii="Calibri" w:hAnsi="Calibri"/>
                <w:sz w:val="18"/>
                <w:szCs w:val="18"/>
              </w:rPr>
            </w:pPr>
            <w:r w:rsidRPr="00852A42">
              <w:rPr>
                <w:rFonts w:ascii="Calibri" w:hAnsi="Calibri"/>
                <w:sz w:val="18"/>
                <w:szCs w:val="18"/>
                <w:lang w:val="pt-BR"/>
              </w:rPr>
              <w:t>PIV</w:t>
            </w:r>
          </w:p>
        </w:tc>
        <w:tc>
          <w:tcPr>
            <w:tcW w:w="720" w:type="dxa"/>
            <w:tcBorders>
              <w:bottom w:val="single" w:sz="4" w:space="0" w:color="000000"/>
            </w:tcBorders>
            <w:shd w:val="clear" w:color="auto" w:fill="auto"/>
            <w:vAlign w:val="center"/>
          </w:tcPr>
          <w:p w:rsidR="00B448AB" w:rsidRPr="00852A42" w:rsidRDefault="00B448AB" w:rsidP="007C283D">
            <w:pPr>
              <w:jc w:val="center"/>
              <w:rPr>
                <w:rFonts w:ascii="Calibri" w:hAnsi="Calibri"/>
                <w:sz w:val="18"/>
                <w:szCs w:val="18"/>
                <w:lang w:val="pt-BR"/>
              </w:rPr>
            </w:pPr>
            <w:r w:rsidRPr="00852A42">
              <w:rPr>
                <w:rFonts w:ascii="Calibri" w:hAnsi="Calibri"/>
                <w:sz w:val="18"/>
                <w:szCs w:val="18"/>
              </w:rPr>
              <w:t>HMPV</w:t>
            </w:r>
          </w:p>
        </w:tc>
        <w:tc>
          <w:tcPr>
            <w:tcW w:w="630" w:type="dxa"/>
            <w:tcBorders>
              <w:bottom w:val="single" w:sz="4" w:space="0" w:color="000000"/>
            </w:tcBorders>
            <w:vAlign w:val="center"/>
          </w:tcPr>
          <w:p w:rsidR="00B448AB" w:rsidRPr="00852A42" w:rsidRDefault="00B448AB" w:rsidP="007C283D">
            <w:pPr>
              <w:jc w:val="center"/>
              <w:rPr>
                <w:rFonts w:ascii="Calibri" w:hAnsi="Calibri"/>
                <w:sz w:val="18"/>
                <w:szCs w:val="18"/>
                <w:lang w:val="pt-BR"/>
              </w:rPr>
            </w:pPr>
            <w:r w:rsidRPr="00852A42">
              <w:rPr>
                <w:rFonts w:ascii="Calibri" w:hAnsi="Calibri"/>
                <w:sz w:val="18"/>
                <w:szCs w:val="18"/>
              </w:rPr>
              <w:t>HC</w:t>
            </w:r>
            <w:r w:rsidR="00852A42" w:rsidRPr="00852A42">
              <w:rPr>
                <w:rFonts w:ascii="Calibri" w:hAnsi="Calibri"/>
                <w:sz w:val="18"/>
                <w:szCs w:val="18"/>
              </w:rPr>
              <w:t>o</w:t>
            </w:r>
            <w:r w:rsidRPr="00852A42">
              <w:rPr>
                <w:rFonts w:ascii="Calibri" w:hAnsi="Calibri"/>
                <w:sz w:val="18"/>
                <w:szCs w:val="18"/>
              </w:rPr>
              <w:t>V</w:t>
            </w:r>
          </w:p>
        </w:tc>
        <w:tc>
          <w:tcPr>
            <w:tcW w:w="546" w:type="dxa"/>
            <w:tcBorders>
              <w:bottom w:val="single" w:sz="4" w:space="0" w:color="000000"/>
            </w:tcBorders>
            <w:vAlign w:val="center"/>
          </w:tcPr>
          <w:p w:rsidR="00B448AB" w:rsidRPr="00955FAC" w:rsidRDefault="00B448AB" w:rsidP="007C283D">
            <w:pPr>
              <w:jc w:val="center"/>
              <w:rPr>
                <w:rFonts w:ascii="Calibri" w:hAnsi="Calibri"/>
                <w:sz w:val="18"/>
                <w:szCs w:val="18"/>
                <w:lang w:val="pt-BR"/>
              </w:rPr>
            </w:pPr>
            <w:r w:rsidRPr="00955FAC">
              <w:rPr>
                <w:rFonts w:ascii="Calibri" w:hAnsi="Calibri"/>
                <w:sz w:val="18"/>
                <w:szCs w:val="18"/>
                <w:lang w:val="pt-BR"/>
              </w:rPr>
              <w:t>ADV</w:t>
            </w:r>
          </w:p>
        </w:tc>
        <w:tc>
          <w:tcPr>
            <w:tcW w:w="900" w:type="dxa"/>
            <w:tcBorders>
              <w:bottom w:val="single" w:sz="4" w:space="0" w:color="000000"/>
            </w:tcBorders>
            <w:vAlign w:val="center"/>
          </w:tcPr>
          <w:p w:rsidR="00B448AB" w:rsidRPr="00852A42" w:rsidRDefault="00B448AB" w:rsidP="007C283D">
            <w:pPr>
              <w:jc w:val="center"/>
              <w:rPr>
                <w:rFonts w:ascii="Calibri" w:hAnsi="Calibri"/>
                <w:sz w:val="18"/>
                <w:szCs w:val="18"/>
                <w:lang w:val="pt-BR"/>
              </w:rPr>
            </w:pPr>
            <w:r w:rsidRPr="00852A42">
              <w:rPr>
                <w:rFonts w:ascii="Calibri" w:hAnsi="Calibri"/>
                <w:sz w:val="18"/>
                <w:szCs w:val="18"/>
                <w:lang w:val="pt-BR"/>
              </w:rPr>
              <w:t># Co-Infection</w:t>
            </w:r>
          </w:p>
        </w:tc>
        <w:tc>
          <w:tcPr>
            <w:tcW w:w="894" w:type="dxa"/>
            <w:tcBorders>
              <w:bottom w:val="single" w:sz="4" w:space="0" w:color="000000"/>
            </w:tcBorders>
            <w:vAlign w:val="center"/>
          </w:tcPr>
          <w:p w:rsidR="00B448AB" w:rsidRPr="00A91BCF" w:rsidRDefault="00B448AB" w:rsidP="007C283D">
            <w:pPr>
              <w:jc w:val="center"/>
              <w:rPr>
                <w:rFonts w:ascii="Calibri" w:hAnsi="Calibri"/>
                <w:sz w:val="20"/>
                <w:szCs w:val="20"/>
              </w:rPr>
            </w:pPr>
            <w:r w:rsidRPr="00A91BCF">
              <w:rPr>
                <w:rFonts w:ascii="Calibri" w:hAnsi="Calibri"/>
                <w:sz w:val="20"/>
                <w:szCs w:val="20"/>
              </w:rPr>
              <w:t>No. Pos (%)</w:t>
            </w:r>
          </w:p>
        </w:tc>
        <w:tc>
          <w:tcPr>
            <w:tcW w:w="720" w:type="dxa"/>
            <w:tcBorders>
              <w:bottom w:val="single" w:sz="4" w:space="0" w:color="000000"/>
            </w:tcBorders>
            <w:vAlign w:val="center"/>
          </w:tcPr>
          <w:p w:rsidR="00B448AB" w:rsidRPr="00A91BCF" w:rsidRDefault="00B448AB" w:rsidP="007C283D">
            <w:pPr>
              <w:jc w:val="center"/>
              <w:rPr>
                <w:rFonts w:ascii="Calibri" w:hAnsi="Calibri"/>
                <w:sz w:val="20"/>
                <w:szCs w:val="20"/>
              </w:rPr>
            </w:pPr>
            <w:r w:rsidRPr="00A91BCF">
              <w:rPr>
                <w:rFonts w:ascii="Calibri" w:hAnsi="Calibri"/>
                <w:sz w:val="20"/>
                <w:szCs w:val="20"/>
              </w:rPr>
              <w:t>Unsat</w:t>
            </w:r>
          </w:p>
        </w:tc>
        <w:tc>
          <w:tcPr>
            <w:tcW w:w="810" w:type="dxa"/>
            <w:tcBorders>
              <w:bottom w:val="single" w:sz="4" w:space="0" w:color="000000"/>
            </w:tcBorders>
            <w:vAlign w:val="center"/>
          </w:tcPr>
          <w:p w:rsidR="00B448AB" w:rsidRPr="00A91BCF" w:rsidRDefault="00B448AB" w:rsidP="007C283D">
            <w:pPr>
              <w:jc w:val="center"/>
              <w:rPr>
                <w:rFonts w:ascii="Calibri" w:hAnsi="Calibri"/>
                <w:sz w:val="20"/>
                <w:szCs w:val="20"/>
              </w:rPr>
            </w:pPr>
            <w:r w:rsidRPr="00A91BCF">
              <w:rPr>
                <w:rFonts w:ascii="Calibri" w:hAnsi="Calibri"/>
                <w:sz w:val="20"/>
                <w:szCs w:val="20"/>
              </w:rPr>
              <w:t>Total Tested</w:t>
            </w:r>
          </w:p>
        </w:tc>
        <w:tc>
          <w:tcPr>
            <w:tcW w:w="709" w:type="dxa"/>
            <w:tcBorders>
              <w:bottom w:val="single" w:sz="4" w:space="0" w:color="000000"/>
            </w:tcBorders>
          </w:tcPr>
          <w:p w:rsidR="00B448AB" w:rsidRPr="00A91BCF" w:rsidRDefault="00B448AB" w:rsidP="007C283D">
            <w:pPr>
              <w:jc w:val="center"/>
              <w:rPr>
                <w:rFonts w:ascii="Calibri" w:hAnsi="Calibri"/>
                <w:sz w:val="20"/>
                <w:szCs w:val="20"/>
              </w:rPr>
            </w:pPr>
            <w:r w:rsidRPr="00A91BCF">
              <w:rPr>
                <w:rFonts w:ascii="Calibri" w:hAnsi="Calibri"/>
                <w:sz w:val="20"/>
                <w:szCs w:val="20"/>
              </w:rPr>
              <w:t>Total</w:t>
            </w:r>
          </w:p>
          <w:p w:rsidR="00B448AB" w:rsidRPr="00A91BCF" w:rsidRDefault="00B448AB" w:rsidP="007C283D">
            <w:pPr>
              <w:jc w:val="center"/>
              <w:rPr>
                <w:rFonts w:ascii="Calibri" w:hAnsi="Calibri"/>
                <w:sz w:val="20"/>
                <w:szCs w:val="20"/>
              </w:rPr>
            </w:pPr>
            <w:r w:rsidRPr="00A91BCF">
              <w:rPr>
                <w:rFonts w:ascii="Calibri" w:hAnsi="Calibri"/>
                <w:sz w:val="20"/>
                <w:szCs w:val="20"/>
              </w:rPr>
              <w:t>Rec’d</w:t>
            </w:r>
          </w:p>
        </w:tc>
      </w:tr>
      <w:tr w:rsidR="00F800A2" w:rsidRPr="009C5E07" w:rsidTr="00852A42">
        <w:trPr>
          <w:trHeight w:val="242"/>
          <w:jc w:val="center"/>
        </w:trPr>
        <w:tc>
          <w:tcPr>
            <w:tcW w:w="2114" w:type="dxa"/>
            <w:shd w:val="clear" w:color="auto" w:fill="auto"/>
            <w:vAlign w:val="bottom"/>
          </w:tcPr>
          <w:p w:rsidR="00F800A2" w:rsidRPr="00F800A2" w:rsidRDefault="00F800A2">
            <w:pPr>
              <w:rPr>
                <w:rFonts w:ascii="Calibri" w:hAnsi="Calibri" w:cs="Arial"/>
                <w:sz w:val="18"/>
                <w:szCs w:val="18"/>
              </w:rPr>
            </w:pPr>
            <w:r w:rsidRPr="00F800A2">
              <w:rPr>
                <w:rFonts w:ascii="Calibri" w:hAnsi="Calibri" w:cs="Arial"/>
                <w:sz w:val="18"/>
                <w:szCs w:val="18"/>
              </w:rPr>
              <w:t>17 (04/21 – 04/27/19)</w:t>
            </w:r>
          </w:p>
        </w:tc>
        <w:tc>
          <w:tcPr>
            <w:tcW w:w="63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63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2</w:t>
            </w:r>
          </w:p>
        </w:tc>
        <w:tc>
          <w:tcPr>
            <w:tcW w:w="54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1</w:t>
            </w:r>
          </w:p>
        </w:tc>
        <w:tc>
          <w:tcPr>
            <w:tcW w:w="72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1</w:t>
            </w:r>
          </w:p>
        </w:tc>
        <w:tc>
          <w:tcPr>
            <w:tcW w:w="63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546" w:type="dxa"/>
            <w:tcBorders>
              <w:bottom w:val="single" w:sz="4" w:space="0" w:color="000000"/>
            </w:tcBorders>
          </w:tcPr>
          <w:p w:rsidR="00F800A2" w:rsidRPr="00F800A2" w:rsidRDefault="00F800A2">
            <w:pPr>
              <w:jc w:val="center"/>
              <w:rPr>
                <w:rFonts w:ascii="Calibri" w:hAnsi="Calibri" w:cs="Arial"/>
                <w:bCs/>
                <w:sz w:val="18"/>
                <w:szCs w:val="18"/>
              </w:rPr>
            </w:pPr>
            <w:r w:rsidRPr="00F800A2">
              <w:rPr>
                <w:rFonts w:ascii="Calibri" w:hAnsi="Calibri" w:cs="Arial"/>
                <w:bCs/>
                <w:sz w:val="18"/>
                <w:szCs w:val="18"/>
              </w:rPr>
              <w:t>1</w:t>
            </w:r>
          </w:p>
        </w:tc>
        <w:tc>
          <w:tcPr>
            <w:tcW w:w="900" w:type="dxa"/>
            <w:tcBorders>
              <w:bottom w:val="single" w:sz="4" w:space="0" w:color="000000"/>
            </w:tcBorders>
          </w:tcPr>
          <w:p w:rsidR="00F800A2" w:rsidRPr="00F800A2" w:rsidRDefault="00F800A2">
            <w:pPr>
              <w:jc w:val="center"/>
              <w:rPr>
                <w:rFonts w:ascii="Calibri" w:hAnsi="Calibri" w:cs="Arial"/>
                <w:bCs/>
                <w:sz w:val="18"/>
                <w:szCs w:val="18"/>
              </w:rPr>
            </w:pPr>
            <w:r w:rsidRPr="00F800A2">
              <w:rPr>
                <w:rFonts w:ascii="Calibri" w:hAnsi="Calibri" w:cs="Arial"/>
                <w:bCs/>
                <w:sz w:val="18"/>
                <w:szCs w:val="18"/>
              </w:rPr>
              <w:t>0</w:t>
            </w:r>
          </w:p>
        </w:tc>
        <w:tc>
          <w:tcPr>
            <w:tcW w:w="894" w:type="dxa"/>
            <w:tcBorders>
              <w:bottom w:val="single" w:sz="4" w:space="0" w:color="000000"/>
            </w:tcBorders>
            <w:shd w:val="clear" w:color="auto" w:fill="auto"/>
            <w:vAlign w:val="bottom"/>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5(42%)</w:t>
            </w:r>
          </w:p>
        </w:tc>
        <w:tc>
          <w:tcPr>
            <w:tcW w:w="72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810" w:type="dxa"/>
            <w:tcBorders>
              <w:bottom w:val="single" w:sz="4" w:space="0" w:color="000000"/>
            </w:tcBorders>
            <w:shd w:val="clear" w:color="auto" w:fill="auto"/>
            <w:vAlign w:val="bottom"/>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12</w:t>
            </w:r>
          </w:p>
        </w:tc>
        <w:tc>
          <w:tcPr>
            <w:tcW w:w="709" w:type="dxa"/>
            <w:tcBorders>
              <w:bottom w:val="single" w:sz="4" w:space="0" w:color="000000"/>
            </w:tcBorders>
            <w:shd w:val="clear" w:color="auto" w:fill="auto"/>
            <w:vAlign w:val="bottom"/>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12</w:t>
            </w:r>
          </w:p>
        </w:tc>
      </w:tr>
      <w:tr w:rsidR="00F800A2" w:rsidRPr="00A85DF3" w:rsidTr="00852A42">
        <w:trPr>
          <w:jc w:val="center"/>
        </w:trPr>
        <w:tc>
          <w:tcPr>
            <w:tcW w:w="2114" w:type="dxa"/>
            <w:shd w:val="clear" w:color="auto" w:fill="auto"/>
            <w:vAlign w:val="bottom"/>
          </w:tcPr>
          <w:p w:rsidR="00F800A2" w:rsidRPr="00F800A2" w:rsidRDefault="00F800A2">
            <w:pPr>
              <w:rPr>
                <w:rFonts w:ascii="Calibri" w:hAnsi="Calibri" w:cs="Arial"/>
                <w:sz w:val="18"/>
                <w:szCs w:val="18"/>
              </w:rPr>
            </w:pPr>
            <w:r w:rsidRPr="00F800A2">
              <w:rPr>
                <w:rFonts w:ascii="Calibri" w:hAnsi="Calibri" w:cs="Arial"/>
                <w:sz w:val="18"/>
                <w:szCs w:val="18"/>
              </w:rPr>
              <w:t>18 (04/28 – 05/04/19)</w:t>
            </w:r>
          </w:p>
        </w:tc>
        <w:tc>
          <w:tcPr>
            <w:tcW w:w="630" w:type="dxa"/>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630" w:type="dxa"/>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540" w:type="dxa"/>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720" w:type="dxa"/>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630" w:type="dxa"/>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546" w:type="dxa"/>
          </w:tcPr>
          <w:p w:rsidR="00F800A2" w:rsidRPr="00F800A2" w:rsidRDefault="00F800A2">
            <w:pPr>
              <w:jc w:val="center"/>
              <w:rPr>
                <w:rFonts w:ascii="Calibri" w:hAnsi="Calibri" w:cs="Arial"/>
                <w:bCs/>
                <w:sz w:val="18"/>
                <w:szCs w:val="18"/>
              </w:rPr>
            </w:pPr>
            <w:r w:rsidRPr="00F800A2">
              <w:rPr>
                <w:rFonts w:ascii="Calibri" w:hAnsi="Calibri" w:cs="Arial"/>
                <w:bCs/>
                <w:sz w:val="18"/>
                <w:szCs w:val="18"/>
              </w:rPr>
              <w:t>0</w:t>
            </w:r>
          </w:p>
        </w:tc>
        <w:tc>
          <w:tcPr>
            <w:tcW w:w="900" w:type="dxa"/>
          </w:tcPr>
          <w:p w:rsidR="00F800A2" w:rsidRPr="00F800A2" w:rsidRDefault="00F800A2">
            <w:pPr>
              <w:jc w:val="center"/>
              <w:rPr>
                <w:rFonts w:ascii="Calibri" w:hAnsi="Calibri" w:cs="Arial"/>
                <w:bCs/>
                <w:sz w:val="18"/>
                <w:szCs w:val="18"/>
              </w:rPr>
            </w:pPr>
            <w:r w:rsidRPr="00F800A2">
              <w:rPr>
                <w:rFonts w:ascii="Calibri" w:hAnsi="Calibri" w:cs="Arial"/>
                <w:bCs/>
                <w:sz w:val="18"/>
                <w:szCs w:val="18"/>
              </w:rPr>
              <w:t>0</w:t>
            </w:r>
          </w:p>
        </w:tc>
        <w:tc>
          <w:tcPr>
            <w:tcW w:w="894" w:type="dxa"/>
            <w:shd w:val="clear" w:color="auto" w:fill="auto"/>
            <w:vAlign w:val="bottom"/>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0(0%)</w:t>
            </w:r>
          </w:p>
        </w:tc>
        <w:tc>
          <w:tcPr>
            <w:tcW w:w="720" w:type="dxa"/>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810" w:type="dxa"/>
            <w:shd w:val="clear" w:color="auto" w:fill="auto"/>
            <w:vAlign w:val="bottom"/>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1</w:t>
            </w:r>
          </w:p>
        </w:tc>
        <w:tc>
          <w:tcPr>
            <w:tcW w:w="709" w:type="dxa"/>
            <w:shd w:val="clear" w:color="auto" w:fill="auto"/>
            <w:vAlign w:val="bottom"/>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1</w:t>
            </w:r>
          </w:p>
        </w:tc>
      </w:tr>
      <w:tr w:rsidR="00F800A2" w:rsidRPr="009C5E07" w:rsidTr="00852A42">
        <w:trPr>
          <w:jc w:val="center"/>
        </w:trPr>
        <w:tc>
          <w:tcPr>
            <w:tcW w:w="2114" w:type="dxa"/>
            <w:tcBorders>
              <w:bottom w:val="single" w:sz="4" w:space="0" w:color="000000"/>
            </w:tcBorders>
            <w:shd w:val="clear" w:color="auto" w:fill="auto"/>
            <w:vAlign w:val="bottom"/>
          </w:tcPr>
          <w:p w:rsidR="00F800A2" w:rsidRPr="00F800A2" w:rsidRDefault="00F800A2">
            <w:pPr>
              <w:rPr>
                <w:rFonts w:ascii="Calibri" w:hAnsi="Calibri" w:cs="Arial"/>
                <w:sz w:val="18"/>
                <w:szCs w:val="18"/>
              </w:rPr>
            </w:pPr>
            <w:r w:rsidRPr="00F800A2">
              <w:rPr>
                <w:rFonts w:ascii="Calibri" w:hAnsi="Calibri" w:cs="Arial"/>
                <w:sz w:val="18"/>
                <w:szCs w:val="18"/>
              </w:rPr>
              <w:t>19 (05/05 – 05/11/19)</w:t>
            </w:r>
          </w:p>
        </w:tc>
        <w:tc>
          <w:tcPr>
            <w:tcW w:w="63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63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54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72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63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546" w:type="dxa"/>
            <w:tcBorders>
              <w:bottom w:val="single" w:sz="4" w:space="0" w:color="000000"/>
            </w:tcBorders>
          </w:tcPr>
          <w:p w:rsidR="00F800A2" w:rsidRPr="00F800A2" w:rsidRDefault="00F800A2">
            <w:pPr>
              <w:jc w:val="center"/>
              <w:rPr>
                <w:rFonts w:ascii="Calibri" w:hAnsi="Calibri" w:cs="Arial"/>
                <w:bCs/>
                <w:sz w:val="18"/>
                <w:szCs w:val="18"/>
              </w:rPr>
            </w:pPr>
            <w:r w:rsidRPr="00F800A2">
              <w:rPr>
                <w:rFonts w:ascii="Calibri" w:hAnsi="Calibri" w:cs="Arial"/>
                <w:bCs/>
                <w:sz w:val="18"/>
                <w:szCs w:val="18"/>
              </w:rPr>
              <w:t>0</w:t>
            </w:r>
          </w:p>
        </w:tc>
        <w:tc>
          <w:tcPr>
            <w:tcW w:w="900" w:type="dxa"/>
            <w:tcBorders>
              <w:bottom w:val="single" w:sz="4" w:space="0" w:color="000000"/>
            </w:tcBorders>
          </w:tcPr>
          <w:p w:rsidR="00F800A2" w:rsidRPr="00F800A2" w:rsidRDefault="00F800A2">
            <w:pPr>
              <w:jc w:val="center"/>
              <w:rPr>
                <w:rFonts w:ascii="Calibri" w:hAnsi="Calibri" w:cs="Arial"/>
                <w:bCs/>
                <w:sz w:val="18"/>
                <w:szCs w:val="18"/>
              </w:rPr>
            </w:pPr>
            <w:r w:rsidRPr="00F800A2">
              <w:rPr>
                <w:rFonts w:ascii="Calibri" w:hAnsi="Calibri" w:cs="Arial"/>
                <w:bCs/>
                <w:sz w:val="18"/>
                <w:szCs w:val="18"/>
              </w:rPr>
              <w:t>0</w:t>
            </w:r>
          </w:p>
        </w:tc>
        <w:tc>
          <w:tcPr>
            <w:tcW w:w="894" w:type="dxa"/>
            <w:tcBorders>
              <w:bottom w:val="single" w:sz="4" w:space="0" w:color="000000"/>
            </w:tcBorders>
            <w:shd w:val="clear" w:color="auto" w:fill="auto"/>
            <w:vAlign w:val="bottom"/>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0(0%)</w:t>
            </w:r>
          </w:p>
        </w:tc>
        <w:tc>
          <w:tcPr>
            <w:tcW w:w="72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810" w:type="dxa"/>
            <w:tcBorders>
              <w:bottom w:val="single" w:sz="4" w:space="0" w:color="000000"/>
            </w:tcBorders>
            <w:shd w:val="clear" w:color="auto" w:fill="auto"/>
            <w:vAlign w:val="bottom"/>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1</w:t>
            </w:r>
          </w:p>
        </w:tc>
        <w:tc>
          <w:tcPr>
            <w:tcW w:w="709" w:type="dxa"/>
            <w:tcBorders>
              <w:bottom w:val="single" w:sz="4" w:space="0" w:color="000000"/>
            </w:tcBorders>
            <w:shd w:val="clear" w:color="auto" w:fill="auto"/>
            <w:vAlign w:val="bottom"/>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1</w:t>
            </w:r>
          </w:p>
        </w:tc>
      </w:tr>
      <w:tr w:rsidR="00F800A2" w:rsidRPr="009C5E07" w:rsidTr="00852A42">
        <w:trPr>
          <w:jc w:val="center"/>
        </w:trPr>
        <w:tc>
          <w:tcPr>
            <w:tcW w:w="2114" w:type="dxa"/>
            <w:tcBorders>
              <w:bottom w:val="single" w:sz="4" w:space="0" w:color="000000"/>
            </w:tcBorders>
            <w:shd w:val="clear" w:color="auto" w:fill="auto"/>
            <w:vAlign w:val="bottom"/>
          </w:tcPr>
          <w:p w:rsidR="00F800A2" w:rsidRPr="00F800A2" w:rsidRDefault="00F800A2">
            <w:pPr>
              <w:rPr>
                <w:rFonts w:ascii="Calibri" w:hAnsi="Calibri" w:cs="Arial"/>
                <w:sz w:val="18"/>
                <w:szCs w:val="18"/>
              </w:rPr>
            </w:pPr>
            <w:r w:rsidRPr="00F800A2">
              <w:rPr>
                <w:rFonts w:ascii="Calibri" w:hAnsi="Calibri" w:cs="Arial"/>
                <w:sz w:val="18"/>
                <w:szCs w:val="18"/>
              </w:rPr>
              <w:t>20 (05/12 – 05/18/19)</w:t>
            </w:r>
          </w:p>
        </w:tc>
        <w:tc>
          <w:tcPr>
            <w:tcW w:w="63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63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1</w:t>
            </w:r>
          </w:p>
        </w:tc>
        <w:tc>
          <w:tcPr>
            <w:tcW w:w="54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72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63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546" w:type="dxa"/>
            <w:tcBorders>
              <w:bottom w:val="single" w:sz="4" w:space="0" w:color="000000"/>
            </w:tcBorders>
          </w:tcPr>
          <w:p w:rsidR="00F800A2" w:rsidRPr="00F800A2" w:rsidRDefault="00F800A2">
            <w:pPr>
              <w:jc w:val="center"/>
              <w:rPr>
                <w:rFonts w:ascii="Calibri" w:hAnsi="Calibri" w:cs="Arial"/>
                <w:bCs/>
                <w:sz w:val="18"/>
                <w:szCs w:val="18"/>
              </w:rPr>
            </w:pPr>
            <w:r w:rsidRPr="00F800A2">
              <w:rPr>
                <w:rFonts w:ascii="Calibri" w:hAnsi="Calibri" w:cs="Arial"/>
                <w:bCs/>
                <w:sz w:val="18"/>
                <w:szCs w:val="18"/>
              </w:rPr>
              <w:t>0</w:t>
            </w:r>
          </w:p>
        </w:tc>
        <w:tc>
          <w:tcPr>
            <w:tcW w:w="900" w:type="dxa"/>
            <w:tcBorders>
              <w:bottom w:val="single" w:sz="4" w:space="0" w:color="000000"/>
            </w:tcBorders>
          </w:tcPr>
          <w:p w:rsidR="00F800A2" w:rsidRPr="00F800A2" w:rsidRDefault="00F800A2">
            <w:pPr>
              <w:jc w:val="center"/>
              <w:rPr>
                <w:rFonts w:ascii="Calibri" w:hAnsi="Calibri" w:cs="Arial"/>
                <w:bCs/>
                <w:sz w:val="18"/>
                <w:szCs w:val="18"/>
              </w:rPr>
            </w:pPr>
            <w:r w:rsidRPr="00F800A2">
              <w:rPr>
                <w:rFonts w:ascii="Calibri" w:hAnsi="Calibri" w:cs="Arial"/>
                <w:bCs/>
                <w:sz w:val="18"/>
                <w:szCs w:val="18"/>
              </w:rPr>
              <w:t>0</w:t>
            </w:r>
          </w:p>
        </w:tc>
        <w:tc>
          <w:tcPr>
            <w:tcW w:w="894" w:type="dxa"/>
            <w:tcBorders>
              <w:bottom w:val="single" w:sz="4" w:space="0" w:color="000000"/>
            </w:tcBorders>
            <w:shd w:val="clear" w:color="auto" w:fill="auto"/>
            <w:vAlign w:val="bottom"/>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1(50%)</w:t>
            </w:r>
          </w:p>
        </w:tc>
        <w:tc>
          <w:tcPr>
            <w:tcW w:w="720" w:type="dxa"/>
            <w:tcBorders>
              <w:bottom w:val="single" w:sz="4" w:space="0" w:color="000000"/>
            </w:tcBorders>
            <w:shd w:val="clear" w:color="auto" w:fill="auto"/>
            <w:vAlign w:val="bottom"/>
          </w:tcPr>
          <w:p w:rsidR="00F800A2" w:rsidRPr="00F800A2" w:rsidRDefault="00F800A2">
            <w:pPr>
              <w:jc w:val="center"/>
              <w:rPr>
                <w:rFonts w:ascii="Calibri" w:hAnsi="Calibri" w:cs="Arial"/>
                <w:sz w:val="18"/>
                <w:szCs w:val="18"/>
              </w:rPr>
            </w:pPr>
            <w:r w:rsidRPr="00F800A2">
              <w:rPr>
                <w:rFonts w:ascii="Calibri" w:hAnsi="Calibri" w:cs="Arial"/>
                <w:sz w:val="18"/>
                <w:szCs w:val="18"/>
              </w:rPr>
              <w:t>0</w:t>
            </w:r>
          </w:p>
        </w:tc>
        <w:tc>
          <w:tcPr>
            <w:tcW w:w="810" w:type="dxa"/>
            <w:tcBorders>
              <w:bottom w:val="single" w:sz="4" w:space="0" w:color="000000"/>
            </w:tcBorders>
            <w:shd w:val="clear" w:color="auto" w:fill="auto"/>
            <w:vAlign w:val="bottom"/>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2</w:t>
            </w:r>
          </w:p>
        </w:tc>
        <w:tc>
          <w:tcPr>
            <w:tcW w:w="709" w:type="dxa"/>
            <w:tcBorders>
              <w:bottom w:val="single" w:sz="4" w:space="0" w:color="000000"/>
            </w:tcBorders>
            <w:shd w:val="clear" w:color="auto" w:fill="auto"/>
            <w:vAlign w:val="bottom"/>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2</w:t>
            </w:r>
          </w:p>
        </w:tc>
      </w:tr>
      <w:tr w:rsidR="00F800A2" w:rsidRPr="009C5E07" w:rsidTr="00852A42">
        <w:trPr>
          <w:trHeight w:val="242"/>
          <w:jc w:val="center"/>
        </w:trPr>
        <w:tc>
          <w:tcPr>
            <w:tcW w:w="2114" w:type="dxa"/>
            <w:tcBorders>
              <w:bottom w:val="single" w:sz="4" w:space="0" w:color="000000"/>
            </w:tcBorders>
            <w:shd w:val="clear" w:color="auto" w:fill="D9D9D9"/>
            <w:vAlign w:val="bottom"/>
          </w:tcPr>
          <w:p w:rsidR="00F800A2" w:rsidRPr="00F800A2" w:rsidRDefault="00F800A2">
            <w:pPr>
              <w:jc w:val="right"/>
              <w:rPr>
                <w:rFonts w:ascii="Calibri" w:hAnsi="Calibri" w:cs="Arial"/>
                <w:b/>
                <w:bCs/>
                <w:sz w:val="18"/>
                <w:szCs w:val="18"/>
              </w:rPr>
            </w:pPr>
            <w:r w:rsidRPr="00F800A2">
              <w:rPr>
                <w:rFonts w:ascii="Calibri" w:hAnsi="Calibri" w:cs="Arial"/>
                <w:b/>
                <w:bCs/>
                <w:sz w:val="18"/>
                <w:szCs w:val="18"/>
              </w:rPr>
              <w:t>Prior 4 wk Total</w:t>
            </w:r>
          </w:p>
        </w:tc>
        <w:tc>
          <w:tcPr>
            <w:tcW w:w="630" w:type="dxa"/>
            <w:tcBorders>
              <w:bottom w:val="single" w:sz="4" w:space="0" w:color="000000"/>
            </w:tcBorders>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0</w:t>
            </w:r>
          </w:p>
        </w:tc>
        <w:tc>
          <w:tcPr>
            <w:tcW w:w="630" w:type="dxa"/>
            <w:tcBorders>
              <w:bottom w:val="single" w:sz="4" w:space="0" w:color="000000"/>
            </w:tcBorders>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3</w:t>
            </w:r>
          </w:p>
        </w:tc>
        <w:tc>
          <w:tcPr>
            <w:tcW w:w="540" w:type="dxa"/>
            <w:tcBorders>
              <w:bottom w:val="single" w:sz="4" w:space="0" w:color="000000"/>
            </w:tcBorders>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1</w:t>
            </w:r>
          </w:p>
        </w:tc>
        <w:tc>
          <w:tcPr>
            <w:tcW w:w="720" w:type="dxa"/>
            <w:tcBorders>
              <w:bottom w:val="single" w:sz="4" w:space="0" w:color="000000"/>
            </w:tcBorders>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1</w:t>
            </w:r>
          </w:p>
        </w:tc>
        <w:tc>
          <w:tcPr>
            <w:tcW w:w="630" w:type="dxa"/>
            <w:tcBorders>
              <w:bottom w:val="single" w:sz="4" w:space="0" w:color="000000"/>
            </w:tcBorders>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0</w:t>
            </w:r>
          </w:p>
        </w:tc>
        <w:tc>
          <w:tcPr>
            <w:tcW w:w="546" w:type="dxa"/>
            <w:tcBorders>
              <w:bottom w:val="single" w:sz="4" w:space="0" w:color="000000"/>
            </w:tcBorders>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1</w:t>
            </w:r>
          </w:p>
        </w:tc>
        <w:tc>
          <w:tcPr>
            <w:tcW w:w="900" w:type="dxa"/>
            <w:tcBorders>
              <w:bottom w:val="single" w:sz="4" w:space="0" w:color="000000"/>
            </w:tcBorders>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0</w:t>
            </w:r>
          </w:p>
        </w:tc>
        <w:tc>
          <w:tcPr>
            <w:tcW w:w="894" w:type="dxa"/>
            <w:tcBorders>
              <w:bottom w:val="single" w:sz="4" w:space="0" w:color="000000"/>
            </w:tcBorders>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6(38%)</w:t>
            </w:r>
          </w:p>
        </w:tc>
        <w:tc>
          <w:tcPr>
            <w:tcW w:w="720" w:type="dxa"/>
            <w:tcBorders>
              <w:bottom w:val="single" w:sz="4" w:space="0" w:color="000000"/>
            </w:tcBorders>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0</w:t>
            </w:r>
          </w:p>
        </w:tc>
        <w:tc>
          <w:tcPr>
            <w:tcW w:w="810" w:type="dxa"/>
            <w:tcBorders>
              <w:bottom w:val="single" w:sz="4" w:space="0" w:color="000000"/>
            </w:tcBorders>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16</w:t>
            </w:r>
          </w:p>
        </w:tc>
        <w:tc>
          <w:tcPr>
            <w:tcW w:w="709" w:type="dxa"/>
            <w:tcBorders>
              <w:bottom w:val="single" w:sz="4" w:space="0" w:color="000000"/>
            </w:tcBorders>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16</w:t>
            </w:r>
          </w:p>
        </w:tc>
      </w:tr>
      <w:tr w:rsidR="00F800A2" w:rsidTr="00852A42">
        <w:trPr>
          <w:trHeight w:val="70"/>
          <w:jc w:val="center"/>
        </w:trPr>
        <w:tc>
          <w:tcPr>
            <w:tcW w:w="2114" w:type="dxa"/>
            <w:shd w:val="clear" w:color="auto" w:fill="D9D9D9"/>
            <w:vAlign w:val="bottom"/>
          </w:tcPr>
          <w:p w:rsidR="00F800A2" w:rsidRPr="00F800A2" w:rsidRDefault="00F800A2">
            <w:pPr>
              <w:jc w:val="right"/>
              <w:rPr>
                <w:rFonts w:ascii="Calibri" w:hAnsi="Calibri" w:cs="Arial"/>
                <w:b/>
                <w:bCs/>
                <w:sz w:val="18"/>
                <w:szCs w:val="18"/>
              </w:rPr>
            </w:pPr>
            <w:r w:rsidRPr="00F800A2">
              <w:rPr>
                <w:rFonts w:ascii="Calibri" w:hAnsi="Calibri" w:cs="Arial"/>
                <w:b/>
                <w:bCs/>
                <w:sz w:val="18"/>
                <w:szCs w:val="18"/>
              </w:rPr>
              <w:t>Cumulative Season total</w:t>
            </w:r>
          </w:p>
        </w:tc>
        <w:tc>
          <w:tcPr>
            <w:tcW w:w="630" w:type="dxa"/>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7</w:t>
            </w:r>
          </w:p>
        </w:tc>
        <w:tc>
          <w:tcPr>
            <w:tcW w:w="630" w:type="dxa"/>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23</w:t>
            </w:r>
          </w:p>
        </w:tc>
        <w:tc>
          <w:tcPr>
            <w:tcW w:w="540" w:type="dxa"/>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5</w:t>
            </w:r>
          </w:p>
        </w:tc>
        <w:tc>
          <w:tcPr>
            <w:tcW w:w="720" w:type="dxa"/>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6</w:t>
            </w:r>
          </w:p>
        </w:tc>
        <w:tc>
          <w:tcPr>
            <w:tcW w:w="630" w:type="dxa"/>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31</w:t>
            </w:r>
          </w:p>
        </w:tc>
        <w:tc>
          <w:tcPr>
            <w:tcW w:w="546" w:type="dxa"/>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6</w:t>
            </w:r>
          </w:p>
        </w:tc>
        <w:tc>
          <w:tcPr>
            <w:tcW w:w="900" w:type="dxa"/>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2</w:t>
            </w:r>
          </w:p>
        </w:tc>
        <w:tc>
          <w:tcPr>
            <w:tcW w:w="894" w:type="dxa"/>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76(34%)</w:t>
            </w:r>
          </w:p>
        </w:tc>
        <w:tc>
          <w:tcPr>
            <w:tcW w:w="720" w:type="dxa"/>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2</w:t>
            </w:r>
          </w:p>
        </w:tc>
        <w:tc>
          <w:tcPr>
            <w:tcW w:w="810" w:type="dxa"/>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221</w:t>
            </w:r>
          </w:p>
        </w:tc>
        <w:tc>
          <w:tcPr>
            <w:tcW w:w="709" w:type="dxa"/>
            <w:shd w:val="clear" w:color="auto" w:fill="D9D9D9"/>
            <w:vAlign w:val="center"/>
          </w:tcPr>
          <w:p w:rsidR="00F800A2" w:rsidRPr="00F800A2" w:rsidRDefault="00F800A2">
            <w:pPr>
              <w:jc w:val="center"/>
              <w:rPr>
                <w:rFonts w:ascii="Calibri" w:hAnsi="Calibri" w:cs="Arial"/>
                <w:b/>
                <w:bCs/>
                <w:sz w:val="18"/>
                <w:szCs w:val="18"/>
              </w:rPr>
            </w:pPr>
            <w:r w:rsidRPr="00F800A2">
              <w:rPr>
                <w:rFonts w:ascii="Calibri" w:hAnsi="Calibri" w:cs="Arial"/>
                <w:b/>
                <w:bCs/>
                <w:sz w:val="18"/>
                <w:szCs w:val="18"/>
              </w:rPr>
              <w:t>223</w:t>
            </w:r>
          </w:p>
        </w:tc>
      </w:tr>
    </w:tbl>
    <w:p w:rsidR="00B448AB" w:rsidRDefault="00B448AB" w:rsidP="00CC5152">
      <w:pPr>
        <w:rPr>
          <w:rFonts w:ascii="Calibri" w:hAnsi="Calibri" w:cs="Arial"/>
          <w:sz w:val="16"/>
          <w:szCs w:val="20"/>
        </w:rPr>
      </w:pPr>
      <w:r w:rsidRPr="00CC567F">
        <w:rPr>
          <w:rFonts w:ascii="Calibri" w:hAnsi="Calibri" w:cs="Arial"/>
          <w:sz w:val="16"/>
          <w:szCs w:val="20"/>
        </w:rPr>
        <w:t>All data are subject to change as test re</w:t>
      </w:r>
      <w:r>
        <w:rPr>
          <w:rFonts w:ascii="Calibri" w:hAnsi="Calibri" w:cs="Arial"/>
          <w:sz w:val="16"/>
          <w:szCs w:val="20"/>
        </w:rPr>
        <w:t>sults become finalized. The 2018</w:t>
      </w:r>
      <w:r w:rsidRPr="00CC567F">
        <w:rPr>
          <w:rFonts w:ascii="Calibri" w:hAnsi="Calibri" w:cs="Arial"/>
          <w:sz w:val="16"/>
          <w:szCs w:val="20"/>
        </w:rPr>
        <w:t xml:space="preserve"> -201</w:t>
      </w:r>
      <w:r>
        <w:rPr>
          <w:rFonts w:ascii="Calibri" w:hAnsi="Calibri" w:cs="Arial"/>
          <w:sz w:val="16"/>
          <w:szCs w:val="20"/>
        </w:rPr>
        <w:t>9</w:t>
      </w:r>
      <w:r w:rsidRPr="00CC567F">
        <w:rPr>
          <w:rFonts w:ascii="Calibri" w:hAnsi="Calibri" w:cs="Arial"/>
          <w:sz w:val="16"/>
          <w:szCs w:val="20"/>
        </w:rPr>
        <w:t xml:space="preserve"> i</w:t>
      </w:r>
      <w:r>
        <w:rPr>
          <w:rFonts w:ascii="Calibri" w:hAnsi="Calibri" w:cs="Arial"/>
          <w:sz w:val="16"/>
          <w:szCs w:val="20"/>
        </w:rPr>
        <w:t>nfluenza season began the week of 9/30- 10/06</w:t>
      </w:r>
      <w:r w:rsidRPr="00CC567F">
        <w:rPr>
          <w:rFonts w:ascii="Calibri" w:hAnsi="Calibri" w:cs="Arial"/>
          <w:sz w:val="16"/>
          <w:szCs w:val="20"/>
        </w:rPr>
        <w:t>/201</w:t>
      </w:r>
      <w:r>
        <w:rPr>
          <w:rFonts w:ascii="Calibri" w:hAnsi="Calibri" w:cs="Arial"/>
          <w:sz w:val="16"/>
          <w:szCs w:val="20"/>
        </w:rPr>
        <w:t>8</w:t>
      </w:r>
      <w:r w:rsidRPr="00CC567F">
        <w:rPr>
          <w:rFonts w:ascii="Calibri" w:hAnsi="Calibri" w:cs="Arial"/>
          <w:sz w:val="16"/>
          <w:szCs w:val="20"/>
        </w:rPr>
        <w:t>.</w:t>
      </w:r>
    </w:p>
    <w:p w:rsidR="00B448AB" w:rsidRDefault="00B448AB" w:rsidP="00B448AB">
      <w:pPr>
        <w:rPr>
          <w:rFonts w:ascii="Calibri" w:hAnsi="Calibri"/>
          <w:color w:val="000000"/>
          <w:sz w:val="20"/>
          <w:szCs w:val="20"/>
        </w:rPr>
      </w:pPr>
    </w:p>
    <w:p w:rsidR="00B448AB" w:rsidRDefault="00B448AB" w:rsidP="00B448AB">
      <w:pPr>
        <w:rPr>
          <w:rFonts w:ascii="Calibri" w:hAnsi="Calibri"/>
          <w:sz w:val="20"/>
          <w:szCs w:val="20"/>
        </w:rPr>
      </w:pPr>
    </w:p>
    <w:p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xml:space="preserve">  </w:t>
      </w:r>
      <w:r>
        <w:rPr>
          <w:rFonts w:ascii="Calibri" w:hAnsi="Calibri"/>
          <w:sz w:val="20"/>
          <w:szCs w:val="20"/>
        </w:rPr>
        <w:t>All strains that have been analyzed from Massachusetts this season are covered by the current influenza vaccine.</w:t>
      </w:r>
    </w:p>
    <w:p w:rsidR="00B448AB" w:rsidRDefault="00B448AB" w:rsidP="00B448AB">
      <w:pPr>
        <w:rPr>
          <w:rFonts w:ascii="Calibri" w:hAnsi="Calibri"/>
          <w:color w:val="000000"/>
          <w:sz w:val="20"/>
          <w:szCs w:val="20"/>
        </w:rPr>
      </w:pPr>
    </w:p>
    <w:p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Pr="00FD3494">
        <w:rPr>
          <w:rFonts w:ascii="Calibri" w:hAnsi="Calibri"/>
          <w:color w:val="000000"/>
          <w:sz w:val="20"/>
          <w:szCs w:val="20"/>
        </w:rPr>
        <w:t>. </w:t>
      </w:r>
      <w:r>
        <w:rPr>
          <w:rFonts w:ascii="Calibri" w:hAnsi="Calibri"/>
          <w:color w:val="000000"/>
          <w:sz w:val="20"/>
          <w:szCs w:val="20"/>
        </w:rPr>
        <w:t>No mutations have been identified in the 2018-2019 season.</w:t>
      </w:r>
    </w:p>
    <w:p w:rsidR="00B448AB" w:rsidRPr="009C5E07" w:rsidRDefault="00B448AB" w:rsidP="00B448AB">
      <w:pPr>
        <w:rPr>
          <w:rFonts w:ascii="Calibri" w:hAnsi="Calibri"/>
          <w:color w:val="000000"/>
          <w:sz w:val="12"/>
          <w:szCs w:val="20"/>
        </w:rPr>
      </w:pPr>
    </w:p>
    <w:p w:rsidR="00B448AB" w:rsidRPr="0043087E" w:rsidRDefault="00B448AB" w:rsidP="00B448AB">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16"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p w:rsidR="000C5C38" w:rsidRPr="0043087E" w:rsidRDefault="000C5C38" w:rsidP="00B448AB">
      <w:pPr>
        <w:adjustRightInd w:val="0"/>
        <w:rPr>
          <w:rFonts w:ascii="Calibri" w:hAnsi="Calibri"/>
          <w:bCs/>
          <w:iCs/>
          <w:sz w:val="20"/>
          <w:szCs w:val="20"/>
        </w:rPr>
      </w:pPr>
    </w:p>
    <w:sectPr w:rsidR="000C5C38" w:rsidRPr="0043087E" w:rsidSect="00EF7665">
      <w:headerReference w:type="even" r:id="rId17"/>
      <w:headerReference w:type="default" r:id="rId18"/>
      <w:footerReference w:type="even" r:id="rId19"/>
      <w:footerReference w:type="default" r:id="rId20"/>
      <w:headerReference w:type="first" r:id="rId21"/>
      <w:footerReference w:type="first" r:id="rId22"/>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146" w:rsidRDefault="00182146">
      <w:r>
        <w:separator/>
      </w:r>
    </w:p>
  </w:endnote>
  <w:endnote w:type="continuationSeparator" w:id="0">
    <w:p w:rsidR="00182146" w:rsidRDefault="0018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5E4A" w:rsidRDefault="00B85E4A" w:rsidP="001D0B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8B2004">
      <w:rPr>
        <w:rStyle w:val="PageNumber"/>
        <w:rFonts w:ascii="Calibri" w:hAnsi="Calibri"/>
        <w:noProof/>
        <w:sz w:val="20"/>
        <w:szCs w:val="20"/>
      </w:rPr>
      <w:t>6</w:t>
    </w:r>
    <w:r w:rsidRPr="00265B3E">
      <w:rPr>
        <w:rStyle w:val="PageNumber"/>
        <w:rFonts w:ascii="Calibri" w:hAnsi="Calibri"/>
        <w:sz w:val="20"/>
        <w:szCs w:val="20"/>
      </w:rPr>
      <w:fldChar w:fldCharType="end"/>
    </w:r>
  </w:p>
  <w:p w:rsidR="00B85E4A" w:rsidRDefault="00B85E4A" w:rsidP="001D0B8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C5E" w:rsidRDefault="00035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146" w:rsidRDefault="00182146">
      <w:r>
        <w:separator/>
      </w:r>
    </w:p>
  </w:footnote>
  <w:footnote w:type="continuationSeparator" w:id="0">
    <w:p w:rsidR="00182146" w:rsidRDefault="00182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C5E" w:rsidRDefault="00035C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C5E" w:rsidRDefault="00035C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Pr="007E3EC9" w:rsidRDefault="008B2004" w:rsidP="00F367A9">
    <w:pPr>
      <w:adjustRightInd w:val="0"/>
      <w:spacing w:before="10" w:after="10"/>
      <w:rPr>
        <w:rFonts w:ascii="Calibri" w:hAnsi="Calibri"/>
        <w:b/>
        <w:bCs/>
        <w:i/>
        <w:iCs/>
        <w:color w:val="000000"/>
        <w:sz w:val="26"/>
        <w:szCs w:val="26"/>
      </w:rPr>
    </w:pPr>
    <w:r>
      <w:rPr>
        <w:rFonts w:ascii="Calibri" w:hAnsi="Calibri"/>
        <w:b/>
        <w:bCs/>
        <w:i/>
        <w:iCs/>
        <w:noProof/>
        <w:color w:val="000000"/>
        <w:sz w:val="26"/>
        <w:szCs w:val="26"/>
      </w:rPr>
      <w:drawing>
        <wp:inline distT="0" distB="0" distL="0" distR="0">
          <wp:extent cx="89535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r w:rsidR="00B85E4A" w:rsidRPr="007E3EC9">
      <w:rPr>
        <w:rFonts w:ascii="Calibri" w:hAnsi="Calibri"/>
        <w:b/>
        <w:bCs/>
        <w:i/>
        <w:iCs/>
        <w:color w:val="000000"/>
        <w:sz w:val="26"/>
        <w:szCs w:val="26"/>
      </w:rPr>
      <w:t xml:space="preserve">  </w:t>
    </w:r>
    <w:r w:rsidR="00B85E4A">
      <w:rPr>
        <w:rFonts w:ascii="Calibri" w:hAnsi="Calibri"/>
        <w:b/>
        <w:bCs/>
        <w:i/>
        <w:iCs/>
        <w:color w:val="000000"/>
        <w:sz w:val="26"/>
        <w:szCs w:val="26"/>
      </w:rPr>
      <w:tab/>
    </w:r>
    <w:r w:rsidR="00B85E4A"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rsidR="006B7BE3" w:rsidRPr="00D92C71" w:rsidRDefault="00003811" w:rsidP="006B7BE3">
    <w:pPr>
      <w:pStyle w:val="Header"/>
      <w:jc w:val="center"/>
      <w:rPr>
        <w:rFonts w:ascii="Calibri" w:hAnsi="Calibri"/>
        <w:b/>
        <w:bCs/>
        <w:i/>
        <w:iCs/>
        <w:sz w:val="26"/>
        <w:szCs w:val="26"/>
      </w:rPr>
    </w:pPr>
    <w:r>
      <w:rPr>
        <w:rFonts w:ascii="Calibri" w:hAnsi="Calibri"/>
        <w:b/>
        <w:bCs/>
        <w:i/>
        <w:iCs/>
        <w:sz w:val="26"/>
        <w:szCs w:val="26"/>
      </w:rPr>
      <w:t>May</w:t>
    </w:r>
    <w:r w:rsidR="00216654" w:rsidRPr="001E3AB7">
      <w:rPr>
        <w:rFonts w:ascii="Calibri" w:hAnsi="Calibri"/>
        <w:b/>
        <w:bCs/>
        <w:i/>
        <w:iCs/>
        <w:sz w:val="26"/>
        <w:szCs w:val="26"/>
      </w:rPr>
      <w:t xml:space="preserve"> </w:t>
    </w:r>
    <w:r w:rsidR="00511A85">
      <w:rPr>
        <w:rFonts w:ascii="Calibri" w:hAnsi="Calibri"/>
        <w:b/>
        <w:bCs/>
        <w:i/>
        <w:iCs/>
        <w:sz w:val="26"/>
        <w:szCs w:val="26"/>
      </w:rPr>
      <w:t>24</w:t>
    </w:r>
    <w:r w:rsidR="0021080E" w:rsidRPr="001E3AB7">
      <w:rPr>
        <w:rFonts w:ascii="Calibri" w:hAnsi="Calibri"/>
        <w:b/>
        <w:bCs/>
        <w:i/>
        <w:iCs/>
        <w:sz w:val="26"/>
        <w:szCs w:val="26"/>
      </w:rPr>
      <w:t>, 201</w:t>
    </w:r>
    <w:r w:rsidR="00E47085">
      <w:rPr>
        <w:rFonts w:ascii="Calibri" w:hAnsi="Calibri"/>
        <w:b/>
        <w:bCs/>
        <w:i/>
        <w:iCs/>
        <w:sz w:val="26"/>
        <w:szCs w:val="26"/>
      </w:rPr>
      <w:t>9</w:t>
    </w:r>
  </w:p>
  <w:p w:rsidR="00B85E4A" w:rsidRPr="00E12F1D" w:rsidRDefault="00B85E4A" w:rsidP="00A7474B">
    <w:pPr>
      <w:pStyle w:val="Header"/>
      <w:jc w:val="center"/>
      <w:rPr>
        <w:rFonts w:ascii="Calibri" w:hAnsi="Calibri"/>
        <w:b/>
        <w:bCs/>
        <w:i/>
        <w:iCs/>
        <w:color w:val="000000"/>
        <w:sz w:val="8"/>
        <w:szCs w:val="26"/>
      </w:rPr>
    </w:pPr>
  </w:p>
  <w:p w:rsidR="006B7BE3" w:rsidRDefault="00A7474B" w:rsidP="00A7474B">
    <w:pPr>
      <w:adjustRightInd w:val="0"/>
      <w:spacing w:before="10" w:after="10"/>
      <w:jc w:val="center"/>
      <w:rPr>
        <w:rFonts w:ascii="Calibri" w:hAnsi="Calibri"/>
        <w:b/>
        <w:color w:val="000000"/>
        <w:sz w:val="22"/>
        <w:szCs w:val="22"/>
      </w:rPr>
    </w:pPr>
    <w:r>
      <w:rPr>
        <w:rFonts w:ascii="Calibri" w:hAnsi="Calibri"/>
        <w:b/>
        <w:color w:val="000000"/>
        <w:sz w:val="22"/>
        <w:szCs w:val="22"/>
      </w:rPr>
      <w:t>Geographic Distribution:</w:t>
    </w:r>
  </w:p>
  <w:tbl>
    <w:tblPr>
      <w:tblW w:w="0" w:type="auto"/>
      <w:jc w:val="center"/>
      <w:tblInd w:w="-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71"/>
      <w:gridCol w:w="1563"/>
      <w:gridCol w:w="1563"/>
      <w:gridCol w:w="1563"/>
      <w:gridCol w:w="1508"/>
    </w:tblGrid>
    <w:tr w:rsidR="00A7474B" w:rsidRPr="00C61906" w:rsidTr="008D6BCF">
      <w:trPr>
        <w:trHeight w:val="225"/>
        <w:jc w:val="center"/>
      </w:trPr>
      <w:tc>
        <w:tcPr>
          <w:tcW w:w="1571" w:type="dxa"/>
          <w:tcBorders>
            <w:top w:val="single" w:sz="8" w:space="0" w:color="auto"/>
            <w:left w:val="single" w:sz="8" w:space="0" w:color="auto"/>
            <w:bottom w:val="single" w:sz="8" w:space="0" w:color="auto"/>
            <w:right w:val="single" w:sz="8" w:space="0" w:color="auto"/>
          </w:tcBorders>
          <w:shd w:val="clear" w:color="auto" w:fill="FEEDDE"/>
          <w:vAlign w:val="center"/>
        </w:tcPr>
        <w:p w:rsidR="00472C5F" w:rsidRPr="00C61906" w:rsidRDefault="00472C5F"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No Activity</w:t>
          </w:r>
        </w:p>
      </w:tc>
      <w:tc>
        <w:tcPr>
          <w:tcW w:w="1563" w:type="dxa"/>
          <w:tcBorders>
            <w:top w:val="single" w:sz="8" w:space="0" w:color="auto"/>
            <w:left w:val="single" w:sz="8" w:space="0" w:color="auto"/>
            <w:bottom w:val="single" w:sz="8" w:space="0" w:color="auto"/>
            <w:right w:val="single" w:sz="8" w:space="0" w:color="auto"/>
          </w:tcBorders>
          <w:shd w:val="clear" w:color="auto" w:fill="FDBE85"/>
          <w:vAlign w:val="center"/>
        </w:tcPr>
        <w:p w:rsidR="00472C5F" w:rsidRPr="00C61906" w:rsidRDefault="00472C5F"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Sporadic</w:t>
          </w:r>
        </w:p>
      </w:tc>
      <w:tc>
        <w:tcPr>
          <w:tcW w:w="1563" w:type="dxa"/>
          <w:tcBorders>
            <w:top w:val="single" w:sz="8" w:space="0" w:color="auto"/>
            <w:left w:val="single" w:sz="8" w:space="0" w:color="auto"/>
            <w:bottom w:val="single" w:sz="8" w:space="0" w:color="auto"/>
            <w:right w:val="single" w:sz="8" w:space="0" w:color="auto"/>
          </w:tcBorders>
          <w:shd w:val="clear" w:color="auto" w:fill="FD8D3C"/>
          <w:vAlign w:val="center"/>
        </w:tcPr>
        <w:p w:rsidR="00EF7665" w:rsidRPr="007844FC" w:rsidRDefault="00472C5F" w:rsidP="00A7474B">
          <w:pPr>
            <w:adjustRightInd w:val="0"/>
            <w:spacing w:before="10" w:after="10"/>
            <w:jc w:val="center"/>
            <w:rPr>
              <w:rFonts w:ascii="Calibri" w:hAnsi="Calibri"/>
              <w:b/>
              <w:color w:val="000000"/>
              <w:sz w:val="22"/>
              <w:szCs w:val="22"/>
            </w:rPr>
          </w:pPr>
          <w:r w:rsidRPr="007844FC">
            <w:rPr>
              <w:rFonts w:ascii="Calibri" w:hAnsi="Calibri"/>
              <w:b/>
              <w:color w:val="000000"/>
              <w:sz w:val="22"/>
              <w:szCs w:val="22"/>
            </w:rPr>
            <w:t>Local</w:t>
          </w:r>
        </w:p>
      </w:tc>
      <w:tc>
        <w:tcPr>
          <w:tcW w:w="1563" w:type="dxa"/>
          <w:tcBorders>
            <w:top w:val="single" w:sz="8" w:space="0" w:color="auto"/>
            <w:left w:val="single" w:sz="8" w:space="0" w:color="auto"/>
            <w:bottom w:val="single" w:sz="8" w:space="0" w:color="auto"/>
            <w:right w:val="single" w:sz="24" w:space="0" w:color="auto"/>
          </w:tcBorders>
          <w:shd w:val="clear" w:color="auto" w:fill="E6550D"/>
          <w:vAlign w:val="center"/>
        </w:tcPr>
        <w:p w:rsidR="00472C5F" w:rsidRPr="00C61906" w:rsidRDefault="00472C5F"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Regional</w:t>
          </w:r>
        </w:p>
      </w:tc>
      <w:tc>
        <w:tcPr>
          <w:tcW w:w="1508" w:type="dxa"/>
          <w:tcBorders>
            <w:top w:val="single" w:sz="24" w:space="0" w:color="auto"/>
            <w:left w:val="single" w:sz="24" w:space="0" w:color="auto"/>
            <w:bottom w:val="single" w:sz="24" w:space="0" w:color="auto"/>
            <w:right w:val="single" w:sz="24" w:space="0" w:color="auto"/>
          </w:tcBorders>
          <w:shd w:val="clear" w:color="auto" w:fill="A63603"/>
          <w:vAlign w:val="center"/>
        </w:tcPr>
        <w:p w:rsidR="00472C5F" w:rsidRPr="00C61906" w:rsidRDefault="00472C5F"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Widesp</w:t>
          </w:r>
          <w:r w:rsidR="00A7474B">
            <w:rPr>
              <w:rFonts w:ascii="Calibri" w:hAnsi="Calibri"/>
              <w:b/>
              <w:color w:val="000000"/>
              <w:sz w:val="22"/>
              <w:szCs w:val="22"/>
            </w:rPr>
            <w:t>r</w:t>
          </w:r>
          <w:r w:rsidRPr="00C61906">
            <w:rPr>
              <w:rFonts w:ascii="Calibri" w:hAnsi="Calibri"/>
              <w:b/>
              <w:color w:val="000000"/>
              <w:sz w:val="22"/>
              <w:szCs w:val="22"/>
            </w:rPr>
            <w:t>ead</w:t>
          </w:r>
        </w:p>
      </w:tc>
    </w:tr>
  </w:tbl>
  <w:p w:rsidR="00472C5F" w:rsidRDefault="006B7BE3" w:rsidP="00A7474B">
    <w:pPr>
      <w:adjustRightInd w:val="0"/>
      <w:spacing w:before="10" w:after="10"/>
      <w:jc w:val="center"/>
      <w:rPr>
        <w:rFonts w:ascii="Calibri" w:hAnsi="Calibri"/>
        <w:b/>
        <w:color w:val="000000"/>
        <w:sz w:val="22"/>
        <w:szCs w:val="22"/>
      </w:rPr>
    </w:pPr>
    <w:r>
      <w:rPr>
        <w:rFonts w:ascii="Calibri" w:hAnsi="Calibri"/>
        <w:b/>
        <w:color w:val="000000"/>
        <w:sz w:val="22"/>
        <w:szCs w:val="22"/>
      </w:rPr>
      <w:t xml:space="preserve">ILI </w:t>
    </w:r>
    <w:r w:rsidR="001D4FF4">
      <w:rPr>
        <w:rFonts w:ascii="Calibri" w:hAnsi="Calibri"/>
        <w:b/>
        <w:color w:val="000000"/>
        <w:sz w:val="22"/>
        <w:szCs w:val="22"/>
      </w:rPr>
      <w:t>Intensity</w:t>
    </w:r>
    <w:r w:rsidRPr="006B7BE3">
      <w:rPr>
        <w:rFonts w:ascii="Calibri" w:hAnsi="Calibri"/>
        <w:b/>
        <w:color w:val="000000"/>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76"/>
      <w:gridCol w:w="776"/>
      <w:gridCol w:w="776"/>
      <w:gridCol w:w="776"/>
      <w:gridCol w:w="776"/>
      <w:gridCol w:w="776"/>
      <w:gridCol w:w="776"/>
      <w:gridCol w:w="776"/>
      <w:gridCol w:w="764"/>
    </w:tblGrid>
    <w:tr w:rsidR="00FB6E71" w:rsidRPr="00C61906" w:rsidTr="008D6BCF">
      <w:trPr>
        <w:trHeight w:val="288"/>
        <w:jc w:val="center"/>
      </w:trPr>
      <w:tc>
        <w:tcPr>
          <w:tcW w:w="2327" w:type="dxa"/>
          <w:gridSpan w:val="3"/>
          <w:tcBorders>
            <w:bottom w:val="single" w:sz="8" w:space="0" w:color="auto"/>
          </w:tcBorders>
          <w:shd w:val="clear" w:color="auto" w:fill="auto"/>
        </w:tcPr>
        <w:p w:rsidR="00FB6E71" w:rsidRPr="00C61906" w:rsidRDefault="00FB6E71"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551" w:type="dxa"/>
          <w:gridSpan w:val="2"/>
          <w:tcBorders>
            <w:bottom w:val="single" w:sz="8" w:space="0" w:color="auto"/>
          </w:tcBorders>
          <w:shd w:val="clear" w:color="auto" w:fill="auto"/>
        </w:tcPr>
        <w:p w:rsidR="00FB6E71" w:rsidRPr="00C61906" w:rsidRDefault="00FB6E71"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551" w:type="dxa"/>
          <w:gridSpan w:val="2"/>
          <w:tcBorders>
            <w:bottom w:val="single" w:sz="8" w:space="0" w:color="auto"/>
          </w:tcBorders>
          <w:shd w:val="clear" w:color="auto" w:fill="auto"/>
        </w:tcPr>
        <w:p w:rsidR="00FB6E71" w:rsidRPr="00C61906" w:rsidRDefault="00FB6E71"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2315" w:type="dxa"/>
          <w:gridSpan w:val="3"/>
          <w:tcBorders>
            <w:bottom w:val="single" w:sz="8" w:space="0" w:color="auto"/>
          </w:tcBorders>
          <w:shd w:val="clear" w:color="auto" w:fill="auto"/>
        </w:tcPr>
        <w:p w:rsidR="00FB6E71" w:rsidRPr="00C61906" w:rsidRDefault="00FB6E71"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r w:rsidR="00FB6E71" w:rsidRPr="00C61906" w:rsidTr="008D6BCF">
      <w:trPr>
        <w:trHeight w:val="142"/>
        <w:jc w:val="center"/>
      </w:trPr>
      <w:tc>
        <w:tcPr>
          <w:tcW w:w="776" w:type="dxa"/>
          <w:tcBorders>
            <w:top w:val="single" w:sz="8" w:space="0" w:color="auto"/>
            <w:left w:val="single" w:sz="8" w:space="0" w:color="auto"/>
            <w:bottom w:val="single" w:sz="8" w:space="0" w:color="auto"/>
            <w:right w:val="single" w:sz="24" w:space="0" w:color="auto"/>
          </w:tcBorders>
          <w:shd w:val="clear" w:color="auto" w:fill="F7FBFF"/>
          <w:vAlign w:val="center"/>
        </w:tcPr>
        <w:p w:rsidR="00FB6E71" w:rsidRPr="00C61906" w:rsidRDefault="00FB6E71"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1</w:t>
          </w:r>
        </w:p>
      </w:tc>
      <w:tc>
        <w:tcPr>
          <w:tcW w:w="776" w:type="dxa"/>
          <w:tcBorders>
            <w:top w:val="single" w:sz="24" w:space="0" w:color="auto"/>
            <w:left w:val="single" w:sz="24" w:space="0" w:color="auto"/>
            <w:bottom w:val="single" w:sz="24" w:space="0" w:color="auto"/>
            <w:right w:val="single" w:sz="24" w:space="0" w:color="auto"/>
          </w:tcBorders>
          <w:shd w:val="clear" w:color="auto" w:fill="DEEBF7"/>
          <w:vAlign w:val="center"/>
        </w:tcPr>
        <w:p w:rsidR="00EF7665" w:rsidRPr="00C61906" w:rsidRDefault="00FB6E71"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2</w:t>
          </w:r>
        </w:p>
      </w:tc>
      <w:tc>
        <w:tcPr>
          <w:tcW w:w="776" w:type="dxa"/>
          <w:tcBorders>
            <w:top w:val="single" w:sz="8" w:space="0" w:color="auto"/>
            <w:left w:val="single" w:sz="24" w:space="0" w:color="auto"/>
            <w:bottom w:val="single" w:sz="8" w:space="0" w:color="auto"/>
            <w:right w:val="single" w:sz="8" w:space="0" w:color="auto"/>
          </w:tcBorders>
          <w:shd w:val="clear" w:color="auto" w:fill="C6DBEF"/>
          <w:vAlign w:val="center"/>
        </w:tcPr>
        <w:p w:rsidR="00FB6E71" w:rsidRPr="00C61906" w:rsidRDefault="00FB6E71"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3</w:t>
          </w:r>
        </w:p>
      </w:tc>
      <w:tc>
        <w:tcPr>
          <w:tcW w:w="776" w:type="dxa"/>
          <w:tcBorders>
            <w:top w:val="single" w:sz="8" w:space="0" w:color="auto"/>
            <w:left w:val="single" w:sz="8" w:space="0" w:color="auto"/>
            <w:bottom w:val="single" w:sz="8" w:space="0" w:color="auto"/>
            <w:right w:val="single" w:sz="8" w:space="0" w:color="auto"/>
          </w:tcBorders>
          <w:shd w:val="clear" w:color="auto" w:fill="9ECAE1"/>
          <w:vAlign w:val="center"/>
        </w:tcPr>
        <w:p w:rsidR="00FB6E71" w:rsidRPr="00C61906" w:rsidRDefault="00FB6E71"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4</w:t>
          </w:r>
        </w:p>
      </w:tc>
      <w:tc>
        <w:tcPr>
          <w:tcW w:w="776" w:type="dxa"/>
          <w:tcBorders>
            <w:top w:val="single" w:sz="8" w:space="0" w:color="auto"/>
            <w:left w:val="single" w:sz="8" w:space="0" w:color="auto"/>
            <w:bottom w:val="single" w:sz="8" w:space="0" w:color="auto"/>
            <w:right w:val="single" w:sz="8" w:space="0" w:color="auto"/>
          </w:tcBorders>
          <w:shd w:val="clear" w:color="auto" w:fill="6BAED6"/>
          <w:vAlign w:val="center"/>
        </w:tcPr>
        <w:p w:rsidR="00FB6E71" w:rsidRPr="00C61906" w:rsidRDefault="00FB6E71"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5</w:t>
          </w:r>
        </w:p>
      </w:tc>
      <w:tc>
        <w:tcPr>
          <w:tcW w:w="776" w:type="dxa"/>
          <w:tcBorders>
            <w:top w:val="single" w:sz="8" w:space="0" w:color="auto"/>
            <w:left w:val="single" w:sz="8" w:space="0" w:color="auto"/>
            <w:bottom w:val="single" w:sz="8" w:space="0" w:color="auto"/>
            <w:right w:val="single" w:sz="8" w:space="0" w:color="auto"/>
          </w:tcBorders>
          <w:shd w:val="clear" w:color="auto" w:fill="4292C6"/>
          <w:vAlign w:val="center"/>
        </w:tcPr>
        <w:p w:rsidR="00FB6E71" w:rsidRPr="00D02644" w:rsidRDefault="00FB6E71" w:rsidP="00A7474B">
          <w:pPr>
            <w:adjustRightInd w:val="0"/>
            <w:spacing w:before="10" w:after="10"/>
            <w:jc w:val="center"/>
            <w:rPr>
              <w:rFonts w:ascii="Calibri" w:hAnsi="Calibri"/>
              <w:b/>
              <w:color w:val="000000"/>
              <w:sz w:val="22"/>
              <w:szCs w:val="22"/>
            </w:rPr>
          </w:pPr>
          <w:r w:rsidRPr="00D02644">
            <w:rPr>
              <w:rFonts w:ascii="Calibri" w:hAnsi="Calibri"/>
              <w:b/>
              <w:color w:val="000000"/>
              <w:sz w:val="22"/>
              <w:szCs w:val="22"/>
            </w:rPr>
            <w:t>6</w:t>
          </w:r>
        </w:p>
      </w:tc>
      <w:tc>
        <w:tcPr>
          <w:tcW w:w="776" w:type="dxa"/>
          <w:tcBorders>
            <w:top w:val="single" w:sz="8" w:space="0" w:color="auto"/>
            <w:left w:val="single" w:sz="8" w:space="0" w:color="auto"/>
            <w:bottom w:val="single" w:sz="8" w:space="0" w:color="auto"/>
            <w:right w:val="single" w:sz="8" w:space="0" w:color="auto"/>
          </w:tcBorders>
          <w:shd w:val="clear" w:color="auto" w:fill="2171B5"/>
          <w:vAlign w:val="center"/>
        </w:tcPr>
        <w:p w:rsidR="00FB6E71" w:rsidRPr="00C61906" w:rsidRDefault="00FB6E71"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7</w:t>
          </w:r>
        </w:p>
      </w:tc>
      <w:tc>
        <w:tcPr>
          <w:tcW w:w="776" w:type="dxa"/>
          <w:tcBorders>
            <w:top w:val="single" w:sz="8" w:space="0" w:color="auto"/>
            <w:left w:val="single" w:sz="8" w:space="0" w:color="auto"/>
            <w:bottom w:val="single" w:sz="8" w:space="0" w:color="auto"/>
            <w:right w:val="single" w:sz="8" w:space="0" w:color="auto"/>
          </w:tcBorders>
          <w:shd w:val="clear" w:color="auto" w:fill="08519C"/>
          <w:vAlign w:val="center"/>
        </w:tcPr>
        <w:p w:rsidR="00FB6E71" w:rsidRPr="00C61906" w:rsidRDefault="00FB6E71"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8</w:t>
          </w:r>
        </w:p>
      </w:tc>
      <w:tc>
        <w:tcPr>
          <w:tcW w:w="776" w:type="dxa"/>
          <w:tcBorders>
            <w:top w:val="single" w:sz="8" w:space="0" w:color="auto"/>
            <w:left w:val="single" w:sz="8" w:space="0" w:color="auto"/>
            <w:bottom w:val="single" w:sz="8" w:space="0" w:color="auto"/>
            <w:right w:val="single" w:sz="8" w:space="0" w:color="auto"/>
          </w:tcBorders>
          <w:shd w:val="clear" w:color="auto" w:fill="083B8C"/>
          <w:vAlign w:val="center"/>
        </w:tcPr>
        <w:p w:rsidR="00FB6E71" w:rsidRPr="00C61906" w:rsidRDefault="00FB6E71"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9</w:t>
          </w:r>
        </w:p>
      </w:tc>
      <w:tc>
        <w:tcPr>
          <w:tcW w:w="764" w:type="dxa"/>
          <w:tcBorders>
            <w:top w:val="single" w:sz="8" w:space="0" w:color="auto"/>
            <w:left w:val="single" w:sz="8" w:space="0" w:color="auto"/>
            <w:bottom w:val="single" w:sz="8" w:space="0" w:color="auto"/>
            <w:right w:val="single" w:sz="8" w:space="0" w:color="auto"/>
          </w:tcBorders>
          <w:shd w:val="clear" w:color="auto" w:fill="08306B"/>
          <w:vAlign w:val="center"/>
        </w:tcPr>
        <w:p w:rsidR="00FB6E71" w:rsidRPr="00C61906" w:rsidRDefault="00FB6E71" w:rsidP="00A7474B">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10</w:t>
          </w:r>
        </w:p>
      </w:tc>
    </w:tr>
  </w:tbl>
  <w:p w:rsidR="00472C5F" w:rsidRDefault="00472C5F" w:rsidP="008228BA">
    <w:pPr>
      <w:adjustRightInd w:val="0"/>
      <w:spacing w:before="10" w:after="10"/>
      <w:jc w:val="center"/>
      <w:rPr>
        <w:rFonts w:ascii="Calibri" w:hAnsi="Calibri"/>
        <w:b/>
        <w:color w:val="000000"/>
        <w:sz w:val="22"/>
        <w:szCs w:val="22"/>
      </w:rPr>
    </w:pPr>
  </w:p>
  <w:p w:rsidR="004F0887" w:rsidRPr="004F0887" w:rsidRDefault="004F0887" w:rsidP="004F0887">
    <w:pPr>
      <w:adjustRightInd w:val="0"/>
      <w:spacing w:before="10" w:after="10"/>
      <w:jc w:val="center"/>
      <w:rPr>
        <w:rFonts w:ascii="Calibri" w:hAnsi="Calibri"/>
        <w:color w:val="000000"/>
        <w:sz w:val="18"/>
        <w:szCs w:val="18"/>
      </w:rPr>
    </w:pPr>
    <w:r w:rsidRPr="007E3EC9">
      <w:rPr>
        <w:rFonts w:ascii="Calibri" w:hAnsi="Calibri"/>
        <w:color w:val="000000"/>
        <w:sz w:val="18"/>
        <w:szCs w:val="18"/>
      </w:rPr>
      <w:t>All data in this report are preliminary and subject to change as more information is received.</w:t>
    </w:r>
    <w:r w:rsidR="00D02644">
      <w:rPr>
        <w:rFonts w:ascii="Calibri" w:hAnsi="Calibri"/>
        <w:color w:val="000000"/>
        <w:sz w:val="18"/>
        <w:szCs w:val="18"/>
      </w:rPr>
      <w:t xml:space="preserve"> </w:t>
    </w:r>
    <w:r w:rsidR="00D02644" w:rsidRPr="00D02644">
      <w:rPr>
        <w:rFonts w:ascii="Calibri" w:hAnsi="Calibri"/>
        <w:sz w:val="18"/>
        <w:szCs w:val="18"/>
      </w:rPr>
      <w:t xml:space="preserve">Data </w:t>
    </w:r>
    <w:r w:rsidR="00EB3810">
      <w:rPr>
        <w:rFonts w:ascii="Calibri" w:hAnsi="Calibri"/>
        <w:sz w:val="18"/>
        <w:szCs w:val="18"/>
      </w:rPr>
      <w:t xml:space="preserve">collected through </w:t>
    </w:r>
    <w:r w:rsidR="00E74681">
      <w:rPr>
        <w:rFonts w:ascii="Calibri" w:hAnsi="Calibri"/>
        <w:sz w:val="18"/>
        <w:szCs w:val="18"/>
      </w:rPr>
      <w:t>May</w:t>
    </w:r>
    <w:r w:rsidR="00EB3810">
      <w:rPr>
        <w:rFonts w:ascii="Calibri" w:hAnsi="Calibri"/>
        <w:sz w:val="18"/>
        <w:szCs w:val="18"/>
      </w:rPr>
      <w:t xml:space="preserve"> </w:t>
    </w:r>
    <w:r w:rsidR="00511A85">
      <w:rPr>
        <w:rFonts w:ascii="Calibri" w:hAnsi="Calibri"/>
        <w:sz w:val="18"/>
        <w:szCs w:val="18"/>
      </w:rPr>
      <w:t>18</w:t>
    </w:r>
    <w:r w:rsidR="00D02644" w:rsidRPr="00D02644">
      <w:rPr>
        <w:rFonts w:ascii="Calibri" w:hAnsi="Calibri"/>
        <w:sz w:val="18"/>
        <w:szCs w:val="18"/>
      </w:rPr>
      <w:t>, 2019 are included in this report.</w:t>
    </w:r>
  </w:p>
  <w:p w:rsidR="00B85E4A" w:rsidRPr="00A773B2" w:rsidRDefault="00B85E4A" w:rsidP="006136F2">
    <w:pPr>
      <w:pStyle w:val="Heade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6F2"/>
    <w:rsid w:val="00002251"/>
    <w:rsid w:val="00003811"/>
    <w:rsid w:val="000044A9"/>
    <w:rsid w:val="000056FE"/>
    <w:rsid w:val="00005978"/>
    <w:rsid w:val="0001507F"/>
    <w:rsid w:val="00017860"/>
    <w:rsid w:val="00020E14"/>
    <w:rsid w:val="000274F2"/>
    <w:rsid w:val="00035C5E"/>
    <w:rsid w:val="00035DAB"/>
    <w:rsid w:val="000365E8"/>
    <w:rsid w:val="00040908"/>
    <w:rsid w:val="00040A6F"/>
    <w:rsid w:val="0004109D"/>
    <w:rsid w:val="000524E5"/>
    <w:rsid w:val="00056063"/>
    <w:rsid w:val="00061FB0"/>
    <w:rsid w:val="000669C3"/>
    <w:rsid w:val="00067C71"/>
    <w:rsid w:val="00074A79"/>
    <w:rsid w:val="000778A3"/>
    <w:rsid w:val="00081ADE"/>
    <w:rsid w:val="00083739"/>
    <w:rsid w:val="00086DD3"/>
    <w:rsid w:val="000873C0"/>
    <w:rsid w:val="00091087"/>
    <w:rsid w:val="00096177"/>
    <w:rsid w:val="000973BA"/>
    <w:rsid w:val="000A1269"/>
    <w:rsid w:val="000A3789"/>
    <w:rsid w:val="000B0256"/>
    <w:rsid w:val="000B495E"/>
    <w:rsid w:val="000C0499"/>
    <w:rsid w:val="000C1233"/>
    <w:rsid w:val="000C4B64"/>
    <w:rsid w:val="000C5C38"/>
    <w:rsid w:val="000C6E9D"/>
    <w:rsid w:val="000D0C74"/>
    <w:rsid w:val="000D3D4B"/>
    <w:rsid w:val="000D4E74"/>
    <w:rsid w:val="000D6A84"/>
    <w:rsid w:val="000D703E"/>
    <w:rsid w:val="000E0303"/>
    <w:rsid w:val="000E13D7"/>
    <w:rsid w:val="000E6A50"/>
    <w:rsid w:val="000F137F"/>
    <w:rsid w:val="00103FE9"/>
    <w:rsid w:val="001101F1"/>
    <w:rsid w:val="001202A7"/>
    <w:rsid w:val="00126C6C"/>
    <w:rsid w:val="00127393"/>
    <w:rsid w:val="001307DC"/>
    <w:rsid w:val="0013158D"/>
    <w:rsid w:val="00134F6E"/>
    <w:rsid w:val="00140D29"/>
    <w:rsid w:val="00142FF9"/>
    <w:rsid w:val="0014510B"/>
    <w:rsid w:val="00147520"/>
    <w:rsid w:val="00151E5C"/>
    <w:rsid w:val="00152DCD"/>
    <w:rsid w:val="00160312"/>
    <w:rsid w:val="00160F66"/>
    <w:rsid w:val="00174D91"/>
    <w:rsid w:val="00181CCE"/>
    <w:rsid w:val="00182146"/>
    <w:rsid w:val="00183E39"/>
    <w:rsid w:val="00184DE5"/>
    <w:rsid w:val="00186FE4"/>
    <w:rsid w:val="00197CA4"/>
    <w:rsid w:val="001A1818"/>
    <w:rsid w:val="001A4F38"/>
    <w:rsid w:val="001B11F9"/>
    <w:rsid w:val="001B1D12"/>
    <w:rsid w:val="001C1D5C"/>
    <w:rsid w:val="001C2D39"/>
    <w:rsid w:val="001D0B8F"/>
    <w:rsid w:val="001D4FF4"/>
    <w:rsid w:val="001D53A3"/>
    <w:rsid w:val="001E37C8"/>
    <w:rsid w:val="001E3AB7"/>
    <w:rsid w:val="001F0A23"/>
    <w:rsid w:val="001F18A7"/>
    <w:rsid w:val="001F58EE"/>
    <w:rsid w:val="00206BE1"/>
    <w:rsid w:val="00206D99"/>
    <w:rsid w:val="0021080E"/>
    <w:rsid w:val="00210D10"/>
    <w:rsid w:val="00214E52"/>
    <w:rsid w:val="0021615E"/>
    <w:rsid w:val="00216654"/>
    <w:rsid w:val="00222FAD"/>
    <w:rsid w:val="002263FF"/>
    <w:rsid w:val="002302A8"/>
    <w:rsid w:val="00235F4E"/>
    <w:rsid w:val="00240B0A"/>
    <w:rsid w:val="00240E73"/>
    <w:rsid w:val="00241270"/>
    <w:rsid w:val="00241282"/>
    <w:rsid w:val="0024304F"/>
    <w:rsid w:val="00252F50"/>
    <w:rsid w:val="0025679E"/>
    <w:rsid w:val="00260BC7"/>
    <w:rsid w:val="00261BF8"/>
    <w:rsid w:val="00264415"/>
    <w:rsid w:val="00265B3E"/>
    <w:rsid w:val="00267B49"/>
    <w:rsid w:val="00271D35"/>
    <w:rsid w:val="00273706"/>
    <w:rsid w:val="00273ECB"/>
    <w:rsid w:val="002746FB"/>
    <w:rsid w:val="00275849"/>
    <w:rsid w:val="00282289"/>
    <w:rsid w:val="00284EC4"/>
    <w:rsid w:val="002872CC"/>
    <w:rsid w:val="0029563E"/>
    <w:rsid w:val="002962A0"/>
    <w:rsid w:val="0029638D"/>
    <w:rsid w:val="002A621A"/>
    <w:rsid w:val="002C00D9"/>
    <w:rsid w:val="002C06C9"/>
    <w:rsid w:val="002C25D8"/>
    <w:rsid w:val="002D0E9D"/>
    <w:rsid w:val="002D3FCC"/>
    <w:rsid w:val="002E224E"/>
    <w:rsid w:val="002E2975"/>
    <w:rsid w:val="002E4102"/>
    <w:rsid w:val="002F02A5"/>
    <w:rsid w:val="002F1173"/>
    <w:rsid w:val="002F4C0C"/>
    <w:rsid w:val="00313D83"/>
    <w:rsid w:val="003261CD"/>
    <w:rsid w:val="00327245"/>
    <w:rsid w:val="00334815"/>
    <w:rsid w:val="00342ADB"/>
    <w:rsid w:val="00345C78"/>
    <w:rsid w:val="003462E4"/>
    <w:rsid w:val="00351463"/>
    <w:rsid w:val="0035752F"/>
    <w:rsid w:val="003613BA"/>
    <w:rsid w:val="00363344"/>
    <w:rsid w:val="00370185"/>
    <w:rsid w:val="003800BB"/>
    <w:rsid w:val="003823AD"/>
    <w:rsid w:val="00384D67"/>
    <w:rsid w:val="00390054"/>
    <w:rsid w:val="00391A7E"/>
    <w:rsid w:val="00395A85"/>
    <w:rsid w:val="00396E7C"/>
    <w:rsid w:val="003A7309"/>
    <w:rsid w:val="003A750E"/>
    <w:rsid w:val="003A78C7"/>
    <w:rsid w:val="003B337A"/>
    <w:rsid w:val="003B39B1"/>
    <w:rsid w:val="003B6242"/>
    <w:rsid w:val="003C3FF5"/>
    <w:rsid w:val="003D11DE"/>
    <w:rsid w:val="003E118D"/>
    <w:rsid w:val="003F45A0"/>
    <w:rsid w:val="004024D0"/>
    <w:rsid w:val="00405C4D"/>
    <w:rsid w:val="004104FB"/>
    <w:rsid w:val="00411513"/>
    <w:rsid w:val="00413E7C"/>
    <w:rsid w:val="00414649"/>
    <w:rsid w:val="00415427"/>
    <w:rsid w:val="00417044"/>
    <w:rsid w:val="004202E9"/>
    <w:rsid w:val="004219C6"/>
    <w:rsid w:val="00424BD2"/>
    <w:rsid w:val="0043087E"/>
    <w:rsid w:val="00431DCC"/>
    <w:rsid w:val="00431E57"/>
    <w:rsid w:val="00432AC8"/>
    <w:rsid w:val="00433F23"/>
    <w:rsid w:val="00434158"/>
    <w:rsid w:val="00434F98"/>
    <w:rsid w:val="0043682F"/>
    <w:rsid w:val="00437A6E"/>
    <w:rsid w:val="00442281"/>
    <w:rsid w:val="00442BAF"/>
    <w:rsid w:val="00455D40"/>
    <w:rsid w:val="004561F4"/>
    <w:rsid w:val="00466AE6"/>
    <w:rsid w:val="00467BAA"/>
    <w:rsid w:val="00472C5F"/>
    <w:rsid w:val="00474342"/>
    <w:rsid w:val="00477FA7"/>
    <w:rsid w:val="00480A0C"/>
    <w:rsid w:val="004902A2"/>
    <w:rsid w:val="00497D18"/>
    <w:rsid w:val="004A0341"/>
    <w:rsid w:val="004A0C3C"/>
    <w:rsid w:val="004A4920"/>
    <w:rsid w:val="004A601C"/>
    <w:rsid w:val="004A7C8D"/>
    <w:rsid w:val="004B1304"/>
    <w:rsid w:val="004B298F"/>
    <w:rsid w:val="004C4472"/>
    <w:rsid w:val="004C45F0"/>
    <w:rsid w:val="004C47B9"/>
    <w:rsid w:val="004C7B8F"/>
    <w:rsid w:val="004D4910"/>
    <w:rsid w:val="004D624E"/>
    <w:rsid w:val="004D7599"/>
    <w:rsid w:val="004F0887"/>
    <w:rsid w:val="004F1934"/>
    <w:rsid w:val="004F38FF"/>
    <w:rsid w:val="004F3C2D"/>
    <w:rsid w:val="004F6E44"/>
    <w:rsid w:val="00500F29"/>
    <w:rsid w:val="00504B3D"/>
    <w:rsid w:val="00511A85"/>
    <w:rsid w:val="00517399"/>
    <w:rsid w:val="00517B8C"/>
    <w:rsid w:val="00525AF7"/>
    <w:rsid w:val="00526595"/>
    <w:rsid w:val="00526997"/>
    <w:rsid w:val="00531D34"/>
    <w:rsid w:val="00533F16"/>
    <w:rsid w:val="00540138"/>
    <w:rsid w:val="00542A60"/>
    <w:rsid w:val="00552D3B"/>
    <w:rsid w:val="00554DA5"/>
    <w:rsid w:val="00561C24"/>
    <w:rsid w:val="00563B76"/>
    <w:rsid w:val="00563CDA"/>
    <w:rsid w:val="00576994"/>
    <w:rsid w:val="00582A89"/>
    <w:rsid w:val="00582AD9"/>
    <w:rsid w:val="005877AC"/>
    <w:rsid w:val="00587E0D"/>
    <w:rsid w:val="005900E5"/>
    <w:rsid w:val="00592408"/>
    <w:rsid w:val="00595906"/>
    <w:rsid w:val="00595E61"/>
    <w:rsid w:val="005A00B4"/>
    <w:rsid w:val="005A0425"/>
    <w:rsid w:val="005B0761"/>
    <w:rsid w:val="005B40D8"/>
    <w:rsid w:val="005B795D"/>
    <w:rsid w:val="005C7D62"/>
    <w:rsid w:val="005D6A01"/>
    <w:rsid w:val="005F068F"/>
    <w:rsid w:val="005F3770"/>
    <w:rsid w:val="005F5517"/>
    <w:rsid w:val="006103B1"/>
    <w:rsid w:val="00611AA3"/>
    <w:rsid w:val="00612878"/>
    <w:rsid w:val="006136F2"/>
    <w:rsid w:val="00617A51"/>
    <w:rsid w:val="00620802"/>
    <w:rsid w:val="00625C13"/>
    <w:rsid w:val="00626D10"/>
    <w:rsid w:val="00627BCA"/>
    <w:rsid w:val="0063401B"/>
    <w:rsid w:val="00636065"/>
    <w:rsid w:val="00637BC5"/>
    <w:rsid w:val="006414BC"/>
    <w:rsid w:val="0064218C"/>
    <w:rsid w:val="00642D06"/>
    <w:rsid w:val="00644485"/>
    <w:rsid w:val="0064659A"/>
    <w:rsid w:val="006564B6"/>
    <w:rsid w:val="00667469"/>
    <w:rsid w:val="0068298E"/>
    <w:rsid w:val="00685418"/>
    <w:rsid w:val="006958FD"/>
    <w:rsid w:val="006A05DD"/>
    <w:rsid w:val="006A2EEB"/>
    <w:rsid w:val="006A59EB"/>
    <w:rsid w:val="006A7E69"/>
    <w:rsid w:val="006B7BE3"/>
    <w:rsid w:val="006C2C03"/>
    <w:rsid w:val="006C5064"/>
    <w:rsid w:val="006D1E6E"/>
    <w:rsid w:val="006D5188"/>
    <w:rsid w:val="006F254E"/>
    <w:rsid w:val="006F4CF3"/>
    <w:rsid w:val="006F7463"/>
    <w:rsid w:val="006F7F66"/>
    <w:rsid w:val="0070305E"/>
    <w:rsid w:val="00704A59"/>
    <w:rsid w:val="00706E3C"/>
    <w:rsid w:val="0071606B"/>
    <w:rsid w:val="00720945"/>
    <w:rsid w:val="00721401"/>
    <w:rsid w:val="007222F8"/>
    <w:rsid w:val="0072428A"/>
    <w:rsid w:val="00742A79"/>
    <w:rsid w:val="00745447"/>
    <w:rsid w:val="00750194"/>
    <w:rsid w:val="00751719"/>
    <w:rsid w:val="00752D83"/>
    <w:rsid w:val="007547A4"/>
    <w:rsid w:val="00756EF9"/>
    <w:rsid w:val="00757C6F"/>
    <w:rsid w:val="0076167F"/>
    <w:rsid w:val="00770BC4"/>
    <w:rsid w:val="00773D8D"/>
    <w:rsid w:val="00773F35"/>
    <w:rsid w:val="00775052"/>
    <w:rsid w:val="007812F4"/>
    <w:rsid w:val="007844FC"/>
    <w:rsid w:val="00786099"/>
    <w:rsid w:val="00786DB2"/>
    <w:rsid w:val="007A26DF"/>
    <w:rsid w:val="007A6CF7"/>
    <w:rsid w:val="007B77C8"/>
    <w:rsid w:val="007C283D"/>
    <w:rsid w:val="007C433A"/>
    <w:rsid w:val="007D0BDF"/>
    <w:rsid w:val="007D642C"/>
    <w:rsid w:val="007E3EC9"/>
    <w:rsid w:val="007E5780"/>
    <w:rsid w:val="007F028E"/>
    <w:rsid w:val="007F0FBF"/>
    <w:rsid w:val="007F54B0"/>
    <w:rsid w:val="007F608A"/>
    <w:rsid w:val="00800BBE"/>
    <w:rsid w:val="008041C2"/>
    <w:rsid w:val="00812391"/>
    <w:rsid w:val="00821852"/>
    <w:rsid w:val="00821D2F"/>
    <w:rsid w:val="008228BA"/>
    <w:rsid w:val="00832380"/>
    <w:rsid w:val="008427C3"/>
    <w:rsid w:val="00850B73"/>
    <w:rsid w:val="00850F5E"/>
    <w:rsid w:val="00852A42"/>
    <w:rsid w:val="00860062"/>
    <w:rsid w:val="00865E4A"/>
    <w:rsid w:val="00870728"/>
    <w:rsid w:val="00871DCD"/>
    <w:rsid w:val="00871EA0"/>
    <w:rsid w:val="00874518"/>
    <w:rsid w:val="00882265"/>
    <w:rsid w:val="008900B4"/>
    <w:rsid w:val="00893FEF"/>
    <w:rsid w:val="008A4530"/>
    <w:rsid w:val="008B2004"/>
    <w:rsid w:val="008B551D"/>
    <w:rsid w:val="008B5EB8"/>
    <w:rsid w:val="008C2451"/>
    <w:rsid w:val="008D1E64"/>
    <w:rsid w:val="008D6BCF"/>
    <w:rsid w:val="008E0A35"/>
    <w:rsid w:val="008E1594"/>
    <w:rsid w:val="008F0819"/>
    <w:rsid w:val="008F0DBC"/>
    <w:rsid w:val="008F5DE1"/>
    <w:rsid w:val="008F5F57"/>
    <w:rsid w:val="008F693B"/>
    <w:rsid w:val="008F7566"/>
    <w:rsid w:val="008F75D7"/>
    <w:rsid w:val="0090387A"/>
    <w:rsid w:val="00905906"/>
    <w:rsid w:val="009175B1"/>
    <w:rsid w:val="00917BA7"/>
    <w:rsid w:val="00926DEF"/>
    <w:rsid w:val="00931721"/>
    <w:rsid w:val="00937835"/>
    <w:rsid w:val="00940821"/>
    <w:rsid w:val="00942261"/>
    <w:rsid w:val="00944DF9"/>
    <w:rsid w:val="00955FAC"/>
    <w:rsid w:val="00961975"/>
    <w:rsid w:val="00964D7B"/>
    <w:rsid w:val="0097453F"/>
    <w:rsid w:val="009773CE"/>
    <w:rsid w:val="0099096A"/>
    <w:rsid w:val="00994FDD"/>
    <w:rsid w:val="009A0067"/>
    <w:rsid w:val="009A6180"/>
    <w:rsid w:val="009A7A3D"/>
    <w:rsid w:val="009B26AE"/>
    <w:rsid w:val="009B2C85"/>
    <w:rsid w:val="009C0392"/>
    <w:rsid w:val="009C0461"/>
    <w:rsid w:val="009C1AEA"/>
    <w:rsid w:val="009C3DB1"/>
    <w:rsid w:val="009C5E07"/>
    <w:rsid w:val="009D7422"/>
    <w:rsid w:val="009E2028"/>
    <w:rsid w:val="009E4C7E"/>
    <w:rsid w:val="009E7B29"/>
    <w:rsid w:val="009E7FA8"/>
    <w:rsid w:val="009F2F4F"/>
    <w:rsid w:val="009F455E"/>
    <w:rsid w:val="009F604C"/>
    <w:rsid w:val="00A0784C"/>
    <w:rsid w:val="00A10ACB"/>
    <w:rsid w:val="00A13EBA"/>
    <w:rsid w:val="00A160B2"/>
    <w:rsid w:val="00A21B82"/>
    <w:rsid w:val="00A2273B"/>
    <w:rsid w:val="00A22A06"/>
    <w:rsid w:val="00A30758"/>
    <w:rsid w:val="00A32DB1"/>
    <w:rsid w:val="00A453B0"/>
    <w:rsid w:val="00A5460A"/>
    <w:rsid w:val="00A55AF8"/>
    <w:rsid w:val="00A6003A"/>
    <w:rsid w:val="00A60A0D"/>
    <w:rsid w:val="00A66375"/>
    <w:rsid w:val="00A67B4C"/>
    <w:rsid w:val="00A67FEA"/>
    <w:rsid w:val="00A701F1"/>
    <w:rsid w:val="00A7474B"/>
    <w:rsid w:val="00A773B2"/>
    <w:rsid w:val="00A839BC"/>
    <w:rsid w:val="00A85DF3"/>
    <w:rsid w:val="00A90A47"/>
    <w:rsid w:val="00A91BCF"/>
    <w:rsid w:val="00A9587C"/>
    <w:rsid w:val="00AA15C1"/>
    <w:rsid w:val="00AA58C5"/>
    <w:rsid w:val="00AA68FC"/>
    <w:rsid w:val="00AB297C"/>
    <w:rsid w:val="00AC47D4"/>
    <w:rsid w:val="00AC65C4"/>
    <w:rsid w:val="00AC6991"/>
    <w:rsid w:val="00AD5FBC"/>
    <w:rsid w:val="00AF39EC"/>
    <w:rsid w:val="00B027F3"/>
    <w:rsid w:val="00B07B03"/>
    <w:rsid w:val="00B204EC"/>
    <w:rsid w:val="00B2285D"/>
    <w:rsid w:val="00B448AB"/>
    <w:rsid w:val="00B46B58"/>
    <w:rsid w:val="00B537D0"/>
    <w:rsid w:val="00B544B6"/>
    <w:rsid w:val="00B60355"/>
    <w:rsid w:val="00B627D8"/>
    <w:rsid w:val="00B638CC"/>
    <w:rsid w:val="00B646BB"/>
    <w:rsid w:val="00B64E1D"/>
    <w:rsid w:val="00B74464"/>
    <w:rsid w:val="00B8167F"/>
    <w:rsid w:val="00B85E4A"/>
    <w:rsid w:val="00B937B0"/>
    <w:rsid w:val="00B94DA1"/>
    <w:rsid w:val="00B9640C"/>
    <w:rsid w:val="00BA2897"/>
    <w:rsid w:val="00BA2F1A"/>
    <w:rsid w:val="00BA4806"/>
    <w:rsid w:val="00BB2304"/>
    <w:rsid w:val="00BB665D"/>
    <w:rsid w:val="00BC0576"/>
    <w:rsid w:val="00BC3488"/>
    <w:rsid w:val="00BC7D87"/>
    <w:rsid w:val="00BD3FED"/>
    <w:rsid w:val="00BD7364"/>
    <w:rsid w:val="00BD790B"/>
    <w:rsid w:val="00BD7A4E"/>
    <w:rsid w:val="00BE1ABA"/>
    <w:rsid w:val="00BE5C26"/>
    <w:rsid w:val="00BE6FA6"/>
    <w:rsid w:val="00BF2077"/>
    <w:rsid w:val="00BF7AA8"/>
    <w:rsid w:val="00C0124E"/>
    <w:rsid w:val="00C1371F"/>
    <w:rsid w:val="00C30306"/>
    <w:rsid w:val="00C305F6"/>
    <w:rsid w:val="00C41932"/>
    <w:rsid w:val="00C41F87"/>
    <w:rsid w:val="00C47966"/>
    <w:rsid w:val="00C516A6"/>
    <w:rsid w:val="00C56926"/>
    <w:rsid w:val="00C61906"/>
    <w:rsid w:val="00C765DC"/>
    <w:rsid w:val="00C7696F"/>
    <w:rsid w:val="00C80166"/>
    <w:rsid w:val="00C80C76"/>
    <w:rsid w:val="00C81CB1"/>
    <w:rsid w:val="00C8216E"/>
    <w:rsid w:val="00C83FE9"/>
    <w:rsid w:val="00C91A27"/>
    <w:rsid w:val="00C9432F"/>
    <w:rsid w:val="00CA002C"/>
    <w:rsid w:val="00CA0AD2"/>
    <w:rsid w:val="00CA13A5"/>
    <w:rsid w:val="00CA3504"/>
    <w:rsid w:val="00CB1456"/>
    <w:rsid w:val="00CB15CD"/>
    <w:rsid w:val="00CB266B"/>
    <w:rsid w:val="00CB2D67"/>
    <w:rsid w:val="00CC403D"/>
    <w:rsid w:val="00CC5152"/>
    <w:rsid w:val="00CC567F"/>
    <w:rsid w:val="00CD0F5C"/>
    <w:rsid w:val="00CE40BA"/>
    <w:rsid w:val="00CE7163"/>
    <w:rsid w:val="00CF4B50"/>
    <w:rsid w:val="00D02644"/>
    <w:rsid w:val="00D027EC"/>
    <w:rsid w:val="00D02F77"/>
    <w:rsid w:val="00D0581F"/>
    <w:rsid w:val="00D063F9"/>
    <w:rsid w:val="00D06CD3"/>
    <w:rsid w:val="00D133C2"/>
    <w:rsid w:val="00D15A19"/>
    <w:rsid w:val="00D17EF5"/>
    <w:rsid w:val="00D2057B"/>
    <w:rsid w:val="00D239EF"/>
    <w:rsid w:val="00D243EF"/>
    <w:rsid w:val="00D31693"/>
    <w:rsid w:val="00D3203A"/>
    <w:rsid w:val="00D3401A"/>
    <w:rsid w:val="00D3782E"/>
    <w:rsid w:val="00D37BC3"/>
    <w:rsid w:val="00D45402"/>
    <w:rsid w:val="00D54C5E"/>
    <w:rsid w:val="00D554B9"/>
    <w:rsid w:val="00D56252"/>
    <w:rsid w:val="00D567F2"/>
    <w:rsid w:val="00D60906"/>
    <w:rsid w:val="00D7122B"/>
    <w:rsid w:val="00D72A35"/>
    <w:rsid w:val="00D74A63"/>
    <w:rsid w:val="00D76635"/>
    <w:rsid w:val="00D8722C"/>
    <w:rsid w:val="00D875A1"/>
    <w:rsid w:val="00D9039B"/>
    <w:rsid w:val="00D913E9"/>
    <w:rsid w:val="00D9206C"/>
    <w:rsid w:val="00D92C71"/>
    <w:rsid w:val="00D94914"/>
    <w:rsid w:val="00D958EB"/>
    <w:rsid w:val="00DA6191"/>
    <w:rsid w:val="00DB3DF3"/>
    <w:rsid w:val="00DD5518"/>
    <w:rsid w:val="00DE08E2"/>
    <w:rsid w:val="00DE37A0"/>
    <w:rsid w:val="00DE7343"/>
    <w:rsid w:val="00DF0EAE"/>
    <w:rsid w:val="00E12F1D"/>
    <w:rsid w:val="00E21528"/>
    <w:rsid w:val="00E23502"/>
    <w:rsid w:val="00E27BEC"/>
    <w:rsid w:val="00E310AC"/>
    <w:rsid w:val="00E328E7"/>
    <w:rsid w:val="00E35CCB"/>
    <w:rsid w:val="00E40F41"/>
    <w:rsid w:val="00E44726"/>
    <w:rsid w:val="00E46FEF"/>
    <w:rsid w:val="00E47085"/>
    <w:rsid w:val="00E51301"/>
    <w:rsid w:val="00E533CE"/>
    <w:rsid w:val="00E539D6"/>
    <w:rsid w:val="00E56A67"/>
    <w:rsid w:val="00E66879"/>
    <w:rsid w:val="00E70B5F"/>
    <w:rsid w:val="00E727E6"/>
    <w:rsid w:val="00E72A1B"/>
    <w:rsid w:val="00E74681"/>
    <w:rsid w:val="00E7517C"/>
    <w:rsid w:val="00E75C5A"/>
    <w:rsid w:val="00E764ED"/>
    <w:rsid w:val="00E8562A"/>
    <w:rsid w:val="00E85EDE"/>
    <w:rsid w:val="00E92CAA"/>
    <w:rsid w:val="00E965EF"/>
    <w:rsid w:val="00E9667C"/>
    <w:rsid w:val="00E97402"/>
    <w:rsid w:val="00EA03E8"/>
    <w:rsid w:val="00EA1910"/>
    <w:rsid w:val="00EA7B9F"/>
    <w:rsid w:val="00EB3810"/>
    <w:rsid w:val="00EB56B6"/>
    <w:rsid w:val="00EC5170"/>
    <w:rsid w:val="00EC7EA7"/>
    <w:rsid w:val="00ED08BF"/>
    <w:rsid w:val="00ED13EC"/>
    <w:rsid w:val="00ED537C"/>
    <w:rsid w:val="00ED6C4E"/>
    <w:rsid w:val="00ED7592"/>
    <w:rsid w:val="00ED7B66"/>
    <w:rsid w:val="00EE67BF"/>
    <w:rsid w:val="00EF67BC"/>
    <w:rsid w:val="00EF6C24"/>
    <w:rsid w:val="00EF7168"/>
    <w:rsid w:val="00EF7665"/>
    <w:rsid w:val="00EF79B2"/>
    <w:rsid w:val="00F03805"/>
    <w:rsid w:val="00F04568"/>
    <w:rsid w:val="00F05615"/>
    <w:rsid w:val="00F067CD"/>
    <w:rsid w:val="00F10870"/>
    <w:rsid w:val="00F1337B"/>
    <w:rsid w:val="00F151FC"/>
    <w:rsid w:val="00F15A05"/>
    <w:rsid w:val="00F165A3"/>
    <w:rsid w:val="00F20254"/>
    <w:rsid w:val="00F251B1"/>
    <w:rsid w:val="00F35739"/>
    <w:rsid w:val="00F367A9"/>
    <w:rsid w:val="00F472D7"/>
    <w:rsid w:val="00F52084"/>
    <w:rsid w:val="00F52515"/>
    <w:rsid w:val="00F52FBF"/>
    <w:rsid w:val="00F5722E"/>
    <w:rsid w:val="00F572BE"/>
    <w:rsid w:val="00F60899"/>
    <w:rsid w:val="00F652ED"/>
    <w:rsid w:val="00F655CB"/>
    <w:rsid w:val="00F72CD1"/>
    <w:rsid w:val="00F7322B"/>
    <w:rsid w:val="00F7356F"/>
    <w:rsid w:val="00F800A2"/>
    <w:rsid w:val="00F80269"/>
    <w:rsid w:val="00F84283"/>
    <w:rsid w:val="00F84722"/>
    <w:rsid w:val="00F8550A"/>
    <w:rsid w:val="00F85F38"/>
    <w:rsid w:val="00F87723"/>
    <w:rsid w:val="00F9023A"/>
    <w:rsid w:val="00F90C3A"/>
    <w:rsid w:val="00F94DA0"/>
    <w:rsid w:val="00FA046C"/>
    <w:rsid w:val="00FB062C"/>
    <w:rsid w:val="00FB27EB"/>
    <w:rsid w:val="00FB3E4B"/>
    <w:rsid w:val="00FB4368"/>
    <w:rsid w:val="00FB47B9"/>
    <w:rsid w:val="00FB5602"/>
    <w:rsid w:val="00FB6E71"/>
    <w:rsid w:val="00FC0C25"/>
    <w:rsid w:val="00FD1351"/>
    <w:rsid w:val="00FD6AEF"/>
    <w:rsid w:val="00FE3258"/>
    <w:rsid w:val="00FE4AE0"/>
    <w:rsid w:val="00FF0575"/>
    <w:rsid w:val="00FF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dc.gov/flu/weekl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flu/weekly/fluactivitysurv.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www.cdc.gov/flu/weekly/fluactivitysurv.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dc.gov/flu/weekly/fluactivitysurv.htm" TargetMode="External"/><Relationship Id="rId14" Type="http://schemas.openxmlformats.org/officeDocument/2006/relationships/image" Target="media/image3.jpe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9CBD4-B07C-42F1-BC13-DC7866B1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5675</CharactersWithSpaces>
  <SharedDoc>false</SharedDoc>
  <HLinks>
    <vt:vector size="18"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creator>DPH</dc:creator>
  <cp:lastModifiedBy> </cp:lastModifiedBy>
  <cp:revision>2</cp:revision>
  <cp:lastPrinted>2016-11-18T14:24:00Z</cp:lastPrinted>
  <dcterms:created xsi:type="dcterms:W3CDTF">2019-11-01T17:17:00Z</dcterms:created>
  <dcterms:modified xsi:type="dcterms:W3CDTF">2019-11-01T17:17:00Z</dcterms:modified>
</cp:coreProperties>
</file>