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B1C4" w14:textId="10F972E4" w:rsidR="001A0CE1" w:rsidRPr="00A92B57" w:rsidRDefault="001A0CE1" w:rsidP="001A0CE1">
      <w:pPr>
        <w:rPr>
          <w:rFonts w:cstheme="minorHAnsi"/>
        </w:rPr>
      </w:pPr>
      <w:r w:rsidRPr="00A92B57">
        <w:rPr>
          <w:rFonts w:cstheme="minorHAnsi"/>
        </w:rPr>
        <w:t xml:space="preserve">Slide 1. </w:t>
      </w:r>
    </w:p>
    <w:p w14:paraId="7E8057CD" w14:textId="37776605" w:rsidR="001A0CE1" w:rsidRPr="001A0CE1" w:rsidRDefault="001A0CE1" w:rsidP="001A0CE1">
      <w:pPr>
        <w:rPr>
          <w:rFonts w:cstheme="minorHAnsi"/>
        </w:rPr>
      </w:pPr>
      <w:r w:rsidRPr="001A0CE1">
        <w:rPr>
          <w:rFonts w:cstheme="minorHAnsi"/>
        </w:rPr>
        <w:t>Massachusetts Healthcare Personnel Influenza Vaccination in Health Care Facilities:</w:t>
      </w:r>
    </w:p>
    <w:p w14:paraId="1CB5466A" w14:textId="77777777" w:rsidR="001A0CE1" w:rsidRPr="001A0CE1" w:rsidRDefault="001A0CE1" w:rsidP="001A0CE1">
      <w:pPr>
        <w:rPr>
          <w:rFonts w:cstheme="minorHAnsi"/>
        </w:rPr>
      </w:pPr>
      <w:r w:rsidRPr="001A0CE1">
        <w:rPr>
          <w:rFonts w:cstheme="minorHAnsi"/>
          <w:i/>
          <w:iCs/>
        </w:rPr>
        <w:t>Seasons 2019 -2022</w:t>
      </w:r>
    </w:p>
    <w:p w14:paraId="4E454B8B" w14:textId="77777777" w:rsidR="001A0CE1" w:rsidRPr="001A0CE1" w:rsidRDefault="001A0CE1" w:rsidP="001A0CE1">
      <w:pPr>
        <w:rPr>
          <w:rFonts w:cstheme="minorHAnsi"/>
        </w:rPr>
      </w:pPr>
      <w:r w:rsidRPr="001A0CE1">
        <w:rPr>
          <w:rFonts w:cstheme="minorHAnsi"/>
        </w:rPr>
        <w:t xml:space="preserve">Katherine T. Fillo, </w:t>
      </w:r>
      <w:proofErr w:type="spellStart"/>
      <w:proofErr w:type="gramStart"/>
      <w:r w:rsidRPr="001A0CE1">
        <w:rPr>
          <w:rFonts w:cstheme="minorHAnsi"/>
        </w:rPr>
        <w:t>Ph.D</w:t>
      </w:r>
      <w:proofErr w:type="spellEnd"/>
      <w:proofErr w:type="gramEnd"/>
      <w:r w:rsidRPr="001A0CE1">
        <w:rPr>
          <w:rFonts w:cstheme="minorHAnsi"/>
        </w:rPr>
        <w:t>, MPH, RN-BC, Director of Clinical Quality Improvement</w:t>
      </w:r>
    </w:p>
    <w:p w14:paraId="536FE099" w14:textId="77777777" w:rsidR="001A0CE1" w:rsidRPr="001A0CE1" w:rsidRDefault="001A0CE1" w:rsidP="001A0CE1">
      <w:pPr>
        <w:rPr>
          <w:rFonts w:cstheme="minorHAnsi"/>
        </w:rPr>
      </w:pPr>
      <w:r w:rsidRPr="001A0CE1">
        <w:rPr>
          <w:rFonts w:cstheme="minorHAnsi"/>
        </w:rPr>
        <w:t>Fareesa Hasan, MPH, Epidemiologist</w:t>
      </w:r>
    </w:p>
    <w:p w14:paraId="2EE05983" w14:textId="47F1A17A" w:rsidR="001A0CE1" w:rsidRDefault="001A0CE1">
      <w:pPr>
        <w:rPr>
          <w:rFonts w:cstheme="minorHAnsi"/>
        </w:rPr>
      </w:pPr>
      <w:r w:rsidRPr="001A0CE1">
        <w:rPr>
          <w:rFonts w:cstheme="minorHAnsi"/>
        </w:rPr>
        <w:t>Eileen McHale, RN, BSN, Healthcare Associated Infection Coordinator</w:t>
      </w:r>
    </w:p>
    <w:p w14:paraId="1BCC9BA4" w14:textId="77777777" w:rsidR="00A92B57" w:rsidRPr="00A92B57" w:rsidRDefault="00A92B57">
      <w:pPr>
        <w:rPr>
          <w:rFonts w:cstheme="minorHAnsi"/>
        </w:rPr>
      </w:pPr>
    </w:p>
    <w:p w14:paraId="0F80ECE8" w14:textId="28812BB7" w:rsidR="001A0CE1" w:rsidRPr="00A92B57" w:rsidRDefault="001A0CE1">
      <w:pPr>
        <w:rPr>
          <w:rFonts w:cstheme="minorHAnsi"/>
        </w:rPr>
      </w:pPr>
      <w:r w:rsidRPr="00A92B57">
        <w:rPr>
          <w:rFonts w:cstheme="minorHAnsi"/>
        </w:rPr>
        <w:t xml:space="preserve">Slide 2. </w:t>
      </w:r>
    </w:p>
    <w:p w14:paraId="28DE75C6" w14:textId="77777777" w:rsidR="001A0CE1" w:rsidRPr="001A0CE1" w:rsidRDefault="001A0CE1" w:rsidP="001A0CE1">
      <w:pPr>
        <w:rPr>
          <w:rFonts w:cstheme="minorHAnsi"/>
        </w:rPr>
      </w:pPr>
      <w:r w:rsidRPr="001A0CE1">
        <w:rPr>
          <w:rFonts w:cstheme="minorHAnsi"/>
        </w:rPr>
        <w:t>Background</w:t>
      </w:r>
    </w:p>
    <w:p w14:paraId="4D29D515" w14:textId="77777777" w:rsidR="001A0CE1" w:rsidRPr="001A0CE1" w:rsidRDefault="001A0CE1" w:rsidP="001A0CE1">
      <w:pPr>
        <w:rPr>
          <w:rFonts w:cstheme="minorHAnsi"/>
        </w:rPr>
      </w:pPr>
      <w:r w:rsidRPr="001A0CE1">
        <w:rPr>
          <w:rFonts w:cstheme="minorHAnsi"/>
        </w:rPr>
        <w:t>Health care personnel (HCP) are at high risk for influenza exposure and illness, and may be a source of influenza virus transmission in health care settings</w:t>
      </w:r>
    </w:p>
    <w:p w14:paraId="58E073F3" w14:textId="77777777" w:rsidR="001A0CE1" w:rsidRPr="001A0CE1" w:rsidRDefault="001A0CE1" w:rsidP="001A0CE1">
      <w:pPr>
        <w:rPr>
          <w:rFonts w:cstheme="minorHAnsi"/>
        </w:rPr>
      </w:pPr>
      <w:r w:rsidRPr="001A0CE1">
        <w:rPr>
          <w:rFonts w:cstheme="minorHAnsi"/>
        </w:rPr>
        <w:t>Annual immunization is the best method of preventing influenza and potentially serious complications*</w:t>
      </w:r>
    </w:p>
    <w:p w14:paraId="35CD0BA4" w14:textId="77777777" w:rsidR="001A0CE1" w:rsidRPr="001A0CE1" w:rsidRDefault="001A0CE1" w:rsidP="001A0CE1">
      <w:pPr>
        <w:rPr>
          <w:rFonts w:cstheme="minorHAnsi"/>
        </w:rPr>
      </w:pPr>
      <w:r w:rsidRPr="001A0CE1">
        <w:rPr>
          <w:rFonts w:cstheme="minorHAnsi"/>
        </w:rPr>
        <w:t xml:space="preserve">The Massachusetts Department of Public Health (DPH) considers the prevention of influenza by promoting vaccination an organizational priority that should be part of the overall institutional commitment to improvement for licensed healthcare facilities </w:t>
      </w:r>
    </w:p>
    <w:p w14:paraId="33402A9D" w14:textId="137B9FA6" w:rsidR="001A0CE1" w:rsidRDefault="001A0CE1">
      <w:pPr>
        <w:rPr>
          <w:rFonts w:cstheme="minorHAnsi"/>
          <w:i/>
          <w:iCs/>
        </w:rPr>
      </w:pPr>
      <w:r w:rsidRPr="001A0CE1">
        <w:rPr>
          <w:rFonts w:cstheme="minorHAnsi"/>
          <w:i/>
          <w:iCs/>
        </w:rPr>
        <w:t xml:space="preserve">* </w:t>
      </w:r>
      <w:hyperlink r:id="rId5" w:history="1">
        <w:r w:rsidRPr="001A0CE1">
          <w:rPr>
            <w:rStyle w:val="Hyperlink"/>
            <w:rFonts w:cstheme="minorHAnsi"/>
            <w:i/>
            <w:iCs/>
          </w:rPr>
          <w:t>https://www.cdc.gov/flu/prevent/keyfacts.htm</w:t>
        </w:r>
      </w:hyperlink>
      <w:r w:rsidRPr="001A0CE1">
        <w:rPr>
          <w:rFonts w:cstheme="minorHAnsi"/>
          <w:i/>
          <w:iCs/>
        </w:rPr>
        <w:t xml:space="preserve"> </w:t>
      </w:r>
    </w:p>
    <w:p w14:paraId="08A85835" w14:textId="77777777" w:rsidR="00A92B57" w:rsidRPr="00A92B57" w:rsidRDefault="00A92B57">
      <w:pPr>
        <w:rPr>
          <w:rFonts w:cstheme="minorHAnsi"/>
        </w:rPr>
      </w:pPr>
    </w:p>
    <w:p w14:paraId="74A0F332" w14:textId="575D3934" w:rsidR="001A0CE1" w:rsidRDefault="001A0CE1">
      <w:pPr>
        <w:rPr>
          <w:rFonts w:cstheme="minorHAnsi"/>
        </w:rPr>
      </w:pPr>
      <w:r w:rsidRPr="00A92B57">
        <w:rPr>
          <w:rFonts w:cstheme="minorHAnsi"/>
        </w:rPr>
        <w:t xml:space="preserve">Slide 3. </w:t>
      </w:r>
    </w:p>
    <w:p w14:paraId="2E686066" w14:textId="2293BE28" w:rsidR="009676A0" w:rsidRPr="00A92B57" w:rsidRDefault="009676A0">
      <w:pPr>
        <w:rPr>
          <w:rFonts w:cstheme="minorHAnsi"/>
        </w:rPr>
      </w:pPr>
      <w:proofErr w:type="spellStart"/>
      <w:r>
        <w:rPr>
          <w:rFonts w:cstheme="minorHAnsi"/>
        </w:rPr>
        <w:t>Backgroung</w:t>
      </w:r>
      <w:proofErr w:type="spellEnd"/>
    </w:p>
    <w:p w14:paraId="47D613FE" w14:textId="77777777" w:rsidR="001A0CE1" w:rsidRPr="001A0CE1" w:rsidRDefault="001A0CE1" w:rsidP="001A0CE1">
      <w:pPr>
        <w:rPr>
          <w:rFonts w:cstheme="minorHAnsi"/>
        </w:rPr>
      </w:pPr>
      <w:r w:rsidRPr="001A0CE1">
        <w:rPr>
          <w:rFonts w:cstheme="minorHAnsi"/>
        </w:rPr>
        <w:t>As a condition of licensure, DPH regulations require health care facilities, including hospitals, ambulatory surgical centers, dialysis centers, clinics, nursing homes, rest homes, and adult day health programs to:</w:t>
      </w:r>
    </w:p>
    <w:p w14:paraId="7AC9CD23" w14:textId="77777777" w:rsidR="001A0CE1" w:rsidRPr="001A0CE1" w:rsidRDefault="001A0CE1" w:rsidP="001A0CE1">
      <w:pPr>
        <w:rPr>
          <w:rFonts w:cstheme="minorHAnsi"/>
        </w:rPr>
      </w:pPr>
      <w:r w:rsidRPr="001A0CE1">
        <w:rPr>
          <w:rFonts w:cstheme="minorHAnsi"/>
        </w:rPr>
        <w:t>Offer free-of-charge, annual influenza vaccine to all personnel (full and part-time employees, contracted employees, volunteers, house staff and students)</w:t>
      </w:r>
    </w:p>
    <w:p w14:paraId="2ACFBE10" w14:textId="77777777" w:rsidR="001A0CE1" w:rsidRPr="001A0CE1" w:rsidRDefault="001A0CE1" w:rsidP="001A0CE1">
      <w:pPr>
        <w:rPr>
          <w:rFonts w:cstheme="minorHAnsi"/>
        </w:rPr>
      </w:pPr>
      <w:r w:rsidRPr="001A0CE1">
        <w:rPr>
          <w:rFonts w:cstheme="minorHAnsi"/>
        </w:rPr>
        <w:t>Document receipt of influenza vaccine administered within and outside the facility or document the declination of immunization for HCP</w:t>
      </w:r>
    </w:p>
    <w:p w14:paraId="7EBB3982" w14:textId="77777777" w:rsidR="001A0CE1" w:rsidRPr="001A0CE1" w:rsidRDefault="001A0CE1" w:rsidP="001A0CE1">
      <w:pPr>
        <w:rPr>
          <w:rFonts w:cstheme="minorHAnsi"/>
        </w:rPr>
      </w:pPr>
      <w:r w:rsidRPr="001A0CE1">
        <w:rPr>
          <w:rFonts w:cstheme="minorHAnsi"/>
        </w:rPr>
        <w:t>Report information to DPH documenting compliance with the vaccination requirement, in accordance with reporting and data collection guidelines of the Commissioner (105 CMR.)</w:t>
      </w:r>
    </w:p>
    <w:p w14:paraId="6F9A3E4A" w14:textId="77777777" w:rsidR="001A0CE1" w:rsidRPr="001A0CE1" w:rsidRDefault="001A0CE1" w:rsidP="001A0CE1">
      <w:pPr>
        <w:numPr>
          <w:ilvl w:val="1"/>
          <w:numId w:val="1"/>
        </w:numPr>
        <w:rPr>
          <w:rFonts w:cstheme="minorHAnsi"/>
        </w:rPr>
      </w:pPr>
      <w:r w:rsidRPr="001A0CE1">
        <w:rPr>
          <w:rFonts w:cstheme="minorHAnsi"/>
        </w:rPr>
        <w:t xml:space="preserve">105 CMR 130.325, 105 CMR 140.150, 105 CMR 150.002(D)(8), 105 CMR 158.030(L)(8) </w:t>
      </w:r>
    </w:p>
    <w:p w14:paraId="633844B6" w14:textId="77777777" w:rsidR="00A92B57" w:rsidRDefault="00A92B57">
      <w:pPr>
        <w:rPr>
          <w:rFonts w:cstheme="minorHAnsi"/>
        </w:rPr>
      </w:pPr>
    </w:p>
    <w:p w14:paraId="348C7F40" w14:textId="77777777" w:rsidR="009676A0" w:rsidRDefault="009676A0">
      <w:pPr>
        <w:rPr>
          <w:rFonts w:cstheme="minorHAnsi"/>
        </w:rPr>
      </w:pPr>
    </w:p>
    <w:p w14:paraId="02AE77F0" w14:textId="77777777" w:rsidR="009676A0" w:rsidRDefault="009676A0">
      <w:pPr>
        <w:rPr>
          <w:rFonts w:cstheme="minorHAnsi"/>
        </w:rPr>
      </w:pPr>
    </w:p>
    <w:p w14:paraId="0A5A61EB" w14:textId="0CFA8AE0" w:rsidR="001A0CE1" w:rsidRPr="00A92B57" w:rsidRDefault="001A0CE1">
      <w:pPr>
        <w:rPr>
          <w:rFonts w:cstheme="minorHAnsi"/>
        </w:rPr>
      </w:pPr>
      <w:r w:rsidRPr="00A92B57">
        <w:rPr>
          <w:rFonts w:cstheme="minorHAnsi"/>
        </w:rPr>
        <w:lastRenderedPageBreak/>
        <w:t xml:space="preserve">Slide 4. </w:t>
      </w:r>
    </w:p>
    <w:p w14:paraId="262FCD45" w14:textId="77777777" w:rsidR="001A0CE1" w:rsidRPr="001A0CE1" w:rsidRDefault="001A0CE1" w:rsidP="001A0CE1">
      <w:pPr>
        <w:rPr>
          <w:rFonts w:cstheme="minorHAnsi"/>
        </w:rPr>
      </w:pPr>
      <w:r w:rsidRPr="001A0CE1">
        <w:rPr>
          <w:rFonts w:cstheme="minorHAnsi"/>
        </w:rPr>
        <w:t>Performance Goal</w:t>
      </w:r>
    </w:p>
    <w:p w14:paraId="02D6EE19" w14:textId="77777777" w:rsidR="001A0CE1" w:rsidRPr="001A0CE1" w:rsidRDefault="001A0CE1" w:rsidP="001A0CE1">
      <w:pPr>
        <w:rPr>
          <w:rFonts w:cstheme="minorHAnsi"/>
        </w:rPr>
      </w:pPr>
      <w:r w:rsidRPr="001A0CE1">
        <w:rPr>
          <w:rFonts w:cstheme="minorHAnsi"/>
        </w:rPr>
        <w:t xml:space="preserve">To protect the lives and welfare of patients, employees, and communities, as well as to improve quality and reduce healthcare costs, DPH has established an overall minimum influenza vaccination rate of 90% or greater for eligible HCP at all licensed healthcare facilities.  </w:t>
      </w:r>
    </w:p>
    <w:p w14:paraId="0A78EE42" w14:textId="77777777" w:rsidR="001A0CE1" w:rsidRPr="001A0CE1" w:rsidRDefault="001A0CE1" w:rsidP="001A0CE1">
      <w:pPr>
        <w:rPr>
          <w:rFonts w:cstheme="minorHAnsi"/>
        </w:rPr>
      </w:pPr>
      <w:r w:rsidRPr="001A0CE1">
        <w:rPr>
          <w:rFonts w:cstheme="minorHAnsi"/>
        </w:rPr>
        <w:t>This performance goal is intended to advance patient and HCP health and safety by ensuring optimal HCP influenza vaccination coverage and is in alignment with the National Healthy People 2020 target of 90% influenza coverage of HCP.</w:t>
      </w:r>
    </w:p>
    <w:p w14:paraId="5C58FDCB" w14:textId="77777777" w:rsidR="001A0CE1" w:rsidRPr="001A0CE1" w:rsidRDefault="001A0CE1" w:rsidP="001A0CE1">
      <w:pPr>
        <w:rPr>
          <w:rFonts w:cstheme="minorHAnsi"/>
        </w:rPr>
      </w:pPr>
      <w:r w:rsidRPr="001A0CE1">
        <w:rPr>
          <w:rFonts w:cstheme="minorHAnsi"/>
        </w:rPr>
        <w:t xml:space="preserve">The Advisory Committee on Immunization Practices (ACIP) recommends that HCP receive an annual influenza vaccination to reduce influenza related morbidity and mortality among HCP and their patients as well as reduce absenteeism among HCP. </w:t>
      </w:r>
    </w:p>
    <w:p w14:paraId="5D0D3ED5" w14:textId="77777777" w:rsidR="001A0CE1" w:rsidRPr="001A0CE1" w:rsidRDefault="009B221E" w:rsidP="001A0CE1">
      <w:pPr>
        <w:rPr>
          <w:rFonts w:cstheme="minorHAnsi"/>
        </w:rPr>
      </w:pPr>
      <w:hyperlink r:id="rId6" w:history="1">
        <w:r w:rsidR="001A0CE1" w:rsidRPr="001A0CE1">
          <w:rPr>
            <w:rStyle w:val="Hyperlink"/>
            <w:rFonts w:cstheme="minorHAnsi"/>
            <w:i/>
            <w:iCs/>
          </w:rPr>
          <w:t>https://www.healthypeople.gov/node/4668/data_details</w:t>
        </w:r>
      </w:hyperlink>
      <w:r w:rsidR="001A0CE1" w:rsidRPr="001A0CE1">
        <w:rPr>
          <w:rFonts w:cstheme="minorHAnsi"/>
          <w:i/>
          <w:iCs/>
        </w:rPr>
        <w:t xml:space="preserve">   </w:t>
      </w:r>
    </w:p>
    <w:p w14:paraId="1B8F265E" w14:textId="162DA7B0" w:rsidR="00A92B57" w:rsidRDefault="009676A0">
      <w:pPr>
        <w:rPr>
          <w:rFonts w:cstheme="minorHAnsi"/>
        </w:rPr>
      </w:pPr>
      <w:r>
        <w:rPr>
          <w:rFonts w:cstheme="minorHAnsi"/>
        </w:rPr>
        <w:t xml:space="preserve">slide 5. </w:t>
      </w:r>
    </w:p>
    <w:p w14:paraId="7086BFAF" w14:textId="5754B0D3" w:rsidR="009676A0" w:rsidRDefault="009676A0">
      <w:pPr>
        <w:rPr>
          <w:rFonts w:cstheme="minorHAnsi"/>
        </w:rPr>
      </w:pPr>
      <w:r>
        <w:rPr>
          <w:rFonts w:cstheme="minorHAnsi"/>
        </w:rPr>
        <w:t xml:space="preserve">COVD-19 Pandemic </w:t>
      </w:r>
    </w:p>
    <w:p w14:paraId="5D383521" w14:textId="77777777" w:rsidR="009676A0" w:rsidRPr="009676A0" w:rsidRDefault="009676A0" w:rsidP="009676A0">
      <w:pPr>
        <w:rPr>
          <w:rFonts w:cstheme="minorHAnsi"/>
        </w:rPr>
      </w:pPr>
      <w:r w:rsidRPr="009676A0">
        <w:rPr>
          <w:rFonts w:cstheme="minorHAnsi"/>
        </w:rPr>
        <w:t xml:space="preserve">Due to the COVID-19 pandemic, healthcare facility reporting deadlines and DPH data analysis were postponed during the 2019-2020 and 2020-2021 influenza seasons. </w:t>
      </w:r>
      <w:r w:rsidRPr="009676A0">
        <w:rPr>
          <w:rFonts w:cstheme="minorHAnsi"/>
          <w:b/>
          <w:bCs/>
        </w:rPr>
        <w:t xml:space="preserve">This presentation includes data from those previous seasons in addition to the latest season 2021-2022. </w:t>
      </w:r>
    </w:p>
    <w:p w14:paraId="505B26AD" w14:textId="77777777" w:rsidR="009676A0" w:rsidRPr="009676A0" w:rsidRDefault="009676A0" w:rsidP="009676A0">
      <w:pPr>
        <w:rPr>
          <w:rFonts w:cstheme="minorHAnsi"/>
        </w:rPr>
      </w:pPr>
      <w:r w:rsidRPr="009676A0">
        <w:rPr>
          <w:rFonts w:cstheme="minorHAnsi"/>
        </w:rPr>
        <w:t xml:space="preserve">In season 2019-2020, nursing homes and rest homes were offered an incentive in the form of a reimbursement for their licensure renewal fee if at least 90% of their staff were vaccinated against influenza. </w:t>
      </w:r>
    </w:p>
    <w:p w14:paraId="67107DC5" w14:textId="53E7A612" w:rsidR="009676A0" w:rsidRDefault="009676A0" w:rsidP="009676A0">
      <w:pPr>
        <w:rPr>
          <w:rFonts w:cstheme="minorHAnsi"/>
        </w:rPr>
      </w:pPr>
      <w:r w:rsidRPr="009676A0">
        <w:rPr>
          <w:rFonts w:cstheme="minorHAnsi"/>
        </w:rPr>
        <w:t>In season 2020-2021, HCP vaccination against influenza was mandated by the Commonwealth for nursing homes, rest homes, and adult day health programs, with a financial penalty for each unvaccinated staff member without a medical or religious exemption</w:t>
      </w:r>
    </w:p>
    <w:p w14:paraId="5A5343C5" w14:textId="3A381F00" w:rsidR="001A0CE1" w:rsidRPr="00A92B57" w:rsidRDefault="001A0CE1">
      <w:pPr>
        <w:rPr>
          <w:rFonts w:cstheme="minorHAnsi"/>
        </w:rPr>
      </w:pPr>
      <w:r w:rsidRPr="00A92B57">
        <w:rPr>
          <w:rFonts w:cstheme="minorHAnsi"/>
        </w:rPr>
        <w:t xml:space="preserve">Slide </w:t>
      </w:r>
      <w:r w:rsidR="009676A0">
        <w:rPr>
          <w:rFonts w:cstheme="minorHAnsi"/>
        </w:rPr>
        <w:t>6</w:t>
      </w:r>
      <w:r w:rsidRPr="00A92B57">
        <w:rPr>
          <w:rFonts w:cstheme="minorHAnsi"/>
        </w:rPr>
        <w:t xml:space="preserve">. </w:t>
      </w:r>
    </w:p>
    <w:p w14:paraId="179C5E19" w14:textId="77777777" w:rsidR="00FD51BC" w:rsidRPr="00FD51BC" w:rsidRDefault="00FD51BC" w:rsidP="00FD51BC">
      <w:pPr>
        <w:rPr>
          <w:rFonts w:cstheme="minorHAnsi"/>
        </w:rPr>
      </w:pPr>
      <w:r w:rsidRPr="00FD51BC">
        <w:rPr>
          <w:rFonts w:cstheme="minorHAnsi"/>
        </w:rPr>
        <w:t>Methodology</w:t>
      </w:r>
    </w:p>
    <w:p w14:paraId="161085B5" w14:textId="77777777" w:rsidR="00FD51BC" w:rsidRPr="00FD51BC" w:rsidRDefault="00FD51BC" w:rsidP="00FD51BC">
      <w:pPr>
        <w:rPr>
          <w:rFonts w:cstheme="minorHAnsi"/>
        </w:rPr>
      </w:pPr>
      <w:r w:rsidRPr="00FD51BC">
        <w:rPr>
          <w:rFonts w:cstheme="minorHAnsi"/>
        </w:rPr>
        <w:t xml:space="preserve">Health Care Facilities report HCP influenza vaccination rates to DPH in three ways: </w:t>
      </w:r>
    </w:p>
    <w:p w14:paraId="12E61BEA" w14:textId="77777777" w:rsidR="00FD51BC" w:rsidRPr="00FD51BC" w:rsidRDefault="00FD51BC" w:rsidP="00FD51BC">
      <w:pPr>
        <w:numPr>
          <w:ilvl w:val="1"/>
          <w:numId w:val="2"/>
        </w:numPr>
        <w:rPr>
          <w:rFonts w:cstheme="minorHAnsi"/>
        </w:rPr>
      </w:pPr>
      <w:r w:rsidRPr="00FD51BC">
        <w:rPr>
          <w:rFonts w:cstheme="minorHAnsi"/>
        </w:rPr>
        <w:t>National Healthcare Safety Network (NHSN) at the Centers for Disease Control and Prevention (CDC): Acute care hospitals, ambulatory surgical centers, dialysis centers and non-acute hospitals</w:t>
      </w:r>
    </w:p>
    <w:p w14:paraId="20C9AB76" w14:textId="77777777" w:rsidR="00FD51BC" w:rsidRPr="00FD51BC" w:rsidRDefault="00FD51BC" w:rsidP="00FD51BC">
      <w:pPr>
        <w:numPr>
          <w:ilvl w:val="1"/>
          <w:numId w:val="2"/>
        </w:numPr>
        <w:rPr>
          <w:rFonts w:cstheme="minorHAnsi"/>
        </w:rPr>
      </w:pPr>
      <w:r w:rsidRPr="00FD51BC">
        <w:rPr>
          <w:rFonts w:cstheme="minorHAnsi"/>
        </w:rPr>
        <w:t xml:space="preserve">Health Care Facility Reporting System (HCFRS): Nursing homes, rest homes, and adult day health programs </w:t>
      </w:r>
    </w:p>
    <w:p w14:paraId="33358957" w14:textId="463C99D5" w:rsidR="00FD51BC" w:rsidRPr="00A92B57" w:rsidRDefault="00FD51BC" w:rsidP="00FD51BC">
      <w:pPr>
        <w:numPr>
          <w:ilvl w:val="1"/>
          <w:numId w:val="2"/>
        </w:numPr>
        <w:rPr>
          <w:rFonts w:cstheme="minorHAnsi"/>
        </w:rPr>
      </w:pPr>
      <w:r w:rsidRPr="00FD51BC">
        <w:rPr>
          <w:rFonts w:cstheme="minorHAnsi"/>
        </w:rPr>
        <w:t>Online survey: Clinics</w:t>
      </w:r>
    </w:p>
    <w:p w14:paraId="1B9E617D" w14:textId="77777777" w:rsidR="00A92B57" w:rsidRDefault="00A92B57" w:rsidP="00FD51BC">
      <w:pPr>
        <w:rPr>
          <w:rFonts w:cstheme="minorHAnsi"/>
        </w:rPr>
      </w:pPr>
    </w:p>
    <w:p w14:paraId="6687C7FF" w14:textId="77777777" w:rsidR="009676A0" w:rsidRDefault="009676A0" w:rsidP="00FD51BC">
      <w:pPr>
        <w:rPr>
          <w:rFonts w:cstheme="minorHAnsi"/>
        </w:rPr>
      </w:pPr>
    </w:p>
    <w:p w14:paraId="1DE66B87" w14:textId="3CFD8FF0" w:rsidR="00FD51BC" w:rsidRPr="00FD51BC" w:rsidRDefault="00FD51BC" w:rsidP="00FD51BC">
      <w:pPr>
        <w:rPr>
          <w:rFonts w:cstheme="minorHAnsi"/>
        </w:rPr>
      </w:pPr>
      <w:r w:rsidRPr="00A92B57">
        <w:rPr>
          <w:rFonts w:cstheme="minorHAnsi"/>
        </w:rPr>
        <w:lastRenderedPageBreak/>
        <w:t xml:space="preserve">Slide </w:t>
      </w:r>
      <w:r w:rsidR="009676A0">
        <w:rPr>
          <w:rFonts w:cstheme="minorHAnsi"/>
        </w:rPr>
        <w:t>7</w:t>
      </w:r>
      <w:r w:rsidRPr="00A92B57">
        <w:rPr>
          <w:rFonts w:cstheme="minorHAnsi"/>
        </w:rPr>
        <w:t xml:space="preserve">. </w:t>
      </w:r>
    </w:p>
    <w:p w14:paraId="706490BD" w14:textId="77777777" w:rsidR="00FD51BC" w:rsidRPr="00FD51BC" w:rsidRDefault="00FD51BC" w:rsidP="00FD51BC">
      <w:pPr>
        <w:rPr>
          <w:rFonts w:cstheme="minorHAnsi"/>
        </w:rPr>
      </w:pPr>
      <w:r w:rsidRPr="00FD51BC">
        <w:rPr>
          <w:rFonts w:cstheme="minorHAnsi"/>
        </w:rPr>
        <w:t>Reporting Requirements</w:t>
      </w:r>
    </w:p>
    <w:p w14:paraId="14AF05A6" w14:textId="77777777" w:rsidR="00FD51BC" w:rsidRPr="00FD51BC" w:rsidRDefault="00FD51BC" w:rsidP="00FD51BC">
      <w:pPr>
        <w:rPr>
          <w:rFonts w:cstheme="minorHAnsi"/>
        </w:rPr>
      </w:pPr>
      <w:r w:rsidRPr="00FD51BC">
        <w:rPr>
          <w:rFonts w:cstheme="minorHAnsi"/>
        </w:rPr>
        <w:t xml:space="preserve">All facilities were required to submit the following data elements, for the period October 1 to March 31 of each flu season: </w:t>
      </w:r>
    </w:p>
    <w:p w14:paraId="19785E7D" w14:textId="77777777" w:rsidR="00FD51BC" w:rsidRPr="00FD51BC" w:rsidRDefault="00FD51BC" w:rsidP="00FD51BC">
      <w:pPr>
        <w:numPr>
          <w:ilvl w:val="1"/>
          <w:numId w:val="3"/>
        </w:numPr>
        <w:spacing w:after="0"/>
        <w:rPr>
          <w:rFonts w:cstheme="minorHAnsi"/>
        </w:rPr>
      </w:pPr>
      <w:r w:rsidRPr="00FD51BC">
        <w:rPr>
          <w:rFonts w:cstheme="minorHAnsi"/>
        </w:rPr>
        <w:t>Total number of HCP who worked at least one day in the reporting period</w:t>
      </w:r>
    </w:p>
    <w:p w14:paraId="39CDA931" w14:textId="77777777" w:rsidR="00FD51BC" w:rsidRPr="00FD51BC" w:rsidRDefault="00FD51BC" w:rsidP="00FD51BC">
      <w:pPr>
        <w:numPr>
          <w:ilvl w:val="1"/>
          <w:numId w:val="3"/>
        </w:numPr>
        <w:spacing w:after="0"/>
        <w:rPr>
          <w:rFonts w:cstheme="minorHAnsi"/>
        </w:rPr>
      </w:pPr>
      <w:r w:rsidRPr="00FD51BC">
        <w:rPr>
          <w:rFonts w:cstheme="minorHAnsi"/>
        </w:rPr>
        <w:t>HCP vaccinated at the facility</w:t>
      </w:r>
    </w:p>
    <w:p w14:paraId="21E09717" w14:textId="77777777" w:rsidR="00FD51BC" w:rsidRPr="00FD51BC" w:rsidRDefault="00FD51BC" w:rsidP="00FD51BC">
      <w:pPr>
        <w:numPr>
          <w:ilvl w:val="1"/>
          <w:numId w:val="3"/>
        </w:numPr>
        <w:spacing w:after="0"/>
        <w:rPr>
          <w:rFonts w:cstheme="minorHAnsi"/>
        </w:rPr>
      </w:pPr>
      <w:r w:rsidRPr="00FD51BC">
        <w:rPr>
          <w:rFonts w:cstheme="minorHAnsi"/>
        </w:rPr>
        <w:t>HCP vaccinated elsewhere (PCP office, pharmacy, etc.)</w:t>
      </w:r>
    </w:p>
    <w:p w14:paraId="40112279" w14:textId="77777777" w:rsidR="00FD51BC" w:rsidRPr="00FD51BC" w:rsidRDefault="00FD51BC" w:rsidP="00FD51BC">
      <w:pPr>
        <w:numPr>
          <w:ilvl w:val="1"/>
          <w:numId w:val="3"/>
        </w:numPr>
        <w:spacing w:after="0"/>
        <w:rPr>
          <w:rFonts w:cstheme="minorHAnsi"/>
        </w:rPr>
      </w:pPr>
      <w:r w:rsidRPr="00FD51BC">
        <w:rPr>
          <w:rFonts w:cstheme="minorHAnsi"/>
        </w:rPr>
        <w:t>HCP that declined vaccine</w:t>
      </w:r>
    </w:p>
    <w:p w14:paraId="6C6462FB" w14:textId="77777777" w:rsidR="00FD51BC" w:rsidRPr="00FD51BC" w:rsidRDefault="00FD51BC" w:rsidP="00FD51BC">
      <w:pPr>
        <w:numPr>
          <w:ilvl w:val="1"/>
          <w:numId w:val="3"/>
        </w:numPr>
        <w:spacing w:after="0"/>
        <w:rPr>
          <w:rFonts w:cstheme="minorHAnsi"/>
        </w:rPr>
      </w:pPr>
      <w:r w:rsidRPr="00FD51BC">
        <w:rPr>
          <w:rFonts w:cstheme="minorHAnsi"/>
        </w:rPr>
        <w:t>HCP with a medical contraindication to the vaccine</w:t>
      </w:r>
    </w:p>
    <w:p w14:paraId="62362E05" w14:textId="77777777" w:rsidR="00FD51BC" w:rsidRPr="00FD51BC" w:rsidRDefault="00FD51BC" w:rsidP="00FD51BC">
      <w:pPr>
        <w:numPr>
          <w:ilvl w:val="1"/>
          <w:numId w:val="3"/>
        </w:numPr>
        <w:spacing w:after="0"/>
        <w:rPr>
          <w:rFonts w:cstheme="minorHAnsi"/>
        </w:rPr>
      </w:pPr>
      <w:r w:rsidRPr="00FD51BC">
        <w:rPr>
          <w:rFonts w:cstheme="minorHAnsi"/>
        </w:rPr>
        <w:t>HCP with unknown vaccine status</w:t>
      </w:r>
    </w:p>
    <w:p w14:paraId="5A1E981A" w14:textId="3096751C" w:rsidR="001A0CE1" w:rsidRPr="00A92B57" w:rsidRDefault="00FD51BC" w:rsidP="00FD51BC">
      <w:pPr>
        <w:rPr>
          <w:rFonts w:cstheme="minorHAnsi"/>
        </w:rPr>
      </w:pPr>
      <w:r w:rsidRPr="00A92B57">
        <w:rPr>
          <w:rFonts w:cstheme="minorHAnsi"/>
        </w:rPr>
        <w:t>Facilities that reported data to NHSN were required to stratify this data by HCP type</w:t>
      </w:r>
    </w:p>
    <w:p w14:paraId="1E37FA5E" w14:textId="77777777" w:rsidR="00A92B57" w:rsidRDefault="00A92B57" w:rsidP="00FD51BC">
      <w:pPr>
        <w:rPr>
          <w:rFonts w:cstheme="minorHAnsi"/>
        </w:rPr>
      </w:pPr>
    </w:p>
    <w:p w14:paraId="1717702B" w14:textId="1A92BD50" w:rsidR="00FD51BC" w:rsidRPr="00A92B57" w:rsidRDefault="00FD51BC" w:rsidP="00FD51BC">
      <w:pPr>
        <w:rPr>
          <w:rFonts w:cstheme="minorHAnsi"/>
        </w:rPr>
      </w:pPr>
      <w:r w:rsidRPr="00A92B57">
        <w:rPr>
          <w:rFonts w:cstheme="minorHAnsi"/>
        </w:rPr>
        <w:t xml:space="preserve">Slide </w:t>
      </w:r>
      <w:r w:rsidR="009676A0">
        <w:rPr>
          <w:rFonts w:cstheme="minorHAnsi"/>
        </w:rPr>
        <w:t>8</w:t>
      </w:r>
      <w:r w:rsidRPr="00A92B57">
        <w:rPr>
          <w:rFonts w:cstheme="minorHAnsi"/>
        </w:rPr>
        <w:t xml:space="preserve">. </w:t>
      </w:r>
    </w:p>
    <w:p w14:paraId="22F6D189" w14:textId="77777777" w:rsidR="00FD51BC" w:rsidRPr="00FD51BC" w:rsidRDefault="00FD51BC" w:rsidP="00FD51BC">
      <w:pPr>
        <w:rPr>
          <w:rFonts w:cstheme="minorHAnsi"/>
        </w:rPr>
      </w:pPr>
      <w:r w:rsidRPr="00FD51BC">
        <w:rPr>
          <w:rFonts w:cstheme="minorHAnsi"/>
        </w:rPr>
        <w:t>Measures and Calculations</w:t>
      </w:r>
    </w:p>
    <w:p w14:paraId="25D624D2" w14:textId="2BC1697F" w:rsidR="00FD51BC" w:rsidRPr="00A92B57" w:rsidRDefault="0056103F" w:rsidP="00FD51BC">
      <w:pPr>
        <w:rPr>
          <w:rFonts w:cstheme="minorHAnsi"/>
        </w:rPr>
      </w:pPr>
      <w:r w:rsidRPr="00A92B57">
        <w:rPr>
          <w:rFonts w:cstheme="minorHAnsi"/>
        </w:rPr>
        <w:t xml:space="preserve">Percentage HCP vaccinated I each season </w:t>
      </w:r>
    </w:p>
    <w:p w14:paraId="22B91C36" w14:textId="56DE090E" w:rsidR="0056103F" w:rsidRPr="00A92B57" w:rsidRDefault="0056103F" w:rsidP="00FD51BC">
      <w:pPr>
        <w:rPr>
          <w:rFonts w:cstheme="minorHAnsi"/>
        </w:rPr>
      </w:pPr>
      <w:r w:rsidRPr="00A92B57">
        <w:rPr>
          <w:rFonts w:cstheme="minorHAnsi"/>
        </w:rPr>
        <w:t>Vaccine coverage = HCP vaccinated at the facility + HCP vaccinated Elsewhere/total # HCP at facility</w:t>
      </w:r>
    </w:p>
    <w:p w14:paraId="1F0E3D9F" w14:textId="0DA53974" w:rsidR="0056103F" w:rsidRPr="00A92B57" w:rsidRDefault="0056103F" w:rsidP="00FD51BC">
      <w:pPr>
        <w:rPr>
          <w:rFonts w:cstheme="minorHAnsi"/>
        </w:rPr>
      </w:pPr>
      <w:r w:rsidRPr="00A92B57">
        <w:rPr>
          <w:rFonts w:cstheme="minorHAnsi"/>
        </w:rPr>
        <w:t>Percentage HCP in facility that declined vaccine in each season=</w:t>
      </w:r>
    </w:p>
    <w:p w14:paraId="1699CFB7" w14:textId="0E90A039" w:rsidR="0056103F" w:rsidRPr="00A92B57" w:rsidRDefault="0056103F" w:rsidP="00FD51BC">
      <w:pPr>
        <w:rPr>
          <w:rFonts w:cstheme="minorHAnsi"/>
        </w:rPr>
      </w:pPr>
      <w:r w:rsidRPr="00A92B57">
        <w:rPr>
          <w:rFonts w:cstheme="minorHAnsi"/>
        </w:rPr>
        <w:t>Vaccine declination = # HCP declined vaccine/total # HCP at facility</w:t>
      </w:r>
    </w:p>
    <w:p w14:paraId="5D5F746F" w14:textId="4DBC9E7E" w:rsidR="0056103F" w:rsidRPr="00A92B57" w:rsidRDefault="00E4300E" w:rsidP="00FD51BC">
      <w:pPr>
        <w:rPr>
          <w:rFonts w:cstheme="minorHAnsi"/>
        </w:rPr>
      </w:pPr>
      <w:r w:rsidRPr="00A92B57">
        <w:rPr>
          <w:rFonts w:cstheme="minorHAnsi"/>
        </w:rPr>
        <w:t>Percentage HCP in facility with a medical contraindication to vaccine in each season</w:t>
      </w:r>
    </w:p>
    <w:p w14:paraId="58193817" w14:textId="799DF958" w:rsidR="00E4300E" w:rsidRPr="00A92B57" w:rsidRDefault="00E4300E" w:rsidP="00FD51BC">
      <w:pPr>
        <w:rPr>
          <w:rFonts w:cstheme="minorHAnsi"/>
        </w:rPr>
      </w:pPr>
      <w:r w:rsidRPr="00A92B57">
        <w:rPr>
          <w:rFonts w:cstheme="minorHAnsi"/>
        </w:rPr>
        <w:t>Medical contraindication= # HCP wit medical contraindication/total # HCP at facility</w:t>
      </w:r>
    </w:p>
    <w:p w14:paraId="4704B1F9" w14:textId="6A78F403" w:rsidR="00E4300E" w:rsidRPr="00A92B57" w:rsidRDefault="00E4300E" w:rsidP="00FD51BC">
      <w:pPr>
        <w:rPr>
          <w:rFonts w:cstheme="minorHAnsi"/>
        </w:rPr>
      </w:pPr>
      <w:r w:rsidRPr="00A92B57">
        <w:rPr>
          <w:rFonts w:cstheme="minorHAnsi"/>
        </w:rPr>
        <w:t>Percentage HCP in facility with unknown influenza vaccine status in each season</w:t>
      </w:r>
    </w:p>
    <w:p w14:paraId="6A5AE337" w14:textId="5B80438D" w:rsidR="00E4300E" w:rsidRPr="00A92B57" w:rsidRDefault="00E4300E" w:rsidP="00FD51BC">
      <w:pPr>
        <w:rPr>
          <w:rFonts w:cstheme="minorHAnsi"/>
        </w:rPr>
      </w:pPr>
      <w:r w:rsidRPr="00A92B57">
        <w:rPr>
          <w:rFonts w:cstheme="minorHAnsi"/>
        </w:rPr>
        <w:t xml:space="preserve">Unknown vaccine status=#HCP with unknown vaccine status/total # HCP at facility </w:t>
      </w:r>
    </w:p>
    <w:p w14:paraId="058DC903" w14:textId="77777777" w:rsidR="00A92B57" w:rsidRDefault="00A92B57" w:rsidP="00FD51BC">
      <w:pPr>
        <w:rPr>
          <w:rFonts w:cstheme="minorHAnsi"/>
        </w:rPr>
      </w:pPr>
    </w:p>
    <w:p w14:paraId="3BB3F962" w14:textId="56402F0A" w:rsidR="00E4300E" w:rsidRPr="00A92B57" w:rsidRDefault="00E4300E" w:rsidP="00FD51BC">
      <w:pPr>
        <w:rPr>
          <w:rFonts w:cstheme="minorHAnsi"/>
        </w:rPr>
      </w:pPr>
      <w:r w:rsidRPr="00A92B57">
        <w:rPr>
          <w:rFonts w:cstheme="minorHAnsi"/>
        </w:rPr>
        <w:t xml:space="preserve">Slide </w:t>
      </w:r>
      <w:r w:rsidR="009676A0">
        <w:rPr>
          <w:rFonts w:cstheme="minorHAnsi"/>
        </w:rPr>
        <w:t>9</w:t>
      </w:r>
      <w:r w:rsidRPr="00A92B57">
        <w:rPr>
          <w:rFonts w:cstheme="minorHAnsi"/>
        </w:rPr>
        <w:t>.</w:t>
      </w:r>
    </w:p>
    <w:p w14:paraId="75723E55" w14:textId="1332FC52" w:rsidR="00E4300E" w:rsidRPr="00A92B57" w:rsidRDefault="00E4300E" w:rsidP="00E4300E">
      <w:pPr>
        <w:rPr>
          <w:rFonts w:cstheme="minorHAnsi"/>
        </w:rPr>
      </w:pPr>
      <w:r w:rsidRPr="00E4300E">
        <w:rPr>
          <w:rFonts w:cstheme="minorHAnsi"/>
        </w:rPr>
        <w:t>Overall HCP Influenza Vaccine Coverage in Massachusetts Acute Care Hospitals by Health Care Worker Type 2021-2022</w:t>
      </w:r>
    </w:p>
    <w:p w14:paraId="7408407E" w14:textId="77777777" w:rsidR="00E4300E" w:rsidRPr="00E4300E" w:rsidRDefault="00E4300E" w:rsidP="00E4300E">
      <w:pPr>
        <w:rPr>
          <w:rFonts w:cstheme="minorHAnsi"/>
        </w:rPr>
      </w:pPr>
      <w:r w:rsidRPr="00E4300E">
        <w:rPr>
          <w:rFonts w:cstheme="minorHAnsi"/>
        </w:rPr>
        <w:t>Key Findings</w:t>
      </w:r>
    </w:p>
    <w:p w14:paraId="7B9F1E73" w14:textId="77777777" w:rsidR="00E4300E" w:rsidRPr="00E4300E" w:rsidRDefault="00E4300E" w:rsidP="00E4300E">
      <w:pPr>
        <w:rPr>
          <w:rFonts w:cstheme="minorHAnsi"/>
        </w:rPr>
      </w:pPr>
      <w:r w:rsidRPr="00E4300E">
        <w:rPr>
          <w:rFonts w:cstheme="minorHAnsi"/>
        </w:rPr>
        <w:t>The statewide median for vaccine coverage was 95%</w:t>
      </w:r>
    </w:p>
    <w:p w14:paraId="22602B93" w14:textId="77777777" w:rsidR="00E4300E" w:rsidRPr="00E4300E" w:rsidRDefault="00E4300E" w:rsidP="00E4300E">
      <w:pPr>
        <w:rPr>
          <w:rFonts w:cstheme="minorHAnsi"/>
        </w:rPr>
      </w:pPr>
      <w:r w:rsidRPr="00E4300E">
        <w:rPr>
          <w:rFonts w:cstheme="minorHAnsi"/>
        </w:rPr>
        <w:t>57 (83%) facilities achieved vaccine coverage of 90% or greater</w:t>
      </w:r>
    </w:p>
    <w:p w14:paraId="5E745B60" w14:textId="77777777" w:rsidR="00E4300E" w:rsidRPr="00E4300E" w:rsidRDefault="00E4300E" w:rsidP="00E4300E">
      <w:pPr>
        <w:rPr>
          <w:rFonts w:cstheme="minorHAnsi"/>
        </w:rPr>
      </w:pPr>
      <w:r w:rsidRPr="00E4300E">
        <w:rPr>
          <w:rFonts w:cstheme="minorHAnsi"/>
        </w:rPr>
        <w:t>Most HCP were vaccinated at their workplace</w:t>
      </w:r>
    </w:p>
    <w:p w14:paraId="30E25BD3" w14:textId="4637E837" w:rsidR="00E4300E" w:rsidRPr="00A92B57" w:rsidRDefault="00E4300E" w:rsidP="00E4300E">
      <w:pPr>
        <w:rPr>
          <w:rFonts w:cstheme="minorHAnsi"/>
        </w:rPr>
      </w:pPr>
      <w:r w:rsidRPr="00E4300E">
        <w:rPr>
          <w:rFonts w:cstheme="minorHAnsi"/>
        </w:rPr>
        <w:t>Median declination of vaccine was 3%</w:t>
      </w:r>
    </w:p>
    <w:p w14:paraId="69D46716" w14:textId="34F6B7FB" w:rsidR="00E4300E" w:rsidRPr="00A92B57" w:rsidRDefault="002E0F75" w:rsidP="00E4300E">
      <w:pPr>
        <w:rPr>
          <w:rFonts w:cstheme="minorHAnsi"/>
        </w:rPr>
      </w:pPr>
      <w:r w:rsidRPr="00A92B57">
        <w:rPr>
          <w:rFonts w:cstheme="minorHAnsi"/>
        </w:rPr>
        <w:lastRenderedPageBreak/>
        <w:t>Total Vaccinated 95%; Vaccinated at facility, 56%; vaccinated elsewhere. 36</w:t>
      </w:r>
      <w:r w:rsidR="0041217A" w:rsidRPr="00A92B57">
        <w:rPr>
          <w:rFonts w:cstheme="minorHAnsi"/>
        </w:rPr>
        <w:t xml:space="preserve">%; declined vaccination, 1%; Medical contraindication, 0%; unknown, 3% </w:t>
      </w:r>
    </w:p>
    <w:p w14:paraId="6125E3CA" w14:textId="77777777" w:rsidR="00A92B57" w:rsidRDefault="00A92B57" w:rsidP="00E4300E">
      <w:pPr>
        <w:rPr>
          <w:rFonts w:cstheme="minorHAnsi"/>
        </w:rPr>
      </w:pPr>
    </w:p>
    <w:p w14:paraId="6F9BC9B0" w14:textId="56DE961C" w:rsidR="00671F3C" w:rsidRPr="00A92B57" w:rsidRDefault="00671F3C" w:rsidP="00E4300E">
      <w:pPr>
        <w:rPr>
          <w:rFonts w:cstheme="minorHAnsi"/>
        </w:rPr>
      </w:pPr>
      <w:r w:rsidRPr="00A92B57">
        <w:rPr>
          <w:rFonts w:cstheme="minorHAnsi"/>
        </w:rPr>
        <w:t xml:space="preserve">Slide </w:t>
      </w:r>
      <w:r w:rsidR="009676A0">
        <w:rPr>
          <w:rFonts w:cstheme="minorHAnsi"/>
        </w:rPr>
        <w:t>10</w:t>
      </w:r>
      <w:r w:rsidRPr="00A92B57">
        <w:rPr>
          <w:rFonts w:cstheme="minorHAnsi"/>
        </w:rPr>
        <w:t xml:space="preserve">. </w:t>
      </w:r>
    </w:p>
    <w:p w14:paraId="4A4202A3" w14:textId="77777777" w:rsidR="003B0AD7" w:rsidRPr="003B0AD7" w:rsidRDefault="003B0AD7" w:rsidP="003B0AD7">
      <w:pPr>
        <w:rPr>
          <w:rFonts w:cstheme="minorHAnsi"/>
        </w:rPr>
      </w:pPr>
      <w:r w:rsidRPr="003B0AD7">
        <w:rPr>
          <w:rFonts w:cstheme="minorHAnsi"/>
        </w:rPr>
        <w:t>2021-2022 Results Reported Through NHSN</w:t>
      </w:r>
    </w:p>
    <w:p w14:paraId="347AA8CF" w14:textId="0E46E23C" w:rsidR="003B0AD7" w:rsidRPr="00A92B57" w:rsidRDefault="003B0AD7" w:rsidP="003B0AD7">
      <w:pPr>
        <w:rPr>
          <w:rFonts w:cstheme="minorHAnsi"/>
        </w:rPr>
      </w:pPr>
      <w:r w:rsidRPr="003B0AD7">
        <w:rPr>
          <w:rFonts w:cstheme="minorHAnsi"/>
        </w:rPr>
        <w:t>Mean percentage of HCP Influenza During 2021-2022 Season </w:t>
      </w:r>
    </w:p>
    <w:p w14:paraId="5061E26D" w14:textId="094AE82F" w:rsidR="0074609A" w:rsidRPr="00A92B57" w:rsidRDefault="0074609A" w:rsidP="003B0AD7">
      <w:pPr>
        <w:rPr>
          <w:rFonts w:cstheme="minorHAnsi"/>
        </w:rPr>
      </w:pPr>
      <w:r w:rsidRPr="00A92B57">
        <w:rPr>
          <w:rFonts w:cstheme="minorHAnsi"/>
        </w:rPr>
        <w:t xml:space="preserve">Acute care hospitals </w:t>
      </w:r>
    </w:p>
    <w:p w14:paraId="19B9FDF0" w14:textId="76D39177" w:rsidR="0074609A" w:rsidRPr="00A92B57" w:rsidRDefault="0074609A" w:rsidP="003B0AD7">
      <w:pPr>
        <w:rPr>
          <w:rFonts w:cstheme="minorHAnsi"/>
        </w:rPr>
      </w:pPr>
      <w:bookmarkStart w:id="0" w:name="_Hlk114126524"/>
      <w:r w:rsidRPr="00A92B57">
        <w:rPr>
          <w:rFonts w:cstheme="minorHAnsi"/>
        </w:rPr>
        <w:t xml:space="preserve">Reporting facilities: 69; mean percent vaccinated, 94%; vaccinated at facility, 57%; vaccinated elsewhere, </w:t>
      </w:r>
      <w:r w:rsidR="00664B94" w:rsidRPr="00A92B57">
        <w:rPr>
          <w:rFonts w:cstheme="minorHAnsi"/>
        </w:rPr>
        <w:t>36%; mean HCP declined vaccination, 1%; mean HCP with a medical contraindication, 1%; mean HCP with unknown vaccination status, 5%</w:t>
      </w:r>
    </w:p>
    <w:bookmarkEnd w:id="0"/>
    <w:p w14:paraId="2D80721A" w14:textId="1124BCF2" w:rsidR="00664B94" w:rsidRPr="00A92B57" w:rsidRDefault="00664B94" w:rsidP="003B0AD7">
      <w:pPr>
        <w:rPr>
          <w:rFonts w:cstheme="minorHAnsi"/>
        </w:rPr>
      </w:pPr>
      <w:r w:rsidRPr="00A92B57">
        <w:rPr>
          <w:rFonts w:cstheme="minorHAnsi"/>
        </w:rPr>
        <w:t>Ambulatory surgical centers</w:t>
      </w:r>
    </w:p>
    <w:p w14:paraId="7113602A" w14:textId="77777777" w:rsidR="00A92B57" w:rsidRDefault="00664B94" w:rsidP="00E4300E">
      <w:pPr>
        <w:rPr>
          <w:rFonts w:cstheme="minorHAnsi"/>
        </w:rPr>
      </w:pPr>
      <w:bookmarkStart w:id="1" w:name="_Hlk114126614"/>
      <w:r w:rsidRPr="00A92B57">
        <w:rPr>
          <w:rFonts w:cstheme="minorHAnsi"/>
        </w:rPr>
        <w:t>Reporting facilities: 25; mean percent vaccinated, 94%; vaccinated at facility, 55%; vaccinated elsewhere, 45%; mean HCP declined vaccination, 7%; mean HCP with a medical contraindication, 1%; mean HCP with unknown vaccination status, 3%</w:t>
      </w:r>
      <w:bookmarkEnd w:id="1"/>
    </w:p>
    <w:p w14:paraId="525AF7E8" w14:textId="46777D6C" w:rsidR="00664B94" w:rsidRPr="00A92B57" w:rsidRDefault="000E105F" w:rsidP="00E4300E">
      <w:pPr>
        <w:rPr>
          <w:rFonts w:cstheme="minorHAnsi"/>
        </w:rPr>
      </w:pPr>
      <w:r w:rsidRPr="00A92B57">
        <w:rPr>
          <w:rFonts w:cstheme="minorHAnsi"/>
        </w:rPr>
        <w:t>Dialysis centers</w:t>
      </w:r>
    </w:p>
    <w:p w14:paraId="54AF9A13" w14:textId="133262CD" w:rsidR="000E105F" w:rsidRPr="00A92B57" w:rsidRDefault="000E105F" w:rsidP="000E105F">
      <w:pPr>
        <w:rPr>
          <w:rFonts w:cstheme="minorHAnsi"/>
        </w:rPr>
      </w:pPr>
      <w:bookmarkStart w:id="2" w:name="_Hlk114127643"/>
      <w:r w:rsidRPr="00A92B57">
        <w:rPr>
          <w:rFonts w:cstheme="minorHAnsi"/>
        </w:rPr>
        <w:t>Reporting facilities: 45; mean percent vaccinated, 59%; vaccinated at facility, 66%; vaccinated elsewhere, 34%; mean HCP declined vaccination, 3%; mean HCP with a medical contraindication, 1%; mean HCP with unknown vaccination status, 37%</w:t>
      </w:r>
    </w:p>
    <w:bookmarkEnd w:id="2"/>
    <w:p w14:paraId="543B4BB0" w14:textId="4F60B6C4" w:rsidR="000E105F" w:rsidRPr="00A92B57" w:rsidRDefault="000E105F" w:rsidP="00E4300E">
      <w:pPr>
        <w:rPr>
          <w:rFonts w:cstheme="minorHAnsi"/>
        </w:rPr>
      </w:pPr>
      <w:r w:rsidRPr="00A92B57">
        <w:rPr>
          <w:rFonts w:cstheme="minorHAnsi"/>
        </w:rPr>
        <w:t xml:space="preserve">Non-acute Care Hospitals </w:t>
      </w:r>
    </w:p>
    <w:p w14:paraId="44A172B5" w14:textId="0F5D137D" w:rsidR="000E105F" w:rsidRPr="00A92B57" w:rsidRDefault="000E105F" w:rsidP="00E4300E">
      <w:pPr>
        <w:rPr>
          <w:rFonts w:cstheme="minorHAnsi"/>
        </w:rPr>
      </w:pPr>
      <w:r w:rsidRPr="00A92B57">
        <w:rPr>
          <w:rFonts w:cstheme="minorHAnsi"/>
        </w:rPr>
        <w:t>Reporting facilities: 29; mean percent vaccinated, 77%; vaccinated at facility, 58%; vaccinated elsewhere, 42%; mean HCP declined vaccination, 6%; mean HCP with a medical contraindication, 1%; mean HCP with unknown vaccination status, 16%</w:t>
      </w:r>
    </w:p>
    <w:p w14:paraId="7E5C271B" w14:textId="77777777" w:rsidR="00A92B57" w:rsidRDefault="00A92B57" w:rsidP="00E4300E">
      <w:pPr>
        <w:rPr>
          <w:rFonts w:cstheme="minorHAnsi"/>
        </w:rPr>
      </w:pPr>
    </w:p>
    <w:p w14:paraId="08CDD86E" w14:textId="6A6613D2" w:rsidR="000E105F" w:rsidRPr="00A92B57" w:rsidRDefault="000E105F" w:rsidP="00E4300E">
      <w:pPr>
        <w:rPr>
          <w:rFonts w:cstheme="minorHAnsi"/>
        </w:rPr>
      </w:pPr>
      <w:r w:rsidRPr="00A92B57">
        <w:rPr>
          <w:rFonts w:cstheme="minorHAnsi"/>
        </w:rPr>
        <w:t>Slide 1</w:t>
      </w:r>
      <w:r w:rsidR="009676A0">
        <w:rPr>
          <w:rFonts w:cstheme="minorHAnsi"/>
        </w:rPr>
        <w:t>1</w:t>
      </w:r>
      <w:r w:rsidR="0024748D" w:rsidRPr="00A92B57">
        <w:rPr>
          <w:rFonts w:cstheme="minorHAnsi"/>
        </w:rPr>
        <w:t>.</w:t>
      </w:r>
    </w:p>
    <w:p w14:paraId="57AC50FF" w14:textId="55B09B62" w:rsidR="000E105F" w:rsidRPr="00A92B57" w:rsidRDefault="000E105F" w:rsidP="000E105F">
      <w:pPr>
        <w:rPr>
          <w:rFonts w:cstheme="minorHAnsi"/>
        </w:rPr>
      </w:pPr>
      <w:r w:rsidRPr="000E105F">
        <w:rPr>
          <w:rFonts w:cstheme="minorHAnsi"/>
        </w:rPr>
        <w:t>State-wide Flu Vaccination Trends Over Time: Acute Care Hospitals</w:t>
      </w:r>
    </w:p>
    <w:p w14:paraId="7345E4CD" w14:textId="2DC99357" w:rsidR="000E105F" w:rsidRPr="000E105F" w:rsidRDefault="000E105F" w:rsidP="000E105F">
      <w:pPr>
        <w:rPr>
          <w:rFonts w:cstheme="minorHAnsi"/>
        </w:rPr>
      </w:pPr>
      <w:r w:rsidRPr="00A92B57">
        <w:rPr>
          <w:rFonts w:cstheme="minorHAnsi"/>
        </w:rPr>
        <w:t xml:space="preserve">HCP Vaccination in acute Care Hospitals over 10 years. </w:t>
      </w:r>
    </w:p>
    <w:p w14:paraId="3C6D453C" w14:textId="188C355C" w:rsidR="000E105F" w:rsidRPr="00A92B57" w:rsidRDefault="000E105F" w:rsidP="00E4300E">
      <w:pPr>
        <w:rPr>
          <w:rFonts w:cstheme="minorHAnsi"/>
        </w:rPr>
      </w:pPr>
      <w:r w:rsidRPr="00A92B57">
        <w:rPr>
          <w:rFonts w:cstheme="minorHAnsi"/>
        </w:rPr>
        <w:t>2012-2013</w:t>
      </w:r>
      <w:r w:rsidR="00B934CB" w:rsidRPr="00A92B57">
        <w:rPr>
          <w:rFonts w:cstheme="minorHAnsi"/>
        </w:rPr>
        <w:t>, n=76; mean percent vaccinated 85%; median percent declined 9%; median percent unknown, 4%</w:t>
      </w:r>
    </w:p>
    <w:p w14:paraId="01EBE973" w14:textId="186E4001" w:rsidR="00B934CB" w:rsidRPr="00A92B57" w:rsidRDefault="00B934CB" w:rsidP="00B934CB">
      <w:pPr>
        <w:rPr>
          <w:rFonts w:cstheme="minorHAnsi"/>
        </w:rPr>
      </w:pPr>
      <w:bookmarkStart w:id="3" w:name="_Hlk114126998"/>
      <w:r w:rsidRPr="00A92B57">
        <w:rPr>
          <w:rFonts w:cstheme="minorHAnsi"/>
        </w:rPr>
        <w:t>2013-2014, n=75; mean percent vaccinated 86%; median percent declined 9%; median percent unknown, 4%</w:t>
      </w:r>
    </w:p>
    <w:bookmarkEnd w:id="3"/>
    <w:p w14:paraId="54CF5B5F" w14:textId="728FBFF0" w:rsidR="00B934CB" w:rsidRPr="00A92B57" w:rsidRDefault="00B934CB" w:rsidP="00B934CB">
      <w:pPr>
        <w:rPr>
          <w:rFonts w:cstheme="minorHAnsi"/>
        </w:rPr>
      </w:pPr>
      <w:r w:rsidRPr="00A92B57">
        <w:rPr>
          <w:rFonts w:cstheme="minorHAnsi"/>
        </w:rPr>
        <w:t>2014-2015, n=74; mean percent vaccinated 92%; median percent declined 5%; median percent unknown, 3%</w:t>
      </w:r>
    </w:p>
    <w:p w14:paraId="51EE7CD7" w14:textId="1301B97E" w:rsidR="00B934CB" w:rsidRPr="00A92B57" w:rsidRDefault="00B934CB" w:rsidP="00B934CB">
      <w:pPr>
        <w:rPr>
          <w:rFonts w:cstheme="minorHAnsi"/>
        </w:rPr>
      </w:pPr>
      <w:r w:rsidRPr="00A92B57">
        <w:rPr>
          <w:rFonts w:cstheme="minorHAnsi"/>
        </w:rPr>
        <w:lastRenderedPageBreak/>
        <w:t>2015-2016, n=74; mean percent vaccinated 92%; median percent declined 4%; median percent unknown, 2%</w:t>
      </w:r>
    </w:p>
    <w:p w14:paraId="5D4F59EC" w14:textId="0F5ACD2B" w:rsidR="00B934CB" w:rsidRPr="00A92B57" w:rsidRDefault="00B934CB" w:rsidP="00B934CB">
      <w:pPr>
        <w:rPr>
          <w:rFonts w:cstheme="minorHAnsi"/>
        </w:rPr>
      </w:pPr>
      <w:r w:rsidRPr="00A92B57">
        <w:rPr>
          <w:rFonts w:cstheme="minorHAnsi"/>
        </w:rPr>
        <w:t>2016-2017, n=72; mean percent vaccinated 94%; median percent declined 4%; median percent unknown, 1%</w:t>
      </w:r>
    </w:p>
    <w:p w14:paraId="56D00C98" w14:textId="06F8E1BA" w:rsidR="00B934CB" w:rsidRPr="00A92B57" w:rsidRDefault="00B934CB" w:rsidP="00B934CB">
      <w:pPr>
        <w:rPr>
          <w:rFonts w:cstheme="minorHAnsi"/>
        </w:rPr>
      </w:pPr>
      <w:r w:rsidRPr="00A92B57">
        <w:rPr>
          <w:rFonts w:cstheme="minorHAnsi"/>
        </w:rPr>
        <w:t>2017-2018, n=72; mean percent vaccinated 94%; median percent declined 4%; median percent unknown, 1%</w:t>
      </w:r>
    </w:p>
    <w:p w14:paraId="16C47B48" w14:textId="5A2ED2A7" w:rsidR="00B934CB" w:rsidRPr="00A92B57" w:rsidRDefault="00B934CB" w:rsidP="00B934CB">
      <w:pPr>
        <w:rPr>
          <w:rFonts w:cstheme="minorHAnsi"/>
        </w:rPr>
      </w:pPr>
      <w:r w:rsidRPr="00A92B57">
        <w:rPr>
          <w:rFonts w:cstheme="minorHAnsi"/>
        </w:rPr>
        <w:t>2018-2019, n=72; mean percent vaccinated 94%; median percent declined 3%; median percent unknown, 0%</w:t>
      </w:r>
    </w:p>
    <w:p w14:paraId="2753D35B" w14:textId="79EEBE42" w:rsidR="00B934CB" w:rsidRPr="00A92B57" w:rsidRDefault="00B934CB" w:rsidP="00B934CB">
      <w:pPr>
        <w:rPr>
          <w:rFonts w:cstheme="minorHAnsi"/>
        </w:rPr>
      </w:pPr>
      <w:r w:rsidRPr="00A92B57">
        <w:rPr>
          <w:rFonts w:cstheme="minorHAnsi"/>
        </w:rPr>
        <w:t>201</w:t>
      </w:r>
      <w:r w:rsidR="00381AF0" w:rsidRPr="00A92B57">
        <w:rPr>
          <w:rFonts w:cstheme="minorHAnsi"/>
        </w:rPr>
        <w:t>9</w:t>
      </w:r>
      <w:r w:rsidRPr="00A92B57">
        <w:rPr>
          <w:rFonts w:cstheme="minorHAnsi"/>
        </w:rPr>
        <w:t>-20</w:t>
      </w:r>
      <w:r w:rsidR="00381AF0" w:rsidRPr="00A92B57">
        <w:rPr>
          <w:rFonts w:cstheme="minorHAnsi"/>
        </w:rPr>
        <w:t>20</w:t>
      </w:r>
      <w:r w:rsidRPr="00A92B57">
        <w:rPr>
          <w:rFonts w:cstheme="minorHAnsi"/>
        </w:rPr>
        <w:t>, n=</w:t>
      </w:r>
      <w:r w:rsidR="00381AF0" w:rsidRPr="00A92B57">
        <w:rPr>
          <w:rFonts w:cstheme="minorHAnsi"/>
        </w:rPr>
        <w:t>65</w:t>
      </w:r>
      <w:r w:rsidRPr="00A92B57">
        <w:rPr>
          <w:rFonts w:cstheme="minorHAnsi"/>
        </w:rPr>
        <w:t>; mean percent vaccinated 9</w:t>
      </w:r>
      <w:r w:rsidR="00381AF0" w:rsidRPr="00A92B57">
        <w:rPr>
          <w:rFonts w:cstheme="minorHAnsi"/>
        </w:rPr>
        <w:t>6</w:t>
      </w:r>
      <w:r w:rsidRPr="00A92B57">
        <w:rPr>
          <w:rFonts w:cstheme="minorHAnsi"/>
        </w:rPr>
        <w:t xml:space="preserve">%; median percent declined 3%; median percent unknown, </w:t>
      </w:r>
      <w:r w:rsidR="00381AF0" w:rsidRPr="00A92B57">
        <w:rPr>
          <w:rFonts w:cstheme="minorHAnsi"/>
        </w:rPr>
        <w:t>3</w:t>
      </w:r>
      <w:r w:rsidRPr="00A92B57">
        <w:rPr>
          <w:rFonts w:cstheme="minorHAnsi"/>
        </w:rPr>
        <w:t>%</w:t>
      </w:r>
    </w:p>
    <w:p w14:paraId="5E3D527D" w14:textId="741E8523" w:rsidR="00381AF0" w:rsidRPr="00A92B57" w:rsidRDefault="00381AF0" w:rsidP="00381AF0">
      <w:pPr>
        <w:rPr>
          <w:rFonts w:cstheme="minorHAnsi"/>
        </w:rPr>
      </w:pPr>
      <w:r w:rsidRPr="00A92B57">
        <w:rPr>
          <w:rFonts w:cstheme="minorHAnsi"/>
        </w:rPr>
        <w:t>2020-2021, n=70; mean percent vaccinated 97%; median percent declined 1%; median percent unknown, 1%</w:t>
      </w:r>
    </w:p>
    <w:p w14:paraId="12911A20" w14:textId="1CAAB9ED" w:rsidR="00381AF0" w:rsidRPr="00A92B57" w:rsidRDefault="00381AF0" w:rsidP="00381AF0">
      <w:pPr>
        <w:rPr>
          <w:rFonts w:cstheme="minorHAnsi"/>
        </w:rPr>
      </w:pPr>
      <w:r w:rsidRPr="00A92B57">
        <w:rPr>
          <w:rFonts w:cstheme="minorHAnsi"/>
        </w:rPr>
        <w:t>2021-2022, n=70; mean percent vaccinated 95%; median percent declined 1%; median percent unknown, 3%</w:t>
      </w:r>
    </w:p>
    <w:p w14:paraId="3741F623" w14:textId="77777777" w:rsidR="00381AF0" w:rsidRPr="00381AF0" w:rsidRDefault="00381AF0" w:rsidP="00381AF0">
      <w:pPr>
        <w:rPr>
          <w:rFonts w:cstheme="minorHAnsi"/>
        </w:rPr>
      </w:pPr>
      <w:r w:rsidRPr="00381AF0">
        <w:rPr>
          <w:rFonts w:cstheme="minorHAnsi"/>
        </w:rPr>
        <w:t xml:space="preserve">Median HCP vaccine coverage remained constant in 2019-22 and exceeded the Healthy People 2020 benchmark of 90%.  </w:t>
      </w:r>
    </w:p>
    <w:p w14:paraId="50126113" w14:textId="77777777" w:rsidR="00A92B57" w:rsidRDefault="00A92B57" w:rsidP="00381AF0">
      <w:pPr>
        <w:rPr>
          <w:rFonts w:cstheme="minorHAnsi"/>
        </w:rPr>
      </w:pPr>
    </w:p>
    <w:p w14:paraId="51E67E88" w14:textId="2654A12E" w:rsidR="00381AF0" w:rsidRPr="00A92B57" w:rsidRDefault="00381AF0" w:rsidP="00381AF0">
      <w:pPr>
        <w:rPr>
          <w:rFonts w:cstheme="minorHAnsi"/>
        </w:rPr>
      </w:pPr>
      <w:r w:rsidRPr="00A92B57">
        <w:rPr>
          <w:rFonts w:cstheme="minorHAnsi"/>
        </w:rPr>
        <w:t>Slide 1</w:t>
      </w:r>
      <w:r w:rsidR="009676A0">
        <w:rPr>
          <w:rFonts w:cstheme="minorHAnsi"/>
        </w:rPr>
        <w:t>2</w:t>
      </w:r>
      <w:r w:rsidR="0024748D" w:rsidRPr="00A92B57">
        <w:rPr>
          <w:rFonts w:cstheme="minorHAnsi"/>
        </w:rPr>
        <w:t>.</w:t>
      </w:r>
    </w:p>
    <w:p w14:paraId="5F3DD531" w14:textId="01EC33E7" w:rsidR="00381AF0" w:rsidRPr="00A92B57" w:rsidRDefault="00381AF0" w:rsidP="00381AF0">
      <w:pPr>
        <w:rPr>
          <w:rFonts w:cstheme="minorHAnsi"/>
        </w:rPr>
      </w:pPr>
      <w:bookmarkStart w:id="4" w:name="_Hlk114128060"/>
      <w:r w:rsidRPr="00381AF0">
        <w:rPr>
          <w:rFonts w:cstheme="minorHAnsi"/>
        </w:rPr>
        <w:t xml:space="preserve">Trends Over Time: </w:t>
      </w:r>
      <w:r w:rsidRPr="00A92B57">
        <w:rPr>
          <w:rFonts w:cstheme="minorHAnsi"/>
        </w:rPr>
        <w:t>ASCs, Dialysis Centers, and Non-Acute Hospitals</w:t>
      </w:r>
    </w:p>
    <w:p w14:paraId="048296E3" w14:textId="2BA1F82D" w:rsidR="00381AF0" w:rsidRPr="00381AF0" w:rsidRDefault="00381AF0" w:rsidP="00381AF0">
      <w:pPr>
        <w:rPr>
          <w:rFonts w:cstheme="minorHAnsi"/>
        </w:rPr>
      </w:pPr>
      <w:r w:rsidRPr="00381AF0">
        <w:rPr>
          <w:rFonts w:cstheme="minorHAnsi"/>
        </w:rPr>
        <w:t xml:space="preserve">Mean Percent of HCP Vaccination and </w:t>
      </w:r>
      <w:r w:rsidRPr="00A92B57">
        <w:rPr>
          <w:rFonts w:cstheme="minorHAnsi"/>
        </w:rPr>
        <w:t>Declination Rates</w:t>
      </w:r>
      <w:r w:rsidRPr="00381AF0">
        <w:rPr>
          <w:rFonts w:cstheme="minorHAnsi"/>
        </w:rPr>
        <w:t xml:space="preserve"> for Ambulatory Surgical Centers, Dialysis </w:t>
      </w:r>
      <w:proofErr w:type="gramStart"/>
      <w:r w:rsidRPr="00381AF0">
        <w:rPr>
          <w:rFonts w:cstheme="minorHAnsi"/>
        </w:rPr>
        <w:t>Centers</w:t>
      </w:r>
      <w:proofErr w:type="gramEnd"/>
      <w:r w:rsidRPr="00381AF0">
        <w:rPr>
          <w:rFonts w:cstheme="minorHAnsi"/>
        </w:rPr>
        <w:t xml:space="preserve"> and Non-Acute Hospitals: 2017-2022 Influenza Seasons</w:t>
      </w:r>
    </w:p>
    <w:bookmarkEnd w:id="4"/>
    <w:p w14:paraId="5705E216" w14:textId="2BFBE84B" w:rsidR="00381AF0" w:rsidRPr="00A92B57" w:rsidRDefault="00381AF0" w:rsidP="00B934CB">
      <w:pPr>
        <w:rPr>
          <w:rFonts w:cstheme="minorHAnsi"/>
        </w:rPr>
      </w:pPr>
      <w:r w:rsidRPr="00A92B57">
        <w:rPr>
          <w:rFonts w:cstheme="minorHAnsi"/>
        </w:rPr>
        <w:t>Ambulatory Surgical Centers</w:t>
      </w:r>
    </w:p>
    <w:p w14:paraId="7A0B50FF" w14:textId="74A7329F" w:rsidR="00F26E0E" w:rsidRPr="00A92B57" w:rsidRDefault="00F26E0E" w:rsidP="00B934CB">
      <w:pPr>
        <w:rPr>
          <w:rFonts w:cstheme="minorHAnsi"/>
        </w:rPr>
      </w:pPr>
      <w:r w:rsidRPr="00A92B57">
        <w:rPr>
          <w:rFonts w:cstheme="minorHAnsi"/>
        </w:rPr>
        <w:t>2017-2018- 2021-2022 vaccinated and declined</w:t>
      </w:r>
    </w:p>
    <w:p w14:paraId="4D4E06E1" w14:textId="39E31ABE" w:rsidR="00F26E0E" w:rsidRPr="00A92B57" w:rsidRDefault="00F26E0E" w:rsidP="00B934CB">
      <w:pPr>
        <w:rPr>
          <w:rFonts w:cstheme="minorHAnsi"/>
        </w:rPr>
      </w:pPr>
      <w:r w:rsidRPr="00A92B57">
        <w:rPr>
          <w:rFonts w:cstheme="minorHAnsi"/>
        </w:rPr>
        <w:t>Dialysis centers</w:t>
      </w:r>
    </w:p>
    <w:p w14:paraId="72D3B02A" w14:textId="0E7F1A2B" w:rsidR="00F26E0E" w:rsidRPr="00A92B57" w:rsidRDefault="00F26E0E" w:rsidP="00F26E0E">
      <w:pPr>
        <w:rPr>
          <w:rFonts w:cstheme="minorHAnsi"/>
        </w:rPr>
      </w:pPr>
      <w:r w:rsidRPr="00A92B57">
        <w:rPr>
          <w:rFonts w:cstheme="minorHAnsi"/>
        </w:rPr>
        <w:t>2017-2018- 2021-2022 vaccinated and declined</w:t>
      </w:r>
    </w:p>
    <w:p w14:paraId="3D1B991F" w14:textId="753647B1" w:rsidR="00F26E0E" w:rsidRPr="00A92B57" w:rsidRDefault="00F26E0E" w:rsidP="00F26E0E">
      <w:pPr>
        <w:rPr>
          <w:rFonts w:cstheme="minorHAnsi"/>
        </w:rPr>
      </w:pPr>
      <w:r w:rsidRPr="00A92B57">
        <w:rPr>
          <w:rFonts w:cstheme="minorHAnsi"/>
        </w:rPr>
        <w:t>Nonacute hospitals</w:t>
      </w:r>
    </w:p>
    <w:p w14:paraId="3E1A3564" w14:textId="77777777" w:rsidR="00F26E0E" w:rsidRPr="00A92B57" w:rsidRDefault="00F26E0E" w:rsidP="00F26E0E">
      <w:pPr>
        <w:rPr>
          <w:rFonts w:cstheme="minorHAnsi"/>
        </w:rPr>
      </w:pPr>
      <w:r w:rsidRPr="00A92B57">
        <w:rPr>
          <w:rFonts w:cstheme="minorHAnsi"/>
        </w:rPr>
        <w:t>2017-2018- 2021-2022 vaccinated and declined</w:t>
      </w:r>
    </w:p>
    <w:p w14:paraId="1528A89E" w14:textId="77777777" w:rsidR="00A92B57" w:rsidRDefault="00A92B57" w:rsidP="00B934CB">
      <w:pPr>
        <w:rPr>
          <w:rFonts w:cstheme="minorHAnsi"/>
        </w:rPr>
      </w:pPr>
    </w:p>
    <w:p w14:paraId="51543A77" w14:textId="1144883C" w:rsidR="00B934CB" w:rsidRPr="00A92B57" w:rsidRDefault="00F26E0E" w:rsidP="00B934CB">
      <w:pPr>
        <w:rPr>
          <w:rFonts w:cstheme="minorHAnsi"/>
        </w:rPr>
      </w:pPr>
      <w:r w:rsidRPr="00A92B57">
        <w:rPr>
          <w:rFonts w:cstheme="minorHAnsi"/>
        </w:rPr>
        <w:t>Slide 1</w:t>
      </w:r>
      <w:r w:rsidR="009676A0">
        <w:rPr>
          <w:rFonts w:cstheme="minorHAnsi"/>
        </w:rPr>
        <w:t>3</w:t>
      </w:r>
      <w:r w:rsidR="0024748D" w:rsidRPr="00A92B57">
        <w:rPr>
          <w:rFonts w:cstheme="minorHAnsi"/>
        </w:rPr>
        <w:t>.</w:t>
      </w:r>
    </w:p>
    <w:p w14:paraId="1099177B" w14:textId="272AB9D0" w:rsidR="00F26E0E" w:rsidRPr="00A92B57" w:rsidRDefault="00F26E0E" w:rsidP="00B934CB">
      <w:pPr>
        <w:rPr>
          <w:rFonts w:cstheme="minorHAnsi"/>
        </w:rPr>
      </w:pPr>
      <w:r w:rsidRPr="00A92B57">
        <w:rPr>
          <w:rFonts w:cstheme="minorHAnsi"/>
        </w:rPr>
        <w:t>2021-2022 Results Reported to DPH</w:t>
      </w:r>
    </w:p>
    <w:p w14:paraId="2D271E61" w14:textId="3ECC07E8" w:rsidR="00F26E0E" w:rsidRPr="00A92B57" w:rsidRDefault="00F26E0E" w:rsidP="00B934CB">
      <w:pPr>
        <w:rPr>
          <w:rFonts w:cstheme="minorHAnsi"/>
        </w:rPr>
      </w:pPr>
      <w:r w:rsidRPr="00A92B57">
        <w:rPr>
          <w:rFonts w:cstheme="minorHAnsi"/>
        </w:rPr>
        <w:t xml:space="preserve">Mean percentage of HCP Influenza during 2021-2022 season </w:t>
      </w:r>
    </w:p>
    <w:p w14:paraId="7A25D816" w14:textId="7F2F7ABC" w:rsidR="00B934CB" w:rsidRPr="00A92B57" w:rsidRDefault="00F26E0E" w:rsidP="00B934CB">
      <w:pPr>
        <w:rPr>
          <w:rFonts w:cstheme="minorHAnsi"/>
        </w:rPr>
      </w:pPr>
      <w:r w:rsidRPr="00A92B57">
        <w:rPr>
          <w:rFonts w:cstheme="minorHAnsi"/>
        </w:rPr>
        <w:t>Clinics</w:t>
      </w:r>
    </w:p>
    <w:p w14:paraId="381ADB8B" w14:textId="0B2ECD3E" w:rsidR="00B60161" w:rsidRPr="00A92B57" w:rsidRDefault="00F26E0E" w:rsidP="00F26E0E">
      <w:pPr>
        <w:rPr>
          <w:rFonts w:cstheme="minorHAnsi"/>
        </w:rPr>
      </w:pPr>
      <w:bookmarkStart w:id="5" w:name="_Hlk114127756"/>
      <w:r w:rsidRPr="00A92B57">
        <w:rPr>
          <w:rFonts w:cstheme="minorHAnsi"/>
        </w:rPr>
        <w:lastRenderedPageBreak/>
        <w:t xml:space="preserve">Reporting facilities: 223; mean percent vaccinated, 73%; vaccinated at facility, 39%; vaccinated elsewhere, 61%; mean HCP declined vaccination, 2%; mean HCP with a medical contraindication, </w:t>
      </w:r>
      <w:r w:rsidR="00B60161">
        <w:rPr>
          <w:rFonts w:cstheme="minorHAnsi"/>
        </w:rPr>
        <w:t>2</w:t>
      </w:r>
      <w:r w:rsidRPr="00A92B57">
        <w:rPr>
          <w:rFonts w:cstheme="minorHAnsi"/>
        </w:rPr>
        <w:t>%; mean HCP with unknown vaccination status, 24%</w:t>
      </w:r>
    </w:p>
    <w:bookmarkEnd w:id="5"/>
    <w:p w14:paraId="2D15ACE2" w14:textId="6600551B" w:rsidR="00F26E0E" w:rsidRPr="00A92B57" w:rsidRDefault="00F26E0E" w:rsidP="00F26E0E">
      <w:pPr>
        <w:rPr>
          <w:rFonts w:cstheme="minorHAnsi"/>
        </w:rPr>
      </w:pPr>
      <w:r w:rsidRPr="00A92B57">
        <w:rPr>
          <w:rFonts w:cstheme="minorHAnsi"/>
        </w:rPr>
        <w:t xml:space="preserve">Adult Day Health </w:t>
      </w:r>
    </w:p>
    <w:p w14:paraId="7BF04286" w14:textId="21EBEDA9" w:rsidR="00B60161" w:rsidRPr="00A92B57" w:rsidRDefault="00F26E0E" w:rsidP="00F26E0E">
      <w:pPr>
        <w:rPr>
          <w:rFonts w:cstheme="minorHAnsi"/>
        </w:rPr>
      </w:pPr>
      <w:bookmarkStart w:id="6" w:name="_Hlk114127910"/>
      <w:r w:rsidRPr="00A92B57">
        <w:rPr>
          <w:rFonts w:cstheme="minorHAnsi"/>
        </w:rPr>
        <w:t xml:space="preserve">Reporting facilities: 118; mean percent vaccinated, </w:t>
      </w:r>
      <w:r w:rsidR="00C35383" w:rsidRPr="00A92B57">
        <w:rPr>
          <w:rFonts w:cstheme="minorHAnsi"/>
        </w:rPr>
        <w:t>66</w:t>
      </w:r>
      <w:r w:rsidRPr="00A92B57">
        <w:rPr>
          <w:rFonts w:cstheme="minorHAnsi"/>
        </w:rPr>
        <w:t xml:space="preserve">%; vaccinated at facility, </w:t>
      </w:r>
      <w:r w:rsidR="00C35383" w:rsidRPr="00A92B57">
        <w:rPr>
          <w:rFonts w:cstheme="minorHAnsi"/>
        </w:rPr>
        <w:t>2</w:t>
      </w:r>
      <w:r w:rsidR="00B60161">
        <w:rPr>
          <w:rFonts w:cstheme="minorHAnsi"/>
        </w:rPr>
        <w:t>5</w:t>
      </w:r>
      <w:r w:rsidRPr="00A92B57">
        <w:rPr>
          <w:rFonts w:cstheme="minorHAnsi"/>
        </w:rPr>
        <w:t xml:space="preserve">%; vaccinated elsewhere, </w:t>
      </w:r>
      <w:r w:rsidR="00C35383" w:rsidRPr="00A92B57">
        <w:rPr>
          <w:rFonts w:cstheme="minorHAnsi"/>
        </w:rPr>
        <w:t>7</w:t>
      </w:r>
      <w:r w:rsidR="00B60161">
        <w:rPr>
          <w:rFonts w:cstheme="minorHAnsi"/>
        </w:rPr>
        <w:t>5</w:t>
      </w:r>
      <w:r w:rsidRPr="00A92B57">
        <w:rPr>
          <w:rFonts w:cstheme="minorHAnsi"/>
        </w:rPr>
        <w:t>%; mean HCP declined vaccination, 2</w:t>
      </w:r>
      <w:r w:rsidR="00C35383" w:rsidRPr="00A92B57">
        <w:rPr>
          <w:rFonts w:cstheme="minorHAnsi"/>
        </w:rPr>
        <w:t>9</w:t>
      </w:r>
      <w:r w:rsidRPr="00A92B57">
        <w:rPr>
          <w:rFonts w:cstheme="minorHAnsi"/>
        </w:rPr>
        <w:t xml:space="preserve">%; mean HCP with a medical contraindication, </w:t>
      </w:r>
      <w:r w:rsidR="00B60161">
        <w:rPr>
          <w:rFonts w:cstheme="minorHAnsi"/>
        </w:rPr>
        <w:t>6</w:t>
      </w:r>
      <w:r w:rsidRPr="00A92B57">
        <w:rPr>
          <w:rFonts w:cstheme="minorHAnsi"/>
        </w:rPr>
        <w:t xml:space="preserve">%; mean HCP with unknown vaccination status, </w:t>
      </w:r>
      <w:r w:rsidR="00C35383" w:rsidRPr="00A92B57">
        <w:rPr>
          <w:rFonts w:cstheme="minorHAnsi"/>
        </w:rPr>
        <w:t xml:space="preserve">-. The HCFRS form did not include unknown as an option for influenza season 2021-2022. </w:t>
      </w:r>
    </w:p>
    <w:bookmarkEnd w:id="6"/>
    <w:p w14:paraId="589A3410" w14:textId="0AE5867E" w:rsidR="00B934CB" w:rsidRPr="00A92B57" w:rsidRDefault="00C35383" w:rsidP="00B934CB">
      <w:pPr>
        <w:rPr>
          <w:rFonts w:cstheme="minorHAnsi"/>
        </w:rPr>
      </w:pPr>
      <w:r w:rsidRPr="00A92B57">
        <w:rPr>
          <w:rFonts w:cstheme="minorHAnsi"/>
        </w:rPr>
        <w:t>Nursing homes</w:t>
      </w:r>
    </w:p>
    <w:p w14:paraId="42D381A7" w14:textId="5F595D1A" w:rsidR="00C35383" w:rsidRDefault="00C35383" w:rsidP="00C35383">
      <w:pPr>
        <w:rPr>
          <w:rFonts w:cstheme="minorHAnsi"/>
        </w:rPr>
      </w:pPr>
      <w:bookmarkStart w:id="7" w:name="_Hlk114127974"/>
      <w:r w:rsidRPr="00A92B57">
        <w:rPr>
          <w:rFonts w:cstheme="minorHAnsi"/>
        </w:rPr>
        <w:t xml:space="preserve">Reporting facilities: 317; mean percent vaccinated, 75%; vaccinated at facility,67%; vaccinated elsewhere, 33%; mean HCP declined vaccination, 23%; mean HCP with a medical contraindication, </w:t>
      </w:r>
      <w:r w:rsidR="00B60161">
        <w:rPr>
          <w:rFonts w:cstheme="minorHAnsi"/>
        </w:rPr>
        <w:t>2</w:t>
      </w:r>
      <w:r w:rsidRPr="00A92B57">
        <w:rPr>
          <w:rFonts w:cstheme="minorHAnsi"/>
        </w:rPr>
        <w:t>%; mean HCP with unknown vaccination status, -. The HCFRS form did not include unknown as an option for influenza season 2021-2022</w:t>
      </w:r>
      <w:bookmarkEnd w:id="7"/>
      <w:r w:rsidRPr="00A92B57">
        <w:rPr>
          <w:rFonts w:cstheme="minorHAnsi"/>
        </w:rPr>
        <w:t xml:space="preserve">. </w:t>
      </w:r>
    </w:p>
    <w:p w14:paraId="40FE7556" w14:textId="77777777" w:rsidR="00B60161" w:rsidRPr="00A92B57" w:rsidRDefault="00B60161" w:rsidP="00C35383">
      <w:pPr>
        <w:rPr>
          <w:rFonts w:cstheme="minorHAnsi"/>
        </w:rPr>
      </w:pPr>
    </w:p>
    <w:p w14:paraId="55E7C77D" w14:textId="3A74A0D6" w:rsidR="00B934CB" w:rsidRPr="00A92B57" w:rsidRDefault="00C35383" w:rsidP="00E4300E">
      <w:pPr>
        <w:rPr>
          <w:rFonts w:cstheme="minorHAnsi"/>
        </w:rPr>
      </w:pPr>
      <w:r w:rsidRPr="00A92B57">
        <w:rPr>
          <w:rFonts w:cstheme="minorHAnsi"/>
        </w:rPr>
        <w:t xml:space="preserve">Rest homes </w:t>
      </w:r>
    </w:p>
    <w:p w14:paraId="31749E23" w14:textId="05D851F9" w:rsidR="000E105F" w:rsidRPr="00A92B57" w:rsidRDefault="00C35383" w:rsidP="00E4300E">
      <w:pPr>
        <w:rPr>
          <w:rFonts w:cstheme="minorHAnsi"/>
        </w:rPr>
      </w:pPr>
      <w:r w:rsidRPr="00A92B57">
        <w:rPr>
          <w:rFonts w:cstheme="minorHAnsi"/>
        </w:rPr>
        <w:t>Reporting facilities: 44; mean percent vaccinated, 80%; vaccinated at facility,5</w:t>
      </w:r>
      <w:r w:rsidR="009B221E">
        <w:rPr>
          <w:rFonts w:cstheme="minorHAnsi"/>
        </w:rPr>
        <w:t>4</w:t>
      </w:r>
      <w:r w:rsidRPr="00A92B57">
        <w:rPr>
          <w:rFonts w:cstheme="minorHAnsi"/>
        </w:rPr>
        <w:t>%; vaccinated elsewhere, 4</w:t>
      </w:r>
      <w:r w:rsidR="009B221E">
        <w:rPr>
          <w:rFonts w:cstheme="minorHAnsi"/>
        </w:rPr>
        <w:t>7</w:t>
      </w:r>
      <w:r w:rsidRPr="00A92B57">
        <w:rPr>
          <w:rFonts w:cstheme="minorHAnsi"/>
        </w:rPr>
        <w:t xml:space="preserve">%; mean HCP declined vaccination, 16%; mean HCP with a medical contraindication, </w:t>
      </w:r>
      <w:r w:rsidR="009B221E">
        <w:rPr>
          <w:rFonts w:cstheme="minorHAnsi"/>
        </w:rPr>
        <w:t>4</w:t>
      </w:r>
      <w:r w:rsidRPr="00A92B57">
        <w:rPr>
          <w:rFonts w:cstheme="minorHAnsi"/>
        </w:rPr>
        <w:t>%; mean HCP with unknown vaccination status, -. The HCFRS form did not include unknown as an option for influenza season 2021-2022</w:t>
      </w:r>
    </w:p>
    <w:p w14:paraId="595C4B3B" w14:textId="77777777" w:rsidR="00A92B57" w:rsidRDefault="00A92B57" w:rsidP="00E4300E">
      <w:pPr>
        <w:rPr>
          <w:rFonts w:cstheme="minorHAnsi"/>
        </w:rPr>
      </w:pPr>
    </w:p>
    <w:p w14:paraId="39869829" w14:textId="4AE8336B" w:rsidR="00C35383" w:rsidRPr="00A92B57" w:rsidRDefault="00C35383" w:rsidP="00E4300E">
      <w:pPr>
        <w:rPr>
          <w:rFonts w:cstheme="minorHAnsi"/>
        </w:rPr>
      </w:pPr>
      <w:r w:rsidRPr="00A92B57">
        <w:rPr>
          <w:rFonts w:cstheme="minorHAnsi"/>
        </w:rPr>
        <w:t>Slide 1</w:t>
      </w:r>
      <w:r w:rsidR="009676A0">
        <w:rPr>
          <w:rFonts w:cstheme="minorHAnsi"/>
        </w:rPr>
        <w:t>4</w:t>
      </w:r>
      <w:r w:rsidR="0024748D" w:rsidRPr="00A92B57">
        <w:rPr>
          <w:rFonts w:cstheme="minorHAnsi"/>
        </w:rPr>
        <w:t>.</w:t>
      </w:r>
    </w:p>
    <w:p w14:paraId="127A0F08" w14:textId="751072F0" w:rsidR="00C35383" w:rsidRPr="00A92B57" w:rsidRDefault="00C35383" w:rsidP="00C35383">
      <w:pPr>
        <w:rPr>
          <w:rFonts w:cstheme="minorHAnsi"/>
        </w:rPr>
      </w:pPr>
      <w:r w:rsidRPr="00381AF0">
        <w:rPr>
          <w:rFonts w:cstheme="minorHAnsi"/>
        </w:rPr>
        <w:t xml:space="preserve">Trends Over Time: </w:t>
      </w:r>
      <w:r w:rsidRPr="00A92B57">
        <w:rPr>
          <w:rFonts w:cstheme="minorHAnsi"/>
        </w:rPr>
        <w:t>Nursing homes, rest ho</w:t>
      </w:r>
      <w:r w:rsidR="00ED2A78" w:rsidRPr="00A92B57">
        <w:rPr>
          <w:rFonts w:cstheme="minorHAnsi"/>
        </w:rPr>
        <w:t>m</w:t>
      </w:r>
      <w:r w:rsidRPr="00A92B57">
        <w:rPr>
          <w:rFonts w:cstheme="minorHAnsi"/>
        </w:rPr>
        <w:t xml:space="preserve">es and adult day health programs. </w:t>
      </w:r>
    </w:p>
    <w:p w14:paraId="6F9F69A4" w14:textId="456BE5D7" w:rsidR="00C35383" w:rsidRPr="00381AF0" w:rsidRDefault="00C35383" w:rsidP="00C35383">
      <w:pPr>
        <w:rPr>
          <w:rFonts w:cstheme="minorHAnsi"/>
        </w:rPr>
      </w:pPr>
      <w:r w:rsidRPr="00381AF0">
        <w:rPr>
          <w:rFonts w:cstheme="minorHAnsi"/>
        </w:rPr>
        <w:t xml:space="preserve">Mean Percent of HCP Vaccination and </w:t>
      </w:r>
      <w:r w:rsidRPr="00A92B57">
        <w:rPr>
          <w:rFonts w:cstheme="minorHAnsi"/>
        </w:rPr>
        <w:t>Declination Rates</w:t>
      </w:r>
      <w:r w:rsidRPr="00381AF0">
        <w:rPr>
          <w:rFonts w:cstheme="minorHAnsi"/>
        </w:rPr>
        <w:t xml:space="preserve"> for</w:t>
      </w:r>
      <w:r w:rsidR="00ED2A78" w:rsidRPr="00381AF0">
        <w:rPr>
          <w:rFonts w:cstheme="minorHAnsi"/>
        </w:rPr>
        <w:t xml:space="preserve">: </w:t>
      </w:r>
      <w:r w:rsidR="00ED2A78" w:rsidRPr="00A92B57">
        <w:rPr>
          <w:rFonts w:cstheme="minorHAnsi"/>
        </w:rPr>
        <w:t>Nursing homes, rest homes and adult day health programs</w:t>
      </w:r>
      <w:r w:rsidRPr="00381AF0">
        <w:rPr>
          <w:rFonts w:cstheme="minorHAnsi"/>
        </w:rPr>
        <w:t>: 2017-2022 Influenza Seasons</w:t>
      </w:r>
      <w:r w:rsidR="009676A0">
        <w:rPr>
          <w:rFonts w:cstheme="minorHAnsi"/>
        </w:rPr>
        <w:t>`</w:t>
      </w:r>
    </w:p>
    <w:p w14:paraId="6F5059DA" w14:textId="77777777" w:rsidR="00A92B57" w:rsidRDefault="00A92B57" w:rsidP="00E4300E">
      <w:pPr>
        <w:rPr>
          <w:rFonts w:cstheme="minorHAnsi"/>
        </w:rPr>
      </w:pPr>
    </w:p>
    <w:p w14:paraId="3F6E9A9D" w14:textId="09E9D421" w:rsidR="00ED2A78" w:rsidRPr="00A92B57" w:rsidRDefault="00ED2A78" w:rsidP="00E4300E">
      <w:pPr>
        <w:rPr>
          <w:rFonts w:cstheme="minorHAnsi"/>
        </w:rPr>
      </w:pPr>
      <w:r w:rsidRPr="00A92B57">
        <w:rPr>
          <w:rFonts w:cstheme="minorHAnsi"/>
        </w:rPr>
        <w:t>Slide 1</w:t>
      </w:r>
      <w:r w:rsidR="009676A0">
        <w:rPr>
          <w:rFonts w:cstheme="minorHAnsi"/>
        </w:rPr>
        <w:t>5</w:t>
      </w:r>
      <w:r w:rsidR="0024748D" w:rsidRPr="00A92B57">
        <w:rPr>
          <w:rFonts w:cstheme="minorHAnsi"/>
        </w:rPr>
        <w:t>.</w:t>
      </w:r>
    </w:p>
    <w:p w14:paraId="59EC9A80" w14:textId="7D5CFDCA" w:rsidR="00ED2A78" w:rsidRPr="00A92B57" w:rsidRDefault="00ED2A78" w:rsidP="00E4300E">
      <w:pPr>
        <w:rPr>
          <w:rFonts w:cstheme="minorHAnsi"/>
        </w:rPr>
      </w:pPr>
      <w:r w:rsidRPr="00A92B57">
        <w:rPr>
          <w:rFonts w:cstheme="minorHAnsi"/>
        </w:rPr>
        <w:t xml:space="preserve">Conclusions </w:t>
      </w:r>
    </w:p>
    <w:p w14:paraId="33DACCEF" w14:textId="77777777" w:rsidR="00ED2A78" w:rsidRPr="00ED2A78" w:rsidRDefault="00ED2A78" w:rsidP="00ED2A78">
      <w:pPr>
        <w:rPr>
          <w:rFonts w:cstheme="minorHAnsi"/>
        </w:rPr>
      </w:pPr>
      <w:r w:rsidRPr="00ED2A78">
        <w:rPr>
          <w:rFonts w:cstheme="minorHAnsi"/>
        </w:rPr>
        <w:t>Overall acute care hospital vaccine coverage exceeds the DPH and Healthy People 2020 benchmark &gt;90% for the three consecutive influenza seasons</w:t>
      </w:r>
    </w:p>
    <w:p w14:paraId="6BF4B5F4" w14:textId="77777777" w:rsidR="00ED2A78" w:rsidRPr="00ED2A78" w:rsidRDefault="00ED2A78" w:rsidP="00ED2A78">
      <w:pPr>
        <w:rPr>
          <w:rFonts w:cstheme="minorHAnsi"/>
        </w:rPr>
      </w:pPr>
      <w:r w:rsidRPr="00ED2A78">
        <w:rPr>
          <w:rFonts w:cstheme="minorHAnsi"/>
        </w:rPr>
        <w:t>Ambulatory Surgical Centers reached the established overall performance goal in 2021-2022 season</w:t>
      </w:r>
    </w:p>
    <w:p w14:paraId="25F53645" w14:textId="77777777" w:rsidR="00ED2A78" w:rsidRPr="00ED2A78" w:rsidRDefault="00ED2A78" w:rsidP="00ED2A78">
      <w:pPr>
        <w:rPr>
          <w:rFonts w:cstheme="minorHAnsi"/>
        </w:rPr>
      </w:pPr>
      <w:r w:rsidRPr="00ED2A78">
        <w:rPr>
          <w:rFonts w:cstheme="minorHAnsi"/>
        </w:rPr>
        <w:t>Four facility types reported higher vaccination rates in 2019-2020 when compared to prior seasons: Acute Care Hospitals, Ambulatory Surgical Centers, Non-Acute Hospitals, and Clinics</w:t>
      </w:r>
    </w:p>
    <w:p w14:paraId="4AB61FE0" w14:textId="77777777" w:rsidR="00A92B57" w:rsidRDefault="00A92B57" w:rsidP="00E4300E">
      <w:pPr>
        <w:rPr>
          <w:rFonts w:cstheme="minorHAnsi"/>
        </w:rPr>
      </w:pPr>
    </w:p>
    <w:p w14:paraId="73812F55" w14:textId="23ED79BE" w:rsidR="00ED2A78" w:rsidRPr="00A92B57" w:rsidRDefault="00ED2A78" w:rsidP="00E4300E">
      <w:pPr>
        <w:rPr>
          <w:rFonts w:cstheme="minorHAnsi"/>
        </w:rPr>
      </w:pPr>
      <w:r w:rsidRPr="00A92B57">
        <w:rPr>
          <w:rFonts w:cstheme="minorHAnsi"/>
        </w:rPr>
        <w:t>Slide 1</w:t>
      </w:r>
      <w:r w:rsidR="009676A0">
        <w:rPr>
          <w:rFonts w:cstheme="minorHAnsi"/>
        </w:rPr>
        <w:t>6</w:t>
      </w:r>
      <w:r w:rsidR="0024748D" w:rsidRPr="00A92B57">
        <w:rPr>
          <w:rFonts w:cstheme="minorHAnsi"/>
        </w:rPr>
        <w:t>.</w:t>
      </w:r>
    </w:p>
    <w:p w14:paraId="410F4E2D" w14:textId="77777777" w:rsidR="00ED2A78" w:rsidRPr="00ED2A78" w:rsidRDefault="00ED2A78" w:rsidP="00ED2A78">
      <w:pPr>
        <w:rPr>
          <w:rFonts w:cstheme="minorHAnsi"/>
        </w:rPr>
      </w:pPr>
      <w:r w:rsidRPr="00ED2A78">
        <w:rPr>
          <w:rFonts w:cstheme="minorHAnsi"/>
        </w:rPr>
        <w:lastRenderedPageBreak/>
        <w:t>DPH Incentive and Mandate</w:t>
      </w:r>
    </w:p>
    <w:p w14:paraId="5B7A70ED" w14:textId="77777777" w:rsidR="00ED2A78" w:rsidRPr="00ED2A78" w:rsidRDefault="00ED2A78" w:rsidP="00ED2A78">
      <w:pPr>
        <w:rPr>
          <w:rFonts w:cstheme="minorHAnsi"/>
        </w:rPr>
      </w:pPr>
      <w:r w:rsidRPr="00ED2A78">
        <w:rPr>
          <w:rFonts w:cstheme="minorHAnsi"/>
        </w:rPr>
        <w:t>DPH has implemented multiple approaches to increase HCP flu vaccinations rates including:</w:t>
      </w:r>
    </w:p>
    <w:p w14:paraId="034B1582" w14:textId="77777777" w:rsidR="00ED2A78" w:rsidRPr="00ED2A78" w:rsidRDefault="00ED2A78" w:rsidP="00ED2A78">
      <w:pPr>
        <w:rPr>
          <w:rFonts w:cstheme="minorHAnsi"/>
        </w:rPr>
      </w:pPr>
      <w:r w:rsidRPr="00ED2A78">
        <w:rPr>
          <w:rFonts w:cstheme="minorHAnsi"/>
        </w:rPr>
        <w:t xml:space="preserve">In season 2019-2020, nursing homes and rest homes were offered an incentive in the form of a reimbursement for their licensure renewal fee if at least 90% of their staff were vaccinated against influenza. </w:t>
      </w:r>
    </w:p>
    <w:p w14:paraId="7284D4CB" w14:textId="77777777" w:rsidR="00ED2A78" w:rsidRPr="00ED2A78" w:rsidRDefault="00ED2A78" w:rsidP="00ED2A78">
      <w:pPr>
        <w:numPr>
          <w:ilvl w:val="1"/>
          <w:numId w:val="4"/>
        </w:numPr>
        <w:rPr>
          <w:rFonts w:cstheme="minorHAnsi"/>
        </w:rPr>
      </w:pPr>
      <w:r w:rsidRPr="00ED2A78">
        <w:rPr>
          <w:rFonts w:cstheme="minorHAnsi"/>
        </w:rPr>
        <w:t>54 nursing homes and 3 rest homes qualified for the incentive.</w:t>
      </w:r>
    </w:p>
    <w:p w14:paraId="6CE47545" w14:textId="77777777" w:rsidR="00ED2A78" w:rsidRPr="00ED2A78" w:rsidRDefault="00ED2A78" w:rsidP="00ED2A78">
      <w:pPr>
        <w:rPr>
          <w:rFonts w:cstheme="minorHAnsi"/>
        </w:rPr>
      </w:pPr>
      <w:r w:rsidRPr="00ED2A78">
        <w:rPr>
          <w:rFonts w:cstheme="minorHAnsi"/>
        </w:rPr>
        <w:t>In season 2020-2021, HCP vaccination against influenza was mandated by the Commonwealth for nursing homes, rest homes, and adult day health programs, with a financial penalty for each unvaccinated staff member without a medical or religious exemption.</w:t>
      </w:r>
    </w:p>
    <w:p w14:paraId="1373BCD9" w14:textId="77777777" w:rsidR="00ED2A78" w:rsidRPr="00ED2A78" w:rsidRDefault="00ED2A78" w:rsidP="00ED2A78">
      <w:pPr>
        <w:numPr>
          <w:ilvl w:val="1"/>
          <w:numId w:val="5"/>
        </w:numPr>
        <w:rPr>
          <w:rFonts w:cstheme="minorHAnsi"/>
        </w:rPr>
      </w:pPr>
      <w:r w:rsidRPr="00ED2A78">
        <w:rPr>
          <w:rFonts w:cstheme="minorHAnsi"/>
        </w:rPr>
        <w:t>84 nursing homes and 14 rest homes qualified for a penalty.</w:t>
      </w:r>
    </w:p>
    <w:p w14:paraId="5A209025" w14:textId="41A332D2" w:rsidR="00ED2A78" w:rsidRPr="00A92B57" w:rsidRDefault="00ED2A78" w:rsidP="00ED2A78">
      <w:pPr>
        <w:rPr>
          <w:rFonts w:cstheme="minorHAnsi"/>
        </w:rPr>
      </w:pPr>
      <w:r w:rsidRPr="00ED2A78">
        <w:rPr>
          <w:rFonts w:cstheme="minorHAnsi"/>
        </w:rPr>
        <w:t xml:space="preserve">DPH followed up with nursing homes </w:t>
      </w:r>
      <w:r w:rsidRPr="00A92B57">
        <w:rPr>
          <w:rFonts w:cstheme="minorHAnsi"/>
        </w:rPr>
        <w:t>during 2021</w:t>
      </w:r>
      <w:r w:rsidRPr="00ED2A78">
        <w:rPr>
          <w:rFonts w:cstheme="minorHAnsi"/>
        </w:rPr>
        <w:t xml:space="preserve">-2022 season and found that administrators prefer receiving clear guidance and educational resources from the state </w:t>
      </w:r>
      <w:proofErr w:type="gramStart"/>
      <w:r w:rsidRPr="00ED2A78">
        <w:rPr>
          <w:rFonts w:cstheme="minorHAnsi"/>
        </w:rPr>
        <w:t>in order to</w:t>
      </w:r>
      <w:proofErr w:type="gramEnd"/>
      <w:r w:rsidRPr="00ED2A78">
        <w:rPr>
          <w:rFonts w:cstheme="minorHAnsi"/>
        </w:rPr>
        <w:t xml:space="preserve"> promote vaccination among staff.</w:t>
      </w:r>
    </w:p>
    <w:p w14:paraId="1BE069A9" w14:textId="77777777" w:rsidR="00A92B57" w:rsidRDefault="00A92B57" w:rsidP="00ED2A78">
      <w:pPr>
        <w:rPr>
          <w:rFonts w:cstheme="minorHAnsi"/>
        </w:rPr>
      </w:pPr>
    </w:p>
    <w:p w14:paraId="2CE188DE" w14:textId="672BFD3A" w:rsidR="00ED2A78" w:rsidRPr="00ED2A78" w:rsidRDefault="00ED2A78" w:rsidP="00ED2A78">
      <w:pPr>
        <w:rPr>
          <w:rFonts w:cstheme="minorHAnsi"/>
        </w:rPr>
      </w:pPr>
      <w:r w:rsidRPr="00A92B57">
        <w:rPr>
          <w:rFonts w:cstheme="minorHAnsi"/>
        </w:rPr>
        <w:t>Slide 1</w:t>
      </w:r>
      <w:r w:rsidR="009676A0">
        <w:rPr>
          <w:rFonts w:cstheme="minorHAnsi"/>
        </w:rPr>
        <w:t>7</w:t>
      </w:r>
      <w:r w:rsidRPr="00A92B57">
        <w:rPr>
          <w:rFonts w:cstheme="minorHAnsi"/>
        </w:rPr>
        <w:t xml:space="preserve"> </w:t>
      </w:r>
    </w:p>
    <w:p w14:paraId="649E1E7C" w14:textId="6909E552" w:rsidR="00ED2A78" w:rsidRPr="00A92B57" w:rsidRDefault="00ED2A78" w:rsidP="00ED2A78">
      <w:pPr>
        <w:rPr>
          <w:rFonts w:cstheme="minorHAnsi"/>
        </w:rPr>
      </w:pPr>
      <w:r w:rsidRPr="00ED2A78">
        <w:rPr>
          <w:rFonts w:cstheme="minorHAnsi"/>
        </w:rPr>
        <w:t>DPH Public Health Actions</w:t>
      </w:r>
    </w:p>
    <w:p w14:paraId="7F575A8E" w14:textId="77777777" w:rsidR="00ED2A78" w:rsidRPr="00ED2A78" w:rsidRDefault="00ED2A78" w:rsidP="00ED2A78">
      <w:pPr>
        <w:rPr>
          <w:rFonts w:cstheme="minorHAnsi"/>
        </w:rPr>
      </w:pPr>
      <w:r w:rsidRPr="00ED2A78">
        <w:rPr>
          <w:rFonts w:cstheme="minorHAnsi"/>
        </w:rPr>
        <w:t xml:space="preserve">DPH continues to take the following action steps: </w:t>
      </w:r>
    </w:p>
    <w:p w14:paraId="5539F8BD" w14:textId="77777777" w:rsidR="00ED2A78" w:rsidRPr="00ED2A78" w:rsidRDefault="00ED2A78" w:rsidP="00ED2A78">
      <w:pPr>
        <w:rPr>
          <w:rFonts w:cstheme="minorHAnsi"/>
        </w:rPr>
      </w:pPr>
      <w:r w:rsidRPr="00ED2A78">
        <w:rPr>
          <w:rFonts w:cstheme="minorHAnsi"/>
        </w:rPr>
        <w:t xml:space="preserve">Reinforcement of the reporting requirement and statewide performance goal during trainings, and on-site visits in adult day health programs, rest homes and nursing homes </w:t>
      </w:r>
    </w:p>
    <w:p w14:paraId="2C084DF1" w14:textId="77777777" w:rsidR="00ED2A78" w:rsidRPr="00ED2A78" w:rsidRDefault="00ED2A78" w:rsidP="00ED2A78">
      <w:pPr>
        <w:rPr>
          <w:rFonts w:cstheme="minorHAnsi"/>
        </w:rPr>
      </w:pPr>
      <w:r w:rsidRPr="00ED2A78">
        <w:rPr>
          <w:rFonts w:cstheme="minorHAnsi"/>
        </w:rPr>
        <w:t>Monitoring trends and reporting annual compliance with the HCP influenza vaccination requirements</w:t>
      </w:r>
    </w:p>
    <w:p w14:paraId="55A2E3E0" w14:textId="77777777" w:rsidR="00ED2A78" w:rsidRPr="00ED2A78" w:rsidRDefault="00ED2A78" w:rsidP="00ED2A78">
      <w:pPr>
        <w:rPr>
          <w:rFonts w:cstheme="minorHAnsi"/>
        </w:rPr>
      </w:pPr>
      <w:r w:rsidRPr="00ED2A78">
        <w:rPr>
          <w:rFonts w:cstheme="minorHAnsi"/>
        </w:rPr>
        <w:t xml:space="preserve">Promotion of continuous quality improvement, by recommending licensed facilities share vaccination rates with all staff, including administrators, boards of directors, practice managers, </w:t>
      </w:r>
      <w:proofErr w:type="gramStart"/>
      <w:r w:rsidRPr="00ED2A78">
        <w:rPr>
          <w:rFonts w:cstheme="minorHAnsi"/>
        </w:rPr>
        <w:t>ombudspersons</w:t>
      </w:r>
      <w:proofErr w:type="gramEnd"/>
      <w:r w:rsidRPr="00ED2A78">
        <w:rPr>
          <w:rFonts w:cstheme="minorHAnsi"/>
        </w:rPr>
        <w:t xml:space="preserve"> and patient/family councils </w:t>
      </w:r>
    </w:p>
    <w:p w14:paraId="650CF398" w14:textId="77777777" w:rsidR="00ED2A78" w:rsidRPr="00ED2A78" w:rsidRDefault="00ED2A78" w:rsidP="00ED2A78">
      <w:pPr>
        <w:rPr>
          <w:rFonts w:cstheme="minorHAnsi"/>
        </w:rPr>
      </w:pPr>
      <w:r w:rsidRPr="00ED2A78">
        <w:rPr>
          <w:rFonts w:cstheme="minorHAnsi"/>
        </w:rPr>
        <w:t xml:space="preserve">Distribution of job aids to assist clinics, adult day health centers, nursing homes and rest homes in tracking and monitoring HCP influenza vaccination progress.  </w:t>
      </w:r>
    </w:p>
    <w:p w14:paraId="3CEA0BA6" w14:textId="77777777" w:rsidR="00ED2A78" w:rsidRPr="00ED2A78" w:rsidRDefault="00ED2A78" w:rsidP="00ED2A78">
      <w:pPr>
        <w:rPr>
          <w:rFonts w:cstheme="minorHAnsi"/>
        </w:rPr>
      </w:pPr>
      <w:r w:rsidRPr="00ED2A78">
        <w:rPr>
          <w:rFonts w:cstheme="minorHAnsi"/>
        </w:rPr>
        <w:t>Resume hosting webinars to provide updated information for each influenza season.</w:t>
      </w:r>
    </w:p>
    <w:p w14:paraId="79CDBBB0" w14:textId="77777777" w:rsidR="00ED2A78" w:rsidRPr="00ED2A78" w:rsidRDefault="00ED2A78" w:rsidP="00ED2A78">
      <w:pPr>
        <w:numPr>
          <w:ilvl w:val="1"/>
          <w:numId w:val="6"/>
        </w:numPr>
        <w:rPr>
          <w:rFonts w:cstheme="minorHAnsi"/>
        </w:rPr>
      </w:pPr>
      <w:r w:rsidRPr="00ED2A78">
        <w:rPr>
          <w:rFonts w:cstheme="minorHAnsi"/>
        </w:rPr>
        <w:t xml:space="preserve">Topics will </w:t>
      </w:r>
      <w:proofErr w:type="gramStart"/>
      <w:r w:rsidRPr="00ED2A78">
        <w:rPr>
          <w:rFonts w:cstheme="minorHAnsi"/>
        </w:rPr>
        <w:t>include:</w:t>
      </w:r>
      <w:proofErr w:type="gramEnd"/>
      <w:r w:rsidRPr="00ED2A78">
        <w:rPr>
          <w:rFonts w:cstheme="minorHAnsi"/>
        </w:rPr>
        <w:t xml:space="preserve"> National and Massachusetts flu activity; best practices to promote HCP influenza vaccination; and guidance on data submission</w:t>
      </w:r>
    </w:p>
    <w:p w14:paraId="6AB63A64" w14:textId="77777777" w:rsidR="00A92B57" w:rsidRDefault="00A92B57" w:rsidP="00ED2A78">
      <w:pPr>
        <w:rPr>
          <w:rFonts w:cstheme="minorHAnsi"/>
        </w:rPr>
      </w:pPr>
    </w:p>
    <w:p w14:paraId="3BAF6736" w14:textId="656F452E" w:rsidR="00ED2A78" w:rsidRPr="00A92B57" w:rsidRDefault="00ED2A78" w:rsidP="00ED2A78">
      <w:pPr>
        <w:rPr>
          <w:rFonts w:cstheme="minorHAnsi"/>
        </w:rPr>
      </w:pPr>
      <w:r w:rsidRPr="00A92B57">
        <w:rPr>
          <w:rFonts w:cstheme="minorHAnsi"/>
        </w:rPr>
        <w:t>Slide 1</w:t>
      </w:r>
      <w:r w:rsidR="009676A0">
        <w:rPr>
          <w:rFonts w:cstheme="minorHAnsi"/>
        </w:rPr>
        <w:t>8</w:t>
      </w:r>
      <w:r w:rsidR="00A92B57" w:rsidRPr="00A92B57">
        <w:rPr>
          <w:rFonts w:cstheme="minorHAnsi"/>
        </w:rPr>
        <w:t>.</w:t>
      </w:r>
    </w:p>
    <w:p w14:paraId="12FDFB55" w14:textId="77777777" w:rsidR="0024748D" w:rsidRPr="0024748D" w:rsidRDefault="0024748D" w:rsidP="0024748D">
      <w:pPr>
        <w:rPr>
          <w:rFonts w:cstheme="minorHAnsi"/>
        </w:rPr>
      </w:pPr>
      <w:r w:rsidRPr="0024748D">
        <w:rPr>
          <w:rFonts w:cstheme="minorHAnsi"/>
        </w:rPr>
        <w:t>Enhanced DPH Public Health Response</w:t>
      </w:r>
    </w:p>
    <w:p w14:paraId="218480B6" w14:textId="77777777" w:rsidR="0024748D" w:rsidRPr="0024748D" w:rsidRDefault="0024748D" w:rsidP="0024748D">
      <w:pPr>
        <w:rPr>
          <w:rFonts w:cstheme="minorHAnsi"/>
        </w:rPr>
      </w:pPr>
      <w:r w:rsidRPr="0024748D">
        <w:rPr>
          <w:rFonts w:cstheme="minorHAnsi"/>
        </w:rPr>
        <w:t>DPH will develop programming to support and publicly recognize healthcare facilities’ commitment to high flu vaccination rates among health care personnel</w:t>
      </w:r>
    </w:p>
    <w:p w14:paraId="734A8342" w14:textId="77777777" w:rsidR="0024748D" w:rsidRPr="0024748D" w:rsidRDefault="0024748D" w:rsidP="0024748D">
      <w:pPr>
        <w:rPr>
          <w:rFonts w:cstheme="minorHAnsi"/>
        </w:rPr>
      </w:pPr>
      <w:r w:rsidRPr="0024748D">
        <w:rPr>
          <w:rFonts w:cstheme="minorHAnsi"/>
        </w:rPr>
        <w:lastRenderedPageBreak/>
        <w:t>During the ongoing COVID-19 pandemic with the potential for concurrent COVID-19 and influenza outbreaks, DPH will continue to promote the safe co- administration of flu and COVID-19 vaccination</w:t>
      </w:r>
    </w:p>
    <w:p w14:paraId="0C9A5D36" w14:textId="7D406D8F" w:rsidR="0024748D" w:rsidRPr="0024748D" w:rsidRDefault="0024748D" w:rsidP="0024748D">
      <w:pPr>
        <w:rPr>
          <w:rFonts w:cstheme="minorHAnsi"/>
        </w:rPr>
      </w:pPr>
      <w:r w:rsidRPr="0024748D">
        <w:rPr>
          <w:rFonts w:cstheme="minorHAnsi"/>
        </w:rPr>
        <w:t xml:space="preserve">Building on the success of LTCFs reporting COVID-19 data in NHSN, DPH </w:t>
      </w:r>
      <w:r w:rsidR="00A92B57" w:rsidRPr="0024748D">
        <w:rPr>
          <w:rFonts w:cstheme="minorHAnsi"/>
        </w:rPr>
        <w:t>will investigate</w:t>
      </w:r>
      <w:r w:rsidRPr="0024748D">
        <w:rPr>
          <w:rFonts w:cstheme="minorHAnsi"/>
        </w:rPr>
        <w:t xml:space="preserve"> the feasibility of transitioning LTCF HCP influenza reporting to the national application beginning with the 2022-2023 influenza season</w:t>
      </w:r>
    </w:p>
    <w:p w14:paraId="18F69931" w14:textId="77777777" w:rsidR="0024748D" w:rsidRPr="0024748D" w:rsidRDefault="0024748D" w:rsidP="0024748D">
      <w:pPr>
        <w:rPr>
          <w:rFonts w:cstheme="minorHAnsi"/>
        </w:rPr>
      </w:pPr>
      <w:r w:rsidRPr="0024748D">
        <w:rPr>
          <w:rFonts w:cstheme="minorHAnsi"/>
        </w:rPr>
        <w:t xml:space="preserve">DPH will continue to provide useful resources educational materials, strategies and interventions to promote increasing vaccination coverage among </w:t>
      </w:r>
      <w:proofErr w:type="gramStart"/>
      <w:r w:rsidRPr="0024748D">
        <w:rPr>
          <w:rFonts w:cstheme="minorHAnsi"/>
        </w:rPr>
        <w:t>HCP</w:t>
      </w:r>
      <w:proofErr w:type="gramEnd"/>
      <w:r w:rsidRPr="0024748D">
        <w:rPr>
          <w:rFonts w:cstheme="minorHAnsi"/>
        </w:rPr>
        <w:t xml:space="preserve"> </w:t>
      </w:r>
    </w:p>
    <w:p w14:paraId="475FA599" w14:textId="77777777" w:rsidR="0024748D" w:rsidRPr="0024748D" w:rsidRDefault="0024748D" w:rsidP="0024748D">
      <w:pPr>
        <w:rPr>
          <w:rFonts w:cstheme="minorHAnsi"/>
        </w:rPr>
      </w:pPr>
      <w:r w:rsidRPr="0024748D">
        <w:rPr>
          <w:rFonts w:cstheme="minorHAnsi"/>
        </w:rPr>
        <w:t xml:space="preserve">DPH will conduct focused outreach to facilities where opportunities for improvement have been identified to provide technical assistance on best practices to promote HCP influenza vaccination </w:t>
      </w:r>
    </w:p>
    <w:p w14:paraId="32C77285" w14:textId="77777777" w:rsidR="00A92B57" w:rsidRDefault="00A92B57" w:rsidP="00ED2A78">
      <w:pPr>
        <w:rPr>
          <w:rFonts w:cstheme="minorHAnsi"/>
        </w:rPr>
      </w:pPr>
    </w:p>
    <w:p w14:paraId="7CA024C8" w14:textId="77777777" w:rsidR="009676A0" w:rsidRDefault="009676A0" w:rsidP="00ED2A78">
      <w:pPr>
        <w:rPr>
          <w:rFonts w:cstheme="minorHAnsi"/>
        </w:rPr>
      </w:pPr>
    </w:p>
    <w:p w14:paraId="47C549E1" w14:textId="77777777" w:rsidR="009676A0" w:rsidRDefault="009676A0" w:rsidP="00ED2A78">
      <w:pPr>
        <w:rPr>
          <w:rFonts w:cstheme="minorHAnsi"/>
        </w:rPr>
      </w:pPr>
    </w:p>
    <w:p w14:paraId="5DCC0D03" w14:textId="77777777" w:rsidR="009676A0" w:rsidRDefault="009676A0" w:rsidP="00ED2A78">
      <w:pPr>
        <w:rPr>
          <w:rFonts w:cstheme="minorHAnsi"/>
        </w:rPr>
      </w:pPr>
    </w:p>
    <w:p w14:paraId="23A22F2F" w14:textId="76B02017" w:rsidR="00ED2A78" w:rsidRPr="00ED2A78" w:rsidRDefault="0024748D" w:rsidP="00ED2A78">
      <w:pPr>
        <w:rPr>
          <w:rFonts w:cstheme="minorHAnsi"/>
        </w:rPr>
      </w:pPr>
      <w:r w:rsidRPr="00A92B57">
        <w:rPr>
          <w:rFonts w:cstheme="minorHAnsi"/>
        </w:rPr>
        <w:t>Slide 1</w:t>
      </w:r>
      <w:r w:rsidR="009676A0">
        <w:rPr>
          <w:rFonts w:cstheme="minorHAnsi"/>
        </w:rPr>
        <w:t>9</w:t>
      </w:r>
      <w:r w:rsidR="00A92B57" w:rsidRPr="00A92B57">
        <w:rPr>
          <w:rFonts w:cstheme="minorHAnsi"/>
        </w:rPr>
        <w:t>.</w:t>
      </w:r>
    </w:p>
    <w:p w14:paraId="02AAE015" w14:textId="4F56982B" w:rsidR="0024748D" w:rsidRPr="00A92B57" w:rsidRDefault="0024748D" w:rsidP="0024748D">
      <w:pPr>
        <w:rPr>
          <w:rFonts w:cstheme="minorHAnsi"/>
        </w:rPr>
      </w:pPr>
      <w:r w:rsidRPr="0024748D">
        <w:rPr>
          <w:rFonts w:cstheme="minorHAnsi"/>
        </w:rPr>
        <w:t>Next Steps</w:t>
      </w:r>
    </w:p>
    <w:p w14:paraId="2D091F20" w14:textId="77777777" w:rsidR="0024748D" w:rsidRPr="0024748D" w:rsidRDefault="0024748D" w:rsidP="0024748D">
      <w:pPr>
        <w:rPr>
          <w:rFonts w:cstheme="minorHAnsi"/>
        </w:rPr>
      </w:pPr>
      <w:r w:rsidRPr="0024748D">
        <w:rPr>
          <w:rFonts w:cstheme="minorHAnsi"/>
        </w:rPr>
        <w:t xml:space="preserve">DPH will share this update with all licensed healthcare facilities with recommendations to distribute broadly within each facility and to use the reported data to drive improvement. </w:t>
      </w:r>
    </w:p>
    <w:p w14:paraId="51FBCA0B" w14:textId="77777777" w:rsidR="0024748D" w:rsidRPr="0024748D" w:rsidRDefault="0024748D" w:rsidP="0024748D">
      <w:pPr>
        <w:rPr>
          <w:rFonts w:cstheme="minorHAnsi"/>
        </w:rPr>
      </w:pPr>
      <w:r w:rsidRPr="0024748D">
        <w:rPr>
          <w:rFonts w:cstheme="minorHAnsi"/>
        </w:rPr>
        <w:t xml:space="preserve">This update and facility specific results will be available on the MDPH website: </w:t>
      </w:r>
      <w:hyperlink r:id="rId7" w:history="1">
        <w:r w:rsidRPr="0024748D">
          <w:rPr>
            <w:rStyle w:val="Hyperlink"/>
            <w:rFonts w:cstheme="minorHAnsi"/>
          </w:rPr>
          <w:t>https://www.mass.gov/info-details/flu-vaccination-reports-for-healthcare-personnel</w:t>
        </w:r>
      </w:hyperlink>
      <w:r w:rsidRPr="0024748D">
        <w:rPr>
          <w:rFonts w:cstheme="minorHAnsi"/>
        </w:rPr>
        <w:t xml:space="preserve"> </w:t>
      </w:r>
    </w:p>
    <w:p w14:paraId="612AD770" w14:textId="77777777" w:rsidR="00A92B57" w:rsidRDefault="00A92B57" w:rsidP="0024748D">
      <w:pPr>
        <w:rPr>
          <w:rFonts w:cstheme="minorHAnsi"/>
        </w:rPr>
      </w:pPr>
    </w:p>
    <w:p w14:paraId="481897FE" w14:textId="69950D57" w:rsidR="0024748D" w:rsidRPr="00A92B57" w:rsidRDefault="0024748D" w:rsidP="0024748D">
      <w:pPr>
        <w:rPr>
          <w:rFonts w:cstheme="minorHAnsi"/>
        </w:rPr>
      </w:pPr>
      <w:r w:rsidRPr="00A92B57">
        <w:rPr>
          <w:rFonts w:cstheme="minorHAnsi"/>
        </w:rPr>
        <w:t xml:space="preserve">Slide </w:t>
      </w:r>
      <w:r w:rsidR="009676A0">
        <w:rPr>
          <w:rFonts w:cstheme="minorHAnsi"/>
        </w:rPr>
        <w:t>20</w:t>
      </w:r>
      <w:r w:rsidR="00A92B57" w:rsidRPr="00A92B57">
        <w:rPr>
          <w:rFonts w:cstheme="minorHAnsi"/>
        </w:rPr>
        <w:t>.</w:t>
      </w:r>
    </w:p>
    <w:p w14:paraId="55C90645" w14:textId="5270F7C4" w:rsidR="0024748D" w:rsidRPr="0024748D" w:rsidRDefault="0024748D" w:rsidP="0024748D">
      <w:pPr>
        <w:rPr>
          <w:rFonts w:cstheme="minorHAnsi"/>
        </w:rPr>
      </w:pPr>
      <w:r w:rsidRPr="00A92B57">
        <w:rPr>
          <w:rFonts w:cstheme="minorHAnsi"/>
        </w:rPr>
        <w:t xml:space="preserve">Massachusetts Department of Public Health </w:t>
      </w:r>
    </w:p>
    <w:p w14:paraId="5D79997F" w14:textId="77777777" w:rsidR="0024748D" w:rsidRPr="0024748D" w:rsidRDefault="0024748D" w:rsidP="0024748D">
      <w:pPr>
        <w:rPr>
          <w:rFonts w:cstheme="minorHAnsi"/>
        </w:rPr>
      </w:pPr>
      <w:r w:rsidRPr="0024748D">
        <w:rPr>
          <w:rFonts w:cstheme="minorHAnsi"/>
        </w:rPr>
        <w:t>Thank you for the opportunity to present this information today.</w:t>
      </w:r>
    </w:p>
    <w:p w14:paraId="1D027C26" w14:textId="77777777" w:rsidR="0024748D" w:rsidRPr="0024748D" w:rsidRDefault="0024748D" w:rsidP="0024748D">
      <w:pPr>
        <w:rPr>
          <w:rFonts w:cstheme="minorHAnsi"/>
        </w:rPr>
      </w:pPr>
      <w:r w:rsidRPr="0024748D">
        <w:rPr>
          <w:rFonts w:cstheme="minorHAnsi"/>
        </w:rPr>
        <w:t>Please direct any questions to:</w:t>
      </w:r>
    </w:p>
    <w:p w14:paraId="03617D93" w14:textId="77777777" w:rsidR="0024748D" w:rsidRPr="0024748D" w:rsidRDefault="0024748D" w:rsidP="0024748D">
      <w:pPr>
        <w:rPr>
          <w:rFonts w:cstheme="minorHAnsi"/>
        </w:rPr>
      </w:pPr>
      <w:r w:rsidRPr="0024748D">
        <w:rPr>
          <w:rFonts w:cstheme="minorHAnsi"/>
        </w:rPr>
        <w:t>Katherine T. Fillo, PhD, MPH RN-BC</w:t>
      </w:r>
    </w:p>
    <w:p w14:paraId="4E1B139E" w14:textId="77777777" w:rsidR="0024748D" w:rsidRPr="0024748D" w:rsidRDefault="0024748D" w:rsidP="0024748D">
      <w:pPr>
        <w:rPr>
          <w:rFonts w:cstheme="minorHAnsi"/>
        </w:rPr>
      </w:pPr>
      <w:r w:rsidRPr="0024748D">
        <w:rPr>
          <w:rFonts w:cstheme="minorHAnsi"/>
        </w:rPr>
        <w:t>Director of Clinical Quality Improvement</w:t>
      </w:r>
    </w:p>
    <w:p w14:paraId="7FCC7C78" w14:textId="77777777" w:rsidR="0024748D" w:rsidRPr="0024748D" w:rsidRDefault="0024748D" w:rsidP="0024748D">
      <w:pPr>
        <w:rPr>
          <w:rFonts w:cstheme="minorHAnsi"/>
        </w:rPr>
      </w:pPr>
      <w:r w:rsidRPr="0024748D">
        <w:rPr>
          <w:rFonts w:cstheme="minorHAnsi"/>
        </w:rPr>
        <w:t>Bureau of Health Care Safety and Quality</w:t>
      </w:r>
    </w:p>
    <w:p w14:paraId="62D01342" w14:textId="77777777" w:rsidR="0024748D" w:rsidRPr="0024748D" w:rsidRDefault="0024748D" w:rsidP="0024748D">
      <w:pPr>
        <w:rPr>
          <w:rFonts w:cstheme="minorHAnsi"/>
        </w:rPr>
      </w:pPr>
      <w:r w:rsidRPr="0024748D">
        <w:rPr>
          <w:rFonts w:cstheme="minorHAnsi"/>
          <w:u w:val="single"/>
        </w:rPr>
        <w:t>katherine.fillo@mass.gov</w:t>
      </w:r>
    </w:p>
    <w:p w14:paraId="46BE2444" w14:textId="77777777" w:rsidR="00ED2A78" w:rsidRPr="00E4300E" w:rsidRDefault="00ED2A78" w:rsidP="00E4300E"/>
    <w:p w14:paraId="26069315" w14:textId="77777777" w:rsidR="00E4300E" w:rsidRPr="00E4300E" w:rsidRDefault="00E4300E" w:rsidP="00E4300E"/>
    <w:p w14:paraId="5D8796A1" w14:textId="77777777" w:rsidR="00E4300E" w:rsidRDefault="00E4300E" w:rsidP="00FD51BC"/>
    <w:sectPr w:rsidR="00E430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2B90"/>
    <w:multiLevelType w:val="hybridMultilevel"/>
    <w:tmpl w:val="E7E02EE8"/>
    <w:lvl w:ilvl="0" w:tplc="CA7201DC">
      <w:start w:val="1"/>
      <w:numFmt w:val="bullet"/>
      <w:lvlText w:val="‒"/>
      <w:lvlJc w:val="left"/>
      <w:pPr>
        <w:tabs>
          <w:tab w:val="num" w:pos="720"/>
        </w:tabs>
        <w:ind w:left="720" w:hanging="360"/>
      </w:pPr>
      <w:rPr>
        <w:rFonts w:ascii="Calibri" w:hAnsi="Calibri" w:hint="default"/>
      </w:rPr>
    </w:lvl>
    <w:lvl w:ilvl="1" w:tplc="A1A84A3E">
      <w:start w:val="1"/>
      <w:numFmt w:val="bullet"/>
      <w:lvlText w:val="‒"/>
      <w:lvlJc w:val="left"/>
      <w:pPr>
        <w:tabs>
          <w:tab w:val="num" w:pos="1440"/>
        </w:tabs>
        <w:ind w:left="1440" w:hanging="360"/>
      </w:pPr>
      <w:rPr>
        <w:rFonts w:ascii="Calibri" w:hAnsi="Calibri" w:hint="default"/>
      </w:rPr>
    </w:lvl>
    <w:lvl w:ilvl="2" w:tplc="C3DAFB92" w:tentative="1">
      <w:start w:val="1"/>
      <w:numFmt w:val="bullet"/>
      <w:lvlText w:val="‒"/>
      <w:lvlJc w:val="left"/>
      <w:pPr>
        <w:tabs>
          <w:tab w:val="num" w:pos="2160"/>
        </w:tabs>
        <w:ind w:left="2160" w:hanging="360"/>
      </w:pPr>
      <w:rPr>
        <w:rFonts w:ascii="Calibri" w:hAnsi="Calibri" w:hint="default"/>
      </w:rPr>
    </w:lvl>
    <w:lvl w:ilvl="3" w:tplc="DCB49C62" w:tentative="1">
      <w:start w:val="1"/>
      <w:numFmt w:val="bullet"/>
      <w:lvlText w:val="‒"/>
      <w:lvlJc w:val="left"/>
      <w:pPr>
        <w:tabs>
          <w:tab w:val="num" w:pos="2880"/>
        </w:tabs>
        <w:ind w:left="2880" w:hanging="360"/>
      </w:pPr>
      <w:rPr>
        <w:rFonts w:ascii="Calibri" w:hAnsi="Calibri" w:hint="default"/>
      </w:rPr>
    </w:lvl>
    <w:lvl w:ilvl="4" w:tplc="DB222972" w:tentative="1">
      <w:start w:val="1"/>
      <w:numFmt w:val="bullet"/>
      <w:lvlText w:val="‒"/>
      <w:lvlJc w:val="left"/>
      <w:pPr>
        <w:tabs>
          <w:tab w:val="num" w:pos="3600"/>
        </w:tabs>
        <w:ind w:left="3600" w:hanging="360"/>
      </w:pPr>
      <w:rPr>
        <w:rFonts w:ascii="Calibri" w:hAnsi="Calibri" w:hint="default"/>
      </w:rPr>
    </w:lvl>
    <w:lvl w:ilvl="5" w:tplc="457C29A6" w:tentative="1">
      <w:start w:val="1"/>
      <w:numFmt w:val="bullet"/>
      <w:lvlText w:val="‒"/>
      <w:lvlJc w:val="left"/>
      <w:pPr>
        <w:tabs>
          <w:tab w:val="num" w:pos="4320"/>
        </w:tabs>
        <w:ind w:left="4320" w:hanging="360"/>
      </w:pPr>
      <w:rPr>
        <w:rFonts w:ascii="Calibri" w:hAnsi="Calibri" w:hint="default"/>
      </w:rPr>
    </w:lvl>
    <w:lvl w:ilvl="6" w:tplc="38A0AD98" w:tentative="1">
      <w:start w:val="1"/>
      <w:numFmt w:val="bullet"/>
      <w:lvlText w:val="‒"/>
      <w:lvlJc w:val="left"/>
      <w:pPr>
        <w:tabs>
          <w:tab w:val="num" w:pos="5040"/>
        </w:tabs>
        <w:ind w:left="5040" w:hanging="360"/>
      </w:pPr>
      <w:rPr>
        <w:rFonts w:ascii="Calibri" w:hAnsi="Calibri" w:hint="default"/>
      </w:rPr>
    </w:lvl>
    <w:lvl w:ilvl="7" w:tplc="2C763676" w:tentative="1">
      <w:start w:val="1"/>
      <w:numFmt w:val="bullet"/>
      <w:lvlText w:val="‒"/>
      <w:lvlJc w:val="left"/>
      <w:pPr>
        <w:tabs>
          <w:tab w:val="num" w:pos="5760"/>
        </w:tabs>
        <w:ind w:left="5760" w:hanging="360"/>
      </w:pPr>
      <w:rPr>
        <w:rFonts w:ascii="Calibri" w:hAnsi="Calibri" w:hint="default"/>
      </w:rPr>
    </w:lvl>
    <w:lvl w:ilvl="8" w:tplc="C558516E"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53B04B11"/>
    <w:multiLevelType w:val="hybridMultilevel"/>
    <w:tmpl w:val="25187D58"/>
    <w:lvl w:ilvl="0" w:tplc="3F26E7F0">
      <w:start w:val="1"/>
      <w:numFmt w:val="bullet"/>
      <w:lvlText w:val="‒"/>
      <w:lvlJc w:val="left"/>
      <w:pPr>
        <w:tabs>
          <w:tab w:val="num" w:pos="720"/>
        </w:tabs>
        <w:ind w:left="720" w:hanging="360"/>
      </w:pPr>
      <w:rPr>
        <w:rFonts w:ascii="Calibri" w:hAnsi="Calibri" w:hint="default"/>
      </w:rPr>
    </w:lvl>
    <w:lvl w:ilvl="1" w:tplc="61A08D06">
      <w:start w:val="1"/>
      <w:numFmt w:val="bullet"/>
      <w:lvlText w:val="‒"/>
      <w:lvlJc w:val="left"/>
      <w:pPr>
        <w:tabs>
          <w:tab w:val="num" w:pos="1440"/>
        </w:tabs>
        <w:ind w:left="1440" w:hanging="360"/>
      </w:pPr>
      <w:rPr>
        <w:rFonts w:ascii="Calibri" w:hAnsi="Calibri" w:hint="default"/>
      </w:rPr>
    </w:lvl>
    <w:lvl w:ilvl="2" w:tplc="96D4DFB4" w:tentative="1">
      <w:start w:val="1"/>
      <w:numFmt w:val="bullet"/>
      <w:lvlText w:val="‒"/>
      <w:lvlJc w:val="left"/>
      <w:pPr>
        <w:tabs>
          <w:tab w:val="num" w:pos="2160"/>
        </w:tabs>
        <w:ind w:left="2160" w:hanging="360"/>
      </w:pPr>
      <w:rPr>
        <w:rFonts w:ascii="Calibri" w:hAnsi="Calibri" w:hint="default"/>
      </w:rPr>
    </w:lvl>
    <w:lvl w:ilvl="3" w:tplc="BED45A36" w:tentative="1">
      <w:start w:val="1"/>
      <w:numFmt w:val="bullet"/>
      <w:lvlText w:val="‒"/>
      <w:lvlJc w:val="left"/>
      <w:pPr>
        <w:tabs>
          <w:tab w:val="num" w:pos="2880"/>
        </w:tabs>
        <w:ind w:left="2880" w:hanging="360"/>
      </w:pPr>
      <w:rPr>
        <w:rFonts w:ascii="Calibri" w:hAnsi="Calibri" w:hint="default"/>
      </w:rPr>
    </w:lvl>
    <w:lvl w:ilvl="4" w:tplc="470AE13A" w:tentative="1">
      <w:start w:val="1"/>
      <w:numFmt w:val="bullet"/>
      <w:lvlText w:val="‒"/>
      <w:lvlJc w:val="left"/>
      <w:pPr>
        <w:tabs>
          <w:tab w:val="num" w:pos="3600"/>
        </w:tabs>
        <w:ind w:left="3600" w:hanging="360"/>
      </w:pPr>
      <w:rPr>
        <w:rFonts w:ascii="Calibri" w:hAnsi="Calibri" w:hint="default"/>
      </w:rPr>
    </w:lvl>
    <w:lvl w:ilvl="5" w:tplc="ED80EC74" w:tentative="1">
      <w:start w:val="1"/>
      <w:numFmt w:val="bullet"/>
      <w:lvlText w:val="‒"/>
      <w:lvlJc w:val="left"/>
      <w:pPr>
        <w:tabs>
          <w:tab w:val="num" w:pos="4320"/>
        </w:tabs>
        <w:ind w:left="4320" w:hanging="360"/>
      </w:pPr>
      <w:rPr>
        <w:rFonts w:ascii="Calibri" w:hAnsi="Calibri" w:hint="default"/>
      </w:rPr>
    </w:lvl>
    <w:lvl w:ilvl="6" w:tplc="DE7CD926" w:tentative="1">
      <w:start w:val="1"/>
      <w:numFmt w:val="bullet"/>
      <w:lvlText w:val="‒"/>
      <w:lvlJc w:val="left"/>
      <w:pPr>
        <w:tabs>
          <w:tab w:val="num" w:pos="5040"/>
        </w:tabs>
        <w:ind w:left="5040" w:hanging="360"/>
      </w:pPr>
      <w:rPr>
        <w:rFonts w:ascii="Calibri" w:hAnsi="Calibri" w:hint="default"/>
      </w:rPr>
    </w:lvl>
    <w:lvl w:ilvl="7" w:tplc="1F9888B2" w:tentative="1">
      <w:start w:val="1"/>
      <w:numFmt w:val="bullet"/>
      <w:lvlText w:val="‒"/>
      <w:lvlJc w:val="left"/>
      <w:pPr>
        <w:tabs>
          <w:tab w:val="num" w:pos="5760"/>
        </w:tabs>
        <w:ind w:left="5760" w:hanging="360"/>
      </w:pPr>
      <w:rPr>
        <w:rFonts w:ascii="Calibri" w:hAnsi="Calibri" w:hint="default"/>
      </w:rPr>
    </w:lvl>
    <w:lvl w:ilvl="8" w:tplc="816696B4" w:tentative="1">
      <w:start w:val="1"/>
      <w:numFmt w:val="bullet"/>
      <w:lvlText w:val="‒"/>
      <w:lvlJc w:val="left"/>
      <w:pPr>
        <w:tabs>
          <w:tab w:val="num" w:pos="6480"/>
        </w:tabs>
        <w:ind w:left="6480" w:hanging="360"/>
      </w:pPr>
      <w:rPr>
        <w:rFonts w:ascii="Calibri" w:hAnsi="Calibri" w:hint="default"/>
      </w:rPr>
    </w:lvl>
  </w:abstractNum>
  <w:abstractNum w:abstractNumId="2" w15:restartNumberingAfterBreak="0">
    <w:nsid w:val="65801C0A"/>
    <w:multiLevelType w:val="hybridMultilevel"/>
    <w:tmpl w:val="BA68A24A"/>
    <w:lvl w:ilvl="0" w:tplc="A0A687CA">
      <w:start w:val="1"/>
      <w:numFmt w:val="bullet"/>
      <w:lvlText w:val="‒"/>
      <w:lvlJc w:val="left"/>
      <w:pPr>
        <w:tabs>
          <w:tab w:val="num" w:pos="720"/>
        </w:tabs>
        <w:ind w:left="720" w:hanging="360"/>
      </w:pPr>
      <w:rPr>
        <w:rFonts w:ascii="Calibri" w:hAnsi="Calibri" w:hint="default"/>
      </w:rPr>
    </w:lvl>
    <w:lvl w:ilvl="1" w:tplc="F82C3B68">
      <w:start w:val="1"/>
      <w:numFmt w:val="bullet"/>
      <w:lvlText w:val="‒"/>
      <w:lvlJc w:val="left"/>
      <w:pPr>
        <w:tabs>
          <w:tab w:val="num" w:pos="1440"/>
        </w:tabs>
        <w:ind w:left="1440" w:hanging="360"/>
      </w:pPr>
      <w:rPr>
        <w:rFonts w:ascii="Calibri" w:hAnsi="Calibri" w:hint="default"/>
      </w:rPr>
    </w:lvl>
    <w:lvl w:ilvl="2" w:tplc="58646BFA" w:tentative="1">
      <w:start w:val="1"/>
      <w:numFmt w:val="bullet"/>
      <w:lvlText w:val="‒"/>
      <w:lvlJc w:val="left"/>
      <w:pPr>
        <w:tabs>
          <w:tab w:val="num" w:pos="2160"/>
        </w:tabs>
        <w:ind w:left="2160" w:hanging="360"/>
      </w:pPr>
      <w:rPr>
        <w:rFonts w:ascii="Calibri" w:hAnsi="Calibri" w:hint="default"/>
      </w:rPr>
    </w:lvl>
    <w:lvl w:ilvl="3" w:tplc="DCC6332A" w:tentative="1">
      <w:start w:val="1"/>
      <w:numFmt w:val="bullet"/>
      <w:lvlText w:val="‒"/>
      <w:lvlJc w:val="left"/>
      <w:pPr>
        <w:tabs>
          <w:tab w:val="num" w:pos="2880"/>
        </w:tabs>
        <w:ind w:left="2880" w:hanging="360"/>
      </w:pPr>
      <w:rPr>
        <w:rFonts w:ascii="Calibri" w:hAnsi="Calibri" w:hint="default"/>
      </w:rPr>
    </w:lvl>
    <w:lvl w:ilvl="4" w:tplc="42D674B4" w:tentative="1">
      <w:start w:val="1"/>
      <w:numFmt w:val="bullet"/>
      <w:lvlText w:val="‒"/>
      <w:lvlJc w:val="left"/>
      <w:pPr>
        <w:tabs>
          <w:tab w:val="num" w:pos="3600"/>
        </w:tabs>
        <w:ind w:left="3600" w:hanging="360"/>
      </w:pPr>
      <w:rPr>
        <w:rFonts w:ascii="Calibri" w:hAnsi="Calibri" w:hint="default"/>
      </w:rPr>
    </w:lvl>
    <w:lvl w:ilvl="5" w:tplc="980ED14A" w:tentative="1">
      <w:start w:val="1"/>
      <w:numFmt w:val="bullet"/>
      <w:lvlText w:val="‒"/>
      <w:lvlJc w:val="left"/>
      <w:pPr>
        <w:tabs>
          <w:tab w:val="num" w:pos="4320"/>
        </w:tabs>
        <w:ind w:left="4320" w:hanging="360"/>
      </w:pPr>
      <w:rPr>
        <w:rFonts w:ascii="Calibri" w:hAnsi="Calibri" w:hint="default"/>
      </w:rPr>
    </w:lvl>
    <w:lvl w:ilvl="6" w:tplc="7C08BCD8" w:tentative="1">
      <w:start w:val="1"/>
      <w:numFmt w:val="bullet"/>
      <w:lvlText w:val="‒"/>
      <w:lvlJc w:val="left"/>
      <w:pPr>
        <w:tabs>
          <w:tab w:val="num" w:pos="5040"/>
        </w:tabs>
        <w:ind w:left="5040" w:hanging="360"/>
      </w:pPr>
      <w:rPr>
        <w:rFonts w:ascii="Calibri" w:hAnsi="Calibri" w:hint="default"/>
      </w:rPr>
    </w:lvl>
    <w:lvl w:ilvl="7" w:tplc="4E744D4A" w:tentative="1">
      <w:start w:val="1"/>
      <w:numFmt w:val="bullet"/>
      <w:lvlText w:val="‒"/>
      <w:lvlJc w:val="left"/>
      <w:pPr>
        <w:tabs>
          <w:tab w:val="num" w:pos="5760"/>
        </w:tabs>
        <w:ind w:left="5760" w:hanging="360"/>
      </w:pPr>
      <w:rPr>
        <w:rFonts w:ascii="Calibri" w:hAnsi="Calibri" w:hint="default"/>
      </w:rPr>
    </w:lvl>
    <w:lvl w:ilvl="8" w:tplc="9A6A3AE6" w:tentative="1">
      <w:start w:val="1"/>
      <w:numFmt w:val="bullet"/>
      <w:lvlText w:val="‒"/>
      <w:lvlJc w:val="left"/>
      <w:pPr>
        <w:tabs>
          <w:tab w:val="num" w:pos="6480"/>
        </w:tabs>
        <w:ind w:left="6480" w:hanging="360"/>
      </w:pPr>
      <w:rPr>
        <w:rFonts w:ascii="Calibri" w:hAnsi="Calibri" w:hint="default"/>
      </w:rPr>
    </w:lvl>
  </w:abstractNum>
  <w:abstractNum w:abstractNumId="3" w15:restartNumberingAfterBreak="0">
    <w:nsid w:val="684C7426"/>
    <w:multiLevelType w:val="hybridMultilevel"/>
    <w:tmpl w:val="5C049D10"/>
    <w:lvl w:ilvl="0" w:tplc="DB9A4AF8">
      <w:start w:val="1"/>
      <w:numFmt w:val="bullet"/>
      <w:lvlText w:val="•"/>
      <w:lvlJc w:val="left"/>
      <w:pPr>
        <w:tabs>
          <w:tab w:val="num" w:pos="720"/>
        </w:tabs>
        <w:ind w:left="720" w:hanging="360"/>
      </w:pPr>
      <w:rPr>
        <w:rFonts w:ascii="Arial" w:hAnsi="Arial" w:hint="default"/>
      </w:rPr>
    </w:lvl>
    <w:lvl w:ilvl="1" w:tplc="8BACEE62">
      <w:start w:val="1"/>
      <w:numFmt w:val="bullet"/>
      <w:lvlText w:val="•"/>
      <w:lvlJc w:val="left"/>
      <w:pPr>
        <w:tabs>
          <w:tab w:val="num" w:pos="1440"/>
        </w:tabs>
        <w:ind w:left="1440" w:hanging="360"/>
      </w:pPr>
      <w:rPr>
        <w:rFonts w:ascii="Arial" w:hAnsi="Arial" w:hint="default"/>
      </w:rPr>
    </w:lvl>
    <w:lvl w:ilvl="2" w:tplc="D22EC858" w:tentative="1">
      <w:start w:val="1"/>
      <w:numFmt w:val="bullet"/>
      <w:lvlText w:val="•"/>
      <w:lvlJc w:val="left"/>
      <w:pPr>
        <w:tabs>
          <w:tab w:val="num" w:pos="2160"/>
        </w:tabs>
        <w:ind w:left="2160" w:hanging="360"/>
      </w:pPr>
      <w:rPr>
        <w:rFonts w:ascii="Arial" w:hAnsi="Arial" w:hint="default"/>
      </w:rPr>
    </w:lvl>
    <w:lvl w:ilvl="3" w:tplc="538207EE" w:tentative="1">
      <w:start w:val="1"/>
      <w:numFmt w:val="bullet"/>
      <w:lvlText w:val="•"/>
      <w:lvlJc w:val="left"/>
      <w:pPr>
        <w:tabs>
          <w:tab w:val="num" w:pos="2880"/>
        </w:tabs>
        <w:ind w:left="2880" w:hanging="360"/>
      </w:pPr>
      <w:rPr>
        <w:rFonts w:ascii="Arial" w:hAnsi="Arial" w:hint="default"/>
      </w:rPr>
    </w:lvl>
    <w:lvl w:ilvl="4" w:tplc="8052589A" w:tentative="1">
      <w:start w:val="1"/>
      <w:numFmt w:val="bullet"/>
      <w:lvlText w:val="•"/>
      <w:lvlJc w:val="left"/>
      <w:pPr>
        <w:tabs>
          <w:tab w:val="num" w:pos="3600"/>
        </w:tabs>
        <w:ind w:left="3600" w:hanging="360"/>
      </w:pPr>
      <w:rPr>
        <w:rFonts w:ascii="Arial" w:hAnsi="Arial" w:hint="default"/>
      </w:rPr>
    </w:lvl>
    <w:lvl w:ilvl="5" w:tplc="7D522A4C" w:tentative="1">
      <w:start w:val="1"/>
      <w:numFmt w:val="bullet"/>
      <w:lvlText w:val="•"/>
      <w:lvlJc w:val="left"/>
      <w:pPr>
        <w:tabs>
          <w:tab w:val="num" w:pos="4320"/>
        </w:tabs>
        <w:ind w:left="4320" w:hanging="360"/>
      </w:pPr>
      <w:rPr>
        <w:rFonts w:ascii="Arial" w:hAnsi="Arial" w:hint="default"/>
      </w:rPr>
    </w:lvl>
    <w:lvl w:ilvl="6" w:tplc="1FFC8CC0" w:tentative="1">
      <w:start w:val="1"/>
      <w:numFmt w:val="bullet"/>
      <w:lvlText w:val="•"/>
      <w:lvlJc w:val="left"/>
      <w:pPr>
        <w:tabs>
          <w:tab w:val="num" w:pos="5040"/>
        </w:tabs>
        <w:ind w:left="5040" w:hanging="360"/>
      </w:pPr>
      <w:rPr>
        <w:rFonts w:ascii="Arial" w:hAnsi="Arial" w:hint="default"/>
      </w:rPr>
    </w:lvl>
    <w:lvl w:ilvl="7" w:tplc="21B6CB66" w:tentative="1">
      <w:start w:val="1"/>
      <w:numFmt w:val="bullet"/>
      <w:lvlText w:val="•"/>
      <w:lvlJc w:val="left"/>
      <w:pPr>
        <w:tabs>
          <w:tab w:val="num" w:pos="5760"/>
        </w:tabs>
        <w:ind w:left="5760" w:hanging="360"/>
      </w:pPr>
      <w:rPr>
        <w:rFonts w:ascii="Arial" w:hAnsi="Arial" w:hint="default"/>
      </w:rPr>
    </w:lvl>
    <w:lvl w:ilvl="8" w:tplc="B7502C2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E55BE4"/>
    <w:multiLevelType w:val="hybridMultilevel"/>
    <w:tmpl w:val="17021B68"/>
    <w:lvl w:ilvl="0" w:tplc="EA348BCC">
      <w:start w:val="1"/>
      <w:numFmt w:val="decimal"/>
      <w:lvlText w:val="%1."/>
      <w:lvlJc w:val="left"/>
      <w:pPr>
        <w:tabs>
          <w:tab w:val="num" w:pos="720"/>
        </w:tabs>
        <w:ind w:left="720" w:hanging="360"/>
      </w:pPr>
    </w:lvl>
    <w:lvl w:ilvl="1" w:tplc="B1104ECA">
      <w:start w:val="1"/>
      <w:numFmt w:val="decimal"/>
      <w:lvlText w:val="%2."/>
      <w:lvlJc w:val="left"/>
      <w:pPr>
        <w:tabs>
          <w:tab w:val="num" w:pos="1440"/>
        </w:tabs>
        <w:ind w:left="1440" w:hanging="360"/>
      </w:pPr>
    </w:lvl>
    <w:lvl w:ilvl="2" w:tplc="E94EE942" w:tentative="1">
      <w:start w:val="1"/>
      <w:numFmt w:val="decimal"/>
      <w:lvlText w:val="%3."/>
      <w:lvlJc w:val="left"/>
      <w:pPr>
        <w:tabs>
          <w:tab w:val="num" w:pos="2160"/>
        </w:tabs>
        <w:ind w:left="2160" w:hanging="360"/>
      </w:pPr>
    </w:lvl>
    <w:lvl w:ilvl="3" w:tplc="1A908574" w:tentative="1">
      <w:start w:val="1"/>
      <w:numFmt w:val="decimal"/>
      <w:lvlText w:val="%4."/>
      <w:lvlJc w:val="left"/>
      <w:pPr>
        <w:tabs>
          <w:tab w:val="num" w:pos="2880"/>
        </w:tabs>
        <w:ind w:left="2880" w:hanging="360"/>
      </w:pPr>
    </w:lvl>
    <w:lvl w:ilvl="4" w:tplc="1494E5D4" w:tentative="1">
      <w:start w:val="1"/>
      <w:numFmt w:val="decimal"/>
      <w:lvlText w:val="%5."/>
      <w:lvlJc w:val="left"/>
      <w:pPr>
        <w:tabs>
          <w:tab w:val="num" w:pos="3600"/>
        </w:tabs>
        <w:ind w:left="3600" w:hanging="360"/>
      </w:pPr>
    </w:lvl>
    <w:lvl w:ilvl="5" w:tplc="8BDAA0C4" w:tentative="1">
      <w:start w:val="1"/>
      <w:numFmt w:val="decimal"/>
      <w:lvlText w:val="%6."/>
      <w:lvlJc w:val="left"/>
      <w:pPr>
        <w:tabs>
          <w:tab w:val="num" w:pos="4320"/>
        </w:tabs>
        <w:ind w:left="4320" w:hanging="360"/>
      </w:pPr>
    </w:lvl>
    <w:lvl w:ilvl="6" w:tplc="EA4E5C10" w:tentative="1">
      <w:start w:val="1"/>
      <w:numFmt w:val="decimal"/>
      <w:lvlText w:val="%7."/>
      <w:lvlJc w:val="left"/>
      <w:pPr>
        <w:tabs>
          <w:tab w:val="num" w:pos="5040"/>
        </w:tabs>
        <w:ind w:left="5040" w:hanging="360"/>
      </w:pPr>
    </w:lvl>
    <w:lvl w:ilvl="7" w:tplc="2D16182E" w:tentative="1">
      <w:start w:val="1"/>
      <w:numFmt w:val="decimal"/>
      <w:lvlText w:val="%8."/>
      <w:lvlJc w:val="left"/>
      <w:pPr>
        <w:tabs>
          <w:tab w:val="num" w:pos="5760"/>
        </w:tabs>
        <w:ind w:left="5760" w:hanging="360"/>
      </w:pPr>
    </w:lvl>
    <w:lvl w:ilvl="8" w:tplc="E2602C36" w:tentative="1">
      <w:start w:val="1"/>
      <w:numFmt w:val="decimal"/>
      <w:lvlText w:val="%9."/>
      <w:lvlJc w:val="left"/>
      <w:pPr>
        <w:tabs>
          <w:tab w:val="num" w:pos="6480"/>
        </w:tabs>
        <w:ind w:left="6480" w:hanging="360"/>
      </w:pPr>
    </w:lvl>
  </w:abstractNum>
  <w:abstractNum w:abstractNumId="5" w15:restartNumberingAfterBreak="0">
    <w:nsid w:val="7839715A"/>
    <w:multiLevelType w:val="hybridMultilevel"/>
    <w:tmpl w:val="C6BC9192"/>
    <w:lvl w:ilvl="0" w:tplc="21700FD2">
      <w:start w:val="1"/>
      <w:numFmt w:val="bullet"/>
      <w:lvlText w:val="‒"/>
      <w:lvlJc w:val="left"/>
      <w:pPr>
        <w:tabs>
          <w:tab w:val="num" w:pos="720"/>
        </w:tabs>
        <w:ind w:left="720" w:hanging="360"/>
      </w:pPr>
      <w:rPr>
        <w:rFonts w:ascii="Calibri" w:hAnsi="Calibri" w:hint="default"/>
      </w:rPr>
    </w:lvl>
    <w:lvl w:ilvl="1" w:tplc="6A5A9630">
      <w:start w:val="1"/>
      <w:numFmt w:val="bullet"/>
      <w:lvlText w:val="‒"/>
      <w:lvlJc w:val="left"/>
      <w:pPr>
        <w:tabs>
          <w:tab w:val="num" w:pos="1440"/>
        </w:tabs>
        <w:ind w:left="1440" w:hanging="360"/>
      </w:pPr>
      <w:rPr>
        <w:rFonts w:ascii="Calibri" w:hAnsi="Calibri" w:hint="default"/>
      </w:rPr>
    </w:lvl>
    <w:lvl w:ilvl="2" w:tplc="1D4A0418" w:tentative="1">
      <w:start w:val="1"/>
      <w:numFmt w:val="bullet"/>
      <w:lvlText w:val="‒"/>
      <w:lvlJc w:val="left"/>
      <w:pPr>
        <w:tabs>
          <w:tab w:val="num" w:pos="2160"/>
        </w:tabs>
        <w:ind w:left="2160" w:hanging="360"/>
      </w:pPr>
      <w:rPr>
        <w:rFonts w:ascii="Calibri" w:hAnsi="Calibri" w:hint="default"/>
      </w:rPr>
    </w:lvl>
    <w:lvl w:ilvl="3" w:tplc="8F60F0F4" w:tentative="1">
      <w:start w:val="1"/>
      <w:numFmt w:val="bullet"/>
      <w:lvlText w:val="‒"/>
      <w:lvlJc w:val="left"/>
      <w:pPr>
        <w:tabs>
          <w:tab w:val="num" w:pos="2880"/>
        </w:tabs>
        <w:ind w:left="2880" w:hanging="360"/>
      </w:pPr>
      <w:rPr>
        <w:rFonts w:ascii="Calibri" w:hAnsi="Calibri" w:hint="default"/>
      </w:rPr>
    </w:lvl>
    <w:lvl w:ilvl="4" w:tplc="51E42722" w:tentative="1">
      <w:start w:val="1"/>
      <w:numFmt w:val="bullet"/>
      <w:lvlText w:val="‒"/>
      <w:lvlJc w:val="left"/>
      <w:pPr>
        <w:tabs>
          <w:tab w:val="num" w:pos="3600"/>
        </w:tabs>
        <w:ind w:left="3600" w:hanging="360"/>
      </w:pPr>
      <w:rPr>
        <w:rFonts w:ascii="Calibri" w:hAnsi="Calibri" w:hint="default"/>
      </w:rPr>
    </w:lvl>
    <w:lvl w:ilvl="5" w:tplc="ACC8E7A2" w:tentative="1">
      <w:start w:val="1"/>
      <w:numFmt w:val="bullet"/>
      <w:lvlText w:val="‒"/>
      <w:lvlJc w:val="left"/>
      <w:pPr>
        <w:tabs>
          <w:tab w:val="num" w:pos="4320"/>
        </w:tabs>
        <w:ind w:left="4320" w:hanging="360"/>
      </w:pPr>
      <w:rPr>
        <w:rFonts w:ascii="Calibri" w:hAnsi="Calibri" w:hint="default"/>
      </w:rPr>
    </w:lvl>
    <w:lvl w:ilvl="6" w:tplc="F446A44C" w:tentative="1">
      <w:start w:val="1"/>
      <w:numFmt w:val="bullet"/>
      <w:lvlText w:val="‒"/>
      <w:lvlJc w:val="left"/>
      <w:pPr>
        <w:tabs>
          <w:tab w:val="num" w:pos="5040"/>
        </w:tabs>
        <w:ind w:left="5040" w:hanging="360"/>
      </w:pPr>
      <w:rPr>
        <w:rFonts w:ascii="Calibri" w:hAnsi="Calibri" w:hint="default"/>
      </w:rPr>
    </w:lvl>
    <w:lvl w:ilvl="7" w:tplc="99D8A086" w:tentative="1">
      <w:start w:val="1"/>
      <w:numFmt w:val="bullet"/>
      <w:lvlText w:val="‒"/>
      <w:lvlJc w:val="left"/>
      <w:pPr>
        <w:tabs>
          <w:tab w:val="num" w:pos="5760"/>
        </w:tabs>
        <w:ind w:left="5760" w:hanging="360"/>
      </w:pPr>
      <w:rPr>
        <w:rFonts w:ascii="Calibri" w:hAnsi="Calibri" w:hint="default"/>
      </w:rPr>
    </w:lvl>
    <w:lvl w:ilvl="8" w:tplc="B290CA34" w:tentative="1">
      <w:start w:val="1"/>
      <w:numFmt w:val="bullet"/>
      <w:lvlText w:val="‒"/>
      <w:lvlJc w:val="left"/>
      <w:pPr>
        <w:tabs>
          <w:tab w:val="num" w:pos="6480"/>
        </w:tabs>
        <w:ind w:left="6480" w:hanging="360"/>
      </w:pPr>
      <w:rPr>
        <w:rFonts w:ascii="Calibri" w:hAnsi="Calibri" w:hint="default"/>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E1"/>
    <w:rsid w:val="000E105F"/>
    <w:rsid w:val="001A0CE1"/>
    <w:rsid w:val="0024748D"/>
    <w:rsid w:val="002E0F75"/>
    <w:rsid w:val="00361445"/>
    <w:rsid w:val="00381AF0"/>
    <w:rsid w:val="003B0AD7"/>
    <w:rsid w:val="0041217A"/>
    <w:rsid w:val="0056103F"/>
    <w:rsid w:val="00664B94"/>
    <w:rsid w:val="00671F3C"/>
    <w:rsid w:val="0074609A"/>
    <w:rsid w:val="00763A44"/>
    <w:rsid w:val="00853F5A"/>
    <w:rsid w:val="009676A0"/>
    <w:rsid w:val="009B221E"/>
    <w:rsid w:val="00A03B96"/>
    <w:rsid w:val="00A92B57"/>
    <w:rsid w:val="00B60161"/>
    <w:rsid w:val="00B934CB"/>
    <w:rsid w:val="00C35383"/>
    <w:rsid w:val="00E4300E"/>
    <w:rsid w:val="00ED2A78"/>
    <w:rsid w:val="00F26E0E"/>
    <w:rsid w:val="00FD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8AC7"/>
  <w15:chartTrackingRefBased/>
  <w15:docId w15:val="{9B3BFC84-B059-4120-B137-A34B6298B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CE1"/>
    <w:rPr>
      <w:color w:val="0563C1" w:themeColor="hyperlink"/>
      <w:u w:val="single"/>
    </w:rPr>
  </w:style>
  <w:style w:type="character" w:styleId="UnresolvedMention">
    <w:name w:val="Unresolved Mention"/>
    <w:basedOn w:val="DefaultParagraphFont"/>
    <w:uiPriority w:val="99"/>
    <w:semiHidden/>
    <w:unhideWhenUsed/>
    <w:rsid w:val="001A0CE1"/>
    <w:rPr>
      <w:color w:val="605E5C"/>
      <w:shd w:val="clear" w:color="auto" w:fill="E1DFDD"/>
    </w:rPr>
  </w:style>
  <w:style w:type="paragraph" w:styleId="NormalWeb">
    <w:name w:val="Normal (Web)"/>
    <w:basedOn w:val="Normal"/>
    <w:uiPriority w:val="99"/>
    <w:semiHidden/>
    <w:unhideWhenUsed/>
    <w:rsid w:val="00664B9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1760">
      <w:bodyDiv w:val="1"/>
      <w:marLeft w:val="0"/>
      <w:marRight w:val="0"/>
      <w:marTop w:val="0"/>
      <w:marBottom w:val="0"/>
      <w:divBdr>
        <w:top w:val="none" w:sz="0" w:space="0" w:color="auto"/>
        <w:left w:val="none" w:sz="0" w:space="0" w:color="auto"/>
        <w:bottom w:val="none" w:sz="0" w:space="0" w:color="auto"/>
        <w:right w:val="none" w:sz="0" w:space="0" w:color="auto"/>
      </w:divBdr>
    </w:div>
    <w:div w:id="297145906">
      <w:bodyDiv w:val="1"/>
      <w:marLeft w:val="0"/>
      <w:marRight w:val="0"/>
      <w:marTop w:val="0"/>
      <w:marBottom w:val="0"/>
      <w:divBdr>
        <w:top w:val="none" w:sz="0" w:space="0" w:color="auto"/>
        <w:left w:val="none" w:sz="0" w:space="0" w:color="auto"/>
        <w:bottom w:val="none" w:sz="0" w:space="0" w:color="auto"/>
        <w:right w:val="none" w:sz="0" w:space="0" w:color="auto"/>
      </w:divBdr>
    </w:div>
    <w:div w:id="312955626">
      <w:bodyDiv w:val="1"/>
      <w:marLeft w:val="0"/>
      <w:marRight w:val="0"/>
      <w:marTop w:val="0"/>
      <w:marBottom w:val="0"/>
      <w:divBdr>
        <w:top w:val="none" w:sz="0" w:space="0" w:color="auto"/>
        <w:left w:val="none" w:sz="0" w:space="0" w:color="auto"/>
        <w:bottom w:val="none" w:sz="0" w:space="0" w:color="auto"/>
        <w:right w:val="none" w:sz="0" w:space="0" w:color="auto"/>
      </w:divBdr>
    </w:div>
    <w:div w:id="333848651">
      <w:bodyDiv w:val="1"/>
      <w:marLeft w:val="0"/>
      <w:marRight w:val="0"/>
      <w:marTop w:val="0"/>
      <w:marBottom w:val="0"/>
      <w:divBdr>
        <w:top w:val="none" w:sz="0" w:space="0" w:color="auto"/>
        <w:left w:val="none" w:sz="0" w:space="0" w:color="auto"/>
        <w:bottom w:val="none" w:sz="0" w:space="0" w:color="auto"/>
        <w:right w:val="none" w:sz="0" w:space="0" w:color="auto"/>
      </w:divBdr>
    </w:div>
    <w:div w:id="339047771">
      <w:bodyDiv w:val="1"/>
      <w:marLeft w:val="0"/>
      <w:marRight w:val="0"/>
      <w:marTop w:val="0"/>
      <w:marBottom w:val="0"/>
      <w:divBdr>
        <w:top w:val="none" w:sz="0" w:space="0" w:color="auto"/>
        <w:left w:val="none" w:sz="0" w:space="0" w:color="auto"/>
        <w:bottom w:val="none" w:sz="0" w:space="0" w:color="auto"/>
        <w:right w:val="none" w:sz="0" w:space="0" w:color="auto"/>
      </w:divBdr>
    </w:div>
    <w:div w:id="376248021">
      <w:bodyDiv w:val="1"/>
      <w:marLeft w:val="0"/>
      <w:marRight w:val="0"/>
      <w:marTop w:val="0"/>
      <w:marBottom w:val="0"/>
      <w:divBdr>
        <w:top w:val="none" w:sz="0" w:space="0" w:color="auto"/>
        <w:left w:val="none" w:sz="0" w:space="0" w:color="auto"/>
        <w:bottom w:val="none" w:sz="0" w:space="0" w:color="auto"/>
        <w:right w:val="none" w:sz="0" w:space="0" w:color="auto"/>
      </w:divBdr>
    </w:div>
    <w:div w:id="382296750">
      <w:bodyDiv w:val="1"/>
      <w:marLeft w:val="0"/>
      <w:marRight w:val="0"/>
      <w:marTop w:val="0"/>
      <w:marBottom w:val="0"/>
      <w:divBdr>
        <w:top w:val="none" w:sz="0" w:space="0" w:color="auto"/>
        <w:left w:val="none" w:sz="0" w:space="0" w:color="auto"/>
        <w:bottom w:val="none" w:sz="0" w:space="0" w:color="auto"/>
        <w:right w:val="none" w:sz="0" w:space="0" w:color="auto"/>
      </w:divBdr>
    </w:div>
    <w:div w:id="592712399">
      <w:bodyDiv w:val="1"/>
      <w:marLeft w:val="0"/>
      <w:marRight w:val="0"/>
      <w:marTop w:val="0"/>
      <w:marBottom w:val="0"/>
      <w:divBdr>
        <w:top w:val="none" w:sz="0" w:space="0" w:color="auto"/>
        <w:left w:val="none" w:sz="0" w:space="0" w:color="auto"/>
        <w:bottom w:val="none" w:sz="0" w:space="0" w:color="auto"/>
        <w:right w:val="none" w:sz="0" w:space="0" w:color="auto"/>
      </w:divBdr>
    </w:div>
    <w:div w:id="599263380">
      <w:bodyDiv w:val="1"/>
      <w:marLeft w:val="0"/>
      <w:marRight w:val="0"/>
      <w:marTop w:val="0"/>
      <w:marBottom w:val="0"/>
      <w:divBdr>
        <w:top w:val="none" w:sz="0" w:space="0" w:color="auto"/>
        <w:left w:val="none" w:sz="0" w:space="0" w:color="auto"/>
        <w:bottom w:val="none" w:sz="0" w:space="0" w:color="auto"/>
        <w:right w:val="none" w:sz="0" w:space="0" w:color="auto"/>
      </w:divBdr>
    </w:div>
    <w:div w:id="681782146">
      <w:bodyDiv w:val="1"/>
      <w:marLeft w:val="0"/>
      <w:marRight w:val="0"/>
      <w:marTop w:val="0"/>
      <w:marBottom w:val="0"/>
      <w:divBdr>
        <w:top w:val="none" w:sz="0" w:space="0" w:color="auto"/>
        <w:left w:val="none" w:sz="0" w:space="0" w:color="auto"/>
        <w:bottom w:val="none" w:sz="0" w:space="0" w:color="auto"/>
        <w:right w:val="none" w:sz="0" w:space="0" w:color="auto"/>
      </w:divBdr>
    </w:div>
    <w:div w:id="740836170">
      <w:bodyDiv w:val="1"/>
      <w:marLeft w:val="0"/>
      <w:marRight w:val="0"/>
      <w:marTop w:val="0"/>
      <w:marBottom w:val="0"/>
      <w:divBdr>
        <w:top w:val="none" w:sz="0" w:space="0" w:color="auto"/>
        <w:left w:val="none" w:sz="0" w:space="0" w:color="auto"/>
        <w:bottom w:val="none" w:sz="0" w:space="0" w:color="auto"/>
        <w:right w:val="none" w:sz="0" w:space="0" w:color="auto"/>
      </w:divBdr>
    </w:div>
    <w:div w:id="767118829">
      <w:bodyDiv w:val="1"/>
      <w:marLeft w:val="0"/>
      <w:marRight w:val="0"/>
      <w:marTop w:val="0"/>
      <w:marBottom w:val="0"/>
      <w:divBdr>
        <w:top w:val="none" w:sz="0" w:space="0" w:color="auto"/>
        <w:left w:val="none" w:sz="0" w:space="0" w:color="auto"/>
        <w:bottom w:val="none" w:sz="0" w:space="0" w:color="auto"/>
        <w:right w:val="none" w:sz="0" w:space="0" w:color="auto"/>
      </w:divBdr>
    </w:div>
    <w:div w:id="777407770">
      <w:bodyDiv w:val="1"/>
      <w:marLeft w:val="0"/>
      <w:marRight w:val="0"/>
      <w:marTop w:val="0"/>
      <w:marBottom w:val="0"/>
      <w:divBdr>
        <w:top w:val="none" w:sz="0" w:space="0" w:color="auto"/>
        <w:left w:val="none" w:sz="0" w:space="0" w:color="auto"/>
        <w:bottom w:val="none" w:sz="0" w:space="0" w:color="auto"/>
        <w:right w:val="none" w:sz="0" w:space="0" w:color="auto"/>
      </w:divBdr>
    </w:div>
    <w:div w:id="800000112">
      <w:bodyDiv w:val="1"/>
      <w:marLeft w:val="0"/>
      <w:marRight w:val="0"/>
      <w:marTop w:val="0"/>
      <w:marBottom w:val="0"/>
      <w:divBdr>
        <w:top w:val="none" w:sz="0" w:space="0" w:color="auto"/>
        <w:left w:val="none" w:sz="0" w:space="0" w:color="auto"/>
        <w:bottom w:val="none" w:sz="0" w:space="0" w:color="auto"/>
        <w:right w:val="none" w:sz="0" w:space="0" w:color="auto"/>
      </w:divBdr>
    </w:div>
    <w:div w:id="831680182">
      <w:bodyDiv w:val="1"/>
      <w:marLeft w:val="0"/>
      <w:marRight w:val="0"/>
      <w:marTop w:val="0"/>
      <w:marBottom w:val="0"/>
      <w:divBdr>
        <w:top w:val="none" w:sz="0" w:space="0" w:color="auto"/>
        <w:left w:val="none" w:sz="0" w:space="0" w:color="auto"/>
        <w:bottom w:val="none" w:sz="0" w:space="0" w:color="auto"/>
        <w:right w:val="none" w:sz="0" w:space="0" w:color="auto"/>
      </w:divBdr>
    </w:div>
    <w:div w:id="878052166">
      <w:bodyDiv w:val="1"/>
      <w:marLeft w:val="0"/>
      <w:marRight w:val="0"/>
      <w:marTop w:val="0"/>
      <w:marBottom w:val="0"/>
      <w:divBdr>
        <w:top w:val="none" w:sz="0" w:space="0" w:color="auto"/>
        <w:left w:val="none" w:sz="0" w:space="0" w:color="auto"/>
        <w:bottom w:val="none" w:sz="0" w:space="0" w:color="auto"/>
        <w:right w:val="none" w:sz="0" w:space="0" w:color="auto"/>
      </w:divBdr>
    </w:div>
    <w:div w:id="915431776">
      <w:bodyDiv w:val="1"/>
      <w:marLeft w:val="0"/>
      <w:marRight w:val="0"/>
      <w:marTop w:val="0"/>
      <w:marBottom w:val="0"/>
      <w:divBdr>
        <w:top w:val="none" w:sz="0" w:space="0" w:color="auto"/>
        <w:left w:val="none" w:sz="0" w:space="0" w:color="auto"/>
        <w:bottom w:val="none" w:sz="0" w:space="0" w:color="auto"/>
        <w:right w:val="none" w:sz="0" w:space="0" w:color="auto"/>
      </w:divBdr>
      <w:divsChild>
        <w:div w:id="2128114017">
          <w:marLeft w:val="720"/>
          <w:marRight w:val="0"/>
          <w:marTop w:val="240"/>
          <w:marBottom w:val="240"/>
          <w:divBdr>
            <w:top w:val="none" w:sz="0" w:space="0" w:color="auto"/>
            <w:left w:val="none" w:sz="0" w:space="0" w:color="auto"/>
            <w:bottom w:val="none" w:sz="0" w:space="0" w:color="auto"/>
            <w:right w:val="none" w:sz="0" w:space="0" w:color="auto"/>
          </w:divBdr>
        </w:div>
      </w:divsChild>
    </w:div>
    <w:div w:id="941759693">
      <w:bodyDiv w:val="1"/>
      <w:marLeft w:val="0"/>
      <w:marRight w:val="0"/>
      <w:marTop w:val="0"/>
      <w:marBottom w:val="0"/>
      <w:divBdr>
        <w:top w:val="none" w:sz="0" w:space="0" w:color="auto"/>
        <w:left w:val="none" w:sz="0" w:space="0" w:color="auto"/>
        <w:bottom w:val="none" w:sz="0" w:space="0" w:color="auto"/>
        <w:right w:val="none" w:sz="0" w:space="0" w:color="auto"/>
      </w:divBdr>
    </w:div>
    <w:div w:id="999650409">
      <w:bodyDiv w:val="1"/>
      <w:marLeft w:val="0"/>
      <w:marRight w:val="0"/>
      <w:marTop w:val="0"/>
      <w:marBottom w:val="0"/>
      <w:divBdr>
        <w:top w:val="none" w:sz="0" w:space="0" w:color="auto"/>
        <w:left w:val="none" w:sz="0" w:space="0" w:color="auto"/>
        <w:bottom w:val="none" w:sz="0" w:space="0" w:color="auto"/>
        <w:right w:val="none" w:sz="0" w:space="0" w:color="auto"/>
      </w:divBdr>
    </w:div>
    <w:div w:id="1135876689">
      <w:bodyDiv w:val="1"/>
      <w:marLeft w:val="0"/>
      <w:marRight w:val="0"/>
      <w:marTop w:val="0"/>
      <w:marBottom w:val="0"/>
      <w:divBdr>
        <w:top w:val="none" w:sz="0" w:space="0" w:color="auto"/>
        <w:left w:val="none" w:sz="0" w:space="0" w:color="auto"/>
        <w:bottom w:val="none" w:sz="0" w:space="0" w:color="auto"/>
        <w:right w:val="none" w:sz="0" w:space="0" w:color="auto"/>
      </w:divBdr>
      <w:divsChild>
        <w:div w:id="1634481241">
          <w:marLeft w:val="907"/>
          <w:marRight w:val="0"/>
          <w:marTop w:val="240"/>
          <w:marBottom w:val="240"/>
          <w:divBdr>
            <w:top w:val="none" w:sz="0" w:space="0" w:color="auto"/>
            <w:left w:val="none" w:sz="0" w:space="0" w:color="auto"/>
            <w:bottom w:val="none" w:sz="0" w:space="0" w:color="auto"/>
            <w:right w:val="none" w:sz="0" w:space="0" w:color="auto"/>
          </w:divBdr>
        </w:div>
        <w:div w:id="1914927859">
          <w:marLeft w:val="907"/>
          <w:marRight w:val="0"/>
          <w:marTop w:val="240"/>
          <w:marBottom w:val="240"/>
          <w:divBdr>
            <w:top w:val="none" w:sz="0" w:space="0" w:color="auto"/>
            <w:left w:val="none" w:sz="0" w:space="0" w:color="auto"/>
            <w:bottom w:val="none" w:sz="0" w:space="0" w:color="auto"/>
            <w:right w:val="none" w:sz="0" w:space="0" w:color="auto"/>
          </w:divBdr>
        </w:div>
        <w:div w:id="1658992292">
          <w:marLeft w:val="907"/>
          <w:marRight w:val="0"/>
          <w:marTop w:val="240"/>
          <w:marBottom w:val="240"/>
          <w:divBdr>
            <w:top w:val="none" w:sz="0" w:space="0" w:color="auto"/>
            <w:left w:val="none" w:sz="0" w:space="0" w:color="auto"/>
            <w:bottom w:val="none" w:sz="0" w:space="0" w:color="auto"/>
            <w:right w:val="none" w:sz="0" w:space="0" w:color="auto"/>
          </w:divBdr>
        </w:div>
      </w:divsChild>
    </w:div>
    <w:div w:id="1179393205">
      <w:bodyDiv w:val="1"/>
      <w:marLeft w:val="0"/>
      <w:marRight w:val="0"/>
      <w:marTop w:val="0"/>
      <w:marBottom w:val="0"/>
      <w:divBdr>
        <w:top w:val="none" w:sz="0" w:space="0" w:color="auto"/>
        <w:left w:val="none" w:sz="0" w:space="0" w:color="auto"/>
        <w:bottom w:val="none" w:sz="0" w:space="0" w:color="auto"/>
        <w:right w:val="none" w:sz="0" w:space="0" w:color="auto"/>
      </w:divBdr>
    </w:div>
    <w:div w:id="1181050448">
      <w:bodyDiv w:val="1"/>
      <w:marLeft w:val="0"/>
      <w:marRight w:val="0"/>
      <w:marTop w:val="0"/>
      <w:marBottom w:val="0"/>
      <w:divBdr>
        <w:top w:val="none" w:sz="0" w:space="0" w:color="auto"/>
        <w:left w:val="none" w:sz="0" w:space="0" w:color="auto"/>
        <w:bottom w:val="none" w:sz="0" w:space="0" w:color="auto"/>
        <w:right w:val="none" w:sz="0" w:space="0" w:color="auto"/>
      </w:divBdr>
    </w:div>
    <w:div w:id="1184513429">
      <w:bodyDiv w:val="1"/>
      <w:marLeft w:val="0"/>
      <w:marRight w:val="0"/>
      <w:marTop w:val="0"/>
      <w:marBottom w:val="0"/>
      <w:divBdr>
        <w:top w:val="none" w:sz="0" w:space="0" w:color="auto"/>
        <w:left w:val="none" w:sz="0" w:space="0" w:color="auto"/>
        <w:bottom w:val="none" w:sz="0" w:space="0" w:color="auto"/>
        <w:right w:val="none" w:sz="0" w:space="0" w:color="auto"/>
      </w:divBdr>
    </w:div>
    <w:div w:id="1308900579">
      <w:bodyDiv w:val="1"/>
      <w:marLeft w:val="0"/>
      <w:marRight w:val="0"/>
      <w:marTop w:val="0"/>
      <w:marBottom w:val="0"/>
      <w:divBdr>
        <w:top w:val="none" w:sz="0" w:space="0" w:color="auto"/>
        <w:left w:val="none" w:sz="0" w:space="0" w:color="auto"/>
        <w:bottom w:val="none" w:sz="0" w:space="0" w:color="auto"/>
        <w:right w:val="none" w:sz="0" w:space="0" w:color="auto"/>
      </w:divBdr>
    </w:div>
    <w:div w:id="1451968905">
      <w:bodyDiv w:val="1"/>
      <w:marLeft w:val="0"/>
      <w:marRight w:val="0"/>
      <w:marTop w:val="0"/>
      <w:marBottom w:val="0"/>
      <w:divBdr>
        <w:top w:val="none" w:sz="0" w:space="0" w:color="auto"/>
        <w:left w:val="none" w:sz="0" w:space="0" w:color="auto"/>
        <w:bottom w:val="none" w:sz="0" w:space="0" w:color="auto"/>
        <w:right w:val="none" w:sz="0" w:space="0" w:color="auto"/>
      </w:divBdr>
    </w:div>
    <w:div w:id="1469976186">
      <w:bodyDiv w:val="1"/>
      <w:marLeft w:val="0"/>
      <w:marRight w:val="0"/>
      <w:marTop w:val="0"/>
      <w:marBottom w:val="0"/>
      <w:divBdr>
        <w:top w:val="none" w:sz="0" w:space="0" w:color="auto"/>
        <w:left w:val="none" w:sz="0" w:space="0" w:color="auto"/>
        <w:bottom w:val="none" w:sz="0" w:space="0" w:color="auto"/>
        <w:right w:val="none" w:sz="0" w:space="0" w:color="auto"/>
      </w:divBdr>
      <w:divsChild>
        <w:div w:id="399058455">
          <w:marLeft w:val="1541"/>
          <w:marRight w:val="0"/>
          <w:marTop w:val="120"/>
          <w:marBottom w:val="120"/>
          <w:divBdr>
            <w:top w:val="none" w:sz="0" w:space="0" w:color="auto"/>
            <w:left w:val="none" w:sz="0" w:space="0" w:color="auto"/>
            <w:bottom w:val="none" w:sz="0" w:space="0" w:color="auto"/>
            <w:right w:val="none" w:sz="0" w:space="0" w:color="auto"/>
          </w:divBdr>
        </w:div>
      </w:divsChild>
    </w:div>
    <w:div w:id="1471173371">
      <w:bodyDiv w:val="1"/>
      <w:marLeft w:val="0"/>
      <w:marRight w:val="0"/>
      <w:marTop w:val="0"/>
      <w:marBottom w:val="0"/>
      <w:divBdr>
        <w:top w:val="none" w:sz="0" w:space="0" w:color="auto"/>
        <w:left w:val="none" w:sz="0" w:space="0" w:color="auto"/>
        <w:bottom w:val="none" w:sz="0" w:space="0" w:color="auto"/>
        <w:right w:val="none" w:sz="0" w:space="0" w:color="auto"/>
      </w:divBdr>
    </w:div>
    <w:div w:id="1502155774">
      <w:bodyDiv w:val="1"/>
      <w:marLeft w:val="0"/>
      <w:marRight w:val="0"/>
      <w:marTop w:val="0"/>
      <w:marBottom w:val="0"/>
      <w:divBdr>
        <w:top w:val="none" w:sz="0" w:space="0" w:color="auto"/>
        <w:left w:val="none" w:sz="0" w:space="0" w:color="auto"/>
        <w:bottom w:val="none" w:sz="0" w:space="0" w:color="auto"/>
        <w:right w:val="none" w:sz="0" w:space="0" w:color="auto"/>
      </w:divBdr>
    </w:div>
    <w:div w:id="1532181306">
      <w:bodyDiv w:val="1"/>
      <w:marLeft w:val="0"/>
      <w:marRight w:val="0"/>
      <w:marTop w:val="0"/>
      <w:marBottom w:val="0"/>
      <w:divBdr>
        <w:top w:val="none" w:sz="0" w:space="0" w:color="auto"/>
        <w:left w:val="none" w:sz="0" w:space="0" w:color="auto"/>
        <w:bottom w:val="none" w:sz="0" w:space="0" w:color="auto"/>
        <w:right w:val="none" w:sz="0" w:space="0" w:color="auto"/>
      </w:divBdr>
    </w:div>
    <w:div w:id="1535003355">
      <w:bodyDiv w:val="1"/>
      <w:marLeft w:val="0"/>
      <w:marRight w:val="0"/>
      <w:marTop w:val="0"/>
      <w:marBottom w:val="0"/>
      <w:divBdr>
        <w:top w:val="none" w:sz="0" w:space="0" w:color="auto"/>
        <w:left w:val="none" w:sz="0" w:space="0" w:color="auto"/>
        <w:bottom w:val="none" w:sz="0" w:space="0" w:color="auto"/>
        <w:right w:val="none" w:sz="0" w:space="0" w:color="auto"/>
      </w:divBdr>
    </w:div>
    <w:div w:id="1537431542">
      <w:bodyDiv w:val="1"/>
      <w:marLeft w:val="0"/>
      <w:marRight w:val="0"/>
      <w:marTop w:val="0"/>
      <w:marBottom w:val="0"/>
      <w:divBdr>
        <w:top w:val="none" w:sz="0" w:space="0" w:color="auto"/>
        <w:left w:val="none" w:sz="0" w:space="0" w:color="auto"/>
        <w:bottom w:val="none" w:sz="0" w:space="0" w:color="auto"/>
        <w:right w:val="none" w:sz="0" w:space="0" w:color="auto"/>
      </w:divBdr>
    </w:div>
    <w:div w:id="1555120249">
      <w:bodyDiv w:val="1"/>
      <w:marLeft w:val="0"/>
      <w:marRight w:val="0"/>
      <w:marTop w:val="0"/>
      <w:marBottom w:val="0"/>
      <w:divBdr>
        <w:top w:val="none" w:sz="0" w:space="0" w:color="auto"/>
        <w:left w:val="none" w:sz="0" w:space="0" w:color="auto"/>
        <w:bottom w:val="none" w:sz="0" w:space="0" w:color="auto"/>
        <w:right w:val="none" w:sz="0" w:space="0" w:color="auto"/>
      </w:divBdr>
    </w:div>
    <w:div w:id="1635519607">
      <w:bodyDiv w:val="1"/>
      <w:marLeft w:val="0"/>
      <w:marRight w:val="0"/>
      <w:marTop w:val="0"/>
      <w:marBottom w:val="0"/>
      <w:divBdr>
        <w:top w:val="none" w:sz="0" w:space="0" w:color="auto"/>
        <w:left w:val="none" w:sz="0" w:space="0" w:color="auto"/>
        <w:bottom w:val="none" w:sz="0" w:space="0" w:color="auto"/>
        <w:right w:val="none" w:sz="0" w:space="0" w:color="auto"/>
      </w:divBdr>
      <w:divsChild>
        <w:div w:id="1606499740">
          <w:marLeft w:val="1368"/>
          <w:marRight w:val="0"/>
          <w:marTop w:val="120"/>
          <w:marBottom w:val="120"/>
          <w:divBdr>
            <w:top w:val="none" w:sz="0" w:space="0" w:color="auto"/>
            <w:left w:val="none" w:sz="0" w:space="0" w:color="auto"/>
            <w:bottom w:val="none" w:sz="0" w:space="0" w:color="auto"/>
            <w:right w:val="none" w:sz="0" w:space="0" w:color="auto"/>
          </w:divBdr>
        </w:div>
        <w:div w:id="817653323">
          <w:marLeft w:val="1368"/>
          <w:marRight w:val="0"/>
          <w:marTop w:val="120"/>
          <w:marBottom w:val="120"/>
          <w:divBdr>
            <w:top w:val="none" w:sz="0" w:space="0" w:color="auto"/>
            <w:left w:val="none" w:sz="0" w:space="0" w:color="auto"/>
            <w:bottom w:val="none" w:sz="0" w:space="0" w:color="auto"/>
            <w:right w:val="none" w:sz="0" w:space="0" w:color="auto"/>
          </w:divBdr>
        </w:div>
      </w:divsChild>
    </w:div>
    <w:div w:id="1722898212">
      <w:bodyDiv w:val="1"/>
      <w:marLeft w:val="0"/>
      <w:marRight w:val="0"/>
      <w:marTop w:val="0"/>
      <w:marBottom w:val="0"/>
      <w:divBdr>
        <w:top w:val="none" w:sz="0" w:space="0" w:color="auto"/>
        <w:left w:val="none" w:sz="0" w:space="0" w:color="auto"/>
        <w:bottom w:val="none" w:sz="0" w:space="0" w:color="auto"/>
        <w:right w:val="none" w:sz="0" w:space="0" w:color="auto"/>
      </w:divBdr>
    </w:div>
    <w:div w:id="1753507373">
      <w:bodyDiv w:val="1"/>
      <w:marLeft w:val="0"/>
      <w:marRight w:val="0"/>
      <w:marTop w:val="0"/>
      <w:marBottom w:val="0"/>
      <w:divBdr>
        <w:top w:val="none" w:sz="0" w:space="0" w:color="auto"/>
        <w:left w:val="none" w:sz="0" w:space="0" w:color="auto"/>
        <w:bottom w:val="none" w:sz="0" w:space="0" w:color="auto"/>
        <w:right w:val="none" w:sz="0" w:space="0" w:color="auto"/>
      </w:divBdr>
    </w:div>
    <w:div w:id="1798789897">
      <w:bodyDiv w:val="1"/>
      <w:marLeft w:val="0"/>
      <w:marRight w:val="0"/>
      <w:marTop w:val="0"/>
      <w:marBottom w:val="0"/>
      <w:divBdr>
        <w:top w:val="none" w:sz="0" w:space="0" w:color="auto"/>
        <w:left w:val="none" w:sz="0" w:space="0" w:color="auto"/>
        <w:bottom w:val="none" w:sz="0" w:space="0" w:color="auto"/>
        <w:right w:val="none" w:sz="0" w:space="0" w:color="auto"/>
      </w:divBdr>
    </w:div>
    <w:div w:id="1813910002">
      <w:bodyDiv w:val="1"/>
      <w:marLeft w:val="0"/>
      <w:marRight w:val="0"/>
      <w:marTop w:val="0"/>
      <w:marBottom w:val="0"/>
      <w:divBdr>
        <w:top w:val="none" w:sz="0" w:space="0" w:color="auto"/>
        <w:left w:val="none" w:sz="0" w:space="0" w:color="auto"/>
        <w:bottom w:val="none" w:sz="0" w:space="0" w:color="auto"/>
        <w:right w:val="none" w:sz="0" w:space="0" w:color="auto"/>
      </w:divBdr>
    </w:div>
    <w:div w:id="1823304390">
      <w:bodyDiv w:val="1"/>
      <w:marLeft w:val="0"/>
      <w:marRight w:val="0"/>
      <w:marTop w:val="0"/>
      <w:marBottom w:val="0"/>
      <w:divBdr>
        <w:top w:val="none" w:sz="0" w:space="0" w:color="auto"/>
        <w:left w:val="none" w:sz="0" w:space="0" w:color="auto"/>
        <w:bottom w:val="none" w:sz="0" w:space="0" w:color="auto"/>
        <w:right w:val="none" w:sz="0" w:space="0" w:color="auto"/>
      </w:divBdr>
    </w:div>
    <w:div w:id="1857619892">
      <w:bodyDiv w:val="1"/>
      <w:marLeft w:val="0"/>
      <w:marRight w:val="0"/>
      <w:marTop w:val="0"/>
      <w:marBottom w:val="0"/>
      <w:divBdr>
        <w:top w:val="none" w:sz="0" w:space="0" w:color="auto"/>
        <w:left w:val="none" w:sz="0" w:space="0" w:color="auto"/>
        <w:bottom w:val="none" w:sz="0" w:space="0" w:color="auto"/>
        <w:right w:val="none" w:sz="0" w:space="0" w:color="auto"/>
      </w:divBdr>
    </w:div>
    <w:div w:id="1926567554">
      <w:bodyDiv w:val="1"/>
      <w:marLeft w:val="0"/>
      <w:marRight w:val="0"/>
      <w:marTop w:val="0"/>
      <w:marBottom w:val="0"/>
      <w:divBdr>
        <w:top w:val="none" w:sz="0" w:space="0" w:color="auto"/>
        <w:left w:val="none" w:sz="0" w:space="0" w:color="auto"/>
        <w:bottom w:val="none" w:sz="0" w:space="0" w:color="auto"/>
        <w:right w:val="none" w:sz="0" w:space="0" w:color="auto"/>
      </w:divBdr>
    </w:div>
    <w:div w:id="1966112243">
      <w:bodyDiv w:val="1"/>
      <w:marLeft w:val="0"/>
      <w:marRight w:val="0"/>
      <w:marTop w:val="0"/>
      <w:marBottom w:val="0"/>
      <w:divBdr>
        <w:top w:val="none" w:sz="0" w:space="0" w:color="auto"/>
        <w:left w:val="none" w:sz="0" w:space="0" w:color="auto"/>
        <w:bottom w:val="none" w:sz="0" w:space="0" w:color="auto"/>
        <w:right w:val="none" w:sz="0" w:space="0" w:color="auto"/>
      </w:divBdr>
    </w:div>
    <w:div w:id="2034332971">
      <w:bodyDiv w:val="1"/>
      <w:marLeft w:val="0"/>
      <w:marRight w:val="0"/>
      <w:marTop w:val="0"/>
      <w:marBottom w:val="0"/>
      <w:divBdr>
        <w:top w:val="none" w:sz="0" w:space="0" w:color="auto"/>
        <w:left w:val="none" w:sz="0" w:space="0" w:color="auto"/>
        <w:bottom w:val="none" w:sz="0" w:space="0" w:color="auto"/>
        <w:right w:val="none" w:sz="0" w:space="0" w:color="auto"/>
      </w:divBdr>
    </w:div>
    <w:div w:id="2061203319">
      <w:bodyDiv w:val="1"/>
      <w:marLeft w:val="0"/>
      <w:marRight w:val="0"/>
      <w:marTop w:val="0"/>
      <w:marBottom w:val="0"/>
      <w:divBdr>
        <w:top w:val="none" w:sz="0" w:space="0" w:color="auto"/>
        <w:left w:val="none" w:sz="0" w:space="0" w:color="auto"/>
        <w:bottom w:val="none" w:sz="0" w:space="0" w:color="auto"/>
        <w:right w:val="none" w:sz="0" w:space="0" w:color="auto"/>
      </w:divBdr>
    </w:div>
    <w:div w:id="2102750265">
      <w:bodyDiv w:val="1"/>
      <w:marLeft w:val="0"/>
      <w:marRight w:val="0"/>
      <w:marTop w:val="0"/>
      <w:marBottom w:val="0"/>
      <w:divBdr>
        <w:top w:val="none" w:sz="0" w:space="0" w:color="auto"/>
        <w:left w:val="none" w:sz="0" w:space="0" w:color="auto"/>
        <w:bottom w:val="none" w:sz="0" w:space="0" w:color="auto"/>
        <w:right w:val="none" w:sz="0" w:space="0" w:color="auto"/>
      </w:divBdr>
      <w:divsChild>
        <w:div w:id="2109807323">
          <w:marLeft w:val="547"/>
          <w:marRight w:val="0"/>
          <w:marTop w:val="160"/>
          <w:marBottom w:val="160"/>
          <w:divBdr>
            <w:top w:val="none" w:sz="0" w:space="0" w:color="auto"/>
            <w:left w:val="none" w:sz="0" w:space="0" w:color="auto"/>
            <w:bottom w:val="none" w:sz="0" w:space="0" w:color="auto"/>
            <w:right w:val="none" w:sz="0" w:space="0" w:color="auto"/>
          </w:divBdr>
        </w:div>
        <w:div w:id="727150984">
          <w:marLeft w:val="547"/>
          <w:marRight w:val="0"/>
          <w:marTop w:val="160"/>
          <w:marBottom w:val="160"/>
          <w:divBdr>
            <w:top w:val="none" w:sz="0" w:space="0" w:color="auto"/>
            <w:left w:val="none" w:sz="0" w:space="0" w:color="auto"/>
            <w:bottom w:val="none" w:sz="0" w:space="0" w:color="auto"/>
            <w:right w:val="none" w:sz="0" w:space="0" w:color="auto"/>
          </w:divBdr>
        </w:div>
        <w:div w:id="1058279855">
          <w:marLeft w:val="547"/>
          <w:marRight w:val="0"/>
          <w:marTop w:val="160"/>
          <w:marBottom w:val="160"/>
          <w:divBdr>
            <w:top w:val="none" w:sz="0" w:space="0" w:color="auto"/>
            <w:left w:val="none" w:sz="0" w:space="0" w:color="auto"/>
            <w:bottom w:val="none" w:sz="0" w:space="0" w:color="auto"/>
            <w:right w:val="none" w:sz="0" w:space="0" w:color="auto"/>
          </w:divBdr>
        </w:div>
        <w:div w:id="466356520">
          <w:marLeft w:val="547"/>
          <w:marRight w:val="0"/>
          <w:marTop w:val="160"/>
          <w:marBottom w:val="160"/>
          <w:divBdr>
            <w:top w:val="none" w:sz="0" w:space="0" w:color="auto"/>
            <w:left w:val="none" w:sz="0" w:space="0" w:color="auto"/>
            <w:bottom w:val="none" w:sz="0" w:space="0" w:color="auto"/>
            <w:right w:val="none" w:sz="0" w:space="0" w:color="auto"/>
          </w:divBdr>
        </w:div>
        <w:div w:id="1516385546">
          <w:marLeft w:val="547"/>
          <w:marRight w:val="0"/>
          <w:marTop w:val="160"/>
          <w:marBottom w:val="160"/>
          <w:divBdr>
            <w:top w:val="none" w:sz="0" w:space="0" w:color="auto"/>
            <w:left w:val="none" w:sz="0" w:space="0" w:color="auto"/>
            <w:bottom w:val="none" w:sz="0" w:space="0" w:color="auto"/>
            <w:right w:val="none" w:sz="0" w:space="0" w:color="auto"/>
          </w:divBdr>
        </w:div>
        <w:div w:id="1366560959">
          <w:marLeft w:val="547"/>
          <w:marRight w:val="0"/>
          <w:marTop w:val="16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flu-vaccination-reports-for-healthcare-personn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ypeople.gov/node/4668/data_details" TargetMode="External"/><Relationship Id="rId5" Type="http://schemas.openxmlformats.org/officeDocument/2006/relationships/hyperlink" Target="https://www.cdc.gov/flu/prevent/keyfacts.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2082</Words>
  <Characters>11872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McHale, Eileen (DPH)</dc:creator>
  <cp:keywords/>
  <dc:description/>
  <cp:lastModifiedBy>McHale, Eileen (DPH)</cp:lastModifiedBy>
  <cp:revision>2</cp:revision>
  <dcterms:created xsi:type="dcterms:W3CDTF">2022-09-15T21:29:00Z</dcterms:created>
  <dcterms:modified xsi:type="dcterms:W3CDTF">2022-09-15T21:29:00Z</dcterms:modified>
</cp:coreProperties>
</file>