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0C31" w14:textId="0D22018D" w:rsidR="002A029E" w:rsidRPr="00D10A50" w:rsidRDefault="00D263CB" w:rsidP="0083791E">
      <w:pPr>
        <w:pStyle w:val="Title"/>
        <w:spacing w:before="240" w:after="60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Perguntas frequentes sobre adequação para o BSAS</w:t>
      </w:r>
    </w:p>
    <w:p w14:paraId="34E7A303" w14:textId="77777777" w:rsidR="002A029E" w:rsidRPr="00D10A50" w:rsidRDefault="00D263CB">
      <w:pPr>
        <w:pStyle w:val="Heading1"/>
        <w:spacing w:before="43"/>
        <w:ind w:left="659" w:right="673"/>
        <w:rPr>
          <w:rFonts w:ascii="Arial" w:hAnsi="Arial" w:cs="Arial"/>
        </w:rPr>
      </w:pPr>
      <w:bookmarkStart w:id="0" w:name="Where_can_I_find_a_copy_of_the_current_S"/>
      <w:bookmarkEnd w:id="0"/>
      <w:r>
        <w:rPr>
          <w:rFonts w:ascii="Arial" w:hAnsi="Arial"/>
        </w:rPr>
        <w:t>Onde posso encontrar uma cópia dos regulamentos em vigor sobre a Licença de Serviços Contra Dependência Química (BSAS)?</w:t>
      </w:r>
    </w:p>
    <w:p w14:paraId="35657A1D" w14:textId="77777777" w:rsidR="002A029E" w:rsidRPr="00D10A50" w:rsidRDefault="00D263CB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line="259" w:lineRule="auto"/>
        <w:ind w:right="2771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Os regulamentos estão disponíveis on-line no </w:t>
      </w:r>
      <w:hyperlink r:id="rId9">
        <w:r>
          <w:rPr>
            <w:rFonts w:ascii="Arial" w:hAnsi="Arial"/>
            <w:color w:val="0000FF"/>
            <w:sz w:val="24"/>
            <w:u w:val="single" w:color="0000FF"/>
          </w:rPr>
          <w:t>Título 105, item 164.000, do Código de Regulamentos de Massachusetts (CMR) – Licenciamento de Programas de Tratamento</w:t>
        </w:r>
      </w:hyperlink>
      <w:r>
        <w:rPr>
          <w:rFonts w:ascii="Arial" w:hAnsi="Arial"/>
          <w:color w:val="0000FF"/>
          <w:sz w:val="24"/>
          <w:u w:val="single"/>
        </w:rPr>
        <w:t xml:space="preserve"> </w:t>
      </w:r>
      <w:hyperlink r:id="rId10">
        <w:r>
          <w:rPr>
            <w:rFonts w:ascii="Arial" w:hAnsi="Arial"/>
            <w:color w:val="0000FF"/>
            <w:sz w:val="24"/>
            <w:u w:val="single" w:color="0000FF"/>
          </w:rPr>
          <w:t>de Transtorno por Uso de Substâncias</w:t>
        </w:r>
      </w:hyperlink>
    </w:p>
    <w:p w14:paraId="6557B4AF" w14:textId="77777777" w:rsidR="002A029E" w:rsidRPr="0083791E" w:rsidRDefault="00D263CB" w:rsidP="00D970E6">
      <w:pPr>
        <w:pStyle w:val="Heading1"/>
        <w:spacing w:before="360"/>
        <w:rPr>
          <w:rFonts w:ascii="Arial" w:hAnsi="Arial" w:cs="Arial"/>
        </w:rPr>
      </w:pPr>
      <w:bookmarkStart w:id="1" w:name="What_does_Suitability_mean?"/>
      <w:bookmarkEnd w:id="1"/>
      <w:r>
        <w:rPr>
          <w:rFonts w:ascii="Arial" w:hAnsi="Arial"/>
        </w:rPr>
        <w:t>O que significa “adequação”?</w:t>
      </w:r>
    </w:p>
    <w:p w14:paraId="70BB90A9" w14:textId="77777777" w:rsidR="002A029E" w:rsidRPr="00D10A50" w:rsidRDefault="00D263CB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line="259" w:lineRule="auto"/>
        <w:ind w:right="2003" w:hanging="360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Adequação é o processo do BSAS para avaliar requerentes e determinar sua capacidade de prestar serviços de tratamento de transtornos por uso de substâncias.</w:t>
      </w:r>
    </w:p>
    <w:p w14:paraId="14F5F655" w14:textId="77777777" w:rsidR="002A029E" w:rsidRPr="00D10A50" w:rsidRDefault="00D263CB" w:rsidP="00D970E6">
      <w:pPr>
        <w:pStyle w:val="Heading1"/>
        <w:spacing w:before="240"/>
        <w:rPr>
          <w:rFonts w:ascii="Arial" w:hAnsi="Arial" w:cs="Arial"/>
          <w:sz w:val="24"/>
          <w:szCs w:val="24"/>
        </w:rPr>
      </w:pPr>
      <w:bookmarkStart w:id="2" w:name="When_does_a_provider_need_a_BSAS_license"/>
      <w:bookmarkEnd w:id="2"/>
      <w:r>
        <w:rPr>
          <w:rFonts w:ascii="Arial" w:hAnsi="Arial"/>
          <w:sz w:val="24"/>
          <w:szCs w:val="24"/>
        </w:rPr>
        <w:t>Quando um prestador precisa de uma licença do BSAS?</w:t>
      </w:r>
    </w:p>
    <w:p w14:paraId="3AF7D4E0" w14:textId="77777777" w:rsidR="002A029E" w:rsidRPr="00D10A50" w:rsidRDefault="00D263CB" w:rsidP="00D970E6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line="259" w:lineRule="auto"/>
        <w:ind w:left="1656" w:right="1296" w:hanging="360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O prestador precisa da licença ou aprovação do BSAS para operar, bem como identificar e divulgar suas atividades como um programa de tratamento de transtornos por uso de substâncias, inclusive programas de tratamento de transtornos por uso de substâncias separados e identificáveis dentro de instalações licenciadas pelo Bureau of Health Care Safety and Quality (Setor de Segurança e Qualidade de Cuidados de Saúde – HCQ) do Department of Public Health (Departamento de Saúde Pública – DPH), entre eles hospitais gerais, clínicas e programas licenciados ou operados pelo Department of Mental Health (Departamento de Saúde Mental – DMH).</w:t>
      </w:r>
    </w:p>
    <w:p w14:paraId="4C91BDCF" w14:textId="77777777" w:rsidR="002A029E" w:rsidRPr="00D10A50" w:rsidRDefault="00D263CB" w:rsidP="00D970E6">
      <w:pPr>
        <w:pStyle w:val="Heading1"/>
        <w:spacing w:before="240"/>
        <w:ind w:left="661" w:right="673" w:hanging="2"/>
        <w:rPr>
          <w:rFonts w:ascii="Arial" w:hAnsi="Arial" w:cs="Arial"/>
          <w:sz w:val="24"/>
          <w:szCs w:val="24"/>
        </w:rPr>
      </w:pPr>
      <w:bookmarkStart w:id="3" w:name="If_a_provider_is_interested_in_seeking_B"/>
      <w:bookmarkEnd w:id="3"/>
      <w:r>
        <w:rPr>
          <w:rFonts w:ascii="Arial" w:hAnsi="Arial"/>
          <w:sz w:val="24"/>
          <w:szCs w:val="24"/>
        </w:rPr>
        <w:t>Caso um prestador queira obter a licença do BSAS e tenha dúvidas sobre o processo, com quem ele deve entrar em contato?</w:t>
      </w:r>
    </w:p>
    <w:p w14:paraId="0E2B9D06" w14:textId="1AC7CDBC" w:rsidR="002A029E" w:rsidRPr="00D10A50" w:rsidRDefault="00D263CB" w:rsidP="00D970E6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ind w:right="1152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 xml:space="preserve">Com o diretor adjunto de licenciamento (acesse o site </w:t>
      </w:r>
      <w:hyperlink r:id="rId11">
        <w:r>
          <w:rPr>
            <w:rFonts w:ascii="Arial" w:hAnsi="Arial"/>
            <w:color w:val="0000FF"/>
            <w:szCs w:val="21"/>
            <w:u w:val="single" w:color="0000FF"/>
          </w:rPr>
          <w:t>Informações para programas licenciados</w:t>
        </w:r>
      </w:hyperlink>
      <w:r>
        <w:rPr>
          <w:rFonts w:ascii="Arial" w:hAnsi="Arial"/>
          <w:color w:val="0000FF"/>
          <w:szCs w:val="21"/>
        </w:rPr>
        <w:t xml:space="preserve"> </w:t>
      </w:r>
      <w:hyperlink r:id="rId12">
        <w:r>
          <w:rPr>
            <w:rFonts w:ascii="Arial" w:hAnsi="Arial"/>
            <w:color w:val="0000FF"/>
            <w:szCs w:val="21"/>
            <w:u w:val="single" w:color="0000FF"/>
          </w:rPr>
          <w:t>de tratamento de transtornos por uso de substâncias</w:t>
        </w:r>
      </w:hyperlink>
      <w:r>
        <w:rPr>
          <w:rFonts w:ascii="Arial" w:hAnsi="Arial"/>
          <w:color w:val="0000FF"/>
          <w:szCs w:val="21"/>
        </w:rPr>
        <w:t xml:space="preserve"> </w:t>
      </w:r>
      <w:r>
        <w:rPr>
          <w:rFonts w:ascii="Arial" w:hAnsi="Arial"/>
          <w:szCs w:val="21"/>
        </w:rPr>
        <w:t>para conferir a lista completa de contatos)</w:t>
      </w:r>
    </w:p>
    <w:p w14:paraId="7E2C7026" w14:textId="77777777" w:rsidR="00D970E6" w:rsidRPr="00D970E6" w:rsidRDefault="00D970E6" w:rsidP="00D970E6">
      <w:pPr>
        <w:tabs>
          <w:tab w:val="left" w:pos="1739"/>
          <w:tab w:val="left" w:pos="1740"/>
        </w:tabs>
        <w:ind w:left="1378" w:right="1527"/>
        <w:rPr>
          <w:rFonts w:ascii="Arial" w:hAnsi="Arial" w:cs="Arial"/>
          <w:sz w:val="24"/>
        </w:rPr>
      </w:pPr>
    </w:p>
    <w:p w14:paraId="3A339518" w14:textId="77777777" w:rsidR="002A029E" w:rsidRPr="0083791E" w:rsidRDefault="002A029E">
      <w:pPr>
        <w:rPr>
          <w:rFonts w:ascii="Arial" w:hAnsi="Arial" w:cs="Arial"/>
          <w:sz w:val="24"/>
        </w:rPr>
        <w:sectPr w:rsidR="002A029E" w:rsidRPr="0083791E" w:rsidSect="003C4E1B">
          <w:headerReference w:type="default" r:id="rId13"/>
          <w:type w:val="continuous"/>
          <w:pgSz w:w="12240" w:h="15840"/>
          <w:pgMar w:top="560" w:right="700" w:bottom="280" w:left="780" w:header="432" w:footer="720" w:gutter="0"/>
          <w:cols w:space="720"/>
          <w:docGrid w:linePitch="299"/>
        </w:sectPr>
      </w:pPr>
    </w:p>
    <w:p w14:paraId="67EB901C" w14:textId="77777777" w:rsidR="002A029E" w:rsidRPr="00D10A50" w:rsidRDefault="00D263CB" w:rsidP="00D970E6">
      <w:pPr>
        <w:pStyle w:val="Heading1"/>
        <w:spacing w:after="120"/>
        <w:ind w:left="659" w:right="673"/>
        <w:rPr>
          <w:rFonts w:ascii="Arial" w:hAnsi="Arial" w:cs="Arial"/>
          <w:sz w:val="24"/>
          <w:szCs w:val="24"/>
        </w:rPr>
      </w:pPr>
      <w:bookmarkStart w:id="4" w:name="Where_do_I_find_the_Notice_of_Intent_(NO"/>
      <w:bookmarkEnd w:id="4"/>
      <w:r>
        <w:rPr>
          <w:rFonts w:ascii="Arial" w:hAnsi="Arial"/>
          <w:sz w:val="24"/>
          <w:szCs w:val="24"/>
        </w:rPr>
        <w:lastRenderedPageBreak/>
        <w:t>Onde encontro o requerimento “Notificação de Intenção” (NOI) e qual requerimento devo preencher?</w:t>
      </w:r>
    </w:p>
    <w:p w14:paraId="53046C92" w14:textId="77777777" w:rsidR="002A029E" w:rsidRPr="00D10A50" w:rsidRDefault="00D263CB" w:rsidP="00D970E6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before="2" w:line="259" w:lineRule="auto"/>
        <w:ind w:right="850"/>
        <w:rPr>
          <w:rFonts w:ascii="Arial" w:hAnsi="Arial" w:cs="Arial"/>
        </w:rPr>
      </w:pPr>
      <w:r>
        <w:rPr>
          <w:rFonts w:ascii="Arial" w:hAnsi="Arial"/>
        </w:rPr>
        <w:t xml:space="preserve">Os requerimentos NOI estão disponíveis aqui: </w:t>
      </w:r>
      <w:hyperlink r:id="rId14">
        <w:r>
          <w:rPr>
            <w:rFonts w:ascii="Arial" w:hAnsi="Arial"/>
            <w:color w:val="0000FF"/>
            <w:u w:val="single" w:color="0000FF"/>
          </w:rPr>
          <w:t>Informações para programas licenciados de tratamento de</w:t>
        </w:r>
      </w:hyperlink>
      <w:r>
        <w:rPr>
          <w:rFonts w:ascii="Arial" w:hAnsi="Arial"/>
          <w:color w:val="0000FF"/>
        </w:rPr>
        <w:t xml:space="preserve"> </w:t>
      </w:r>
      <w:hyperlink r:id="rId15">
        <w:r>
          <w:rPr>
            <w:rFonts w:ascii="Arial" w:hAnsi="Arial"/>
            <w:color w:val="0000FF"/>
            <w:u w:val="single" w:color="0000FF"/>
          </w:rPr>
          <w:t>transtorno por uso de substâncias</w:t>
        </w:r>
      </w:hyperlink>
    </w:p>
    <w:p w14:paraId="6BC5F42E" w14:textId="77777777" w:rsidR="002A029E" w:rsidRPr="00D10A50" w:rsidRDefault="00D263CB" w:rsidP="00D970E6">
      <w:pPr>
        <w:pStyle w:val="BodyText"/>
        <w:spacing w:line="293" w:lineRule="exact"/>
        <w:ind w:left="174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Existem quatro tipos de requerimento NOI:</w:t>
      </w:r>
    </w:p>
    <w:p w14:paraId="24356C11" w14:textId="77777777" w:rsidR="002A029E" w:rsidRPr="00D10A50" w:rsidRDefault="00D263CB" w:rsidP="00D970E6">
      <w:pPr>
        <w:pStyle w:val="ListParagraph"/>
        <w:numPr>
          <w:ilvl w:val="0"/>
          <w:numId w:val="1"/>
        </w:numPr>
        <w:tabs>
          <w:tab w:val="left" w:pos="1503"/>
        </w:tabs>
        <w:spacing w:before="23" w:line="249" w:lineRule="auto"/>
        <w:ind w:right="1653"/>
        <w:rPr>
          <w:rFonts w:ascii="Arial" w:hAnsi="Arial" w:cs="Arial"/>
        </w:rPr>
      </w:pPr>
      <w:r>
        <w:rPr>
          <w:rFonts w:ascii="Arial" w:hAnsi="Arial"/>
          <w:b/>
        </w:rPr>
        <w:t>Requerimento geral</w:t>
      </w:r>
      <w:r>
        <w:rPr>
          <w:rFonts w:ascii="Arial" w:hAnsi="Arial"/>
        </w:rPr>
        <w:t>: para todos os requerentes que são uma entidade do setor privado com ou sem fins lucrativos que não detém licença de nenhuma entidade estadual.</w:t>
      </w:r>
    </w:p>
    <w:p w14:paraId="307F9C9F" w14:textId="77777777" w:rsidR="002A029E" w:rsidRPr="00D10A50" w:rsidRDefault="00D263CB" w:rsidP="00D970E6">
      <w:pPr>
        <w:pStyle w:val="ListParagraph"/>
        <w:numPr>
          <w:ilvl w:val="0"/>
          <w:numId w:val="1"/>
        </w:numPr>
        <w:tabs>
          <w:tab w:val="left" w:pos="1503"/>
        </w:tabs>
        <w:spacing w:before="15" w:line="249" w:lineRule="auto"/>
        <w:ind w:right="1747" w:hanging="360"/>
        <w:rPr>
          <w:rFonts w:ascii="Arial" w:hAnsi="Arial" w:cs="Arial"/>
        </w:rPr>
      </w:pPr>
      <w:r>
        <w:rPr>
          <w:rFonts w:ascii="Arial" w:hAnsi="Arial"/>
          <w:b/>
        </w:rPr>
        <w:t>Requerimento HCQ</w:t>
      </w:r>
      <w:r>
        <w:rPr>
          <w:rFonts w:ascii="Arial" w:hAnsi="Arial"/>
        </w:rPr>
        <w:t>: para requerentes atualmente licenciados pelo Bureau of Health Care Safety and Quality (HCQ) do DPH.</w:t>
      </w:r>
    </w:p>
    <w:p w14:paraId="2AA84E70" w14:textId="77777777" w:rsidR="002A029E" w:rsidRPr="00D10A50" w:rsidRDefault="00D263CB" w:rsidP="00D970E6">
      <w:pPr>
        <w:pStyle w:val="ListParagraph"/>
        <w:numPr>
          <w:ilvl w:val="0"/>
          <w:numId w:val="1"/>
        </w:numPr>
        <w:tabs>
          <w:tab w:val="left" w:pos="1503"/>
        </w:tabs>
        <w:spacing w:before="11" w:line="249" w:lineRule="auto"/>
        <w:ind w:right="1749" w:hanging="360"/>
        <w:rPr>
          <w:rFonts w:ascii="Arial" w:hAnsi="Arial" w:cs="Arial"/>
        </w:rPr>
      </w:pPr>
      <w:r>
        <w:rPr>
          <w:rFonts w:ascii="Arial" w:hAnsi="Arial"/>
          <w:b/>
        </w:rPr>
        <w:t>Requerimento DMH</w:t>
      </w:r>
      <w:r>
        <w:rPr>
          <w:rFonts w:ascii="Arial" w:hAnsi="Arial"/>
        </w:rPr>
        <w:t>: para requerentes atualmente licenciados pelo Department of Mental Health (DMH).</w:t>
      </w:r>
    </w:p>
    <w:p w14:paraId="15D5EDE4" w14:textId="77777777" w:rsidR="002A029E" w:rsidRPr="00D10A50" w:rsidRDefault="00D263CB" w:rsidP="00D970E6">
      <w:pPr>
        <w:pStyle w:val="ListParagraph"/>
        <w:numPr>
          <w:ilvl w:val="0"/>
          <w:numId w:val="1"/>
        </w:numPr>
        <w:tabs>
          <w:tab w:val="left" w:pos="1503"/>
        </w:tabs>
        <w:spacing w:before="13" w:after="240"/>
        <w:ind w:hanging="361"/>
        <w:rPr>
          <w:rFonts w:ascii="Arial" w:hAnsi="Arial" w:cs="Arial"/>
        </w:rPr>
      </w:pPr>
      <w:r>
        <w:rPr>
          <w:rFonts w:ascii="Arial" w:hAnsi="Arial"/>
          <w:b/>
        </w:rPr>
        <w:t xml:space="preserve">Requerimento para estatais: </w:t>
      </w:r>
      <w:r>
        <w:rPr>
          <w:rFonts w:ascii="Arial" w:hAnsi="Arial"/>
        </w:rPr>
        <w:t>para todas as autoridades da Commonwealth.</w:t>
      </w:r>
    </w:p>
    <w:p w14:paraId="57FA9D65" w14:textId="77777777" w:rsidR="002A029E" w:rsidRPr="00D10A50" w:rsidRDefault="00D263CB" w:rsidP="00D970E6">
      <w:pPr>
        <w:pStyle w:val="Heading1"/>
        <w:spacing w:after="120"/>
        <w:rPr>
          <w:rFonts w:ascii="Arial" w:hAnsi="Arial" w:cs="Arial"/>
          <w:sz w:val="24"/>
          <w:szCs w:val="24"/>
        </w:rPr>
      </w:pPr>
      <w:bookmarkStart w:id="5" w:name="What_is_the_overall_process_a_provider_m"/>
      <w:bookmarkEnd w:id="5"/>
      <w:r>
        <w:rPr>
          <w:rFonts w:ascii="Arial" w:hAnsi="Arial"/>
          <w:sz w:val="24"/>
          <w:szCs w:val="24"/>
        </w:rPr>
        <w:t>Como é o processo geral que o prestador deve seguir para obter uma licença do BSAS?</w:t>
      </w:r>
    </w:p>
    <w:p w14:paraId="44751172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59" w:lineRule="auto"/>
        <w:ind w:right="1729"/>
        <w:rPr>
          <w:rFonts w:ascii="Arial" w:hAnsi="Arial" w:cs="Arial"/>
        </w:rPr>
      </w:pPr>
      <w:r>
        <w:rPr>
          <w:rFonts w:ascii="Arial" w:hAnsi="Arial"/>
        </w:rPr>
        <w:t xml:space="preserve">Os prestadores devem ler o </w:t>
      </w:r>
      <w:hyperlink r:id="rId16">
        <w:r>
          <w:rPr>
            <w:rFonts w:ascii="Arial" w:hAnsi="Arial"/>
            <w:color w:val="0000FF"/>
            <w:u w:val="single" w:color="0000FF"/>
          </w:rPr>
          <w:t>Título 105, item 164.000, Código de Regulamentos de Massachusetts (CMR) – Licenciamento de Serviços de Tratamento</w:t>
        </w:r>
      </w:hyperlink>
      <w:r>
        <w:rPr>
          <w:rFonts w:ascii="Arial" w:hAnsi="Arial"/>
          <w:color w:val="0000FF"/>
        </w:rPr>
        <w:t xml:space="preserve"> </w:t>
      </w:r>
      <w:hyperlink r:id="rId17">
        <w:r>
          <w:rPr>
            <w:rFonts w:ascii="Arial" w:hAnsi="Arial"/>
            <w:color w:val="0000FF"/>
            <w:u w:val="single" w:color="0000FF"/>
          </w:rPr>
          <w:t>de Dependência Química</w:t>
        </w:r>
      </w:hyperlink>
    </w:p>
    <w:p w14:paraId="5A2B0F84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59" w:lineRule="auto"/>
        <w:ind w:left="1739" w:right="1619"/>
        <w:rPr>
          <w:rFonts w:ascii="Arial" w:hAnsi="Arial" w:cs="Arial"/>
        </w:rPr>
      </w:pPr>
      <w:r>
        <w:rPr>
          <w:rFonts w:ascii="Arial" w:hAnsi="Arial"/>
        </w:rPr>
        <w:t>Os prestadores devem entrar em contato com o diretor adjunto de licenciamento para discutir os possíveis serviços e determinar um ponto de contato para prestar suporte técnico quanto ao processo de adequação.</w:t>
      </w:r>
    </w:p>
    <w:p w14:paraId="40FF1145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59" w:lineRule="auto"/>
        <w:ind w:left="1739" w:right="1264"/>
        <w:rPr>
          <w:rFonts w:ascii="Arial" w:hAnsi="Arial" w:cs="Arial"/>
        </w:rPr>
      </w:pPr>
      <w:r>
        <w:rPr>
          <w:rFonts w:ascii="Arial" w:hAnsi="Arial"/>
        </w:rPr>
        <w:t>Os prestadores devem enviar uma Notificação de Intenção (NOI) preenchida para requerer a licença de programa para transtornos por uso de substâncias a um membro da equipe do BSAS identificado na NOI.</w:t>
      </w:r>
    </w:p>
    <w:p w14:paraId="14466780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79" w:lineRule="exact"/>
        <w:rPr>
          <w:rFonts w:ascii="Arial" w:hAnsi="Arial" w:cs="Arial"/>
        </w:rPr>
      </w:pPr>
      <w:r>
        <w:rPr>
          <w:rFonts w:ascii="Arial" w:hAnsi="Arial"/>
        </w:rPr>
        <w:t>O BSAS avalia a NOI para determinar a adequação do prestador.</w:t>
      </w:r>
    </w:p>
    <w:p w14:paraId="6BFD4E66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before="7" w:line="259" w:lineRule="auto"/>
        <w:ind w:right="1302"/>
        <w:rPr>
          <w:rFonts w:ascii="Arial" w:hAnsi="Arial" w:cs="Arial"/>
        </w:rPr>
      </w:pPr>
      <w:r>
        <w:rPr>
          <w:rFonts w:ascii="Arial" w:hAnsi="Arial"/>
        </w:rPr>
        <w:t>Depois que a NOI for analisada e aprovada, o prestador receberá uma notificação de aprovação, com instruções para configurar o gateway virtual e acessar o programa eLicensing do BSAS.</w:t>
      </w:r>
    </w:p>
    <w:p w14:paraId="6FB58208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59" w:lineRule="auto"/>
        <w:ind w:right="1219" w:hanging="360"/>
        <w:rPr>
          <w:rFonts w:ascii="Arial" w:hAnsi="Arial" w:cs="Arial"/>
        </w:rPr>
      </w:pPr>
      <w:r>
        <w:rPr>
          <w:rFonts w:ascii="Arial" w:hAnsi="Arial"/>
        </w:rPr>
        <w:t>Assim que o prestador acessar o aplicativo do programa para transtornos por uso de substâncias, será atribuído a ele um inspetor de licenciamento, que será seu ponto de contato durante todo o processo de licenciamento, incluindo o envio do requerimento pelo eLicensing do BSAS e a inspeção local das instalações.</w:t>
      </w:r>
    </w:p>
    <w:p w14:paraId="3EFDE048" w14:textId="77777777" w:rsidR="002A029E" w:rsidRPr="0083791E" w:rsidRDefault="00D263CB" w:rsidP="00D970E6">
      <w:pPr>
        <w:pStyle w:val="Heading1"/>
        <w:spacing w:before="240" w:after="120"/>
        <w:rPr>
          <w:rFonts w:ascii="Arial" w:hAnsi="Arial" w:cs="Arial"/>
        </w:rPr>
      </w:pPr>
      <w:bookmarkStart w:id="6" w:name="What_are_the_requirements_for_suitabilit"/>
      <w:bookmarkEnd w:id="6"/>
      <w:r>
        <w:rPr>
          <w:rFonts w:ascii="Arial" w:hAnsi="Arial"/>
          <w:sz w:val="24"/>
          <w:szCs w:val="24"/>
        </w:rPr>
        <w:t>Quais são os requisitos para a adequação?</w:t>
      </w:r>
    </w:p>
    <w:p w14:paraId="2C920293" w14:textId="77777777" w:rsidR="002A029E" w:rsidRPr="00D10A50" w:rsidRDefault="00D263CB" w:rsidP="00D970E6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1" w:line="259" w:lineRule="auto"/>
        <w:ind w:left="1739" w:right="1728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requerente deve demonstrar capacidade de operar um programa de tratamento de transtornos por uso de substâncias que inclua o seguinte:</w:t>
      </w:r>
    </w:p>
    <w:p w14:paraId="787981C3" w14:textId="77777777" w:rsidR="002A029E" w:rsidRPr="00D501A7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before="9" w:line="223" w:lineRule="auto"/>
        <w:ind w:right="1272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Requerimento NOI preenchido, respostas narrativas abrangentes e afirmações necessárias</w:t>
      </w:r>
    </w:p>
    <w:p w14:paraId="6874172A" w14:textId="77777777" w:rsidR="002A029E" w:rsidRPr="00D501A7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line="280" w:lineRule="exact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Comprovação dos atos constitutivos</w:t>
      </w:r>
    </w:p>
    <w:p w14:paraId="48A993E1" w14:textId="77777777" w:rsidR="002A029E" w:rsidRPr="00D501A7" w:rsidRDefault="00D263CB" w:rsidP="000B7213">
      <w:pPr>
        <w:pStyle w:val="ListParagraph"/>
        <w:numPr>
          <w:ilvl w:val="3"/>
          <w:numId w:val="1"/>
        </w:numPr>
        <w:tabs>
          <w:tab w:val="left" w:pos="2460"/>
        </w:tabs>
        <w:spacing w:before="3" w:line="225" w:lineRule="auto"/>
        <w:ind w:right="576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Comprovação do histórico de prestação de serviços para transtornos por uso de substâncias e/ou outros serviços de saúde relacionados em Massachusetts ou outros estados ou jurisdições</w:t>
      </w:r>
    </w:p>
    <w:p w14:paraId="2C9AEE9D" w14:textId="77777777" w:rsidR="002A029E" w:rsidRPr="00D501A7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line="279" w:lineRule="exact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Comprovação de viabilidade financeira (leia mais informações abaixo)</w:t>
      </w:r>
    </w:p>
    <w:p w14:paraId="4EC0C8A3" w14:textId="77777777" w:rsidR="002A029E" w:rsidRPr="00D501A7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before="5" w:line="223" w:lineRule="auto"/>
        <w:ind w:right="750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Requerimentos CORI preenchidos para proprietários e funcionários responsáveis identificados no requerimento NOI</w:t>
      </w:r>
    </w:p>
    <w:p w14:paraId="62BE0B85" w14:textId="77777777" w:rsidR="002A029E" w:rsidRPr="00D10A50" w:rsidRDefault="00D263CB" w:rsidP="00D970E6">
      <w:pPr>
        <w:pStyle w:val="ListParagraph"/>
        <w:pageBreakBefore/>
        <w:numPr>
          <w:ilvl w:val="2"/>
          <w:numId w:val="1"/>
        </w:numPr>
        <w:tabs>
          <w:tab w:val="left" w:pos="1739"/>
          <w:tab w:val="left" w:pos="1740"/>
        </w:tabs>
        <w:spacing w:before="79" w:line="259" w:lineRule="auto"/>
        <w:ind w:left="1742" w:right="1699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lastRenderedPageBreak/>
        <w:t>O prestador deve demonstrar que pelo menos um de seus proprietários, membros do conselho e/ou da diretoria executiva tem experiência em transtornos por uso de substâncias.</w:t>
      </w:r>
    </w:p>
    <w:p w14:paraId="2FCCE773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left="1739" w:right="1567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prestador deve demonstrar a necessidade dos serviços propostos. Especificamente, deve ser demonstrada a necessidade do ambiente de atendimento que o requerente selecionou na NOI.</w:t>
      </w:r>
    </w:p>
    <w:p w14:paraId="62D80376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right="1463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prestador deve providenciar seu processo de diligência para garantir que quaisquer regulamentos estaduais e/ou federais sejam observados.</w:t>
      </w:r>
    </w:p>
    <w:p w14:paraId="1409BA29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right="1548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Demonstração de total conformidade com o Título 105, item 164.000, do Código de Regulamentos de Massachusetts (CMR), incluindo equipe necessária no processo de solicitação de licenciamento completo após a aprovação da NOI. A aprovação da NOI não garante que a licença será aprovada.</w:t>
      </w:r>
    </w:p>
    <w:p w14:paraId="6C6E9664" w14:textId="77777777" w:rsidR="002A029E" w:rsidRPr="00D10A50" w:rsidRDefault="00D263CB" w:rsidP="00D970E6">
      <w:pPr>
        <w:pStyle w:val="Heading1"/>
        <w:spacing w:before="240" w:after="240"/>
        <w:ind w:right="673" w:hanging="1"/>
        <w:rPr>
          <w:rFonts w:ascii="Arial" w:hAnsi="Arial" w:cs="Arial"/>
          <w:sz w:val="24"/>
          <w:szCs w:val="24"/>
        </w:rPr>
      </w:pPr>
      <w:bookmarkStart w:id="7" w:name="Does_a_prospective_provider_need_to_have"/>
      <w:bookmarkEnd w:id="7"/>
      <w:r>
        <w:rPr>
          <w:rFonts w:ascii="Arial" w:hAnsi="Arial"/>
          <w:sz w:val="24"/>
          <w:szCs w:val="24"/>
        </w:rPr>
        <w:t>O potencial prestador precisa ter controle de um local para enviar uma NOI?</w:t>
      </w:r>
    </w:p>
    <w:p w14:paraId="698C59B6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0" w:line="259" w:lineRule="auto"/>
        <w:ind w:left="1739" w:right="1481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ideal é que a cidade onde os serviços estão sendo propostos seja identificada na NOI. Conforme explicado acima, os prestadores devem ser capazes de demonstrar a necessidade dos serviços na área proposta. É importante identificar os serviços que serão oferecidos pela instituição e ter uma área ou região identificada do estado onde o programa proposto será citado.</w:t>
      </w:r>
    </w:p>
    <w:p w14:paraId="5298DD6A" w14:textId="77777777" w:rsidR="002A029E" w:rsidRPr="00D10A50" w:rsidRDefault="00D263CB" w:rsidP="00D263CB">
      <w:pPr>
        <w:pStyle w:val="Heading1"/>
        <w:spacing w:before="240"/>
        <w:jc w:val="both"/>
        <w:rPr>
          <w:rFonts w:ascii="Arial" w:hAnsi="Arial" w:cs="Arial"/>
          <w:sz w:val="24"/>
          <w:szCs w:val="24"/>
        </w:rPr>
      </w:pPr>
      <w:bookmarkStart w:id="8" w:name="Does_suitability_expire?"/>
      <w:bookmarkEnd w:id="8"/>
      <w:r>
        <w:rPr>
          <w:rFonts w:ascii="Arial" w:hAnsi="Arial"/>
          <w:sz w:val="24"/>
          <w:szCs w:val="24"/>
        </w:rPr>
        <w:t>Existe uma data de validade para a adequação?</w:t>
      </w:r>
    </w:p>
    <w:p w14:paraId="4D731156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40"/>
        </w:tabs>
        <w:spacing w:line="259" w:lineRule="auto"/>
        <w:ind w:left="1739" w:right="12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A aprovação da NOI é válida por um ano após a data de emissão da carta de aprovação. O BSAS pode reavaliar a adequação de uma instituição se nenhuma providência for tomada para obter licenciamento ou aprovação em até um ano após a aprovação da adequação.</w:t>
      </w:r>
    </w:p>
    <w:p w14:paraId="367FA342" w14:textId="77777777" w:rsidR="002A029E" w:rsidRPr="00D10A50" w:rsidRDefault="00D263CB" w:rsidP="00D263CB">
      <w:pPr>
        <w:pStyle w:val="Heading1"/>
        <w:spacing w:before="240"/>
        <w:ind w:right="673" w:hanging="1"/>
        <w:rPr>
          <w:rFonts w:ascii="Arial" w:hAnsi="Arial" w:cs="Arial"/>
          <w:sz w:val="24"/>
          <w:szCs w:val="24"/>
        </w:rPr>
      </w:pPr>
      <w:bookmarkStart w:id="9" w:name="What_are_the_responsibilities_of_an_enti"/>
      <w:bookmarkEnd w:id="9"/>
      <w:r>
        <w:rPr>
          <w:rFonts w:ascii="Arial" w:hAnsi="Arial"/>
          <w:sz w:val="24"/>
          <w:szCs w:val="24"/>
        </w:rPr>
        <w:t>Quais são as responsabilidades de uma instituição que recebeu aprovação de adequação, mas não recebeu uma licença ou aprovação do BSAS?</w:t>
      </w:r>
    </w:p>
    <w:p w14:paraId="59A6FEC8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left="1739" w:right="1528" w:hanging="36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Se um requerente for considerado adequado, ficará encarregado de informar ao BSAS quaisquer alterações que possam ser relevantes para sua adequação ao requerer a licença inicial. Dentre as alterações estão acusações em matéria penal ou civil, alterações em questões financeiras, mudança do quadro societário ou qualquer ação instaurada por um órgão regulador ou certificador.</w:t>
      </w:r>
    </w:p>
    <w:p w14:paraId="042D156F" w14:textId="77777777" w:rsidR="002A029E" w:rsidRPr="00D10A50" w:rsidRDefault="00D263CB" w:rsidP="00D263CB">
      <w:pPr>
        <w:pStyle w:val="Heading1"/>
        <w:spacing w:before="240"/>
        <w:ind w:left="659" w:right="673"/>
        <w:rPr>
          <w:rFonts w:ascii="Arial" w:hAnsi="Arial" w:cs="Arial"/>
          <w:sz w:val="24"/>
          <w:szCs w:val="24"/>
        </w:rPr>
      </w:pPr>
      <w:bookmarkStart w:id="10" w:name="What_factors_are_taken_into_consideratio"/>
      <w:bookmarkEnd w:id="10"/>
      <w:r>
        <w:rPr>
          <w:rFonts w:ascii="Arial" w:hAnsi="Arial"/>
          <w:sz w:val="24"/>
          <w:szCs w:val="24"/>
        </w:rPr>
        <w:t>Quais fatores são analisados para que um programa demonstre a necessidade de um programa de tratamento de transtornos por uso de substâncias?</w:t>
      </w:r>
    </w:p>
    <w:p w14:paraId="509BF6CD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1"/>
        <w:ind w:left="1739" w:right="757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O requerente deve apresentar comprovação objetiva como parte do requerimento, indicando que os serviços são necessários no local proposto, incluindo acesso geográfico ao cuidado contínuo e acesso a um cuidado contínuo equilibrado em termos da proporção de cada tipo de serviço.</w:t>
      </w:r>
    </w:p>
    <w:p w14:paraId="6971ACD4" w14:textId="77777777" w:rsidR="002A029E" w:rsidRPr="00D10A50" w:rsidRDefault="00D263CB" w:rsidP="00D263CB">
      <w:pPr>
        <w:pStyle w:val="ListParagraph"/>
        <w:pageBreakBefore/>
        <w:numPr>
          <w:ilvl w:val="2"/>
          <w:numId w:val="1"/>
        </w:numPr>
        <w:tabs>
          <w:tab w:val="left" w:pos="1739"/>
        </w:tabs>
        <w:spacing w:before="80"/>
        <w:ind w:left="1742" w:right="1570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O requerente deve explicar como foi feita a avaliação e apresentar documentação comprobatória (ou seja, </w:t>
      </w:r>
      <w:r>
        <w:rPr>
          <w:rFonts w:ascii="Arial" w:hAnsi="Arial"/>
          <w:i/>
        </w:rPr>
        <w:t>qual pesquisa de mercado foi realizada</w:t>
      </w:r>
      <w:r>
        <w:rPr>
          <w:rFonts w:ascii="Arial" w:hAnsi="Arial"/>
        </w:rPr>
        <w:t>).</w:t>
      </w:r>
    </w:p>
    <w:p w14:paraId="4900359B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ind w:left="1739" w:right="850"/>
        <w:rPr>
          <w:rFonts w:ascii="Arial" w:hAnsi="Arial" w:cs="Arial"/>
        </w:rPr>
      </w:pPr>
      <w:r>
        <w:rPr>
          <w:rFonts w:ascii="Arial" w:hAnsi="Arial"/>
        </w:rPr>
        <w:t>Deve-se explicar como o programa proposto abordará as disparidades de saúde por meio do acesso a serviços para populações vulneráveis e pessoas com condições de saúde mental e transtorno por uso de substâncias, além de demonstrar a capacidade e o histórico para atender às necessidades dessas populações.</w:t>
      </w:r>
    </w:p>
    <w:p w14:paraId="28154710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ind w:left="1739" w:right="1000"/>
        <w:rPr>
          <w:rFonts w:ascii="Arial" w:hAnsi="Arial" w:cs="Arial"/>
        </w:rPr>
      </w:pPr>
      <w:r>
        <w:rPr>
          <w:rFonts w:ascii="Arial" w:hAnsi="Arial"/>
        </w:rPr>
        <w:t>O requerente deve colaborar com a comunidade proposta, incluindo eventuais prestadores que oferecem serviços semelhantes, e envidar esforços para envolver as partes interessadas da comunidade.</w:t>
      </w:r>
    </w:p>
    <w:p w14:paraId="5353FCCA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ind w:hanging="361"/>
        <w:rPr>
          <w:rFonts w:ascii="Arial" w:hAnsi="Arial" w:cs="Arial"/>
        </w:rPr>
      </w:pPr>
      <w:r>
        <w:rPr>
          <w:rFonts w:ascii="Arial" w:hAnsi="Arial"/>
        </w:rPr>
        <w:t>Recursos úteis:</w:t>
      </w:r>
    </w:p>
    <w:p w14:paraId="5815B244" w14:textId="77777777" w:rsidR="002A029E" w:rsidRPr="00D10A50" w:rsidRDefault="00000000">
      <w:pPr>
        <w:pStyle w:val="ListParagraph"/>
        <w:numPr>
          <w:ilvl w:val="3"/>
          <w:numId w:val="1"/>
        </w:numPr>
        <w:tabs>
          <w:tab w:val="left" w:pos="2460"/>
        </w:tabs>
        <w:spacing w:before="6" w:line="232" w:lineRule="auto"/>
        <w:ind w:right="851"/>
        <w:rPr>
          <w:rFonts w:ascii="Arial" w:hAnsi="Arial" w:cs="Arial"/>
        </w:rPr>
      </w:pPr>
      <w:hyperlink r:id="rId18">
        <w:r w:rsidR="00D501A7">
          <w:rPr>
            <w:rFonts w:ascii="Arial" w:hAnsi="Arial"/>
            <w:color w:val="0000FF"/>
            <w:u w:val="single" w:color="0000FF"/>
          </w:rPr>
          <w:t>https://www.mass.gov/info-details/information-for-licensed-substance-use-</w:t>
        </w:r>
      </w:hyperlink>
      <w:r w:rsidR="00D501A7">
        <w:rPr>
          <w:rFonts w:ascii="Arial" w:hAnsi="Arial"/>
          <w:color w:val="0000FF"/>
        </w:rPr>
        <w:t xml:space="preserve"> </w:t>
      </w:r>
      <w:hyperlink r:id="rId19">
        <w:r w:rsidR="00D501A7">
          <w:rPr>
            <w:rFonts w:ascii="Arial" w:hAnsi="Arial"/>
            <w:color w:val="0000FF"/>
            <w:u w:val="single" w:color="0000FF"/>
          </w:rPr>
          <w:t>disorder-treatment-programs</w:t>
        </w:r>
      </w:hyperlink>
    </w:p>
    <w:p w14:paraId="5364AF39" w14:textId="77777777" w:rsidR="002A029E" w:rsidRPr="00D10A50" w:rsidRDefault="00000000">
      <w:pPr>
        <w:pStyle w:val="ListParagraph"/>
        <w:numPr>
          <w:ilvl w:val="3"/>
          <w:numId w:val="1"/>
        </w:numPr>
        <w:tabs>
          <w:tab w:val="left" w:pos="2460"/>
        </w:tabs>
        <w:spacing w:before="3" w:line="297" w:lineRule="exact"/>
        <w:rPr>
          <w:rFonts w:ascii="Arial" w:hAnsi="Arial" w:cs="Arial"/>
        </w:rPr>
      </w:pPr>
      <w:hyperlink r:id="rId20">
        <w:r w:rsidR="00D501A7">
          <w:rPr>
            <w:rFonts w:ascii="Arial" w:hAnsi="Arial"/>
            <w:color w:val="0000FF"/>
            <w:u w:val="single" w:color="0000FF"/>
          </w:rPr>
          <w:t>https://helplinema.org/</w:t>
        </w:r>
      </w:hyperlink>
    </w:p>
    <w:p w14:paraId="58A2F359" w14:textId="77777777" w:rsidR="002A029E" w:rsidRPr="00D10A50" w:rsidRDefault="00000000">
      <w:pPr>
        <w:pStyle w:val="ListParagraph"/>
        <w:numPr>
          <w:ilvl w:val="3"/>
          <w:numId w:val="1"/>
        </w:numPr>
        <w:tabs>
          <w:tab w:val="left" w:pos="2460"/>
        </w:tabs>
        <w:spacing w:line="235" w:lineRule="auto"/>
        <w:ind w:right="1382"/>
        <w:rPr>
          <w:rFonts w:ascii="Arial" w:hAnsi="Arial" w:cs="Arial"/>
        </w:rPr>
      </w:pPr>
      <w:hyperlink r:id="rId21">
        <w:r w:rsidR="00D501A7">
          <w:rPr>
            <w:rFonts w:ascii="Arial" w:hAnsi="Arial"/>
            <w:color w:val="0000FF"/>
            <w:u w:val="single" w:color="0000FF"/>
          </w:rPr>
          <w:t>https://www.mass.gov/info-details/data-on-enrollments-in-substance-</w:t>
        </w:r>
      </w:hyperlink>
      <w:r w:rsidR="00D501A7">
        <w:rPr>
          <w:rFonts w:ascii="Arial" w:hAnsi="Arial"/>
          <w:color w:val="0000FF"/>
        </w:rPr>
        <w:t xml:space="preserve"> </w:t>
      </w:r>
      <w:hyperlink r:id="rId22">
        <w:r w:rsidR="00D501A7">
          <w:rPr>
            <w:rFonts w:ascii="Arial" w:hAnsi="Arial"/>
            <w:color w:val="0000FF"/>
            <w:u w:val="single" w:color="0000FF"/>
          </w:rPr>
          <w:t>addiction-services</w:t>
        </w:r>
      </w:hyperlink>
    </w:p>
    <w:p w14:paraId="0C981BEC" w14:textId="77777777" w:rsidR="002A029E" w:rsidRPr="00D10A50" w:rsidRDefault="00D263CB" w:rsidP="00D263CB">
      <w:pPr>
        <w:pStyle w:val="Heading1"/>
        <w:spacing w:before="240"/>
        <w:rPr>
          <w:rFonts w:ascii="Arial" w:hAnsi="Arial" w:cs="Arial"/>
          <w:sz w:val="24"/>
          <w:szCs w:val="24"/>
        </w:rPr>
      </w:pPr>
      <w:bookmarkStart w:id="11" w:name="What_is_needed_for_financial_documentati"/>
      <w:bookmarkEnd w:id="11"/>
      <w:r>
        <w:rPr>
          <w:rFonts w:ascii="Arial" w:hAnsi="Arial"/>
          <w:sz w:val="24"/>
          <w:szCs w:val="24"/>
        </w:rPr>
        <w:t>O que é necessário nos documentos financeiros para demonstrar a viabilidade financeira?</w:t>
      </w:r>
    </w:p>
    <w:p w14:paraId="4273E60E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0" w:line="259" w:lineRule="auto"/>
        <w:ind w:left="1739" w:right="1231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Viabilidade financeira: demonstrar a capacidade de o serviço ser financeiramente viável, no mínimo, durante o prazo da licença inicial (6 meses).</w:t>
      </w:r>
    </w:p>
    <w:p w14:paraId="734D7F33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88" w:lineRule="exact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Nível de financiamento para cobrir os custos: caixa e fluxo de caixa; projeções estimadas.</w:t>
      </w:r>
    </w:p>
    <w:p w14:paraId="7F15B8BE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12"/>
        <w:ind w:hanging="36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Plano de negócios para o novo serviço e proposta de orçamento operacional.</w:t>
      </w:r>
    </w:p>
    <w:p w14:paraId="7F5D3C8B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3" w:line="259" w:lineRule="auto"/>
        <w:ind w:left="1739" w:right="1620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Lista com proposta de pagadores ou seguradoras (incluindo seguradoras públicas) com quem o requerente planeja manter relacionamento para obter indicações e benefícios fiscais.</w:t>
      </w:r>
    </w:p>
    <w:p w14:paraId="36E89383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1" w:line="259" w:lineRule="auto"/>
        <w:ind w:right="1591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Nível de financiamento para cobrir o custo: seis meses a um ano. Detalhamento suficiente, incluindo extratos bancários e/ou comprovante de capital ou empréstimos.</w:t>
      </w:r>
    </w:p>
    <w:p w14:paraId="136FDB8A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17"/>
        <w:ind w:hanging="36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Projeções de receitas, custos e despesas e plano de gestão fiscal e tributária.</w:t>
      </w:r>
    </w:p>
    <w:p w14:paraId="4545F388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11"/>
        <w:ind w:hanging="36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Rubricas dos lucros e prejuízos.</w:t>
      </w:r>
    </w:p>
    <w:p w14:paraId="397FC518" w14:textId="77777777" w:rsidR="002A029E" w:rsidRPr="00D10A50" w:rsidRDefault="00D263CB" w:rsidP="00D263CB">
      <w:pPr>
        <w:pStyle w:val="Heading1"/>
        <w:spacing w:before="240"/>
        <w:rPr>
          <w:rFonts w:ascii="Arial" w:hAnsi="Arial" w:cs="Arial"/>
          <w:sz w:val="24"/>
          <w:szCs w:val="24"/>
        </w:rPr>
      </w:pPr>
      <w:bookmarkStart w:id="12" w:name="How_long_does_it_take_to_receive_a_BSAS_"/>
      <w:bookmarkEnd w:id="12"/>
      <w:r>
        <w:rPr>
          <w:rFonts w:ascii="Arial" w:hAnsi="Arial"/>
          <w:sz w:val="24"/>
          <w:szCs w:val="24"/>
        </w:rPr>
        <w:t>Quanto tempo leva para obter uma licença do BSAS?</w:t>
      </w:r>
    </w:p>
    <w:p w14:paraId="75B9068D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left="1739" w:right="118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Os requerimentos NOI para determinar a adequação são analisados conforme são recebidos pela Unidade de Garantia de Qualidade e Licenciamento e pelas unidades de coordenação no Departamento. Dependendo das informações enviadas, os prazos podem variar.</w:t>
      </w:r>
    </w:p>
    <w:p w14:paraId="563D5172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right="1227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processo de licenciamento do BSAS não é estático; dessa forma, não existe um cronograma definido para concluir a licença ou aprovação inicial, pois isso depende dos requisitos específicos, do ambiente de atendimento e da capacidade da instituição de demonstrar conformidade substancial com os requisitos do Título 105, item 164.000, do Código de Regulamentos de Massachusetts (CMR). Durante o processo inicial de licenciamento/aprovação, o requerente e o inspetor de licenciamento manterão contato frequente quanto aos requisitos, suporte técnico e quaisquer prazos identificados pelo departamento.</w:t>
      </w:r>
    </w:p>
    <w:p w14:paraId="54614D3F" w14:textId="77777777" w:rsidR="002A029E" w:rsidRPr="00D10A50" w:rsidRDefault="00D263CB" w:rsidP="00D263CB">
      <w:pPr>
        <w:pStyle w:val="Heading1"/>
        <w:pageBreakBefore/>
        <w:spacing w:before="19"/>
        <w:ind w:left="662" w:right="677"/>
        <w:rPr>
          <w:rFonts w:ascii="Arial" w:hAnsi="Arial" w:cs="Arial"/>
          <w:sz w:val="24"/>
          <w:szCs w:val="24"/>
        </w:rPr>
      </w:pPr>
      <w:bookmarkStart w:id="13" w:name="What_happens_after_suitability_has_been_"/>
      <w:bookmarkEnd w:id="13"/>
      <w:r>
        <w:rPr>
          <w:rFonts w:ascii="Arial" w:hAnsi="Arial"/>
          <w:sz w:val="24"/>
          <w:szCs w:val="24"/>
        </w:rPr>
        <w:lastRenderedPageBreak/>
        <w:t>O que acontece depois que a adequação é determinada pelo processo NOI? Como o prestador saberá quem é seu contato principal no departamento para obter o licenciamento?</w:t>
      </w:r>
    </w:p>
    <w:p w14:paraId="33DD39FC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right="1595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Se a Notificação de Intenção tiver sua adequação aprovada, o departamento enviará as seguintes informações ao prestador (inclusive informações de contato e sobre a etapa seguinte):</w:t>
      </w:r>
    </w:p>
    <w:p w14:paraId="4906590E" w14:textId="77777777" w:rsidR="002A029E" w:rsidRPr="00D10A50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line="252" w:lineRule="auto"/>
        <w:ind w:right="1454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Nome e informações de contato do inspetor de licenciamento na região identificada pelo programa proposto</w:t>
      </w:r>
    </w:p>
    <w:p w14:paraId="13934621" w14:textId="77777777" w:rsidR="002A029E" w:rsidRPr="00D10A50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before="9" w:line="252" w:lineRule="auto"/>
        <w:ind w:left="2459" w:right="1852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Informações sobre o programa eLicensing do BSAS e instruções para configurar o acesso da instituição</w:t>
      </w:r>
    </w:p>
    <w:sectPr w:rsidR="002A029E" w:rsidRPr="00D10A50">
      <w:headerReference w:type="default" r:id="rId23"/>
      <w:pgSz w:w="12240" w:h="15840"/>
      <w:pgMar w:top="1420" w:right="7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D6C8" w14:textId="77777777" w:rsidR="002D72DE" w:rsidRDefault="002D72DE" w:rsidP="0083791E">
      <w:r>
        <w:separator/>
      </w:r>
    </w:p>
  </w:endnote>
  <w:endnote w:type="continuationSeparator" w:id="0">
    <w:p w14:paraId="3C221B36" w14:textId="77777777" w:rsidR="002D72DE" w:rsidRDefault="002D72DE" w:rsidP="0083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CF5C" w14:textId="77777777" w:rsidR="002D72DE" w:rsidRDefault="002D72DE" w:rsidP="0083791E">
      <w:r>
        <w:separator/>
      </w:r>
    </w:p>
  </w:footnote>
  <w:footnote w:type="continuationSeparator" w:id="0">
    <w:p w14:paraId="57865ED0" w14:textId="77777777" w:rsidR="002D72DE" w:rsidRDefault="002D72DE" w:rsidP="0083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12A1" w14:textId="7F37B550" w:rsidR="0083791E" w:rsidRPr="000B769B" w:rsidRDefault="0083791E" w:rsidP="0083791E">
    <w:pPr>
      <w:spacing w:before="150"/>
      <w:ind w:left="2501" w:right="2132"/>
      <w:jc w:val="center"/>
      <w:rPr>
        <w:rFonts w:ascii="Arial" w:hAnsi="Arial" w:cs="Arial"/>
        <w:sz w:val="36"/>
      </w:rPr>
    </w:pPr>
    <w:r>
      <w:rPr>
        <w:rFonts w:ascii="Arial" w:hAnsi="Arial"/>
        <w:noProof/>
      </w:rPr>
      <w:drawing>
        <wp:anchor distT="0" distB="0" distL="0" distR="0" simplePos="0" relativeHeight="251659264" behindDoc="0" locked="0" layoutInCell="1" allowOverlap="1" wp14:anchorId="2863BD39" wp14:editId="0506E4F8">
          <wp:simplePos x="0" y="0"/>
          <wp:positionH relativeFrom="page">
            <wp:posOffset>612799</wp:posOffset>
          </wp:positionH>
          <wp:positionV relativeFrom="paragraph">
            <wp:posOffset>-3493</wp:posOffset>
          </wp:positionV>
          <wp:extent cx="897377" cy="1067231"/>
          <wp:effectExtent l="0" t="0" r="0" b="0"/>
          <wp:wrapNone/>
          <wp:docPr id="512763004" name="Picture 512763004" descr="Diagram  Description automatically generated with medium confidenc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377" cy="1067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36"/>
      </w:rPr>
      <w:t>Commonwealth de Massachusetts</w:t>
    </w:r>
  </w:p>
  <w:p w14:paraId="11D74DA2" w14:textId="4BA8E5DF" w:rsidR="0083791E" w:rsidRPr="000B769B" w:rsidRDefault="0083791E" w:rsidP="0083791E">
    <w:pPr>
      <w:ind w:left="2501" w:right="2127"/>
      <w:jc w:val="center"/>
      <w:rPr>
        <w:rFonts w:ascii="Arial" w:hAnsi="Arial" w:cs="Arial"/>
        <w:sz w:val="28"/>
      </w:rPr>
    </w:pPr>
    <w:r>
      <w:rPr>
        <w:rFonts w:ascii="Arial" w:hAnsi="Arial"/>
        <w:sz w:val="28"/>
      </w:rPr>
      <w:t xml:space="preserve">Executive Office of Health and Human Services Department of Public Health </w:t>
    </w:r>
  </w:p>
  <w:p w14:paraId="0BC9FA99" w14:textId="1733C16A" w:rsidR="0083791E" w:rsidRPr="000B769B" w:rsidRDefault="007549DE" w:rsidP="000B769B">
    <w:pPr>
      <w:spacing w:after="240" w:line="321" w:lineRule="exact"/>
      <w:ind w:left="2501" w:right="2132"/>
      <w:jc w:val="center"/>
      <w:rPr>
        <w:rFonts w:ascii="Arial" w:hAnsi="Arial" w:cs="Arial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349D3E" wp14:editId="2146AA59">
              <wp:simplePos x="0" y="0"/>
              <wp:positionH relativeFrom="column">
                <wp:posOffset>5276850</wp:posOffset>
              </wp:positionH>
              <wp:positionV relativeFrom="paragraph">
                <wp:posOffset>213995</wp:posOffset>
              </wp:positionV>
              <wp:extent cx="1814195" cy="1136015"/>
              <wp:effectExtent l="0" t="0" r="0" b="698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195" cy="113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23EBC" w14:textId="77777777" w:rsidR="007549DE" w:rsidRDefault="007549DE" w:rsidP="007549DE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283D50F2" w14:textId="77777777" w:rsidR="007549DE" w:rsidRPr="00530145" w:rsidRDefault="007549DE" w:rsidP="007549DE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530145">
                            <w:rPr>
                              <w:sz w:val="16"/>
                              <w:szCs w:val="16"/>
                            </w:rPr>
                            <w:t>KATHLEEN E. WALSH</w:t>
                          </w:r>
                        </w:p>
                        <w:p w14:paraId="5357128E" w14:textId="77777777" w:rsidR="007549DE" w:rsidRDefault="007549DE" w:rsidP="007549DE">
                          <w:pPr>
                            <w:pStyle w:val="Governor"/>
                          </w:pPr>
                          <w:r>
                            <w:t xml:space="preserve">Secretary </w:t>
                          </w:r>
                        </w:p>
                        <w:p w14:paraId="4E6FBCBC" w14:textId="77777777" w:rsidR="007549DE" w:rsidRDefault="007549DE" w:rsidP="007549DE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ROBERT GOLDSTEIN, MD, PhD</w:t>
                          </w:r>
                          <w:r w:rsidRPr="00033154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549DE"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  <w:t>Comissária</w:t>
                          </w:r>
                        </w:p>
                        <w:p w14:paraId="2FA84866" w14:textId="77777777" w:rsidR="007549DE" w:rsidRDefault="007549DE" w:rsidP="007549DE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14:paraId="65EE2B32" w14:textId="77777777" w:rsidR="007549DE" w:rsidRPr="004813AC" w:rsidRDefault="007549DE" w:rsidP="00754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617-624-6000</w:t>
                          </w:r>
                        </w:p>
                        <w:p w14:paraId="7CFC1B91" w14:textId="77777777" w:rsidR="007549DE" w:rsidRPr="004813AC" w:rsidRDefault="007549DE" w:rsidP="00754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6EBA73EC" w14:textId="77777777" w:rsidR="007549DE" w:rsidRPr="00FC6B42" w:rsidRDefault="007549DE" w:rsidP="007549DE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349D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5pt;margin-top:16.85pt;width:142.85pt;height:8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" stroked="f">
              <v:textbox style="mso-fit-shape-to-text:t">
                <w:txbxContent>
                  <w:p w14:paraId="02523EBC" w14:textId="77777777" w:rsidR="007549DE" w:rsidRDefault="007549DE" w:rsidP="007549DE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283D50F2" w14:textId="77777777" w:rsidR="007549DE" w:rsidRPr="00530145" w:rsidRDefault="007549DE" w:rsidP="007549DE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 w:rsidRPr="00530145">
                      <w:rPr>
                        <w:sz w:val="16"/>
                        <w:szCs w:val="16"/>
                      </w:rPr>
                      <w:t>KATHLEEN E. WALSH</w:t>
                    </w:r>
                  </w:p>
                  <w:p w14:paraId="5357128E" w14:textId="77777777" w:rsidR="007549DE" w:rsidRDefault="007549DE" w:rsidP="007549DE">
                    <w:pPr>
                      <w:pStyle w:val="Governor"/>
                    </w:pPr>
                    <w:r>
                      <w:t xml:space="preserve">Secretary </w:t>
                    </w:r>
                  </w:p>
                  <w:p w14:paraId="4E6FBCBC" w14:textId="77777777" w:rsidR="007549DE" w:rsidRDefault="007549DE" w:rsidP="007549DE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  <w:r>
                      <w:rPr>
                        <w:rFonts w:ascii="Arial Rounded MT Bold" w:hAnsi="Arial Rounded MT Bold"/>
                        <w:sz w:val="16"/>
                        <w:szCs w:val="16"/>
                      </w:rPr>
                      <w:t>ROBERT GOLDSTEIN, MD, PhD</w:t>
                    </w:r>
                    <w:r w:rsidRPr="00033154">
                      <w:rPr>
                        <w:rFonts w:ascii="Arial Rounded MT Bold" w:hAnsi="Arial Rounded MT Bold"/>
                        <w:sz w:val="16"/>
                        <w:szCs w:val="16"/>
                      </w:rPr>
                      <w:t xml:space="preserve"> </w:t>
                    </w:r>
                    <w:r w:rsidRPr="007549DE">
                      <w:rPr>
                        <w:rFonts w:ascii="Arial Rounded MT Bold" w:hAnsi="Arial Rounded MT Bold"/>
                        <w:sz w:val="14"/>
                        <w:szCs w:val="14"/>
                      </w:rPr>
                      <w:t>Comissária</w:t>
                    </w:r>
                  </w:p>
                  <w:p w14:paraId="2FA84866" w14:textId="77777777" w:rsidR="007549DE" w:rsidRDefault="007549DE" w:rsidP="007549DE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  <w:p w14:paraId="65EE2B32" w14:textId="77777777" w:rsidR="007549DE" w:rsidRPr="004813AC" w:rsidRDefault="007549DE" w:rsidP="007549DE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617-624-6000</w:t>
                    </w:r>
                  </w:p>
                  <w:p w14:paraId="7CFC1B91" w14:textId="77777777" w:rsidR="007549DE" w:rsidRPr="004813AC" w:rsidRDefault="007549DE" w:rsidP="007549DE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6EBA73EC" w14:textId="77777777" w:rsidR="007549DE" w:rsidRPr="00FC6B42" w:rsidRDefault="007549DE" w:rsidP="007549DE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3791E">
      <w:rPr>
        <w:rFonts w:ascii="Arial" w:hAnsi="Arial"/>
        <w:sz w:val="28"/>
      </w:rPr>
      <w:t>250 Washington Street, Boston, MA 02108-4619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9"/>
      <w:gridCol w:w="5351"/>
    </w:tblGrid>
    <w:tr w:rsidR="0083791E" w:rsidRPr="000B7213" w14:paraId="676F9F4E" w14:textId="77777777" w:rsidTr="00D263CB">
      <w:trPr>
        <w:trHeight w:val="1531"/>
      </w:trPr>
      <w:tc>
        <w:tcPr>
          <w:tcW w:w="5430" w:type="dxa"/>
          <w:vAlign w:val="center"/>
        </w:tcPr>
        <w:p w14:paraId="61B4000D" w14:textId="77777777" w:rsidR="0083791E" w:rsidRPr="00D501A7" w:rsidRDefault="0083791E" w:rsidP="0083791E">
          <w:pPr>
            <w:ind w:right="3024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MAURA T. HEALEY</w:t>
          </w:r>
        </w:p>
        <w:p w14:paraId="5172EFDA" w14:textId="77777777" w:rsidR="0083791E" w:rsidRPr="00D501A7" w:rsidRDefault="0083791E" w:rsidP="0083791E">
          <w:pPr>
            <w:spacing w:after="120"/>
            <w:ind w:right="3024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Governadora</w:t>
          </w:r>
        </w:p>
        <w:p w14:paraId="41686512" w14:textId="77777777" w:rsidR="0083791E" w:rsidRPr="00D501A7" w:rsidRDefault="0083791E" w:rsidP="0083791E">
          <w:pPr>
            <w:spacing w:line="185" w:lineRule="exact"/>
            <w:ind w:right="3024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KIMBERLEY DRISCOLL</w:t>
          </w:r>
        </w:p>
        <w:p w14:paraId="3DF3EA0C" w14:textId="5CFA4C70" w:rsidR="0083791E" w:rsidRDefault="0083791E" w:rsidP="0083791E">
          <w:pPr>
            <w:spacing w:line="162" w:lineRule="exact"/>
            <w:ind w:right="3024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Vice-governadora</w:t>
          </w:r>
        </w:p>
      </w:tc>
      <w:tc>
        <w:tcPr>
          <w:tcW w:w="5442" w:type="dxa"/>
          <w:vAlign w:val="center"/>
        </w:tcPr>
        <w:p w14:paraId="51669504" w14:textId="4E5D936F" w:rsidR="0083791E" w:rsidRPr="00D263CB" w:rsidRDefault="0083791E" w:rsidP="00D263CB">
          <w:pPr>
            <w:pStyle w:val="Header"/>
            <w:ind w:left="3168"/>
            <w:jc w:val="center"/>
          </w:pPr>
        </w:p>
      </w:tc>
    </w:tr>
  </w:tbl>
  <w:p w14:paraId="1078505B" w14:textId="3B1F1FEE" w:rsidR="0083791E" w:rsidRPr="0083791E" w:rsidRDefault="0083791E" w:rsidP="0083791E">
    <w:pPr>
      <w:spacing w:line="162" w:lineRule="exact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829D" w14:textId="77777777" w:rsidR="00D970E6" w:rsidRPr="0083791E" w:rsidRDefault="00D970E6" w:rsidP="0083791E">
    <w:pPr>
      <w:spacing w:line="162" w:lineRule="exac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C3A57"/>
    <w:multiLevelType w:val="hybridMultilevel"/>
    <w:tmpl w:val="C998620E"/>
    <w:lvl w:ilvl="0" w:tplc="3618C5E4">
      <w:numFmt w:val="bullet"/>
      <w:lvlText w:val=""/>
      <w:lvlJc w:val="left"/>
      <w:pPr>
        <w:ind w:left="1740" w:hanging="362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715EA9AE">
      <w:numFmt w:val="bullet"/>
      <w:lvlText w:val="•"/>
      <w:lvlJc w:val="left"/>
      <w:pPr>
        <w:ind w:left="2642" w:hanging="362"/>
      </w:pPr>
      <w:rPr>
        <w:rFonts w:hint="default"/>
        <w:lang w:val="en-US" w:eastAsia="en-US" w:bidi="ar-SA"/>
      </w:rPr>
    </w:lvl>
    <w:lvl w:ilvl="2" w:tplc="F0E4E6B8">
      <w:numFmt w:val="bullet"/>
      <w:lvlText w:val="•"/>
      <w:lvlJc w:val="left"/>
      <w:pPr>
        <w:ind w:left="3544" w:hanging="362"/>
      </w:pPr>
      <w:rPr>
        <w:rFonts w:hint="default"/>
        <w:lang w:val="en-US" w:eastAsia="en-US" w:bidi="ar-SA"/>
      </w:rPr>
    </w:lvl>
    <w:lvl w:ilvl="3" w:tplc="A3B87B2A">
      <w:numFmt w:val="bullet"/>
      <w:lvlText w:val="•"/>
      <w:lvlJc w:val="left"/>
      <w:pPr>
        <w:ind w:left="4446" w:hanging="362"/>
      </w:pPr>
      <w:rPr>
        <w:rFonts w:hint="default"/>
        <w:lang w:val="en-US" w:eastAsia="en-US" w:bidi="ar-SA"/>
      </w:rPr>
    </w:lvl>
    <w:lvl w:ilvl="4" w:tplc="5596D4E4">
      <w:numFmt w:val="bullet"/>
      <w:lvlText w:val="•"/>
      <w:lvlJc w:val="left"/>
      <w:pPr>
        <w:ind w:left="5348" w:hanging="362"/>
      </w:pPr>
      <w:rPr>
        <w:rFonts w:hint="default"/>
        <w:lang w:val="en-US" w:eastAsia="en-US" w:bidi="ar-SA"/>
      </w:rPr>
    </w:lvl>
    <w:lvl w:ilvl="5" w:tplc="A69E643E">
      <w:numFmt w:val="bullet"/>
      <w:lvlText w:val="•"/>
      <w:lvlJc w:val="left"/>
      <w:pPr>
        <w:ind w:left="6250" w:hanging="362"/>
      </w:pPr>
      <w:rPr>
        <w:rFonts w:hint="default"/>
        <w:lang w:val="en-US" w:eastAsia="en-US" w:bidi="ar-SA"/>
      </w:rPr>
    </w:lvl>
    <w:lvl w:ilvl="6" w:tplc="2EFA7564">
      <w:numFmt w:val="bullet"/>
      <w:lvlText w:val="•"/>
      <w:lvlJc w:val="left"/>
      <w:pPr>
        <w:ind w:left="7152" w:hanging="362"/>
      </w:pPr>
      <w:rPr>
        <w:rFonts w:hint="default"/>
        <w:lang w:val="en-US" w:eastAsia="en-US" w:bidi="ar-SA"/>
      </w:rPr>
    </w:lvl>
    <w:lvl w:ilvl="7" w:tplc="E8185DCC">
      <w:numFmt w:val="bullet"/>
      <w:lvlText w:val="•"/>
      <w:lvlJc w:val="left"/>
      <w:pPr>
        <w:ind w:left="8054" w:hanging="362"/>
      </w:pPr>
      <w:rPr>
        <w:rFonts w:hint="default"/>
        <w:lang w:val="en-US" w:eastAsia="en-US" w:bidi="ar-SA"/>
      </w:rPr>
    </w:lvl>
    <w:lvl w:ilvl="8" w:tplc="B43E63C8">
      <w:numFmt w:val="bullet"/>
      <w:lvlText w:val="•"/>
      <w:lvlJc w:val="left"/>
      <w:pPr>
        <w:ind w:left="895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3C097235"/>
    <w:multiLevelType w:val="hybridMultilevel"/>
    <w:tmpl w:val="361EA17A"/>
    <w:lvl w:ilvl="0" w:tplc="61A46200">
      <w:numFmt w:val="bullet"/>
      <w:lvlText w:val="o"/>
      <w:lvlJc w:val="left"/>
      <w:pPr>
        <w:ind w:left="1502" w:hanging="36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0A78F1A6">
      <w:start w:val="1"/>
      <w:numFmt w:val="decimal"/>
      <w:lvlText w:val="%2."/>
      <w:lvlJc w:val="left"/>
      <w:pPr>
        <w:ind w:left="1740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3564B59E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3" w:tplc="E1F28B44"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2A0A06AC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5" w:tplc="38AECCDC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6" w:tplc="B84E360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A22ACB74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  <w:lvl w:ilvl="8" w:tplc="96780E6A">
      <w:numFmt w:val="bullet"/>
      <w:lvlText w:val="•"/>
      <w:lvlJc w:val="left"/>
      <w:pPr>
        <w:ind w:left="8685" w:hanging="360"/>
      </w:pPr>
      <w:rPr>
        <w:rFonts w:hint="default"/>
        <w:lang w:val="en-US" w:eastAsia="en-US" w:bidi="ar-SA"/>
      </w:rPr>
    </w:lvl>
  </w:abstractNum>
  <w:num w:numId="1" w16cid:durableId="1087650437">
    <w:abstractNumId w:val="1"/>
  </w:num>
  <w:num w:numId="2" w16cid:durableId="6122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wsLA0MjW1sDQ0NLBQ0lEKTi0uzszPAykwrAUA5ddWViwAAAA="/>
  </w:docVars>
  <w:rsids>
    <w:rsidRoot w:val="002A029E"/>
    <w:rsid w:val="000B7213"/>
    <w:rsid w:val="000B769B"/>
    <w:rsid w:val="00272F07"/>
    <w:rsid w:val="002A029E"/>
    <w:rsid w:val="002D72DE"/>
    <w:rsid w:val="002E45C2"/>
    <w:rsid w:val="003A6704"/>
    <w:rsid w:val="003C4E1B"/>
    <w:rsid w:val="003D2A45"/>
    <w:rsid w:val="004D42B7"/>
    <w:rsid w:val="006037B0"/>
    <w:rsid w:val="007549DE"/>
    <w:rsid w:val="0083791E"/>
    <w:rsid w:val="00D10A50"/>
    <w:rsid w:val="00D263CB"/>
    <w:rsid w:val="00D501A7"/>
    <w:rsid w:val="00D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E3154"/>
  <w15:docId w15:val="{B2DC98DB-29A5-4794-BC83-90A82E2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2"/>
      <w:ind w:left="10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7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7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91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3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vernor">
    <w:name w:val="Governor"/>
    <w:basedOn w:val="Normal"/>
    <w:rsid w:val="003A6704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mass.gov/info-details/information-for-licensed-substance-use-disorder-treatment-program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mass.gov/info-details/data-on-enrollments-in-substance-addiction-servic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ass.gov/service-details/information-for-licensed-substance-use-disorder-treatment-programs" TargetMode="External"/><Relationship Id="rId17" Type="http://schemas.openxmlformats.org/officeDocument/2006/relationships/hyperlink" Target="https://www.mass.gov/doc/105-cmr-164-licensure-of-substance-use-disorder-treatment-programs/downloa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105-cmr-164-licensure-of-substance-use-disorder-treatment-programs/download" TargetMode="External"/><Relationship Id="rId20" Type="http://schemas.openxmlformats.org/officeDocument/2006/relationships/hyperlink" Target="https://helplinema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service-details/information-for-licensed-substance-use-disorder-treatment-programs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mass.gov/service-details/information-for-licensed-substance-use-disorder-treatment-programs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mass.gov/doc/105-cmr-164-licensure-of-substance-use-disorder-treatment-programs/download" TargetMode="External"/><Relationship Id="rId19" Type="http://schemas.openxmlformats.org/officeDocument/2006/relationships/hyperlink" Target="https://www.mass.gov/info-details/information-for-licensed-substance-use-disorder-treatment-program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ss.gov/doc/105-cmr-164-licensure-of-substance-use-disorder-treatment-programs/download" TargetMode="External"/><Relationship Id="rId14" Type="http://schemas.openxmlformats.org/officeDocument/2006/relationships/hyperlink" Target="https://www.mass.gov/service-details/information-for-licensed-substance-use-disorder-treatment-programs" TargetMode="External"/><Relationship Id="rId22" Type="http://schemas.openxmlformats.org/officeDocument/2006/relationships/hyperlink" Target="https://www.mass.gov/info-details/data-on-enrollments-in-substance-addiction-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f0670806e37e9992a11acec88ce89d68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4eec0165ffa08e770ec6435c509f09e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98907-7376-4825-B073-991FAB82A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195E3-9914-4CA8-89FE-9729E5FAC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1544</Words>
  <Characters>9701</Characters>
  <Application>Microsoft Office Word</Application>
  <DocSecurity>0</DocSecurity>
  <Lines>1077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dc:description/>
  <cp:lastModifiedBy>Tantillo, Sarah (DPH)</cp:lastModifiedBy>
  <cp:revision>9</cp:revision>
  <dcterms:created xsi:type="dcterms:W3CDTF">2023-04-06T07:10:00Z</dcterms:created>
  <dcterms:modified xsi:type="dcterms:W3CDTF">2023-04-26T18:57:00Z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a024a86b-5369-4fe7-a801-7eec8639d8c0</vt:lpwstr>
  </property>
  <property fmtid="{D5CDD505-2E9C-101B-9397-08002B2CF9AE}" pid="5" name="LastSaved">
    <vt:filetime>2023-04-05T00:00:00Z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</Properties>
</file>