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46E" w:rsidRDefault="00643966" w:rsidP="00BF046E">
      <w:r>
        <w:t xml:space="preserve"> </w:t>
      </w:r>
      <w:r w:rsidR="00BF046E">
        <w:t>COMMONWEALTH OF MASSACHUSETTS</w:t>
      </w:r>
    </w:p>
    <w:p w:rsidR="00BF046E" w:rsidRDefault="00BF046E" w:rsidP="00BF046E">
      <w:r>
        <w:t>Suffolk, ss.</w:t>
      </w:r>
      <w:r>
        <w:tab/>
      </w:r>
      <w:r>
        <w:tab/>
      </w:r>
      <w:r>
        <w:tab/>
      </w:r>
      <w:r>
        <w:tab/>
      </w:r>
      <w:r>
        <w:tab/>
      </w:r>
      <w:r>
        <w:tab/>
      </w:r>
      <w:r w:rsidR="00514107">
        <w:t xml:space="preserve">      </w:t>
      </w:r>
      <w:r>
        <w:t>Division of Administrative Law Appeals</w:t>
      </w:r>
    </w:p>
    <w:p w:rsidR="00BF046E" w:rsidRDefault="00BF046E" w:rsidP="00BF046E">
      <w:pPr>
        <w:jc w:val="left"/>
      </w:pPr>
      <w:r>
        <w:t>_______________________________________</w:t>
      </w:r>
    </w:p>
    <w:p w:rsidR="00BF046E" w:rsidRPr="00F168B3" w:rsidRDefault="00A90E7F" w:rsidP="00F168B3">
      <w:pPr>
        <w:spacing w:line="240" w:lineRule="auto"/>
        <w:jc w:val="left"/>
        <w:rPr>
          <w:b/>
        </w:rPr>
      </w:pPr>
      <w:r>
        <w:rPr>
          <w:b/>
        </w:rPr>
        <w:t>Board of Registration in Medicine</w:t>
      </w:r>
      <w:r w:rsidR="00BF046E" w:rsidRPr="00F168B3">
        <w:rPr>
          <w:b/>
        </w:rPr>
        <w:t>,</w:t>
      </w:r>
      <w:r w:rsidR="00F168B3" w:rsidRPr="00F168B3">
        <w:rPr>
          <w:b/>
        </w:rPr>
        <w:tab/>
      </w:r>
      <w:r w:rsidR="00F168B3" w:rsidRPr="00F168B3">
        <w:rPr>
          <w:b/>
        </w:rPr>
        <w:tab/>
      </w:r>
      <w:r w:rsidR="00264D3D">
        <w:rPr>
          <w:b/>
        </w:rPr>
        <w:t xml:space="preserve">  </w:t>
      </w:r>
      <w:r w:rsidR="00264D3D">
        <w:rPr>
          <w:b/>
        </w:rPr>
        <w:tab/>
        <w:t xml:space="preserve">     </w:t>
      </w:r>
      <w:r w:rsidR="00F168B3">
        <w:rPr>
          <w:b/>
        </w:rPr>
        <w:t xml:space="preserve"> </w:t>
      </w:r>
      <w:r w:rsidRPr="00F168B3">
        <w:t>Docket</w:t>
      </w:r>
      <w:r w:rsidR="00264D3D">
        <w:t xml:space="preserve"> No. </w:t>
      </w:r>
      <w:r w:rsidR="002F2835">
        <w:t>R</w:t>
      </w:r>
      <w:r w:rsidR="00264D3D">
        <w:t>M</w:t>
      </w:r>
      <w:r>
        <w:t>-15-</w:t>
      </w:r>
      <w:r w:rsidR="00264D3D">
        <w:t>193</w:t>
      </w:r>
    </w:p>
    <w:p w:rsidR="00BF046E" w:rsidRDefault="00BF046E" w:rsidP="00BF046E">
      <w:pPr>
        <w:spacing w:line="240" w:lineRule="auto"/>
        <w:jc w:val="left"/>
      </w:pPr>
      <w:r w:rsidRPr="00BF046E">
        <w:tab/>
        <w:t>Petitioner</w:t>
      </w:r>
    </w:p>
    <w:p w:rsidR="00C764EB" w:rsidRDefault="00BF046E" w:rsidP="00BF046E">
      <w:pPr>
        <w:spacing w:line="240" w:lineRule="auto"/>
        <w:jc w:val="left"/>
      </w:pPr>
      <w:r>
        <w:tab/>
      </w:r>
      <w:r>
        <w:tab/>
      </w:r>
    </w:p>
    <w:p w:rsidR="00BF046E" w:rsidRDefault="00BF046E" w:rsidP="00C764EB">
      <w:pPr>
        <w:spacing w:line="240" w:lineRule="auto"/>
        <w:ind w:left="720" w:firstLine="720"/>
        <w:jc w:val="left"/>
      </w:pPr>
      <w:r>
        <w:t>v.</w:t>
      </w:r>
    </w:p>
    <w:p w:rsidR="00BF046E" w:rsidRDefault="00BF046E" w:rsidP="00BF046E">
      <w:pPr>
        <w:spacing w:line="240" w:lineRule="auto"/>
        <w:jc w:val="left"/>
      </w:pPr>
    </w:p>
    <w:p w:rsidR="00BF046E" w:rsidRDefault="00A90E7F" w:rsidP="00BF046E">
      <w:pPr>
        <w:spacing w:line="240" w:lineRule="auto"/>
        <w:jc w:val="left"/>
        <w:rPr>
          <w:b/>
        </w:rPr>
      </w:pPr>
      <w:r>
        <w:rPr>
          <w:b/>
        </w:rPr>
        <w:t>Medhat Michael</w:t>
      </w:r>
      <w:r w:rsidR="00BF046E">
        <w:rPr>
          <w:b/>
        </w:rPr>
        <w:t>,</w:t>
      </w:r>
      <w:r w:rsidR="007F3C8E">
        <w:rPr>
          <w:b/>
        </w:rPr>
        <w:t xml:space="preserve"> M.D.,</w:t>
      </w:r>
    </w:p>
    <w:p w:rsidR="00BF046E" w:rsidRDefault="00BF046E" w:rsidP="00BF046E">
      <w:pPr>
        <w:spacing w:line="240" w:lineRule="auto"/>
        <w:jc w:val="left"/>
      </w:pPr>
      <w:r>
        <w:rPr>
          <w:b/>
        </w:rPr>
        <w:tab/>
      </w:r>
      <w:r>
        <w:t>Respondent</w:t>
      </w:r>
    </w:p>
    <w:p w:rsidR="00BF046E" w:rsidRDefault="00BF046E" w:rsidP="00BF046E">
      <w:pPr>
        <w:jc w:val="left"/>
      </w:pPr>
      <w:r>
        <w:t>_______________________________________</w:t>
      </w:r>
    </w:p>
    <w:p w:rsidR="009252EA" w:rsidRDefault="008F78D2" w:rsidP="009B6D08">
      <w:pPr>
        <w:spacing w:line="240" w:lineRule="auto"/>
        <w:rPr>
          <w:b/>
        </w:rPr>
      </w:pPr>
      <w:r>
        <w:rPr>
          <w:b/>
        </w:rPr>
        <w:t>R</w:t>
      </w:r>
      <w:r w:rsidR="00C6080C">
        <w:rPr>
          <w:b/>
        </w:rPr>
        <w:t xml:space="preserve">ULING ON MOTION FOR SUMMARY </w:t>
      </w:r>
      <w:r w:rsidR="009252EA">
        <w:rPr>
          <w:b/>
        </w:rPr>
        <w:t>DECISION</w:t>
      </w:r>
    </w:p>
    <w:p w:rsidR="009B6D08" w:rsidRDefault="009B6D08" w:rsidP="009B6D08">
      <w:pPr>
        <w:spacing w:line="240" w:lineRule="auto"/>
        <w:rPr>
          <w:b/>
        </w:rPr>
      </w:pPr>
    </w:p>
    <w:p w:rsidR="009252EA" w:rsidRPr="003866D0" w:rsidRDefault="009252EA" w:rsidP="009252EA">
      <w:pPr>
        <w:rPr>
          <w:b/>
        </w:rPr>
      </w:pPr>
      <w:r w:rsidRPr="003866D0">
        <w:rPr>
          <w:b/>
        </w:rPr>
        <w:t>INTRODUCTION</w:t>
      </w:r>
    </w:p>
    <w:p w:rsidR="002F2835" w:rsidRDefault="0071796B" w:rsidP="005B600D">
      <w:pPr>
        <w:ind w:firstLine="720"/>
        <w:jc w:val="left"/>
      </w:pPr>
      <w:r>
        <w:t>On May 8, 2015, the B</w:t>
      </w:r>
      <w:r w:rsidR="0084452E">
        <w:t xml:space="preserve">oard </w:t>
      </w:r>
      <w:r>
        <w:t>of Registration in Med</w:t>
      </w:r>
      <w:r w:rsidR="007F3C8E">
        <w:t>icine issued a Statement of All</w:t>
      </w:r>
      <w:r>
        <w:t>e</w:t>
      </w:r>
      <w:r w:rsidR="007F3C8E">
        <w:t>g</w:t>
      </w:r>
      <w:r>
        <w:t>ations that o</w:t>
      </w:r>
      <w:r w:rsidR="0084452E">
        <w:t xml:space="preserve">rdered </w:t>
      </w:r>
      <w:r>
        <w:t>Medhat Michael, M.D.</w:t>
      </w:r>
      <w:r w:rsidR="00175DD1">
        <w:t>,</w:t>
      </w:r>
      <w:r>
        <w:t xml:space="preserve"> to</w:t>
      </w:r>
      <w:r w:rsidR="0084452E">
        <w:t xml:space="preserve"> show cause why he should not be disciplined pursuant to 243 CMR 1.03(5)(a)12. </w:t>
      </w:r>
      <w:r w:rsidR="00B14950">
        <w:t>The B</w:t>
      </w:r>
      <w:r w:rsidR="009B6D08">
        <w:t xml:space="preserve">oard </w:t>
      </w:r>
      <w:r w:rsidR="00D91CDF">
        <w:t xml:space="preserve">relies </w:t>
      </w:r>
      <w:r w:rsidR="009B6D08">
        <w:t xml:space="preserve">on an order from the Oklahoma </w:t>
      </w:r>
      <w:r w:rsidR="00D91CDF">
        <w:t xml:space="preserve">State Board of Medical Licensure and Supervision </w:t>
      </w:r>
      <w:r w:rsidR="00B14950">
        <w:t>(Oklahoma B</w:t>
      </w:r>
      <w:r w:rsidR="00D91CDF">
        <w:t>oard)</w:t>
      </w:r>
      <w:r w:rsidR="00170A9F">
        <w:t xml:space="preserve"> </w:t>
      </w:r>
      <w:r w:rsidR="00D91CDF">
        <w:t>accepting Dr. Michael’s Voluntary Surrender to Jurisdiction</w:t>
      </w:r>
      <w:r w:rsidR="00650C51">
        <w:t xml:space="preserve"> as grounds that Dr. Michael was disciplined in another state for</w:t>
      </w:r>
      <w:r w:rsidR="00B14950">
        <w:t xml:space="preserve"> conduct</w:t>
      </w:r>
      <w:r w:rsidR="00650C51">
        <w:t xml:space="preserve"> substantially </w:t>
      </w:r>
      <w:r w:rsidR="00B14950">
        <w:t>the same as that for which discipline is authorized in Massachusetts.</w:t>
      </w:r>
      <w:r w:rsidR="00650C51">
        <w:t xml:space="preserve"> Dr. Michael </w:t>
      </w:r>
      <w:r w:rsidR="00CD10FD">
        <w:t>argues</w:t>
      </w:r>
      <w:r w:rsidR="00650C51">
        <w:t xml:space="preserve"> the </w:t>
      </w:r>
      <w:r w:rsidR="002F2835">
        <w:t xml:space="preserve">Oklahoma </w:t>
      </w:r>
      <w:r w:rsidR="00650C51">
        <w:t>order d</w:t>
      </w:r>
      <w:r w:rsidR="002F2835">
        <w:t>oes</w:t>
      </w:r>
      <w:r w:rsidR="00650C51">
        <w:t xml:space="preserve"> not constitute discipline </w:t>
      </w:r>
      <w:r w:rsidR="00462AFF">
        <w:t>because</w:t>
      </w:r>
      <w:r w:rsidR="00650C51">
        <w:t xml:space="preserve"> he </w:t>
      </w:r>
      <w:r w:rsidR="00462AFF">
        <w:t>has</w:t>
      </w:r>
      <w:r w:rsidR="00650C51">
        <w:t xml:space="preserve"> appeal</w:t>
      </w:r>
      <w:r w:rsidR="00462AFF">
        <w:t>ed</w:t>
      </w:r>
      <w:r w:rsidR="00650C51">
        <w:t xml:space="preserve"> the order in Oklahoma. </w:t>
      </w:r>
    </w:p>
    <w:p w:rsidR="00462AFF" w:rsidRDefault="00462AFF" w:rsidP="00462AFF">
      <w:pPr>
        <w:ind w:firstLine="720"/>
        <w:jc w:val="left"/>
      </w:pPr>
      <w:r>
        <w:t>The B</w:t>
      </w:r>
      <w:r w:rsidR="0084452E">
        <w:t>oard refer</w:t>
      </w:r>
      <w:r w:rsidR="004A766A">
        <w:t>r</w:t>
      </w:r>
      <w:r w:rsidR="002F2835">
        <w:t>ed</w:t>
      </w:r>
      <w:r w:rsidR="0084452E">
        <w:t xml:space="preserve"> </w:t>
      </w:r>
      <w:r w:rsidR="0084452E">
        <w:rPr>
          <w:i/>
        </w:rPr>
        <w:t>In the Matter of Medhat Michael, M.D.</w:t>
      </w:r>
      <w:r w:rsidR="0084452E">
        <w:t xml:space="preserve"> to the Division of Administrative Law Appeals for recommended findings of fact and necessary conclusions of law.</w:t>
      </w:r>
      <w:r w:rsidR="002F2835">
        <w:t xml:space="preserve">  </w:t>
      </w:r>
      <w:r>
        <w:t xml:space="preserve">The </w:t>
      </w:r>
      <w:r w:rsidR="00512BA8">
        <w:t>Board</w:t>
      </w:r>
      <w:r>
        <w:t xml:space="preserve"> filed </w:t>
      </w:r>
      <w:r w:rsidR="003866D0">
        <w:t>a</w:t>
      </w:r>
      <w:r>
        <w:t xml:space="preserve"> Motion for Summary Decision on March 11,</w:t>
      </w:r>
      <w:r w:rsidR="002F2835">
        <w:t xml:space="preserve"> 2016</w:t>
      </w:r>
      <w:r>
        <w:t xml:space="preserve">.  Dr. Michael filed </w:t>
      </w:r>
      <w:r w:rsidR="002F2835">
        <w:t>his</w:t>
      </w:r>
      <w:r>
        <w:t xml:space="preserve"> </w:t>
      </w:r>
      <w:r w:rsidR="002F2835">
        <w:t>o</w:t>
      </w:r>
      <w:r>
        <w:t xml:space="preserve">pposition to </w:t>
      </w:r>
      <w:r w:rsidR="002F2835">
        <w:t>the Board’s m</w:t>
      </w:r>
      <w:r>
        <w:t>otion on March 24, 2016</w:t>
      </w:r>
      <w:r w:rsidR="002F2835">
        <w:t>.</w:t>
      </w:r>
    </w:p>
    <w:p w:rsidR="00AD1665" w:rsidRDefault="0036533C" w:rsidP="005B600D">
      <w:pPr>
        <w:ind w:firstLine="720"/>
        <w:jc w:val="left"/>
      </w:pPr>
      <w:r>
        <w:t xml:space="preserve">I </w:t>
      </w:r>
      <w:r w:rsidR="002F2835">
        <w:t xml:space="preserve">have </w:t>
      </w:r>
      <w:r>
        <w:t>entered t</w:t>
      </w:r>
      <w:r w:rsidR="00AD1665">
        <w:t>he following exhibits into evidence:</w:t>
      </w:r>
    </w:p>
    <w:p w:rsidR="00AD1665" w:rsidRDefault="0036533C" w:rsidP="00844A73">
      <w:pPr>
        <w:ind w:firstLine="720"/>
        <w:jc w:val="left"/>
      </w:pPr>
      <w:r>
        <w:t>Ex. 1</w:t>
      </w:r>
      <w:r>
        <w:tab/>
      </w:r>
      <w:r>
        <w:tab/>
      </w:r>
      <w:r w:rsidR="00650C51">
        <w:t>Oklahoma Application to Declare Emergency Suspension of Dr. Medhat Michael dated December 16, 2011 (Petitioner Exhibit A)</w:t>
      </w:r>
      <w:r w:rsidR="00B947A1">
        <w:t>;</w:t>
      </w:r>
    </w:p>
    <w:p w:rsidR="00844A73" w:rsidRDefault="00AD1665" w:rsidP="005B600D">
      <w:pPr>
        <w:ind w:firstLine="720"/>
        <w:jc w:val="left"/>
      </w:pPr>
      <w:r>
        <w:lastRenderedPageBreak/>
        <w:t>Ex. 2</w:t>
      </w:r>
      <w:r>
        <w:tab/>
      </w:r>
      <w:r>
        <w:tab/>
      </w:r>
      <w:r w:rsidR="00650C51">
        <w:t xml:space="preserve">Complaint from the Oklahoma State Board of Medical Licensure and Supervision </w:t>
      </w:r>
      <w:r w:rsidR="000A10C2">
        <w:t xml:space="preserve">dated June 4, 2012 </w:t>
      </w:r>
      <w:r w:rsidR="00650C51">
        <w:t>(</w:t>
      </w:r>
      <w:r w:rsidR="000A10C2">
        <w:t>Petitioner Exhibit B</w:t>
      </w:r>
      <w:r w:rsidR="00650C51">
        <w:t>)</w:t>
      </w:r>
      <w:r w:rsidR="00844A73">
        <w:t>;</w:t>
      </w:r>
    </w:p>
    <w:p w:rsidR="00B947A1" w:rsidRDefault="00B947A1" w:rsidP="00844A73">
      <w:pPr>
        <w:ind w:firstLine="720"/>
        <w:jc w:val="left"/>
      </w:pPr>
      <w:r>
        <w:t>Ex. 3</w:t>
      </w:r>
      <w:r>
        <w:tab/>
      </w:r>
      <w:r>
        <w:tab/>
      </w:r>
      <w:r w:rsidR="000A10C2">
        <w:t>Minutes from the March 6, 2014 Oklahoma Bo</w:t>
      </w:r>
      <w:r w:rsidR="00512BA8">
        <w:t>ard meeting where the Oklahoma B</w:t>
      </w:r>
      <w:r w:rsidR="000A10C2">
        <w:t>oard accepted Dr. Michael’s Voluntary Surrender to Jurisdiction (Respondent Exhibit F)</w:t>
      </w:r>
      <w:r w:rsidR="00844A73">
        <w:t xml:space="preserve">; </w:t>
      </w:r>
    </w:p>
    <w:p w:rsidR="00CF6604" w:rsidRDefault="00B947A1" w:rsidP="007D42DD">
      <w:pPr>
        <w:ind w:firstLine="720"/>
        <w:jc w:val="left"/>
      </w:pPr>
      <w:r>
        <w:t>Ex. 4</w:t>
      </w:r>
      <w:r>
        <w:tab/>
      </w:r>
      <w:r>
        <w:tab/>
      </w:r>
      <w:r w:rsidR="000A10C2">
        <w:t>Oklahoma Board Order Accepting Dr. Michael’s Voluntary Surrender to Jurisdiction dated March 6, 2014 (Petitioner Exhibit D);</w:t>
      </w:r>
    </w:p>
    <w:p w:rsidR="000A10C2" w:rsidRDefault="000A10C2" w:rsidP="007D42DD">
      <w:pPr>
        <w:ind w:firstLine="720"/>
        <w:jc w:val="left"/>
      </w:pPr>
      <w:r>
        <w:t xml:space="preserve">Ex. 5 </w:t>
      </w:r>
      <w:r>
        <w:tab/>
      </w:r>
      <w:r>
        <w:tab/>
        <w:t>Dr. Michael’s Motion for Declaratory Ruling and Motion to Vacate Order Accepting Voluntary Surrender to Jurisdiction dated October 19, 2015</w:t>
      </w:r>
      <w:r w:rsidR="00284B95">
        <w:t xml:space="preserve"> with attachments (copy of the Order, Dr. Michael’s affidavit </w:t>
      </w:r>
      <w:r w:rsidR="00CD0BC8">
        <w:t xml:space="preserve">sworn to </w:t>
      </w:r>
      <w:r w:rsidR="00284B95">
        <w:t>October 1</w:t>
      </w:r>
      <w:r w:rsidR="00CD0BC8">
        <w:t>6</w:t>
      </w:r>
      <w:r w:rsidR="00284B95">
        <w:t>, 2015, Results of March 6, 2014 Oklahoma Board meeting, Dr. Michael’s licensee information on the Oklahoma Board licensee website, Dr. Michael’s entry in the National Practitioner Databank, court fees to be paid by Dr. Michael)</w:t>
      </w:r>
      <w:r>
        <w:t xml:space="preserve"> (Respondent Exhibit </w:t>
      </w:r>
      <w:r w:rsidR="00CD10FD">
        <w:t>B</w:t>
      </w:r>
      <w:r>
        <w:t>)</w:t>
      </w:r>
      <w:r w:rsidR="00284B95">
        <w:t>;</w:t>
      </w:r>
    </w:p>
    <w:p w:rsidR="00CD10FD" w:rsidRDefault="00CD10FD" w:rsidP="007D42DD">
      <w:pPr>
        <w:ind w:firstLine="720"/>
        <w:jc w:val="left"/>
      </w:pPr>
      <w:r>
        <w:t>Ex. 6</w:t>
      </w:r>
      <w:r>
        <w:tab/>
      </w:r>
      <w:r>
        <w:tab/>
        <w:t xml:space="preserve"> Order on Dr. Michael’s Motion for Declaratory Ruling and Motion to Vacate Order Accepting Voluntary Surrender to Jurisdiction dated January 5, 2016 (Petit</w:t>
      </w:r>
      <w:r w:rsidR="0084452E">
        <w:t>i</w:t>
      </w:r>
      <w:r>
        <w:t xml:space="preserve">oner Exhibit E; </w:t>
      </w:r>
      <w:r w:rsidR="00E3716F">
        <w:t>Respondent Exhibit C</w:t>
      </w:r>
      <w:r>
        <w:t>)</w:t>
      </w:r>
      <w:r w:rsidR="00E3716F">
        <w:t>;</w:t>
      </w:r>
    </w:p>
    <w:p w:rsidR="00E3716F" w:rsidRDefault="00E3716F" w:rsidP="007D42DD">
      <w:pPr>
        <w:ind w:firstLine="720"/>
        <w:jc w:val="left"/>
      </w:pPr>
      <w:r>
        <w:t xml:space="preserve">Ex. 7 </w:t>
      </w:r>
      <w:r>
        <w:tab/>
      </w:r>
      <w:r>
        <w:tab/>
        <w:t xml:space="preserve"> Dr. Michael’s appeal o</w:t>
      </w:r>
      <w:r w:rsidR="00175DD1">
        <w:t>f</w:t>
      </w:r>
      <w:r>
        <w:t xml:space="preserve"> the Order on Dr. Michael’s Motion for Declaratory Ruling and Motion to Vacate Order Accepting Voluntary Surrender to Jurisdiction dated January 8, 2016 (Respondent Exhibit D);</w:t>
      </w:r>
    </w:p>
    <w:p w:rsidR="00E3716F" w:rsidRDefault="00E3716F" w:rsidP="007D42DD">
      <w:pPr>
        <w:ind w:firstLine="720"/>
        <w:jc w:val="left"/>
      </w:pPr>
      <w:r>
        <w:t xml:space="preserve">Ex. 8  </w:t>
      </w:r>
      <w:r>
        <w:tab/>
      </w:r>
      <w:r>
        <w:tab/>
        <w:t>Supreme Court of Oklahoma allowing appeal dated February 16, 2016 (Petitioner Exhibit F; Respondent Exhibit E)</w:t>
      </w:r>
      <w:r w:rsidR="00403C7A">
        <w:t>;</w:t>
      </w:r>
    </w:p>
    <w:p w:rsidR="00462AFF" w:rsidRDefault="00462AFF" w:rsidP="00462AFF">
      <w:pPr>
        <w:ind w:firstLine="720"/>
        <w:jc w:val="left"/>
      </w:pPr>
      <w:r>
        <w:t xml:space="preserve">Ex. 9 </w:t>
      </w:r>
      <w:r w:rsidR="00403C7A">
        <w:t xml:space="preserve">   </w:t>
      </w:r>
      <w:r w:rsidR="00403C7A">
        <w:tab/>
        <w:t>Affidavit of Medhat Michael, M.D. dated March 19, 2016 (Respondent Exhibit A).</w:t>
      </w:r>
    </w:p>
    <w:p w:rsidR="009252EA" w:rsidRDefault="002D67E9" w:rsidP="00462AFF">
      <w:pPr>
        <w:ind w:firstLine="720"/>
        <w:jc w:val="left"/>
      </w:pPr>
      <w:r>
        <w:t xml:space="preserve">                                                                                                                                                                                                                                                                                                                                                                                                                                                                                                                                                                                                                                                                                                                                                                  </w:t>
      </w:r>
      <w:r w:rsidR="0008429E">
        <w:t xml:space="preserve">                      </w:t>
      </w:r>
    </w:p>
    <w:p w:rsidR="009252EA" w:rsidRPr="003866D0" w:rsidRDefault="0008429E" w:rsidP="009252EA">
      <w:pPr>
        <w:rPr>
          <w:b/>
        </w:rPr>
      </w:pPr>
      <w:r w:rsidRPr="003866D0">
        <w:rPr>
          <w:b/>
        </w:rPr>
        <w:t>UNDISPUTED FACTS</w:t>
      </w:r>
    </w:p>
    <w:p w:rsidR="00181BA9" w:rsidRDefault="00181BA9" w:rsidP="003F379F">
      <w:pPr>
        <w:ind w:firstLine="720"/>
        <w:jc w:val="both"/>
      </w:pPr>
      <w:r>
        <w:t xml:space="preserve">Based on the evidence in the record, </w:t>
      </w:r>
      <w:r w:rsidR="007D42DD">
        <w:t>the following facts are not in dispute</w:t>
      </w:r>
      <w:r>
        <w:t>:</w:t>
      </w:r>
    </w:p>
    <w:p w:rsidR="00DE57F2" w:rsidRDefault="00403C7A" w:rsidP="003F379F">
      <w:pPr>
        <w:pStyle w:val="ListParagraph"/>
        <w:numPr>
          <w:ilvl w:val="0"/>
          <w:numId w:val="1"/>
        </w:numPr>
        <w:ind w:left="0" w:firstLine="720"/>
        <w:jc w:val="left"/>
      </w:pPr>
      <w:r>
        <w:t>Medhat Michael, M.D. was licensed to practice medicine in Massachusetts in 2001</w:t>
      </w:r>
      <w:r w:rsidR="00F50DDC">
        <w:t xml:space="preserve">, although he has </w:t>
      </w:r>
      <w:r w:rsidR="003143D3">
        <w:t>never</w:t>
      </w:r>
      <w:r w:rsidR="00F50DDC">
        <w:t xml:space="preserve"> practiced in the Commonwealth</w:t>
      </w:r>
      <w:r w:rsidR="00462AFF">
        <w:t>.</w:t>
      </w:r>
      <w:r w:rsidR="00B26930">
        <w:t xml:space="preserve"> </w:t>
      </w:r>
      <w:r>
        <w:t xml:space="preserve">(Exhibit </w:t>
      </w:r>
      <w:r w:rsidR="00287DBF">
        <w:t>9</w:t>
      </w:r>
      <w:r>
        <w:t>).</w:t>
      </w:r>
      <w:r w:rsidR="00462AFF">
        <w:t xml:space="preserve"> </w:t>
      </w:r>
    </w:p>
    <w:p w:rsidR="00C5767D" w:rsidRDefault="00403C7A" w:rsidP="003F379F">
      <w:pPr>
        <w:pStyle w:val="ListParagraph"/>
        <w:numPr>
          <w:ilvl w:val="0"/>
          <w:numId w:val="1"/>
        </w:numPr>
        <w:ind w:left="0" w:firstLine="720"/>
        <w:jc w:val="left"/>
      </w:pPr>
      <w:r>
        <w:t xml:space="preserve">Dr. Michael </w:t>
      </w:r>
      <w:r w:rsidR="00E94BF4">
        <w:t>was licensed to practice</w:t>
      </w:r>
      <w:r w:rsidR="005701FC">
        <w:t xml:space="preserve"> medicine</w:t>
      </w:r>
      <w:r w:rsidR="00E471C6">
        <w:t xml:space="preserve"> in Oklahoma from </w:t>
      </w:r>
      <w:r w:rsidR="002E6474">
        <w:t xml:space="preserve">December 6, </w:t>
      </w:r>
      <w:r w:rsidR="00E471C6">
        <w:t>200</w:t>
      </w:r>
      <w:r w:rsidR="002E6474">
        <w:t>4</w:t>
      </w:r>
      <w:r w:rsidR="00E471C6">
        <w:t xml:space="preserve"> to</w:t>
      </w:r>
      <w:r w:rsidR="002E6474">
        <w:t xml:space="preserve"> March 6, 2014</w:t>
      </w:r>
      <w:r w:rsidR="005701FC">
        <w:t>. (Exhib</w:t>
      </w:r>
      <w:r w:rsidR="00287DBF">
        <w:t>it</w:t>
      </w:r>
      <w:r w:rsidR="003F5492">
        <w:t xml:space="preserve"> </w:t>
      </w:r>
      <w:r w:rsidR="00006742">
        <w:t>5</w:t>
      </w:r>
      <w:r w:rsidR="005701FC">
        <w:t>).</w:t>
      </w:r>
    </w:p>
    <w:p w:rsidR="005701FC" w:rsidRDefault="00006742" w:rsidP="003F379F">
      <w:pPr>
        <w:pStyle w:val="ListParagraph"/>
        <w:numPr>
          <w:ilvl w:val="0"/>
          <w:numId w:val="1"/>
        </w:numPr>
        <w:ind w:left="0" w:firstLine="720"/>
        <w:jc w:val="left"/>
      </w:pPr>
      <w:r>
        <w:t>On December 18,</w:t>
      </w:r>
      <w:r w:rsidR="005701FC">
        <w:t xml:space="preserve"> 2011, Dr. Michael allowed his Massachusetts license to lapse. (</w:t>
      </w:r>
      <w:r w:rsidR="00F42817">
        <w:t>Exhibit</w:t>
      </w:r>
      <w:r w:rsidR="000664E9">
        <w:t xml:space="preserve"> 9</w:t>
      </w:r>
      <w:r w:rsidR="005701FC">
        <w:t>).</w:t>
      </w:r>
    </w:p>
    <w:p w:rsidR="00580676" w:rsidRDefault="00C5767D" w:rsidP="003F379F">
      <w:pPr>
        <w:pStyle w:val="ListParagraph"/>
        <w:numPr>
          <w:ilvl w:val="0"/>
          <w:numId w:val="1"/>
        </w:numPr>
        <w:ind w:left="0" w:firstLine="720"/>
        <w:jc w:val="left"/>
      </w:pPr>
      <w:r>
        <w:t xml:space="preserve">On </w:t>
      </w:r>
      <w:r w:rsidR="005701FC">
        <w:t>D</w:t>
      </w:r>
      <w:r w:rsidR="00512BA8">
        <w:t>ecember 16, 2011, the Oklahoma B</w:t>
      </w:r>
      <w:r w:rsidR="005701FC">
        <w:t xml:space="preserve">oard issued an Application to Declare Emergency Suspension of Dr. Michael’s license </w:t>
      </w:r>
      <w:r w:rsidR="00A31D51">
        <w:t>based on allegations of sexual misconduct</w:t>
      </w:r>
      <w:r w:rsidR="00A92D76">
        <w:t xml:space="preserve"> from patients and employees and obstruction of the Board’s investigation by destroying or altering patient records</w:t>
      </w:r>
      <w:r w:rsidR="00FB7FCB">
        <w:t>. (Exhibit 1).</w:t>
      </w:r>
    </w:p>
    <w:p w:rsidR="00CB3C12" w:rsidRDefault="00E44EB2" w:rsidP="003F379F">
      <w:pPr>
        <w:pStyle w:val="ListParagraph"/>
        <w:numPr>
          <w:ilvl w:val="0"/>
          <w:numId w:val="1"/>
        </w:numPr>
        <w:ind w:left="0" w:firstLine="720"/>
        <w:jc w:val="left"/>
      </w:pPr>
      <w:r>
        <w:t>On</w:t>
      </w:r>
      <w:r w:rsidR="00512BA8">
        <w:t xml:space="preserve"> June</w:t>
      </w:r>
      <w:r>
        <w:t xml:space="preserve"> 1,</w:t>
      </w:r>
      <w:r w:rsidR="00512BA8">
        <w:t xml:space="preserve"> 2012, the Oklahoma B</w:t>
      </w:r>
      <w:r w:rsidR="0066372C">
        <w:t xml:space="preserve">oard filed a formal complaint against Dr. Michael charging him with </w:t>
      </w:r>
      <w:r>
        <w:t xml:space="preserve">sexual misconduct with patients, sexual misconduct with employees, felony sexual battery, obstruction of </w:t>
      </w:r>
      <w:r w:rsidR="008F3735">
        <w:t>B</w:t>
      </w:r>
      <w:r>
        <w:t>oard</w:t>
      </w:r>
      <w:r w:rsidR="008F3735">
        <w:t>’s</w:t>
      </w:r>
      <w:r>
        <w:t xml:space="preserve"> investigation, falsification of medical records, prescribing controlled dangerous drugs to his spouse, refusal to comply with Board subpoenas/falsification of medical records, and fraudulent licensure renewal</w:t>
      </w:r>
      <w:r w:rsidR="0066372C">
        <w:t>. (Exhibit 2).</w:t>
      </w:r>
      <w:r w:rsidR="00AF34F4">
        <w:t xml:space="preserve"> </w:t>
      </w:r>
    </w:p>
    <w:p w:rsidR="0066372C" w:rsidRDefault="00512BA8" w:rsidP="003F379F">
      <w:pPr>
        <w:pStyle w:val="ListParagraph"/>
        <w:numPr>
          <w:ilvl w:val="0"/>
          <w:numId w:val="1"/>
        </w:numPr>
        <w:ind w:left="0" w:firstLine="720"/>
        <w:jc w:val="left"/>
      </w:pPr>
      <w:r>
        <w:t xml:space="preserve">In 2014, the </w:t>
      </w:r>
      <w:r w:rsidR="008F3735">
        <w:t xml:space="preserve">Oklahoma </w:t>
      </w:r>
      <w:r>
        <w:t>B</w:t>
      </w:r>
      <w:r w:rsidR="00AF34F4">
        <w:t>oard staff and Dr. Michael entered into</w:t>
      </w:r>
      <w:r w:rsidR="0066372C">
        <w:t xml:space="preserve"> an agreement </w:t>
      </w:r>
      <w:r w:rsidR="008F3735">
        <w:t xml:space="preserve">in which </w:t>
      </w:r>
      <w:r w:rsidR="0066372C">
        <w:t xml:space="preserve">Dr. Michael </w:t>
      </w:r>
      <w:r w:rsidR="008F3735">
        <w:t xml:space="preserve">would surrender his license and pay legal fees and fines </w:t>
      </w:r>
      <w:r w:rsidR="00AF34F4">
        <w:t xml:space="preserve">in lieu of prosecution </w:t>
      </w:r>
      <w:r w:rsidR="008F3735">
        <w:t xml:space="preserve">and </w:t>
      </w:r>
      <w:r w:rsidR="00AF34F4">
        <w:t xml:space="preserve">without admitting guilt to any of the </w:t>
      </w:r>
      <w:r w:rsidR="008F3735">
        <w:t xml:space="preserve">complaint’s </w:t>
      </w:r>
      <w:r w:rsidR="00AF34F4">
        <w:t xml:space="preserve">allegations. </w:t>
      </w:r>
      <w:r w:rsidR="004F6D05">
        <w:t>(Exhibit 4).</w:t>
      </w:r>
    </w:p>
    <w:p w:rsidR="00AF34F4" w:rsidRDefault="00AF34F4" w:rsidP="003F379F">
      <w:pPr>
        <w:pStyle w:val="ListParagraph"/>
        <w:numPr>
          <w:ilvl w:val="0"/>
          <w:numId w:val="1"/>
        </w:numPr>
        <w:ind w:left="0" w:firstLine="720"/>
        <w:jc w:val="left"/>
      </w:pPr>
      <w:r>
        <w:t xml:space="preserve">The agreement was titled “Voluntary Surrender to Jurisdiction” </w:t>
      </w:r>
      <w:r w:rsidR="00C276F4">
        <w:t>and was accepted</w:t>
      </w:r>
      <w:r w:rsidR="00E83355">
        <w:rPr>
          <w:rStyle w:val="FootnoteReference"/>
        </w:rPr>
        <w:footnoteReference w:id="1"/>
      </w:r>
      <w:r w:rsidR="00C276F4">
        <w:t xml:space="preserve"> by the</w:t>
      </w:r>
      <w:r w:rsidR="00043BB1">
        <w:t xml:space="preserve"> Oklahoma</w:t>
      </w:r>
      <w:r w:rsidR="00C276F4">
        <w:t xml:space="preserve"> Board on March 6, 2014. </w:t>
      </w:r>
      <w:r w:rsidR="00043BB1">
        <w:t xml:space="preserve">(Exhibit </w:t>
      </w:r>
      <w:r w:rsidR="008F3735">
        <w:t>4</w:t>
      </w:r>
      <w:r w:rsidR="00043BB1">
        <w:t>).</w:t>
      </w:r>
    </w:p>
    <w:p w:rsidR="00B14639" w:rsidRDefault="00B14639" w:rsidP="003F379F">
      <w:pPr>
        <w:pStyle w:val="ListParagraph"/>
        <w:numPr>
          <w:ilvl w:val="0"/>
          <w:numId w:val="1"/>
        </w:numPr>
        <w:ind w:left="0" w:firstLine="720"/>
        <w:jc w:val="left"/>
      </w:pPr>
      <w:r>
        <w:t>As required by Oklahoma law, the agreement also was submitted to Oklahoma’s Office of the Attorney General for approval. (Exhibit 6).</w:t>
      </w:r>
    </w:p>
    <w:p w:rsidR="000664E9" w:rsidRDefault="00520E23" w:rsidP="003F379F">
      <w:pPr>
        <w:pStyle w:val="ListParagraph"/>
        <w:numPr>
          <w:ilvl w:val="0"/>
          <w:numId w:val="1"/>
        </w:numPr>
        <w:ind w:left="0" w:firstLine="720"/>
        <w:jc w:val="left"/>
      </w:pPr>
      <w:r>
        <w:t xml:space="preserve">On October 19, </w:t>
      </w:r>
      <w:r w:rsidR="000664E9">
        <w:t xml:space="preserve">2015, Dr. Michael </w:t>
      </w:r>
      <w:r>
        <w:t xml:space="preserve">filed </w:t>
      </w:r>
      <w:r w:rsidR="007B4AD3">
        <w:t xml:space="preserve">with the Oklahoma Board </w:t>
      </w:r>
      <w:r>
        <w:t>a Motion for Declaratory Ruling and to Vacate Order Accepting Voluntary Surrender to Jurisdiction</w:t>
      </w:r>
      <w:r w:rsidR="007B4AD3">
        <w:t xml:space="preserve">. He argued </w:t>
      </w:r>
      <w:r>
        <w:t xml:space="preserve">that the </w:t>
      </w:r>
      <w:r w:rsidR="00157D29">
        <w:t>agreement accepted by the Oklahoma Board did not meet statutory requirements for license surrender in lieu of prosecution and is, thus, void and, moreover, does not reflect the agreement he reached with Board staff.</w:t>
      </w:r>
      <w:r w:rsidR="00DA68E7">
        <w:t xml:space="preserve"> (Exhibits 3, 5</w:t>
      </w:r>
      <w:r w:rsidR="000664E9">
        <w:t>).</w:t>
      </w:r>
    </w:p>
    <w:p w:rsidR="004A15B2" w:rsidRDefault="00676DD2" w:rsidP="003F379F">
      <w:pPr>
        <w:pStyle w:val="ListParagraph"/>
        <w:numPr>
          <w:ilvl w:val="0"/>
          <w:numId w:val="1"/>
        </w:numPr>
        <w:ind w:left="0" w:firstLine="720"/>
        <w:jc w:val="left"/>
      </w:pPr>
      <w:r>
        <w:t xml:space="preserve">In an affidavit sworn to on </w:t>
      </w:r>
      <w:r w:rsidR="004A15B2">
        <w:t xml:space="preserve">October 16, 2015, Dr. Michael </w:t>
      </w:r>
      <w:r>
        <w:t>st</w:t>
      </w:r>
      <w:r w:rsidR="0019445E">
        <w:t>ated</w:t>
      </w:r>
      <w:r>
        <w:t xml:space="preserve"> that in early 2014</w:t>
      </w:r>
      <w:r w:rsidR="0019445E">
        <w:t xml:space="preserve"> </w:t>
      </w:r>
      <w:r w:rsidR="004A15B2">
        <w:t>he agree</w:t>
      </w:r>
      <w:r>
        <w:t>d</w:t>
      </w:r>
      <w:r w:rsidR="004A15B2">
        <w:t xml:space="preserve"> to</w:t>
      </w:r>
      <w:r>
        <w:t xml:space="preserve">: </w:t>
      </w:r>
      <w:r w:rsidR="004A15B2">
        <w:t>submit to the Board’s jurisdiction</w:t>
      </w:r>
      <w:r>
        <w:t xml:space="preserve">; </w:t>
      </w:r>
      <w:r w:rsidR="004A15B2">
        <w:t xml:space="preserve">relinquish his </w:t>
      </w:r>
      <w:r>
        <w:t xml:space="preserve">medical </w:t>
      </w:r>
      <w:r w:rsidR="004A15B2">
        <w:t xml:space="preserve">license with no admission of guilt but </w:t>
      </w:r>
      <w:r>
        <w:t xml:space="preserve">did </w:t>
      </w:r>
      <w:r w:rsidR="004A15B2">
        <w:t xml:space="preserve">not intend his relinquishment </w:t>
      </w:r>
      <w:r>
        <w:t>to be</w:t>
      </w:r>
      <w:r w:rsidR="004A15B2">
        <w:t xml:space="preserve"> a surrender of his license as a result of prosecution</w:t>
      </w:r>
      <w:r>
        <w:t>;</w:t>
      </w:r>
      <w:r w:rsidR="004A15B2">
        <w:t xml:space="preserve"> </w:t>
      </w:r>
      <w:r>
        <w:t xml:space="preserve">no admission of wrongdoing; and no report of </w:t>
      </w:r>
      <w:r w:rsidR="00F23501">
        <w:t xml:space="preserve">his </w:t>
      </w:r>
      <w:r>
        <w:t>license surrender to the National Practitioner Data Bank.</w:t>
      </w:r>
      <w:r w:rsidR="004A15B2">
        <w:t xml:space="preserve"> (Exhibit 5).</w:t>
      </w:r>
    </w:p>
    <w:p w:rsidR="00B00CB5" w:rsidRDefault="00C71938" w:rsidP="003F379F">
      <w:pPr>
        <w:pStyle w:val="ListParagraph"/>
        <w:numPr>
          <w:ilvl w:val="0"/>
          <w:numId w:val="1"/>
        </w:numPr>
        <w:ind w:left="0" w:firstLine="720"/>
        <w:jc w:val="left"/>
      </w:pPr>
      <w:r>
        <w:t xml:space="preserve">On January 5, 2016, the Oklahoma Board </w:t>
      </w:r>
      <w:r w:rsidR="00F23501">
        <w:t xml:space="preserve">issued an order denying </w:t>
      </w:r>
      <w:r w:rsidR="001D6BE0">
        <w:t>Dr. Michael’s</w:t>
      </w:r>
      <w:r>
        <w:t xml:space="preserve"> </w:t>
      </w:r>
      <w:r w:rsidR="00F23501">
        <w:t>m</w:t>
      </w:r>
      <w:r>
        <w:t xml:space="preserve">otion </w:t>
      </w:r>
      <w:r w:rsidR="00B00CB5">
        <w:t xml:space="preserve">concluding that </w:t>
      </w:r>
      <w:r w:rsidR="00E17AC8">
        <w:t>Dr. Michael</w:t>
      </w:r>
      <w:r w:rsidR="002A5981">
        <w:t xml:space="preserve"> </w:t>
      </w:r>
      <w:r w:rsidR="00B00CB5">
        <w:t xml:space="preserve">executed </w:t>
      </w:r>
      <w:r w:rsidR="001D6BE0">
        <w:t xml:space="preserve">an agreement </w:t>
      </w:r>
      <w:r w:rsidR="00B00CB5">
        <w:t>that constitutes a voluntary submittal to jurisdiction and not a surrender in lieu of prosecution</w:t>
      </w:r>
      <w:r w:rsidR="00EB7EEC">
        <w:t xml:space="preserve">. </w:t>
      </w:r>
    </w:p>
    <w:p w:rsidR="00BF3D76" w:rsidRDefault="00F23501" w:rsidP="003F379F">
      <w:pPr>
        <w:pStyle w:val="ListParagraph"/>
        <w:numPr>
          <w:ilvl w:val="0"/>
          <w:numId w:val="1"/>
        </w:numPr>
        <w:ind w:left="0" w:firstLine="720"/>
        <w:jc w:val="left"/>
      </w:pPr>
      <w:r>
        <w:t xml:space="preserve">As required by Oklahoma law, the order also was submitted to Oklahoma’s Office of the Attorney General for approval. </w:t>
      </w:r>
      <w:r w:rsidR="001D6BE0">
        <w:t>(Exhibit 6).</w:t>
      </w:r>
    </w:p>
    <w:p w:rsidR="004F6D05" w:rsidRDefault="004F6D05" w:rsidP="003F379F">
      <w:pPr>
        <w:pStyle w:val="ListParagraph"/>
        <w:numPr>
          <w:ilvl w:val="0"/>
          <w:numId w:val="1"/>
        </w:numPr>
        <w:ind w:left="0" w:firstLine="720"/>
        <w:jc w:val="left"/>
      </w:pPr>
      <w:r>
        <w:t>The Attorney General of Oklahoma approved the order (Exhibit 8)</w:t>
      </w:r>
      <w:r w:rsidR="000664E9">
        <w:t>.</w:t>
      </w:r>
    </w:p>
    <w:p w:rsidR="00B00CB5" w:rsidRDefault="00B00CB5" w:rsidP="003F379F">
      <w:pPr>
        <w:pStyle w:val="ListParagraph"/>
        <w:numPr>
          <w:ilvl w:val="0"/>
          <w:numId w:val="1"/>
        </w:numPr>
        <w:ind w:left="0" w:firstLine="720"/>
        <w:jc w:val="left"/>
      </w:pPr>
      <w:r>
        <w:t>On January 8, 2016, Dr. Michael appealed the Oklahoma Board’s decision to the Supreme Court of the State of Oklahoma. (Exhibit 7).</w:t>
      </w:r>
    </w:p>
    <w:p w:rsidR="009252EA" w:rsidRPr="00C6080C" w:rsidRDefault="00F7094F" w:rsidP="00C30FEC">
      <w:pPr>
        <w:rPr>
          <w:b/>
        </w:rPr>
      </w:pPr>
      <w:r w:rsidRPr="00C6080C">
        <w:rPr>
          <w:b/>
        </w:rPr>
        <w:t>DISCUSSION</w:t>
      </w:r>
    </w:p>
    <w:p w:rsidR="00462AFF" w:rsidRDefault="00462AFF" w:rsidP="00850C5E">
      <w:pPr>
        <w:spacing w:line="240" w:lineRule="auto"/>
        <w:ind w:left="720" w:right="1440"/>
        <w:jc w:val="left"/>
      </w:pPr>
      <w:r>
        <w:t>When a party is of the opinion there is no genuine issue of fact relating to all or part of a claim or defense and he is entitled to prevail as a matter of law, the Party may move, with or without supporting affidavits, for summary decision on the claim or defense. If the motion is granted as to part of a claim or defense that is not dispositive of the case, further proceedings shall be held on the remaining issues.</w:t>
      </w:r>
    </w:p>
    <w:p w:rsidR="00850C5E" w:rsidRDefault="002363A1" w:rsidP="00850C5E">
      <w:pPr>
        <w:spacing w:line="240" w:lineRule="auto"/>
        <w:ind w:left="720" w:right="1440"/>
        <w:jc w:val="left"/>
      </w:pPr>
      <w:r>
        <w:t xml:space="preserve"> </w:t>
      </w:r>
    </w:p>
    <w:p w:rsidR="00462AFF" w:rsidRDefault="00462AFF" w:rsidP="00A012F8">
      <w:pPr>
        <w:jc w:val="left"/>
      </w:pPr>
      <w:r>
        <w:t>801 CMR 1.01(7)(h).</w:t>
      </w:r>
    </w:p>
    <w:p w:rsidR="00462AFF" w:rsidRPr="00F53CEB" w:rsidRDefault="00462AFF" w:rsidP="00A012F8">
      <w:pPr>
        <w:jc w:val="left"/>
        <w:rPr>
          <w:i/>
        </w:rPr>
      </w:pPr>
      <w:r>
        <w:tab/>
        <w:t xml:space="preserve">A motion for summary decision may be granted when there is no genuine issue of material fact regarding the claims presented and a party is entitled to prevail as a matter of law. </w:t>
      </w:r>
      <w:r>
        <w:rPr>
          <w:i/>
        </w:rPr>
        <w:t>Kobrin v. B</w:t>
      </w:r>
      <w:r w:rsidR="00293110">
        <w:rPr>
          <w:i/>
        </w:rPr>
        <w:t>d.</w:t>
      </w:r>
      <w:r>
        <w:rPr>
          <w:i/>
        </w:rPr>
        <w:t>of Reg</w:t>
      </w:r>
      <w:r w:rsidR="00293110">
        <w:rPr>
          <w:i/>
        </w:rPr>
        <w:t xml:space="preserve">. </w:t>
      </w:r>
      <w:r>
        <w:rPr>
          <w:i/>
        </w:rPr>
        <w:t>in Med</w:t>
      </w:r>
      <w:r w:rsidR="00293110">
        <w:rPr>
          <w:i/>
        </w:rPr>
        <w:t>.</w:t>
      </w:r>
      <w:r>
        <w:t>, 444 Mass. 837, 846 (2005).</w:t>
      </w:r>
      <w:r w:rsidR="00F53CEB">
        <w:t xml:space="preserve"> The moving party may show the absence of a genuine issue of material fact by submitting affirmative evidence that invalidates a central element of the opposing party’s claim. </w:t>
      </w:r>
      <w:r w:rsidR="00F53CEB">
        <w:rPr>
          <w:i/>
        </w:rPr>
        <w:t>Kourouvacilis v. Gen. Motors Corp.</w:t>
      </w:r>
      <w:r w:rsidR="00F53CEB" w:rsidRPr="00F53CEB">
        <w:t xml:space="preserve">, 410 Mass. 706, 715 </w:t>
      </w:r>
      <w:r w:rsidR="00F53CEB">
        <w:t xml:space="preserve">(1991). If the motion for summary decision is adequately made and supported, a party opposing it must respond with specific facts showing that there is a genuine, triable issue. Mass. R. Civ. P. 56(e), </w:t>
      </w:r>
      <w:r w:rsidR="00F53CEB" w:rsidRPr="00176BDB">
        <w:rPr>
          <w:i/>
        </w:rPr>
        <w:t>Community Nat’l Bank v. Dawes</w:t>
      </w:r>
      <w:r w:rsidR="00F53CEB">
        <w:t xml:space="preserve">, 369 Mass. </w:t>
      </w:r>
      <w:r w:rsidR="00293110">
        <w:t>550,</w:t>
      </w:r>
      <w:r w:rsidR="00F53CEB">
        <w:t xml:space="preserve"> 553</w:t>
      </w:r>
      <w:r w:rsidR="00293110">
        <w:t>(1976)</w:t>
      </w:r>
      <w:r w:rsidR="00F53CEB">
        <w:t>.</w:t>
      </w:r>
    </w:p>
    <w:p w:rsidR="002C32E3" w:rsidRDefault="009550E1" w:rsidP="00462AFF">
      <w:pPr>
        <w:ind w:firstLine="720"/>
        <w:jc w:val="left"/>
      </w:pPr>
      <w:r>
        <w:t>243 CMR 1.03(5)(a)12 allows</w:t>
      </w:r>
      <w:r w:rsidR="00F53CEB">
        <w:t xml:space="preserve"> the Board to discipline physicians who have been: 1) “disciplined in another jurisdiction” and 2) disciplined “in any way...for reasons substantiall</w:t>
      </w:r>
      <w:r w:rsidR="00895D9D">
        <w:t xml:space="preserve">y the same” as </w:t>
      </w:r>
      <w:r w:rsidR="003D56DD">
        <w:t>authorized for discipline in Massachusetts</w:t>
      </w:r>
      <w:r w:rsidR="00F53CEB">
        <w:t xml:space="preserve">. The rule </w:t>
      </w:r>
      <w:r w:rsidR="00D90E3D">
        <w:t xml:space="preserve">is founded in the </w:t>
      </w:r>
      <w:r w:rsidR="00512BA8">
        <w:t>principle that the B</w:t>
      </w:r>
      <w:r w:rsidR="00A012F8">
        <w:t xml:space="preserve">oard was created in order to regulate the practice of medicine to promote the public health, welfare, and safety. </w:t>
      </w:r>
      <w:r w:rsidR="00A012F8">
        <w:rPr>
          <w:i/>
        </w:rPr>
        <w:t>Haran v. Bd</w:t>
      </w:r>
      <w:r w:rsidR="00C6080C">
        <w:rPr>
          <w:i/>
        </w:rPr>
        <w:t>.</w:t>
      </w:r>
      <w:r w:rsidR="00A012F8">
        <w:rPr>
          <w:i/>
        </w:rPr>
        <w:t xml:space="preserve"> of Reg</w:t>
      </w:r>
      <w:r w:rsidR="00C6080C">
        <w:rPr>
          <w:i/>
        </w:rPr>
        <w:t>.</w:t>
      </w:r>
      <w:r w:rsidR="00A012F8">
        <w:rPr>
          <w:i/>
        </w:rPr>
        <w:t xml:space="preserve"> in Med</w:t>
      </w:r>
      <w:r w:rsidR="00C6080C">
        <w:rPr>
          <w:i/>
        </w:rPr>
        <w:t>.</w:t>
      </w:r>
      <w:r w:rsidR="00A012F8">
        <w:t xml:space="preserve">, </w:t>
      </w:r>
      <w:r w:rsidR="00A012F8" w:rsidRPr="00A012F8">
        <w:t>398 Mass. 571</w:t>
      </w:r>
      <w:r w:rsidR="00A012F8">
        <w:t>, 580</w:t>
      </w:r>
      <w:r w:rsidR="00B40450">
        <w:t xml:space="preserve"> (1986)</w:t>
      </w:r>
      <w:r w:rsidR="00A012F8">
        <w:t>.</w:t>
      </w:r>
      <w:r w:rsidR="002C32E3">
        <w:t xml:space="preserve"> </w:t>
      </w:r>
    </w:p>
    <w:p w:rsidR="00A012F8" w:rsidRDefault="002C32E3" w:rsidP="00A012F8">
      <w:pPr>
        <w:jc w:val="left"/>
      </w:pPr>
      <w:r>
        <w:tab/>
        <w:t>There is no question</w:t>
      </w:r>
      <w:r w:rsidR="00D345D2">
        <w:t xml:space="preserve"> that </w:t>
      </w:r>
      <w:r w:rsidR="0035457E">
        <w:t>the conduct considered by the Oklahoma Board in its action against Dr. Michael is substantially the same as conduct for which the Board may discipline a physician in Massachusetts.</w:t>
      </w:r>
      <w:r>
        <w:t xml:space="preserve"> </w:t>
      </w:r>
      <w:r w:rsidR="00B12CFC">
        <w:t xml:space="preserve">243 CMR 1.03(5)(a)(18) </w:t>
      </w:r>
      <w:r w:rsidR="0035457E">
        <w:t xml:space="preserve">includes </w:t>
      </w:r>
      <w:r w:rsidR="00B12CFC">
        <w:t>as grounds for discipline “</w:t>
      </w:r>
      <w:r w:rsidR="0035457E">
        <w:t>[m]</w:t>
      </w:r>
      <w:r w:rsidR="00B12CFC">
        <w:t>isconduct in the practice of medicine</w:t>
      </w:r>
      <w:r w:rsidR="0035457E">
        <w:t>.</w:t>
      </w:r>
      <w:r w:rsidR="00B12CFC">
        <w:t xml:space="preserve">” 243 CMR 1.03(5)(b) states </w:t>
      </w:r>
      <w:r w:rsidR="0035457E">
        <w:t xml:space="preserve">that </w:t>
      </w:r>
      <w:r w:rsidR="00B12CFC">
        <w:t>“</w:t>
      </w:r>
      <w:r w:rsidR="0035457E">
        <w:t>[n]</w:t>
      </w:r>
      <w:r w:rsidR="00B12CFC">
        <w:t>othing in 243 CMR 1.00 shall limit the Board's adoption of policies and grounds for discipline</w:t>
      </w:r>
      <w:r w:rsidR="0035457E">
        <w:t>….</w:t>
      </w:r>
      <w:r w:rsidR="00B12CFC">
        <w:t>” U</w:t>
      </w:r>
      <w:r w:rsidR="00512BA8">
        <w:t xml:space="preserve">nder these </w:t>
      </w:r>
      <w:r w:rsidR="0035457E">
        <w:t>provisions</w:t>
      </w:r>
      <w:r w:rsidR="00512BA8">
        <w:t>, sexual misconduct with</w:t>
      </w:r>
      <w:r w:rsidR="00B12CFC">
        <w:t xml:space="preserve"> patients </w:t>
      </w:r>
      <w:r w:rsidR="00B40450">
        <w:t xml:space="preserve">and employees is subject to disciplinary action. </w:t>
      </w:r>
      <w:r w:rsidR="00B40450">
        <w:rPr>
          <w:i/>
        </w:rPr>
        <w:t>Ramirez v. Bd</w:t>
      </w:r>
      <w:r w:rsidR="009B6850">
        <w:rPr>
          <w:i/>
        </w:rPr>
        <w:t>.</w:t>
      </w:r>
      <w:r w:rsidR="00B40450">
        <w:rPr>
          <w:i/>
        </w:rPr>
        <w:t xml:space="preserve"> of Reg</w:t>
      </w:r>
      <w:r w:rsidR="009B6850">
        <w:rPr>
          <w:i/>
        </w:rPr>
        <w:t>.</w:t>
      </w:r>
      <w:r w:rsidR="00B40450">
        <w:rPr>
          <w:i/>
        </w:rPr>
        <w:t xml:space="preserve"> in Med</w:t>
      </w:r>
      <w:r w:rsidR="00C6080C">
        <w:rPr>
          <w:i/>
        </w:rPr>
        <w:t>.</w:t>
      </w:r>
      <w:r w:rsidR="00B40450">
        <w:t xml:space="preserve"> 441 Mass. 479, 485 (2004). </w:t>
      </w:r>
    </w:p>
    <w:p w:rsidR="00B40450" w:rsidRDefault="00B40450" w:rsidP="00A012F8">
      <w:pPr>
        <w:jc w:val="left"/>
      </w:pPr>
      <w:r>
        <w:tab/>
        <w:t xml:space="preserve">The issue </w:t>
      </w:r>
      <w:r w:rsidR="0035457E">
        <w:t xml:space="preserve">here, however, </w:t>
      </w:r>
      <w:r>
        <w:t>is wheth</w:t>
      </w:r>
      <w:r w:rsidR="00512BA8">
        <w:t>er the Oklahoma B</w:t>
      </w:r>
      <w:r>
        <w:t>oard</w:t>
      </w:r>
      <w:r w:rsidR="0035457E">
        <w:t>’s order</w:t>
      </w:r>
      <w:r w:rsidR="003877CD">
        <w:t>,</w:t>
      </w:r>
      <w:r w:rsidR="0035457E">
        <w:t xml:space="preserve"> </w:t>
      </w:r>
      <w:r w:rsidR="003877CD">
        <w:t xml:space="preserve">which </w:t>
      </w:r>
      <w:r w:rsidR="0035457E">
        <w:t>is not final</w:t>
      </w:r>
      <w:r w:rsidR="003877CD">
        <w:t>,</w:t>
      </w:r>
      <w:r>
        <w:t xml:space="preserve"> is </w:t>
      </w:r>
      <w:r w:rsidR="0035457E">
        <w:t xml:space="preserve">sufficient for </w:t>
      </w:r>
      <w:r w:rsidR="00C6080C">
        <w:t>the Board</w:t>
      </w:r>
      <w:r w:rsidR="0035457E">
        <w:t xml:space="preserve"> to rely on when imposing reciprocal discipline</w:t>
      </w:r>
      <w:r w:rsidR="003877CD">
        <w:t xml:space="preserve"> under 243 CMR 1.03(5)(a)12</w:t>
      </w:r>
      <w:r w:rsidR="0035457E">
        <w:t xml:space="preserve">. </w:t>
      </w:r>
      <w:r>
        <w:t>Dr. Michael argues that the terms of the Voluntary Surrender to Jurisdiction</w:t>
      </w:r>
      <w:r w:rsidR="003877CD">
        <w:t xml:space="preserve"> presented to the Oklahoma Board</w:t>
      </w:r>
      <w:r>
        <w:t xml:space="preserve">–particularly the recording of the revocation of his license in the </w:t>
      </w:r>
      <w:r w:rsidR="009550E1">
        <w:t>National Practitioner Data</w:t>
      </w:r>
      <w:r w:rsidR="00222393">
        <w:t xml:space="preserve"> </w:t>
      </w:r>
      <w:r w:rsidR="009550E1">
        <w:t>B</w:t>
      </w:r>
      <w:r>
        <w:t>ank–were not terms he ori</w:t>
      </w:r>
      <w:r w:rsidR="00D03A81">
        <w:t>ginally agreed to. Dr. Michael is not</w:t>
      </w:r>
      <w:r>
        <w:t xml:space="preserve"> asserting fraud</w:t>
      </w:r>
      <w:r w:rsidR="00766FA1">
        <w:t>,</w:t>
      </w:r>
      <w:r>
        <w:t xml:space="preserve"> nor does </w:t>
      </w:r>
      <w:r w:rsidR="00555224">
        <w:t xml:space="preserve">he disavow his signature on the document. </w:t>
      </w:r>
      <w:r w:rsidR="005A60E6">
        <w:t>H</w:t>
      </w:r>
      <w:r w:rsidR="00766FA1">
        <w:t>e</w:t>
      </w:r>
      <w:r w:rsidR="005A60E6">
        <w:t xml:space="preserve"> argu</w:t>
      </w:r>
      <w:r w:rsidR="00766FA1">
        <w:t>es</w:t>
      </w:r>
      <w:r w:rsidR="005A60E6">
        <w:t xml:space="preserve"> </w:t>
      </w:r>
      <w:r w:rsidR="00766FA1">
        <w:t xml:space="preserve">that </w:t>
      </w:r>
      <w:r w:rsidR="005A60E6">
        <w:t xml:space="preserve">he was not disciplined in Oklahoma </w:t>
      </w:r>
      <w:r w:rsidR="00766FA1">
        <w:t xml:space="preserve">because </w:t>
      </w:r>
      <w:r w:rsidR="005A60E6">
        <w:t xml:space="preserve">there was no </w:t>
      </w:r>
      <w:r w:rsidR="00766FA1">
        <w:t xml:space="preserve">valid </w:t>
      </w:r>
      <w:r w:rsidR="005A60E6">
        <w:t xml:space="preserve">agreement between him and the </w:t>
      </w:r>
      <w:r w:rsidR="00C6080C">
        <w:t xml:space="preserve">Oklahoma </w:t>
      </w:r>
      <w:r w:rsidR="005A60E6">
        <w:t>Board</w:t>
      </w:r>
      <w:r w:rsidR="00766FA1">
        <w:t>.</w:t>
      </w:r>
      <w:r w:rsidR="005A60E6">
        <w:t xml:space="preserve"> </w:t>
      </w:r>
      <w:r w:rsidR="00766FA1">
        <w:t>T</w:t>
      </w:r>
      <w:r w:rsidR="005A60E6">
        <w:t xml:space="preserve">he </w:t>
      </w:r>
      <w:r w:rsidR="00766FA1">
        <w:t xml:space="preserve">Oklahoma </w:t>
      </w:r>
      <w:r w:rsidR="005A60E6">
        <w:t xml:space="preserve">Order </w:t>
      </w:r>
      <w:r w:rsidR="00766FA1">
        <w:t xml:space="preserve">is under appeal and </w:t>
      </w:r>
      <w:r w:rsidR="005A60E6">
        <w:t>so</w:t>
      </w:r>
      <w:r w:rsidR="00766FA1">
        <w:t>, he maintains,</w:t>
      </w:r>
      <w:r w:rsidR="005A60E6">
        <w:t xml:space="preserve"> the Board </w:t>
      </w:r>
      <w:r w:rsidR="00766FA1">
        <w:t xml:space="preserve">here cannot </w:t>
      </w:r>
      <w:r w:rsidR="005A60E6">
        <w:t>act until those proceedings are resolved.</w:t>
      </w:r>
      <w:r w:rsidR="00C6080C">
        <w:rPr>
          <w:rStyle w:val="FootnoteReference"/>
        </w:rPr>
        <w:footnoteReference w:id="2"/>
      </w:r>
    </w:p>
    <w:p w:rsidR="0073337E" w:rsidRDefault="00820695" w:rsidP="005A60E6">
      <w:pPr>
        <w:jc w:val="left"/>
      </w:pPr>
      <w:r>
        <w:tab/>
        <w:t xml:space="preserve">Dr. Michael relies on </w:t>
      </w:r>
      <w:r w:rsidR="00555224">
        <w:rPr>
          <w:i/>
        </w:rPr>
        <w:t>Ramirez v. Bd</w:t>
      </w:r>
      <w:r w:rsidR="00293110">
        <w:rPr>
          <w:i/>
        </w:rPr>
        <w:t>.</w:t>
      </w:r>
      <w:r w:rsidR="00555224">
        <w:rPr>
          <w:i/>
        </w:rPr>
        <w:t xml:space="preserve"> of Reg</w:t>
      </w:r>
      <w:r w:rsidR="00293110">
        <w:rPr>
          <w:i/>
        </w:rPr>
        <w:t>.</w:t>
      </w:r>
      <w:r w:rsidR="00555224">
        <w:rPr>
          <w:i/>
        </w:rPr>
        <w:t xml:space="preserve"> in Med</w:t>
      </w:r>
      <w:r w:rsidR="00293110">
        <w:rPr>
          <w:i/>
        </w:rPr>
        <w:t>.</w:t>
      </w:r>
      <w:r w:rsidR="00766FA1">
        <w:t xml:space="preserve">, </w:t>
      </w:r>
      <w:r w:rsidR="002363A1">
        <w:t>in which</w:t>
      </w:r>
      <w:r w:rsidR="00D50289">
        <w:t xml:space="preserve"> </w:t>
      </w:r>
      <w:r w:rsidR="004A7D8C">
        <w:t xml:space="preserve">the </w:t>
      </w:r>
      <w:r w:rsidR="002363A1">
        <w:t>Supreme Judicial C</w:t>
      </w:r>
      <w:r w:rsidR="004A7D8C">
        <w:t xml:space="preserve">ourt considered whether </w:t>
      </w:r>
      <w:r w:rsidR="00D50289">
        <w:t>a</w:t>
      </w:r>
      <w:r w:rsidR="00555224">
        <w:t xml:space="preserve"> Connecticut physician </w:t>
      </w:r>
      <w:r w:rsidR="004A7D8C">
        <w:t xml:space="preserve">who </w:t>
      </w:r>
      <w:r w:rsidR="00555224">
        <w:t xml:space="preserve">entered into a consent order with the </w:t>
      </w:r>
      <w:r w:rsidR="00555224" w:rsidRPr="00555224">
        <w:t>Connecticut Department of Public Health</w:t>
      </w:r>
      <w:r w:rsidR="00555224">
        <w:t xml:space="preserve"> </w:t>
      </w:r>
      <w:r w:rsidR="002D2EC5">
        <w:t>because of allegations of sexual misconduct toward patients in his practice</w:t>
      </w:r>
      <w:r w:rsidR="004A7D8C">
        <w:t xml:space="preserve"> was subject to reciprocal discipline in Massachusetts.</w:t>
      </w:r>
      <w:r w:rsidR="002D2EC5">
        <w:t xml:space="preserve"> </w:t>
      </w:r>
      <w:r w:rsidR="00D50289">
        <w:t>T</w:t>
      </w:r>
      <w:r w:rsidR="002D2EC5">
        <w:t xml:space="preserve">he court in </w:t>
      </w:r>
      <w:r w:rsidR="002D2EC5" w:rsidRPr="002D2EC5">
        <w:rPr>
          <w:i/>
        </w:rPr>
        <w:t>Ramirez</w:t>
      </w:r>
      <w:r w:rsidR="002D2EC5">
        <w:t xml:space="preserve"> </w:t>
      </w:r>
      <w:r>
        <w:t>o</w:t>
      </w:r>
      <w:r w:rsidR="00D50289">
        <w:t xml:space="preserve">bserved: </w:t>
      </w:r>
      <w:r>
        <w:t>“</w:t>
      </w:r>
      <w:r w:rsidRPr="00820695">
        <w:t>Ramirez does not challenge the authenticity or validity of the consent order, does not contend that he was denied notice or a right to a hearing in Connecticut (or that those proceedings were otherwise unfair), and does not argue that he was not discipline</w:t>
      </w:r>
      <w:r w:rsidR="007C0F35">
        <w:t>d in Connecticut</w:t>
      </w:r>
      <w:r w:rsidR="00384835">
        <w:t>.</w:t>
      </w:r>
      <w:r w:rsidR="007C0F35">
        <w:t xml:space="preserve">” </w:t>
      </w:r>
      <w:r w:rsidR="00D50289">
        <w:t xml:space="preserve">441 Mass. </w:t>
      </w:r>
      <w:r w:rsidR="007C0F35">
        <w:t>at 484.</w:t>
      </w:r>
      <w:r w:rsidR="004A7D8C">
        <w:t xml:space="preserve"> </w:t>
      </w:r>
      <w:r w:rsidR="00D50289">
        <w:t>Unlike Ramirez,</w:t>
      </w:r>
      <w:r w:rsidR="007C0F35">
        <w:t xml:space="preserve"> </w:t>
      </w:r>
      <w:r w:rsidR="004A7D8C">
        <w:t xml:space="preserve">however, </w:t>
      </w:r>
      <w:r w:rsidR="007C0F35">
        <w:t>Dr. Michael challenges</w:t>
      </w:r>
      <w:r w:rsidR="00384835">
        <w:t xml:space="preserve"> </w:t>
      </w:r>
      <w:r w:rsidR="005A60E6">
        <w:t xml:space="preserve">the validity of the </w:t>
      </w:r>
      <w:r w:rsidR="00D50289">
        <w:t xml:space="preserve">Oklahoma </w:t>
      </w:r>
      <w:r w:rsidR="00856F5E">
        <w:t>o</w:t>
      </w:r>
      <w:r w:rsidR="005A60E6">
        <w:t>rder</w:t>
      </w:r>
      <w:r w:rsidR="00FE6118">
        <w:t xml:space="preserve">, contends the proceedings were not fair, and </w:t>
      </w:r>
      <w:r w:rsidR="00D50289">
        <w:t xml:space="preserve">maintains </w:t>
      </w:r>
      <w:r w:rsidR="00FE6118">
        <w:t>that he was not disciplined in Oklahoma</w:t>
      </w:r>
      <w:r w:rsidR="00384835">
        <w:t xml:space="preserve">. </w:t>
      </w:r>
    </w:p>
    <w:p w:rsidR="00EB20F5" w:rsidRDefault="005B07D2" w:rsidP="00FA4EEB">
      <w:pPr>
        <w:jc w:val="left"/>
      </w:pPr>
      <w:r>
        <w:tab/>
        <w:t>The validity of the Oklahoma Board’s order is pending before the Oklahoma Supreme Court. Th</w:t>
      </w:r>
      <w:r w:rsidR="008E424F">
        <w:t>is</w:t>
      </w:r>
      <w:r>
        <w:t xml:space="preserve"> lack of finality raises two issues. First, any determination in this forum whether the Board may impose reciprocal discipline on Dr. Michael involves some interpretation of Oklahoma law. DALA lacks the authority to determine the meaning of Oklahoma law</w:t>
      </w:r>
      <w:r w:rsidR="006F6F8F">
        <w:t xml:space="preserve">, however routine that exercise may appear. Second, 243 CMR 1.03(5)(a)12 is premised on a physician having had the opportunity for sufficient due process on the underlying violations in the other jurisdiction. </w:t>
      </w:r>
      <w:r w:rsidR="006F6F8F" w:rsidRPr="00C54802">
        <w:rPr>
          <w:i/>
        </w:rPr>
        <w:t>See Haran</w:t>
      </w:r>
      <w:r w:rsidR="00C54802">
        <w:t>,</w:t>
      </w:r>
      <w:r w:rsidR="006F6F8F">
        <w:t xml:space="preserve"> 398 Mass. </w:t>
      </w:r>
      <w:r w:rsidR="00C54802">
        <w:t xml:space="preserve">at </w:t>
      </w:r>
      <w:r w:rsidR="006F6F8F">
        <w:t>580. That cannot be said to be the case here whe</w:t>
      </w:r>
      <w:r w:rsidR="00856F5E">
        <w:t>n</w:t>
      </w:r>
      <w:r w:rsidR="006F6F8F">
        <w:t xml:space="preserve"> Dr. Michael continues to challenge the action of the Oklahoma Board. </w:t>
      </w:r>
    </w:p>
    <w:p w:rsidR="00E778B0" w:rsidRDefault="00C54802" w:rsidP="00FA4EEB">
      <w:pPr>
        <w:jc w:val="left"/>
      </w:pPr>
      <w:r>
        <w:tab/>
        <w:t xml:space="preserve">Should the Oklahoma Supreme Court not act on Dr. Michael’s Petition for Certiorari or </w:t>
      </w:r>
      <w:r w:rsidR="00C6080C">
        <w:t xml:space="preserve">should it </w:t>
      </w:r>
      <w:r>
        <w:t xml:space="preserve">affirm the Oklahoma Board’s </w:t>
      </w:r>
      <w:r w:rsidR="00E778B0">
        <w:t>o</w:t>
      </w:r>
      <w:r>
        <w:t xml:space="preserve">rder, the Board has shown by a preponderance of the evidence that there is a basis to discipline Dr. Michael under 243 CMR 1.03(5)(a)12. At this </w:t>
      </w:r>
    </w:p>
    <w:p w:rsidR="00C54802" w:rsidRDefault="00C54802" w:rsidP="00FA4EEB">
      <w:pPr>
        <w:jc w:val="left"/>
      </w:pPr>
      <w:r>
        <w:t xml:space="preserve">time, however, </w:t>
      </w:r>
      <w:r w:rsidR="00856F5E">
        <w:t xml:space="preserve">it </w:t>
      </w:r>
      <w:r>
        <w:t>would be premature</w:t>
      </w:r>
      <w:r w:rsidR="00856F5E">
        <w:t xml:space="preserve"> to impose discipline based on the Oklahoma board’s contested order</w:t>
      </w:r>
      <w:r>
        <w:t xml:space="preserve">. </w:t>
      </w:r>
      <w:r w:rsidR="00856F5E">
        <w:t>I therefore deny the Board’s motion for summary decision.</w:t>
      </w:r>
      <w:r>
        <w:t xml:space="preserve"> </w:t>
      </w:r>
    </w:p>
    <w:p w:rsidR="00E778B0" w:rsidRPr="00A40D75" w:rsidRDefault="00E778B0" w:rsidP="00E778B0">
      <w:pPr>
        <w:spacing w:line="240" w:lineRule="auto"/>
        <w:jc w:val="both"/>
      </w:pPr>
      <w:r>
        <w:t>Dated:</w:t>
      </w:r>
      <w:r w:rsidR="00D567F5">
        <w:t xml:space="preserve"> December 5, 2017</w:t>
      </w:r>
    </w:p>
    <w:p w:rsidR="00E778B0" w:rsidRDefault="00E778B0" w:rsidP="00FA4EEB">
      <w:pPr>
        <w:jc w:val="left"/>
      </w:pPr>
    </w:p>
    <w:p w:rsidR="00FA4EEB" w:rsidRDefault="00FA4EEB" w:rsidP="009B6850">
      <w:pPr>
        <w:spacing w:line="240" w:lineRule="auto"/>
        <w:ind w:left="2880" w:firstLine="720"/>
        <w:jc w:val="both"/>
      </w:pPr>
      <w:r>
        <w:t>DIVISION</w:t>
      </w:r>
      <w:r w:rsidR="00C54802">
        <w:t xml:space="preserve"> </w:t>
      </w:r>
      <w:r>
        <w:t>OF ADMINISTRATIVE</w:t>
      </w:r>
      <w:r w:rsidR="00C54802">
        <w:t xml:space="preserve"> </w:t>
      </w:r>
      <w:r>
        <w:t>LAW APPEALS</w:t>
      </w:r>
    </w:p>
    <w:p w:rsidR="00C54802" w:rsidRDefault="009B6850" w:rsidP="00C54802">
      <w:pPr>
        <w:spacing w:line="240" w:lineRule="auto"/>
        <w:jc w:val="both"/>
      </w:pPr>
      <w:r>
        <w:tab/>
      </w:r>
      <w:r>
        <w:tab/>
      </w:r>
      <w:r>
        <w:tab/>
      </w:r>
      <w:r>
        <w:tab/>
      </w:r>
      <w:r>
        <w:tab/>
      </w:r>
    </w:p>
    <w:p w:rsidR="00FA4EEB" w:rsidRPr="00E12FBF" w:rsidRDefault="00E12FBF" w:rsidP="009B6850">
      <w:pPr>
        <w:spacing w:line="240" w:lineRule="auto"/>
        <w:ind w:left="2880" w:firstLine="720"/>
        <w:jc w:val="left"/>
        <w:rPr>
          <w:u w:val="single"/>
        </w:rPr>
      </w:pPr>
      <w:r>
        <w:rPr>
          <w:u w:val="single"/>
        </w:rPr>
        <w:t>Signed by Bonney Cashin</w:t>
      </w:r>
      <w:r>
        <w:rPr>
          <w:u w:val="single"/>
        </w:rPr>
        <w:tab/>
      </w:r>
      <w:r>
        <w:rPr>
          <w:u w:val="single"/>
        </w:rPr>
        <w:tab/>
      </w:r>
      <w:bookmarkStart w:id="0" w:name="_GoBack"/>
      <w:bookmarkEnd w:id="0"/>
    </w:p>
    <w:p w:rsidR="00FA4EEB" w:rsidRDefault="00FA4EEB" w:rsidP="009B6850">
      <w:pPr>
        <w:spacing w:line="240" w:lineRule="auto"/>
        <w:ind w:left="2880" w:firstLine="720"/>
        <w:jc w:val="left"/>
      </w:pPr>
      <w:r>
        <w:t>Bonney Cashin</w:t>
      </w:r>
    </w:p>
    <w:p w:rsidR="00FA4EEB" w:rsidRDefault="00FA4EEB" w:rsidP="009B6850">
      <w:pPr>
        <w:spacing w:line="240" w:lineRule="auto"/>
        <w:ind w:left="2880" w:firstLine="720"/>
        <w:jc w:val="left"/>
      </w:pPr>
      <w:r>
        <w:t>Administrative Magistrate</w:t>
      </w:r>
    </w:p>
    <w:p w:rsidR="00C54802" w:rsidRDefault="00C54802" w:rsidP="00C54802">
      <w:pPr>
        <w:spacing w:line="240" w:lineRule="auto"/>
        <w:jc w:val="both"/>
      </w:pPr>
    </w:p>
    <w:p w:rsidR="00E778B0" w:rsidRDefault="00E778B0" w:rsidP="00C54802">
      <w:pPr>
        <w:spacing w:line="240" w:lineRule="auto"/>
        <w:jc w:val="both"/>
      </w:pPr>
    </w:p>
    <w:p w:rsidR="00E778B0" w:rsidRDefault="00E778B0" w:rsidP="00C54802">
      <w:pPr>
        <w:spacing w:line="240" w:lineRule="auto"/>
        <w:jc w:val="both"/>
      </w:pPr>
      <w:r>
        <w:t>Notice sent to: James Paikos, Esq.</w:t>
      </w:r>
    </w:p>
    <w:p w:rsidR="00E778B0" w:rsidRDefault="00E778B0" w:rsidP="00C54802">
      <w:pPr>
        <w:spacing w:line="240" w:lineRule="auto"/>
        <w:jc w:val="both"/>
      </w:pPr>
      <w:r>
        <w:tab/>
      </w:r>
      <w:r>
        <w:tab/>
        <w:t>Sean M. Ennis, Esq.</w:t>
      </w:r>
    </w:p>
    <w:p w:rsidR="00570297" w:rsidRDefault="00570297" w:rsidP="00C54802">
      <w:pPr>
        <w:spacing w:line="240" w:lineRule="auto"/>
        <w:jc w:val="both"/>
      </w:pPr>
      <w:r>
        <w:tab/>
      </w:r>
      <w:r>
        <w:tab/>
        <w:t>Debra G. Stoller, Esq.</w:t>
      </w:r>
    </w:p>
    <w:sectPr w:rsidR="0057029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D40" w:rsidRDefault="00EE1D40" w:rsidP="006660BE">
      <w:pPr>
        <w:spacing w:line="240" w:lineRule="auto"/>
      </w:pPr>
      <w:r>
        <w:separator/>
      </w:r>
    </w:p>
  </w:endnote>
  <w:endnote w:type="continuationSeparator" w:id="0">
    <w:p w:rsidR="00EE1D40" w:rsidRDefault="00EE1D40" w:rsidP="006660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FEB" w:rsidRDefault="009F4F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3608605"/>
      <w:docPartObj>
        <w:docPartGallery w:val="Page Numbers (Bottom of Page)"/>
        <w:docPartUnique/>
      </w:docPartObj>
    </w:sdtPr>
    <w:sdtEndPr>
      <w:rPr>
        <w:noProof/>
      </w:rPr>
    </w:sdtEndPr>
    <w:sdtContent>
      <w:p w:rsidR="006660BE" w:rsidRDefault="006660BE">
        <w:pPr>
          <w:pStyle w:val="Footer"/>
        </w:pPr>
        <w:r>
          <w:fldChar w:fldCharType="begin"/>
        </w:r>
        <w:r>
          <w:instrText xml:space="preserve"> PAGE   \* MERGEFORMAT </w:instrText>
        </w:r>
        <w:r>
          <w:fldChar w:fldCharType="separate"/>
        </w:r>
        <w:r w:rsidR="00E12FBF">
          <w:rPr>
            <w:noProof/>
          </w:rPr>
          <w:t>7</w:t>
        </w:r>
        <w:r>
          <w:rPr>
            <w:noProof/>
          </w:rPr>
          <w:fldChar w:fldCharType="end"/>
        </w:r>
      </w:p>
    </w:sdtContent>
  </w:sdt>
  <w:p w:rsidR="006660BE" w:rsidRDefault="006660B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FEB" w:rsidRDefault="009F4F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D40" w:rsidRDefault="00EE1D40" w:rsidP="006660BE">
      <w:pPr>
        <w:spacing w:line="240" w:lineRule="auto"/>
      </w:pPr>
      <w:r>
        <w:separator/>
      </w:r>
    </w:p>
  </w:footnote>
  <w:footnote w:type="continuationSeparator" w:id="0">
    <w:p w:rsidR="00EE1D40" w:rsidRDefault="00EE1D40" w:rsidP="006660BE">
      <w:pPr>
        <w:spacing w:line="240" w:lineRule="auto"/>
      </w:pPr>
      <w:r>
        <w:continuationSeparator/>
      </w:r>
    </w:p>
  </w:footnote>
  <w:footnote w:id="1">
    <w:p w:rsidR="00E83355" w:rsidRDefault="00E83355" w:rsidP="00175DD1">
      <w:pPr>
        <w:pStyle w:val="FootnoteText"/>
        <w:jc w:val="left"/>
      </w:pPr>
      <w:r>
        <w:rPr>
          <w:rStyle w:val="FootnoteReference"/>
        </w:rPr>
        <w:footnoteRef/>
      </w:r>
      <w:r>
        <w:t xml:space="preserve"> </w:t>
      </w:r>
      <w:r w:rsidR="001D6BE0">
        <w:t xml:space="preserve">The </w:t>
      </w:r>
      <w:r w:rsidR="00175DD1">
        <w:t xml:space="preserve">procedure in Oklahoma for settling a formal complaint with an agreement is as follows: the </w:t>
      </w:r>
      <w:r w:rsidR="001D6BE0">
        <w:t>licensee</w:t>
      </w:r>
      <w:r w:rsidRPr="00E83355">
        <w:t xml:space="preserve"> and the </w:t>
      </w:r>
      <w:r w:rsidR="008F3735">
        <w:t xml:space="preserve">Oklahoma </w:t>
      </w:r>
      <w:r w:rsidRPr="00E83355">
        <w:t>Board staff discuss the terms of the agreement and</w:t>
      </w:r>
      <w:r w:rsidR="008F3735">
        <w:t>,</w:t>
      </w:r>
      <w:r w:rsidRPr="00E83355">
        <w:t xml:space="preserve"> once an agreement is </w:t>
      </w:r>
      <w:r w:rsidR="008F3735">
        <w:t>reached</w:t>
      </w:r>
      <w:r w:rsidRPr="00E83355">
        <w:t xml:space="preserve">, </w:t>
      </w:r>
      <w:r w:rsidR="008F3735">
        <w:t>the agreement</w:t>
      </w:r>
      <w:r w:rsidR="002A5981">
        <w:t xml:space="preserve"> </w:t>
      </w:r>
      <w:r w:rsidRPr="00E83355">
        <w:t>is presented to the Board</w:t>
      </w:r>
      <w:r w:rsidR="008F3735">
        <w:t>,</w:t>
      </w:r>
      <w:r w:rsidR="005C1B10">
        <w:t xml:space="preserve"> </w:t>
      </w:r>
      <w:r w:rsidR="001D6BE0">
        <w:t xml:space="preserve">which </w:t>
      </w:r>
      <w:r w:rsidR="008F3735">
        <w:t xml:space="preserve">may </w:t>
      </w:r>
      <w:r w:rsidR="001D6BE0">
        <w:t>accept or deny</w:t>
      </w:r>
      <w:r w:rsidR="008F3735">
        <w:t xml:space="preserve"> it</w:t>
      </w:r>
      <w:r w:rsidR="001D6BE0">
        <w:t>.</w:t>
      </w:r>
      <w:r w:rsidR="00011255">
        <w:t xml:space="preserve"> </w:t>
      </w:r>
      <w:r w:rsidR="00B14639">
        <w:t xml:space="preserve">If accepted, </w:t>
      </w:r>
      <w:r w:rsidR="001D6BE0">
        <w:t>the matter is resolved without a hearing. (Exhibit 6).</w:t>
      </w:r>
    </w:p>
  </w:footnote>
  <w:footnote w:id="2">
    <w:p w:rsidR="00C6080C" w:rsidRDefault="00C6080C" w:rsidP="00856F5E">
      <w:pPr>
        <w:pStyle w:val="FootnoteText"/>
        <w:jc w:val="left"/>
      </w:pPr>
      <w:r>
        <w:rPr>
          <w:rStyle w:val="FootnoteReference"/>
        </w:rPr>
        <w:footnoteRef/>
      </w:r>
      <w:r>
        <w:t xml:space="preserve"> See Respondent’s letter dated November 14,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FEB" w:rsidRDefault="009F4F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FEB" w:rsidRDefault="009F4F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FEB" w:rsidRDefault="009F4F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C03D5C"/>
    <w:multiLevelType w:val="hybridMultilevel"/>
    <w:tmpl w:val="E3C810C4"/>
    <w:lvl w:ilvl="0" w:tplc="2EA246EA">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46E"/>
    <w:rsid w:val="0000028A"/>
    <w:rsid w:val="00000E00"/>
    <w:rsid w:val="0000410D"/>
    <w:rsid w:val="00006742"/>
    <w:rsid w:val="00011255"/>
    <w:rsid w:val="00020D86"/>
    <w:rsid w:val="000237AD"/>
    <w:rsid w:val="00027E4C"/>
    <w:rsid w:val="000429A7"/>
    <w:rsid w:val="00043BB1"/>
    <w:rsid w:val="00045567"/>
    <w:rsid w:val="00056282"/>
    <w:rsid w:val="0006073C"/>
    <w:rsid w:val="0006277E"/>
    <w:rsid w:val="000664E9"/>
    <w:rsid w:val="0007491A"/>
    <w:rsid w:val="00076942"/>
    <w:rsid w:val="0008429E"/>
    <w:rsid w:val="00093617"/>
    <w:rsid w:val="000A10C2"/>
    <w:rsid w:val="000C0D2B"/>
    <w:rsid w:val="000C14AA"/>
    <w:rsid w:val="000C395E"/>
    <w:rsid w:val="000C6A66"/>
    <w:rsid w:val="000D282A"/>
    <w:rsid w:val="000D71EC"/>
    <w:rsid w:val="000F176B"/>
    <w:rsid w:val="000F1D27"/>
    <w:rsid w:val="000F3D4E"/>
    <w:rsid w:val="00105BE9"/>
    <w:rsid w:val="00107CA7"/>
    <w:rsid w:val="00116228"/>
    <w:rsid w:val="00122AA5"/>
    <w:rsid w:val="00125674"/>
    <w:rsid w:val="00130703"/>
    <w:rsid w:val="0013366E"/>
    <w:rsid w:val="001349F3"/>
    <w:rsid w:val="001421DD"/>
    <w:rsid w:val="0014331C"/>
    <w:rsid w:val="001454B7"/>
    <w:rsid w:val="00154791"/>
    <w:rsid w:val="00155E19"/>
    <w:rsid w:val="00157D29"/>
    <w:rsid w:val="00161FFE"/>
    <w:rsid w:val="001654EB"/>
    <w:rsid w:val="00166C14"/>
    <w:rsid w:val="00170A9F"/>
    <w:rsid w:val="00175DD1"/>
    <w:rsid w:val="00176BDB"/>
    <w:rsid w:val="00181BA9"/>
    <w:rsid w:val="0018326A"/>
    <w:rsid w:val="0018524A"/>
    <w:rsid w:val="0019135E"/>
    <w:rsid w:val="0019445E"/>
    <w:rsid w:val="00197A68"/>
    <w:rsid w:val="001A0F3D"/>
    <w:rsid w:val="001A44AA"/>
    <w:rsid w:val="001A4AD5"/>
    <w:rsid w:val="001B2964"/>
    <w:rsid w:val="001B57E4"/>
    <w:rsid w:val="001B762B"/>
    <w:rsid w:val="001C209B"/>
    <w:rsid w:val="001D37D0"/>
    <w:rsid w:val="001D6BE0"/>
    <w:rsid w:val="001E26EF"/>
    <w:rsid w:val="001E3EFC"/>
    <w:rsid w:val="001E672A"/>
    <w:rsid w:val="001F5B4A"/>
    <w:rsid w:val="00201DD7"/>
    <w:rsid w:val="00214A7D"/>
    <w:rsid w:val="00222393"/>
    <w:rsid w:val="00231155"/>
    <w:rsid w:val="002338E1"/>
    <w:rsid w:val="002363A1"/>
    <w:rsid w:val="00240F43"/>
    <w:rsid w:val="00242280"/>
    <w:rsid w:val="00251D48"/>
    <w:rsid w:val="00264D3D"/>
    <w:rsid w:val="00266CE3"/>
    <w:rsid w:val="00275A84"/>
    <w:rsid w:val="0028377C"/>
    <w:rsid w:val="00284B95"/>
    <w:rsid w:val="00287DBF"/>
    <w:rsid w:val="00292369"/>
    <w:rsid w:val="00292B6B"/>
    <w:rsid w:val="00293110"/>
    <w:rsid w:val="002A142D"/>
    <w:rsid w:val="002A3B10"/>
    <w:rsid w:val="002A5981"/>
    <w:rsid w:val="002B07AC"/>
    <w:rsid w:val="002B2EBF"/>
    <w:rsid w:val="002B49F4"/>
    <w:rsid w:val="002C30AE"/>
    <w:rsid w:val="002C32E3"/>
    <w:rsid w:val="002D2EC5"/>
    <w:rsid w:val="002D5348"/>
    <w:rsid w:val="002D67E9"/>
    <w:rsid w:val="002E4041"/>
    <w:rsid w:val="002E55B3"/>
    <w:rsid w:val="002E6474"/>
    <w:rsid w:val="002F2835"/>
    <w:rsid w:val="002F4B4C"/>
    <w:rsid w:val="002F675E"/>
    <w:rsid w:val="003003D8"/>
    <w:rsid w:val="00301A77"/>
    <w:rsid w:val="00301D82"/>
    <w:rsid w:val="00303E8A"/>
    <w:rsid w:val="003067E0"/>
    <w:rsid w:val="003111FD"/>
    <w:rsid w:val="00312AC9"/>
    <w:rsid w:val="003143D3"/>
    <w:rsid w:val="003171B2"/>
    <w:rsid w:val="00317383"/>
    <w:rsid w:val="00321B36"/>
    <w:rsid w:val="00324EE7"/>
    <w:rsid w:val="00325078"/>
    <w:rsid w:val="00331E0F"/>
    <w:rsid w:val="00343A5F"/>
    <w:rsid w:val="00347D58"/>
    <w:rsid w:val="0035457E"/>
    <w:rsid w:val="0036015E"/>
    <w:rsid w:val="0036533C"/>
    <w:rsid w:val="0037004A"/>
    <w:rsid w:val="003700EF"/>
    <w:rsid w:val="00375FFB"/>
    <w:rsid w:val="00377B37"/>
    <w:rsid w:val="00381060"/>
    <w:rsid w:val="00384835"/>
    <w:rsid w:val="00385017"/>
    <w:rsid w:val="003866D0"/>
    <w:rsid w:val="003877CD"/>
    <w:rsid w:val="00392AD2"/>
    <w:rsid w:val="00396B6F"/>
    <w:rsid w:val="00397006"/>
    <w:rsid w:val="003A1C16"/>
    <w:rsid w:val="003A7CAF"/>
    <w:rsid w:val="003B0467"/>
    <w:rsid w:val="003B1AFE"/>
    <w:rsid w:val="003B1D9E"/>
    <w:rsid w:val="003C5860"/>
    <w:rsid w:val="003C7921"/>
    <w:rsid w:val="003D3CA2"/>
    <w:rsid w:val="003D56DD"/>
    <w:rsid w:val="003D62B3"/>
    <w:rsid w:val="003E1DB1"/>
    <w:rsid w:val="003E2897"/>
    <w:rsid w:val="003E3130"/>
    <w:rsid w:val="003E352A"/>
    <w:rsid w:val="003E510A"/>
    <w:rsid w:val="003F18D5"/>
    <w:rsid w:val="003F2047"/>
    <w:rsid w:val="003F379F"/>
    <w:rsid w:val="003F38C7"/>
    <w:rsid w:val="003F5492"/>
    <w:rsid w:val="003F59EE"/>
    <w:rsid w:val="004014DD"/>
    <w:rsid w:val="00403412"/>
    <w:rsid w:val="00403C7A"/>
    <w:rsid w:val="00406119"/>
    <w:rsid w:val="00412363"/>
    <w:rsid w:val="004318F6"/>
    <w:rsid w:val="00435A57"/>
    <w:rsid w:val="004361BD"/>
    <w:rsid w:val="0044258E"/>
    <w:rsid w:val="004557A2"/>
    <w:rsid w:val="004571A3"/>
    <w:rsid w:val="00457572"/>
    <w:rsid w:val="00462AFF"/>
    <w:rsid w:val="00463621"/>
    <w:rsid w:val="004708B3"/>
    <w:rsid w:val="00471513"/>
    <w:rsid w:val="00485ED1"/>
    <w:rsid w:val="0049441F"/>
    <w:rsid w:val="004A0F3F"/>
    <w:rsid w:val="004A15B2"/>
    <w:rsid w:val="004A766A"/>
    <w:rsid w:val="004A7D8C"/>
    <w:rsid w:val="004B6C46"/>
    <w:rsid w:val="004C1D19"/>
    <w:rsid w:val="004C7365"/>
    <w:rsid w:val="004D02D4"/>
    <w:rsid w:val="004E5432"/>
    <w:rsid w:val="004F2C19"/>
    <w:rsid w:val="004F3652"/>
    <w:rsid w:val="004F63E4"/>
    <w:rsid w:val="004F6D05"/>
    <w:rsid w:val="00510154"/>
    <w:rsid w:val="00512BA8"/>
    <w:rsid w:val="00514107"/>
    <w:rsid w:val="005168CE"/>
    <w:rsid w:val="00520E23"/>
    <w:rsid w:val="00526BA8"/>
    <w:rsid w:val="00527774"/>
    <w:rsid w:val="00536814"/>
    <w:rsid w:val="005412B9"/>
    <w:rsid w:val="0054384F"/>
    <w:rsid w:val="00553F10"/>
    <w:rsid w:val="005543F4"/>
    <w:rsid w:val="00555224"/>
    <w:rsid w:val="0055768E"/>
    <w:rsid w:val="00561EA2"/>
    <w:rsid w:val="00566089"/>
    <w:rsid w:val="005701FC"/>
    <w:rsid w:val="00570297"/>
    <w:rsid w:val="00574FD9"/>
    <w:rsid w:val="00580676"/>
    <w:rsid w:val="005822A4"/>
    <w:rsid w:val="0058655F"/>
    <w:rsid w:val="00594F0E"/>
    <w:rsid w:val="005976B7"/>
    <w:rsid w:val="00597922"/>
    <w:rsid w:val="005A4D77"/>
    <w:rsid w:val="005A60E6"/>
    <w:rsid w:val="005A71A6"/>
    <w:rsid w:val="005B07D2"/>
    <w:rsid w:val="005B600D"/>
    <w:rsid w:val="005C17C9"/>
    <w:rsid w:val="005C1B10"/>
    <w:rsid w:val="005D462F"/>
    <w:rsid w:val="005E63E2"/>
    <w:rsid w:val="005E7271"/>
    <w:rsid w:val="005F0939"/>
    <w:rsid w:val="005F33BD"/>
    <w:rsid w:val="00600862"/>
    <w:rsid w:val="00602DD6"/>
    <w:rsid w:val="00603752"/>
    <w:rsid w:val="00604038"/>
    <w:rsid w:val="00610DED"/>
    <w:rsid w:val="006117ED"/>
    <w:rsid w:val="00615961"/>
    <w:rsid w:val="00624CD7"/>
    <w:rsid w:val="00625D10"/>
    <w:rsid w:val="00631276"/>
    <w:rsid w:val="00635C61"/>
    <w:rsid w:val="00636408"/>
    <w:rsid w:val="00643966"/>
    <w:rsid w:val="00647D7F"/>
    <w:rsid w:val="00650C51"/>
    <w:rsid w:val="00651EBB"/>
    <w:rsid w:val="00653654"/>
    <w:rsid w:val="00653EA4"/>
    <w:rsid w:val="0066372C"/>
    <w:rsid w:val="006660BE"/>
    <w:rsid w:val="006736E6"/>
    <w:rsid w:val="00676DD2"/>
    <w:rsid w:val="00677857"/>
    <w:rsid w:val="0068323B"/>
    <w:rsid w:val="0068391F"/>
    <w:rsid w:val="0069105E"/>
    <w:rsid w:val="00697332"/>
    <w:rsid w:val="006A1B56"/>
    <w:rsid w:val="006B67C5"/>
    <w:rsid w:val="006C0DA3"/>
    <w:rsid w:val="006C77E8"/>
    <w:rsid w:val="006D2BBE"/>
    <w:rsid w:val="006D3663"/>
    <w:rsid w:val="006D59B8"/>
    <w:rsid w:val="006E03D3"/>
    <w:rsid w:val="006E0C22"/>
    <w:rsid w:val="006E4A5D"/>
    <w:rsid w:val="006F56B6"/>
    <w:rsid w:val="006F6F8F"/>
    <w:rsid w:val="007026F7"/>
    <w:rsid w:val="007056B4"/>
    <w:rsid w:val="0071796B"/>
    <w:rsid w:val="00721522"/>
    <w:rsid w:val="0073337E"/>
    <w:rsid w:val="00742F3C"/>
    <w:rsid w:val="00753CB8"/>
    <w:rsid w:val="007629BF"/>
    <w:rsid w:val="00766FA1"/>
    <w:rsid w:val="007733DA"/>
    <w:rsid w:val="007825CC"/>
    <w:rsid w:val="007861D1"/>
    <w:rsid w:val="007A33EF"/>
    <w:rsid w:val="007A6E19"/>
    <w:rsid w:val="007B4AD3"/>
    <w:rsid w:val="007C0F35"/>
    <w:rsid w:val="007C6E98"/>
    <w:rsid w:val="007D18E2"/>
    <w:rsid w:val="007D42DD"/>
    <w:rsid w:val="007E3AB4"/>
    <w:rsid w:val="007F226D"/>
    <w:rsid w:val="007F3C8E"/>
    <w:rsid w:val="008023C9"/>
    <w:rsid w:val="00802524"/>
    <w:rsid w:val="008077F4"/>
    <w:rsid w:val="00813734"/>
    <w:rsid w:val="008170DD"/>
    <w:rsid w:val="00820695"/>
    <w:rsid w:val="00820F40"/>
    <w:rsid w:val="008320DF"/>
    <w:rsid w:val="0083516A"/>
    <w:rsid w:val="0084452E"/>
    <w:rsid w:val="00844A73"/>
    <w:rsid w:val="008450CE"/>
    <w:rsid w:val="0084644A"/>
    <w:rsid w:val="00850C5E"/>
    <w:rsid w:val="00856955"/>
    <w:rsid w:val="00856F5E"/>
    <w:rsid w:val="00860942"/>
    <w:rsid w:val="0087634A"/>
    <w:rsid w:val="008951CC"/>
    <w:rsid w:val="00895D9D"/>
    <w:rsid w:val="008A04B8"/>
    <w:rsid w:val="008A0C8D"/>
    <w:rsid w:val="008C400D"/>
    <w:rsid w:val="008D0E8D"/>
    <w:rsid w:val="008D2EA4"/>
    <w:rsid w:val="008D40FA"/>
    <w:rsid w:val="008D6999"/>
    <w:rsid w:val="008E261A"/>
    <w:rsid w:val="008E424F"/>
    <w:rsid w:val="008F3735"/>
    <w:rsid w:val="008F78D2"/>
    <w:rsid w:val="0090230A"/>
    <w:rsid w:val="0092414D"/>
    <w:rsid w:val="009252EA"/>
    <w:rsid w:val="00925E6D"/>
    <w:rsid w:val="00937811"/>
    <w:rsid w:val="00946EF7"/>
    <w:rsid w:val="00953A0C"/>
    <w:rsid w:val="009550E1"/>
    <w:rsid w:val="0095754D"/>
    <w:rsid w:val="00957F06"/>
    <w:rsid w:val="00960FA5"/>
    <w:rsid w:val="00970575"/>
    <w:rsid w:val="0097258C"/>
    <w:rsid w:val="00972AF1"/>
    <w:rsid w:val="009750FF"/>
    <w:rsid w:val="009828DB"/>
    <w:rsid w:val="00987DD1"/>
    <w:rsid w:val="00987F2D"/>
    <w:rsid w:val="0099240B"/>
    <w:rsid w:val="009951D7"/>
    <w:rsid w:val="009A2BE2"/>
    <w:rsid w:val="009B468B"/>
    <w:rsid w:val="009B6850"/>
    <w:rsid w:val="009B69E6"/>
    <w:rsid w:val="009B6D08"/>
    <w:rsid w:val="009B7166"/>
    <w:rsid w:val="009C1089"/>
    <w:rsid w:val="009C1410"/>
    <w:rsid w:val="009C2EF4"/>
    <w:rsid w:val="009C6EF2"/>
    <w:rsid w:val="009D10CD"/>
    <w:rsid w:val="009E57E6"/>
    <w:rsid w:val="009F1ED4"/>
    <w:rsid w:val="009F4FEB"/>
    <w:rsid w:val="00A00281"/>
    <w:rsid w:val="00A012F8"/>
    <w:rsid w:val="00A05F33"/>
    <w:rsid w:val="00A05F75"/>
    <w:rsid w:val="00A12742"/>
    <w:rsid w:val="00A12AC9"/>
    <w:rsid w:val="00A16A8D"/>
    <w:rsid w:val="00A216CB"/>
    <w:rsid w:val="00A31D51"/>
    <w:rsid w:val="00A33A27"/>
    <w:rsid w:val="00A40D75"/>
    <w:rsid w:val="00A54AF7"/>
    <w:rsid w:val="00A57E21"/>
    <w:rsid w:val="00A62CAE"/>
    <w:rsid w:val="00A751BE"/>
    <w:rsid w:val="00A83059"/>
    <w:rsid w:val="00A8544D"/>
    <w:rsid w:val="00A90E7F"/>
    <w:rsid w:val="00A92D76"/>
    <w:rsid w:val="00AB141B"/>
    <w:rsid w:val="00AD1665"/>
    <w:rsid w:val="00AD5F6A"/>
    <w:rsid w:val="00AE34E1"/>
    <w:rsid w:val="00AE57C5"/>
    <w:rsid w:val="00AF0D17"/>
    <w:rsid w:val="00AF34F4"/>
    <w:rsid w:val="00AF49BB"/>
    <w:rsid w:val="00AF7CB4"/>
    <w:rsid w:val="00B003F5"/>
    <w:rsid w:val="00B00CB5"/>
    <w:rsid w:val="00B1164C"/>
    <w:rsid w:val="00B12910"/>
    <w:rsid w:val="00B12CFC"/>
    <w:rsid w:val="00B12FC4"/>
    <w:rsid w:val="00B14084"/>
    <w:rsid w:val="00B14639"/>
    <w:rsid w:val="00B14950"/>
    <w:rsid w:val="00B21F37"/>
    <w:rsid w:val="00B22FA8"/>
    <w:rsid w:val="00B26930"/>
    <w:rsid w:val="00B27137"/>
    <w:rsid w:val="00B30C40"/>
    <w:rsid w:val="00B36913"/>
    <w:rsid w:val="00B403F8"/>
    <w:rsid w:val="00B40450"/>
    <w:rsid w:val="00B42A47"/>
    <w:rsid w:val="00B45B8E"/>
    <w:rsid w:val="00B52927"/>
    <w:rsid w:val="00B53789"/>
    <w:rsid w:val="00B542DD"/>
    <w:rsid w:val="00B72DAC"/>
    <w:rsid w:val="00B73FBF"/>
    <w:rsid w:val="00B74D6B"/>
    <w:rsid w:val="00B94518"/>
    <w:rsid w:val="00B947A1"/>
    <w:rsid w:val="00BA3DE4"/>
    <w:rsid w:val="00BA457C"/>
    <w:rsid w:val="00BB1D18"/>
    <w:rsid w:val="00BB743E"/>
    <w:rsid w:val="00BE284B"/>
    <w:rsid w:val="00BF046E"/>
    <w:rsid w:val="00BF2356"/>
    <w:rsid w:val="00BF3D76"/>
    <w:rsid w:val="00BF47CB"/>
    <w:rsid w:val="00BF6C4C"/>
    <w:rsid w:val="00C00625"/>
    <w:rsid w:val="00C00672"/>
    <w:rsid w:val="00C03D90"/>
    <w:rsid w:val="00C124AC"/>
    <w:rsid w:val="00C276F4"/>
    <w:rsid w:val="00C30FEC"/>
    <w:rsid w:val="00C32733"/>
    <w:rsid w:val="00C34D84"/>
    <w:rsid w:val="00C36E7E"/>
    <w:rsid w:val="00C3715F"/>
    <w:rsid w:val="00C42FF5"/>
    <w:rsid w:val="00C5045E"/>
    <w:rsid w:val="00C51033"/>
    <w:rsid w:val="00C514D8"/>
    <w:rsid w:val="00C51851"/>
    <w:rsid w:val="00C54802"/>
    <w:rsid w:val="00C5767D"/>
    <w:rsid w:val="00C6080C"/>
    <w:rsid w:val="00C6104C"/>
    <w:rsid w:val="00C613EA"/>
    <w:rsid w:val="00C71938"/>
    <w:rsid w:val="00C764EB"/>
    <w:rsid w:val="00C77E5B"/>
    <w:rsid w:val="00C800AB"/>
    <w:rsid w:val="00C804C0"/>
    <w:rsid w:val="00C80CDC"/>
    <w:rsid w:val="00C8672B"/>
    <w:rsid w:val="00C86EBD"/>
    <w:rsid w:val="00C92010"/>
    <w:rsid w:val="00C96113"/>
    <w:rsid w:val="00CA4900"/>
    <w:rsid w:val="00CB0A0C"/>
    <w:rsid w:val="00CB140D"/>
    <w:rsid w:val="00CB23B9"/>
    <w:rsid w:val="00CB36C7"/>
    <w:rsid w:val="00CB3C12"/>
    <w:rsid w:val="00CC67F3"/>
    <w:rsid w:val="00CD0BC8"/>
    <w:rsid w:val="00CD10FD"/>
    <w:rsid w:val="00CD2FBA"/>
    <w:rsid w:val="00CD753A"/>
    <w:rsid w:val="00CE3944"/>
    <w:rsid w:val="00CE41F8"/>
    <w:rsid w:val="00CE75B2"/>
    <w:rsid w:val="00CF3E15"/>
    <w:rsid w:val="00CF6604"/>
    <w:rsid w:val="00CF6AFA"/>
    <w:rsid w:val="00D01D1F"/>
    <w:rsid w:val="00D03A81"/>
    <w:rsid w:val="00D04732"/>
    <w:rsid w:val="00D12EBE"/>
    <w:rsid w:val="00D139A0"/>
    <w:rsid w:val="00D15B69"/>
    <w:rsid w:val="00D21BBD"/>
    <w:rsid w:val="00D24DE2"/>
    <w:rsid w:val="00D25B6B"/>
    <w:rsid w:val="00D345D2"/>
    <w:rsid w:val="00D37F7B"/>
    <w:rsid w:val="00D4310D"/>
    <w:rsid w:val="00D45C2A"/>
    <w:rsid w:val="00D50289"/>
    <w:rsid w:val="00D52D5B"/>
    <w:rsid w:val="00D567F5"/>
    <w:rsid w:val="00D90E3D"/>
    <w:rsid w:val="00D91CDF"/>
    <w:rsid w:val="00DA4D95"/>
    <w:rsid w:val="00DA68E7"/>
    <w:rsid w:val="00DB50D6"/>
    <w:rsid w:val="00DB65D3"/>
    <w:rsid w:val="00DB6A58"/>
    <w:rsid w:val="00DC442E"/>
    <w:rsid w:val="00DD129B"/>
    <w:rsid w:val="00DE4005"/>
    <w:rsid w:val="00DE57F2"/>
    <w:rsid w:val="00DF2D95"/>
    <w:rsid w:val="00E03EDC"/>
    <w:rsid w:val="00E06581"/>
    <w:rsid w:val="00E12148"/>
    <w:rsid w:val="00E12FBF"/>
    <w:rsid w:val="00E17AC8"/>
    <w:rsid w:val="00E21983"/>
    <w:rsid w:val="00E21D82"/>
    <w:rsid w:val="00E25CCD"/>
    <w:rsid w:val="00E31B24"/>
    <w:rsid w:val="00E3226A"/>
    <w:rsid w:val="00E35ED0"/>
    <w:rsid w:val="00E36FB8"/>
    <w:rsid w:val="00E3716F"/>
    <w:rsid w:val="00E44EB2"/>
    <w:rsid w:val="00E471C6"/>
    <w:rsid w:val="00E50C56"/>
    <w:rsid w:val="00E60B4B"/>
    <w:rsid w:val="00E65586"/>
    <w:rsid w:val="00E67730"/>
    <w:rsid w:val="00E778B0"/>
    <w:rsid w:val="00E83355"/>
    <w:rsid w:val="00E8407C"/>
    <w:rsid w:val="00E85258"/>
    <w:rsid w:val="00E871EB"/>
    <w:rsid w:val="00E93349"/>
    <w:rsid w:val="00E94BF4"/>
    <w:rsid w:val="00E964D6"/>
    <w:rsid w:val="00EB20F5"/>
    <w:rsid w:val="00EB304D"/>
    <w:rsid w:val="00EB7EEC"/>
    <w:rsid w:val="00EC053C"/>
    <w:rsid w:val="00ED0BEB"/>
    <w:rsid w:val="00ED2144"/>
    <w:rsid w:val="00EE1D40"/>
    <w:rsid w:val="00EF3F9A"/>
    <w:rsid w:val="00F02CDD"/>
    <w:rsid w:val="00F02D98"/>
    <w:rsid w:val="00F07356"/>
    <w:rsid w:val="00F116DF"/>
    <w:rsid w:val="00F154F1"/>
    <w:rsid w:val="00F168B3"/>
    <w:rsid w:val="00F16DFE"/>
    <w:rsid w:val="00F21390"/>
    <w:rsid w:val="00F23501"/>
    <w:rsid w:val="00F239D8"/>
    <w:rsid w:val="00F35192"/>
    <w:rsid w:val="00F42817"/>
    <w:rsid w:val="00F50DDC"/>
    <w:rsid w:val="00F53CEB"/>
    <w:rsid w:val="00F5689C"/>
    <w:rsid w:val="00F56B8D"/>
    <w:rsid w:val="00F64299"/>
    <w:rsid w:val="00F6554C"/>
    <w:rsid w:val="00F7094F"/>
    <w:rsid w:val="00F817F6"/>
    <w:rsid w:val="00FA4EEB"/>
    <w:rsid w:val="00FA7EE4"/>
    <w:rsid w:val="00FB7FCB"/>
    <w:rsid w:val="00FC497D"/>
    <w:rsid w:val="00FE202A"/>
    <w:rsid w:val="00FE27C9"/>
    <w:rsid w:val="00FE44B5"/>
    <w:rsid w:val="00FE6118"/>
    <w:rsid w:val="00FE784D"/>
    <w:rsid w:val="00FF2B42"/>
    <w:rsid w:val="00FF7261"/>
    <w:rsid w:val="00FF7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862"/>
    <w:pPr>
      <w:ind w:left="720"/>
      <w:contextualSpacing/>
    </w:pPr>
  </w:style>
  <w:style w:type="paragraph" w:styleId="Header">
    <w:name w:val="header"/>
    <w:basedOn w:val="Normal"/>
    <w:link w:val="HeaderChar"/>
    <w:uiPriority w:val="99"/>
    <w:unhideWhenUsed/>
    <w:rsid w:val="006660BE"/>
    <w:pPr>
      <w:tabs>
        <w:tab w:val="center" w:pos="4680"/>
        <w:tab w:val="right" w:pos="9360"/>
      </w:tabs>
      <w:spacing w:line="240" w:lineRule="auto"/>
    </w:pPr>
  </w:style>
  <w:style w:type="character" w:customStyle="1" w:styleId="HeaderChar">
    <w:name w:val="Header Char"/>
    <w:basedOn w:val="DefaultParagraphFont"/>
    <w:link w:val="Header"/>
    <w:uiPriority w:val="99"/>
    <w:rsid w:val="006660BE"/>
  </w:style>
  <w:style w:type="paragraph" w:styleId="Footer">
    <w:name w:val="footer"/>
    <w:basedOn w:val="Normal"/>
    <w:link w:val="FooterChar"/>
    <w:uiPriority w:val="99"/>
    <w:unhideWhenUsed/>
    <w:rsid w:val="006660BE"/>
    <w:pPr>
      <w:tabs>
        <w:tab w:val="center" w:pos="4680"/>
        <w:tab w:val="right" w:pos="9360"/>
      </w:tabs>
      <w:spacing w:line="240" w:lineRule="auto"/>
    </w:pPr>
  </w:style>
  <w:style w:type="character" w:customStyle="1" w:styleId="FooterChar">
    <w:name w:val="Footer Char"/>
    <w:basedOn w:val="DefaultParagraphFont"/>
    <w:link w:val="Footer"/>
    <w:uiPriority w:val="99"/>
    <w:rsid w:val="006660BE"/>
  </w:style>
  <w:style w:type="paragraph" w:styleId="FootnoteText">
    <w:name w:val="footnote text"/>
    <w:basedOn w:val="Normal"/>
    <w:link w:val="FootnoteTextChar"/>
    <w:uiPriority w:val="99"/>
    <w:semiHidden/>
    <w:unhideWhenUsed/>
    <w:rsid w:val="00C276F4"/>
    <w:pPr>
      <w:spacing w:line="240" w:lineRule="auto"/>
    </w:pPr>
    <w:rPr>
      <w:sz w:val="20"/>
      <w:szCs w:val="20"/>
    </w:rPr>
  </w:style>
  <w:style w:type="character" w:customStyle="1" w:styleId="FootnoteTextChar">
    <w:name w:val="Footnote Text Char"/>
    <w:basedOn w:val="DefaultParagraphFont"/>
    <w:link w:val="FootnoteText"/>
    <w:uiPriority w:val="99"/>
    <w:semiHidden/>
    <w:rsid w:val="00C276F4"/>
    <w:rPr>
      <w:sz w:val="20"/>
      <w:szCs w:val="20"/>
    </w:rPr>
  </w:style>
  <w:style w:type="character" w:styleId="FootnoteReference">
    <w:name w:val="footnote reference"/>
    <w:basedOn w:val="DefaultParagraphFont"/>
    <w:uiPriority w:val="99"/>
    <w:semiHidden/>
    <w:unhideWhenUsed/>
    <w:rsid w:val="00C276F4"/>
    <w:rPr>
      <w:vertAlign w:val="superscript"/>
    </w:rPr>
  </w:style>
  <w:style w:type="paragraph" w:styleId="BalloonText">
    <w:name w:val="Balloon Text"/>
    <w:basedOn w:val="Normal"/>
    <w:link w:val="BalloonTextChar"/>
    <w:uiPriority w:val="99"/>
    <w:semiHidden/>
    <w:unhideWhenUsed/>
    <w:rsid w:val="00594F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F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862"/>
    <w:pPr>
      <w:ind w:left="720"/>
      <w:contextualSpacing/>
    </w:pPr>
  </w:style>
  <w:style w:type="paragraph" w:styleId="Header">
    <w:name w:val="header"/>
    <w:basedOn w:val="Normal"/>
    <w:link w:val="HeaderChar"/>
    <w:uiPriority w:val="99"/>
    <w:unhideWhenUsed/>
    <w:rsid w:val="006660BE"/>
    <w:pPr>
      <w:tabs>
        <w:tab w:val="center" w:pos="4680"/>
        <w:tab w:val="right" w:pos="9360"/>
      </w:tabs>
      <w:spacing w:line="240" w:lineRule="auto"/>
    </w:pPr>
  </w:style>
  <w:style w:type="character" w:customStyle="1" w:styleId="HeaderChar">
    <w:name w:val="Header Char"/>
    <w:basedOn w:val="DefaultParagraphFont"/>
    <w:link w:val="Header"/>
    <w:uiPriority w:val="99"/>
    <w:rsid w:val="006660BE"/>
  </w:style>
  <w:style w:type="paragraph" w:styleId="Footer">
    <w:name w:val="footer"/>
    <w:basedOn w:val="Normal"/>
    <w:link w:val="FooterChar"/>
    <w:uiPriority w:val="99"/>
    <w:unhideWhenUsed/>
    <w:rsid w:val="006660BE"/>
    <w:pPr>
      <w:tabs>
        <w:tab w:val="center" w:pos="4680"/>
        <w:tab w:val="right" w:pos="9360"/>
      </w:tabs>
      <w:spacing w:line="240" w:lineRule="auto"/>
    </w:pPr>
  </w:style>
  <w:style w:type="character" w:customStyle="1" w:styleId="FooterChar">
    <w:name w:val="Footer Char"/>
    <w:basedOn w:val="DefaultParagraphFont"/>
    <w:link w:val="Footer"/>
    <w:uiPriority w:val="99"/>
    <w:rsid w:val="006660BE"/>
  </w:style>
  <w:style w:type="paragraph" w:styleId="FootnoteText">
    <w:name w:val="footnote text"/>
    <w:basedOn w:val="Normal"/>
    <w:link w:val="FootnoteTextChar"/>
    <w:uiPriority w:val="99"/>
    <w:semiHidden/>
    <w:unhideWhenUsed/>
    <w:rsid w:val="00C276F4"/>
    <w:pPr>
      <w:spacing w:line="240" w:lineRule="auto"/>
    </w:pPr>
    <w:rPr>
      <w:sz w:val="20"/>
      <w:szCs w:val="20"/>
    </w:rPr>
  </w:style>
  <w:style w:type="character" w:customStyle="1" w:styleId="FootnoteTextChar">
    <w:name w:val="Footnote Text Char"/>
    <w:basedOn w:val="DefaultParagraphFont"/>
    <w:link w:val="FootnoteText"/>
    <w:uiPriority w:val="99"/>
    <w:semiHidden/>
    <w:rsid w:val="00C276F4"/>
    <w:rPr>
      <w:sz w:val="20"/>
      <w:szCs w:val="20"/>
    </w:rPr>
  </w:style>
  <w:style w:type="character" w:styleId="FootnoteReference">
    <w:name w:val="footnote reference"/>
    <w:basedOn w:val="DefaultParagraphFont"/>
    <w:uiPriority w:val="99"/>
    <w:semiHidden/>
    <w:unhideWhenUsed/>
    <w:rsid w:val="00C276F4"/>
    <w:rPr>
      <w:vertAlign w:val="superscript"/>
    </w:rPr>
  </w:style>
  <w:style w:type="paragraph" w:styleId="BalloonText">
    <w:name w:val="Balloon Text"/>
    <w:basedOn w:val="Normal"/>
    <w:link w:val="BalloonTextChar"/>
    <w:uiPriority w:val="99"/>
    <w:semiHidden/>
    <w:unhideWhenUsed/>
    <w:rsid w:val="00594F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F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44483">
      <w:bodyDiv w:val="1"/>
      <w:marLeft w:val="0"/>
      <w:marRight w:val="0"/>
      <w:marTop w:val="0"/>
      <w:marBottom w:val="0"/>
      <w:divBdr>
        <w:top w:val="none" w:sz="0" w:space="0" w:color="auto"/>
        <w:left w:val="none" w:sz="0" w:space="0" w:color="auto"/>
        <w:bottom w:val="none" w:sz="0" w:space="0" w:color="auto"/>
        <w:right w:val="none" w:sz="0" w:space="0" w:color="auto"/>
      </w:divBdr>
      <w:divsChild>
        <w:div w:id="1258555960">
          <w:marLeft w:val="0"/>
          <w:marRight w:val="0"/>
          <w:marTop w:val="0"/>
          <w:marBottom w:val="0"/>
          <w:divBdr>
            <w:top w:val="none" w:sz="0" w:space="0" w:color="auto"/>
            <w:left w:val="none" w:sz="0" w:space="0" w:color="auto"/>
            <w:bottom w:val="none" w:sz="0" w:space="0" w:color="auto"/>
            <w:right w:val="none" w:sz="0" w:space="0" w:color="auto"/>
          </w:divBdr>
          <w:divsChild>
            <w:div w:id="38248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869338">
      <w:bodyDiv w:val="1"/>
      <w:marLeft w:val="0"/>
      <w:marRight w:val="0"/>
      <w:marTop w:val="0"/>
      <w:marBottom w:val="0"/>
      <w:divBdr>
        <w:top w:val="none" w:sz="0" w:space="0" w:color="auto"/>
        <w:left w:val="none" w:sz="0" w:space="0" w:color="auto"/>
        <w:bottom w:val="none" w:sz="0" w:space="0" w:color="auto"/>
        <w:right w:val="none" w:sz="0" w:space="0" w:color="auto"/>
      </w:divBdr>
    </w:div>
    <w:div w:id="848641312">
      <w:bodyDiv w:val="1"/>
      <w:marLeft w:val="0"/>
      <w:marRight w:val="0"/>
      <w:marTop w:val="0"/>
      <w:marBottom w:val="0"/>
      <w:divBdr>
        <w:top w:val="none" w:sz="0" w:space="0" w:color="auto"/>
        <w:left w:val="none" w:sz="0" w:space="0" w:color="auto"/>
        <w:bottom w:val="none" w:sz="0" w:space="0" w:color="auto"/>
        <w:right w:val="none" w:sz="0" w:space="0" w:color="auto"/>
      </w:divBdr>
      <w:divsChild>
        <w:div w:id="1222205208">
          <w:marLeft w:val="0"/>
          <w:marRight w:val="0"/>
          <w:marTop w:val="0"/>
          <w:marBottom w:val="0"/>
          <w:divBdr>
            <w:top w:val="none" w:sz="0" w:space="0" w:color="auto"/>
            <w:left w:val="none" w:sz="0" w:space="0" w:color="auto"/>
            <w:bottom w:val="none" w:sz="0" w:space="0" w:color="auto"/>
            <w:right w:val="none" w:sz="0" w:space="0" w:color="auto"/>
          </w:divBdr>
          <w:divsChild>
            <w:div w:id="84806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52B8F-7729-4766-A7A3-3BC388C3C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1802</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 </cp:lastModifiedBy>
  <cp:revision>4</cp:revision>
  <cp:lastPrinted>2018-08-01T13:29:00Z</cp:lastPrinted>
  <dcterms:created xsi:type="dcterms:W3CDTF">2019-04-09T17:25:00Z</dcterms:created>
  <dcterms:modified xsi:type="dcterms:W3CDTF">2019-04-10T18:54:00Z</dcterms:modified>
</cp:coreProperties>
</file>