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drawing>
          <wp:anchor distT="0" distB="0" distL="0" distR="0" allowOverlap="1" layoutInCell="1" locked="0" behindDoc="1" simplePos="0" relativeHeight="487225856">
            <wp:simplePos x="0" y="0"/>
            <wp:positionH relativeFrom="page">
              <wp:posOffset>211604</wp:posOffset>
            </wp:positionH>
            <wp:positionV relativeFrom="page">
              <wp:posOffset>223647</wp:posOffset>
            </wp:positionV>
            <wp:extent cx="7356881" cy="9622865"/>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356881" cy="9622865"/>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5"/>
        </w:rPr>
      </w:pPr>
    </w:p>
    <w:p>
      <w:pPr>
        <w:pStyle w:val="Title"/>
      </w:pPr>
      <w:r>
        <w:rPr>
          <w:color w:val="F8F8F8"/>
          <w:spacing w:val="-2"/>
        </w:rPr>
        <w:t>Strategic</w:t>
      </w:r>
      <w:r>
        <w:rPr>
          <w:color w:val="F8F8F8"/>
          <w:spacing w:val="-46"/>
        </w:rPr>
        <w:t> </w:t>
      </w:r>
      <w:r>
        <w:rPr>
          <w:color w:val="F8F8F8"/>
          <w:spacing w:val="-2"/>
        </w:rPr>
        <w:t>Plan</w:t>
      </w:r>
      <w:r>
        <w:rPr>
          <w:color w:val="F8F8F8"/>
          <w:spacing w:val="-45"/>
        </w:rPr>
        <w:t> </w:t>
      </w:r>
      <w:r>
        <w:rPr>
          <w:color w:val="F8F8F8"/>
          <w:spacing w:val="-2"/>
        </w:rPr>
        <w:t>2022-</w:t>
      </w:r>
      <w:r>
        <w:rPr>
          <w:color w:val="F8F8F8"/>
          <w:spacing w:val="-4"/>
        </w:rPr>
        <w:t>2026</w:t>
      </w:r>
    </w:p>
    <w:p>
      <w:pPr>
        <w:spacing w:line="259" w:lineRule="auto" w:before="0"/>
        <w:ind w:left="1083" w:right="164" w:firstLine="0"/>
        <w:jc w:val="left"/>
        <w:rPr>
          <w:rFonts w:ascii="Arial"/>
          <w:sz w:val="44"/>
        </w:rPr>
      </w:pPr>
      <w:r>
        <w:rPr>
          <w:rFonts w:ascii="Arial"/>
          <w:color w:val="D9D9D9"/>
          <w:sz w:val="44"/>
        </w:rPr>
        <w:t>Working Together to Mitigate Harms Associated with Problem Gambling</w:t>
      </w:r>
    </w:p>
    <w:p>
      <w:pPr>
        <w:pStyle w:val="BodyText"/>
        <w:rPr>
          <w:rFonts w:ascii="Arial"/>
          <w:sz w:val="48"/>
        </w:rPr>
      </w:pPr>
    </w:p>
    <w:p>
      <w:pPr>
        <w:pStyle w:val="BodyText"/>
        <w:spacing w:before="2"/>
        <w:rPr>
          <w:rFonts w:ascii="Arial"/>
          <w:sz w:val="38"/>
        </w:rPr>
      </w:pPr>
    </w:p>
    <w:p>
      <w:pPr>
        <w:pStyle w:val="Heading1"/>
        <w:ind w:left="1078"/>
      </w:pPr>
      <w:r>
        <w:rPr>
          <w:color w:val="FFFFFF"/>
        </w:rPr>
        <w:t>January</w:t>
      </w:r>
      <w:r>
        <w:rPr>
          <w:color w:val="FFFFFF"/>
          <w:spacing w:val="44"/>
        </w:rPr>
        <w:t> </w:t>
      </w:r>
      <w:r>
        <w:rPr>
          <w:color w:val="FFFFFF"/>
          <w:spacing w:val="-4"/>
        </w:rPr>
        <w:t>2023</w:t>
      </w: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rPr>
          <w:rFonts w:ascii="Arial"/>
          <w:sz w:val="36"/>
        </w:rPr>
      </w:pPr>
    </w:p>
    <w:p>
      <w:pPr>
        <w:pStyle w:val="BodyText"/>
        <w:spacing w:before="3"/>
        <w:rPr>
          <w:rFonts w:ascii="Arial"/>
          <w:sz w:val="32"/>
        </w:rPr>
      </w:pPr>
    </w:p>
    <w:p>
      <w:pPr>
        <w:spacing w:before="0"/>
        <w:ind w:left="100" w:right="3099" w:firstLine="0"/>
        <w:jc w:val="left"/>
        <w:rPr>
          <w:rFonts w:ascii="Arial"/>
          <w:sz w:val="32"/>
        </w:rPr>
      </w:pPr>
      <w:r>
        <w:rPr>
          <w:rFonts w:ascii="Arial"/>
          <w:color w:val="032D52"/>
          <w:spacing w:val="-6"/>
          <w:sz w:val="32"/>
        </w:rPr>
        <w:t>Massachusetts</w:t>
      </w:r>
      <w:r>
        <w:rPr>
          <w:rFonts w:ascii="Arial"/>
          <w:color w:val="032D52"/>
          <w:spacing w:val="-14"/>
          <w:sz w:val="32"/>
        </w:rPr>
        <w:t> </w:t>
      </w:r>
      <w:r>
        <w:rPr>
          <w:rFonts w:ascii="Arial"/>
          <w:color w:val="032D52"/>
          <w:spacing w:val="-6"/>
          <w:sz w:val="32"/>
        </w:rPr>
        <w:t>Department</w:t>
      </w:r>
      <w:r>
        <w:rPr>
          <w:rFonts w:ascii="Arial"/>
          <w:color w:val="032D52"/>
          <w:spacing w:val="-15"/>
          <w:sz w:val="32"/>
        </w:rPr>
        <w:t> </w:t>
      </w:r>
      <w:r>
        <w:rPr>
          <w:rFonts w:ascii="Arial"/>
          <w:color w:val="032D52"/>
          <w:spacing w:val="-6"/>
          <w:sz w:val="32"/>
        </w:rPr>
        <w:t>of</w:t>
      </w:r>
      <w:r>
        <w:rPr>
          <w:rFonts w:ascii="Arial"/>
          <w:color w:val="032D52"/>
          <w:spacing w:val="-15"/>
          <w:sz w:val="32"/>
        </w:rPr>
        <w:t> </w:t>
      </w:r>
      <w:r>
        <w:rPr>
          <w:rFonts w:ascii="Arial"/>
          <w:color w:val="032D52"/>
          <w:spacing w:val="-6"/>
          <w:sz w:val="32"/>
        </w:rPr>
        <w:t>Public</w:t>
      </w:r>
      <w:r>
        <w:rPr>
          <w:rFonts w:ascii="Arial"/>
          <w:color w:val="032D52"/>
          <w:spacing w:val="-14"/>
          <w:sz w:val="32"/>
        </w:rPr>
        <w:t> </w:t>
      </w:r>
      <w:r>
        <w:rPr>
          <w:rFonts w:ascii="Arial"/>
          <w:color w:val="032D52"/>
          <w:spacing w:val="-6"/>
          <w:sz w:val="32"/>
        </w:rPr>
        <w:t>Health </w:t>
      </w:r>
      <w:r>
        <w:rPr>
          <w:rFonts w:ascii="Arial"/>
          <w:color w:val="032D52"/>
          <w:sz w:val="32"/>
        </w:rPr>
        <w:t>Office of Problem Gambling Services</w:t>
      </w:r>
    </w:p>
    <w:p>
      <w:pPr>
        <w:spacing w:after="0"/>
        <w:jc w:val="left"/>
        <w:rPr>
          <w:rFonts w:ascii="Arial"/>
          <w:sz w:val="32"/>
        </w:rPr>
        <w:sectPr>
          <w:type w:val="continuous"/>
          <w:pgSz w:w="12240" w:h="15840"/>
          <w:pgMar w:top="1820" w:bottom="280" w:left="960" w:right="1320"/>
        </w:sectPr>
      </w:pPr>
    </w:p>
    <w:p>
      <w:pPr>
        <w:pStyle w:val="BodyText"/>
        <w:rPr>
          <w:rFonts w:ascii="Arial"/>
          <w:sz w:val="20"/>
        </w:rPr>
      </w:pPr>
    </w:p>
    <w:p>
      <w:pPr>
        <w:pStyle w:val="BodyText"/>
        <w:rPr>
          <w:rFonts w:ascii="Arial"/>
          <w:sz w:val="20"/>
        </w:rPr>
      </w:pPr>
    </w:p>
    <w:p>
      <w:pPr>
        <w:spacing w:before="250"/>
        <w:ind w:left="480" w:right="0" w:firstLine="0"/>
        <w:jc w:val="left"/>
        <w:rPr>
          <w:rFonts w:ascii="Arial"/>
          <w:b/>
          <w:sz w:val="32"/>
        </w:rPr>
      </w:pPr>
      <w:r>
        <w:rPr>
          <w:rFonts w:ascii="Arial"/>
          <w:b/>
          <w:color w:val="1D4193"/>
          <w:sz w:val="32"/>
        </w:rPr>
        <w:t>TABLE</w:t>
      </w:r>
      <w:r>
        <w:rPr>
          <w:rFonts w:ascii="Arial"/>
          <w:b/>
          <w:color w:val="1D4193"/>
          <w:spacing w:val="41"/>
          <w:sz w:val="32"/>
        </w:rPr>
        <w:t> </w:t>
      </w:r>
      <w:r>
        <w:rPr>
          <w:rFonts w:ascii="Arial"/>
          <w:b/>
          <w:color w:val="1D4193"/>
          <w:sz w:val="32"/>
        </w:rPr>
        <w:t>OF</w:t>
      </w:r>
      <w:r>
        <w:rPr>
          <w:rFonts w:ascii="Arial"/>
          <w:b/>
          <w:color w:val="1D4193"/>
          <w:spacing w:val="41"/>
          <w:sz w:val="32"/>
        </w:rPr>
        <w:t> </w:t>
      </w:r>
      <w:r>
        <w:rPr>
          <w:rFonts w:ascii="Arial"/>
          <w:b/>
          <w:color w:val="1D4193"/>
          <w:spacing w:val="-2"/>
          <w:sz w:val="32"/>
        </w:rPr>
        <w:t>CONTENTS</w:t>
      </w:r>
    </w:p>
    <w:sdt>
      <w:sdtPr>
        <w:docPartObj>
          <w:docPartGallery w:val="Table of Contents"/>
          <w:docPartUnique/>
        </w:docPartObj>
      </w:sdtPr>
      <w:sdtEndPr/>
      <w:sdtContent>
        <w:p>
          <w:pPr>
            <w:pStyle w:val="TOC1"/>
            <w:tabs>
              <w:tab w:pos="9836" w:val="right" w:leader="dot"/>
            </w:tabs>
            <w:rPr>
              <w:rFonts w:ascii="Arial"/>
              <w:b/>
            </w:rPr>
          </w:pPr>
          <w:hyperlink w:history="true" w:anchor="_bookmark0">
            <w:r>
              <w:rPr>
                <w:color w:val="0A3677"/>
              </w:rPr>
              <w:t>OVERVIEW</w:t>
            </w:r>
            <w:r>
              <w:rPr>
                <w:color w:val="0A3677"/>
                <w:spacing w:val="24"/>
              </w:rPr>
              <w:t> </w:t>
            </w:r>
            <w:r>
              <w:rPr>
                <w:color w:val="0A3677"/>
              </w:rPr>
              <w:t>AND</w:t>
            </w:r>
            <w:r>
              <w:rPr>
                <w:color w:val="0A3677"/>
                <w:spacing w:val="23"/>
              </w:rPr>
              <w:t> </w:t>
            </w:r>
            <w:r>
              <w:rPr>
                <w:color w:val="0A3677"/>
                <w:spacing w:val="-2"/>
              </w:rPr>
              <w:t>BACKGROUND</w:t>
            </w:r>
          </w:hyperlink>
          <w:r>
            <w:rPr>
              <w:color w:val="0A3677"/>
            </w:rPr>
            <w:tab/>
          </w:r>
          <w:hyperlink w:history="true" w:anchor="_bookmark0">
            <w:r>
              <w:rPr>
                <w:rFonts w:ascii="Arial"/>
                <w:b/>
                <w:color w:val="0A3677"/>
                <w:spacing w:val="-12"/>
              </w:rPr>
              <w:t>2</w:t>
            </w:r>
          </w:hyperlink>
        </w:p>
        <w:p>
          <w:pPr>
            <w:pStyle w:val="TOC2"/>
            <w:tabs>
              <w:tab w:pos="9839" w:val="right" w:leader="dot"/>
            </w:tabs>
            <w:spacing w:before="81"/>
            <w:rPr>
              <w:rFonts w:ascii="Arial"/>
            </w:rPr>
          </w:pPr>
          <w:hyperlink w:history="true" w:anchor="_bookmark1">
            <w:r>
              <w:rPr>
                <w:spacing w:val="-2"/>
              </w:rPr>
              <w:t>Purpose</w:t>
            </w:r>
          </w:hyperlink>
          <w:r>
            <w:rPr/>
            <w:tab/>
          </w:r>
          <w:hyperlink w:history="true" w:anchor="_bookmark1">
            <w:r>
              <w:rPr>
                <w:rFonts w:ascii="Arial"/>
                <w:spacing w:val="-10"/>
              </w:rPr>
              <w:t>2</w:t>
            </w:r>
          </w:hyperlink>
        </w:p>
        <w:p>
          <w:pPr>
            <w:pStyle w:val="TOC2"/>
            <w:tabs>
              <w:tab w:pos="9839" w:val="right" w:leader="dot"/>
            </w:tabs>
            <w:rPr>
              <w:rFonts w:ascii="Arial"/>
            </w:rPr>
          </w:pPr>
          <w:hyperlink w:history="true" w:anchor="_bookmark2">
            <w:r>
              <w:rPr>
                <w:spacing w:val="-2"/>
              </w:rPr>
              <w:t>Acknowledgments</w:t>
            </w:r>
          </w:hyperlink>
          <w:r>
            <w:rPr/>
            <w:tab/>
          </w:r>
          <w:hyperlink w:history="true" w:anchor="_bookmark2">
            <w:r>
              <w:rPr>
                <w:rFonts w:ascii="Arial"/>
                <w:spacing w:val="-10"/>
              </w:rPr>
              <w:t>2</w:t>
            </w:r>
          </w:hyperlink>
        </w:p>
        <w:p>
          <w:pPr>
            <w:pStyle w:val="TOC2"/>
            <w:tabs>
              <w:tab w:pos="9839" w:val="right" w:leader="dot"/>
            </w:tabs>
            <w:rPr>
              <w:rFonts w:ascii="Arial"/>
            </w:rPr>
          </w:pPr>
          <w:hyperlink w:history="true" w:anchor="_bookmark3">
            <w:r>
              <w:rPr>
                <w:spacing w:val="-2"/>
              </w:rPr>
              <w:t>Background</w:t>
            </w:r>
          </w:hyperlink>
          <w:r>
            <w:rPr/>
            <w:tab/>
          </w:r>
          <w:hyperlink w:history="true" w:anchor="_bookmark3">
            <w:r>
              <w:rPr>
                <w:rFonts w:ascii="Arial"/>
                <w:spacing w:val="-10"/>
              </w:rPr>
              <w:t>3</w:t>
            </w:r>
          </w:hyperlink>
        </w:p>
        <w:p>
          <w:pPr>
            <w:pStyle w:val="TOC1"/>
            <w:tabs>
              <w:tab w:pos="9836" w:val="right" w:leader="dot"/>
            </w:tabs>
            <w:spacing w:before="259"/>
            <w:rPr>
              <w:rFonts w:ascii="Arial"/>
              <w:b/>
            </w:rPr>
          </w:pPr>
          <w:hyperlink w:history="true" w:anchor="_bookmark5">
            <w:r>
              <w:rPr>
                <w:color w:val="0A3677"/>
              </w:rPr>
              <w:t>STRATEGIC</w:t>
            </w:r>
            <w:r>
              <w:rPr>
                <w:color w:val="0A3677"/>
                <w:spacing w:val="36"/>
              </w:rPr>
              <w:t> </w:t>
            </w:r>
            <w:r>
              <w:rPr>
                <w:color w:val="0A3677"/>
              </w:rPr>
              <w:t>PLAN</w:t>
            </w:r>
            <w:r>
              <w:rPr>
                <w:color w:val="0A3677"/>
                <w:spacing w:val="35"/>
              </w:rPr>
              <w:t> </w:t>
            </w:r>
            <w:r>
              <w:rPr>
                <w:color w:val="0A3677"/>
              </w:rPr>
              <w:t>2022-</w:t>
            </w:r>
            <w:r>
              <w:rPr>
                <w:color w:val="0A3677"/>
                <w:spacing w:val="-4"/>
              </w:rPr>
              <w:t>2026</w:t>
            </w:r>
          </w:hyperlink>
          <w:r>
            <w:rPr>
              <w:color w:val="0A3677"/>
            </w:rPr>
            <w:tab/>
          </w:r>
          <w:hyperlink w:history="true" w:anchor="_bookmark5">
            <w:r>
              <w:rPr>
                <w:rFonts w:ascii="Arial"/>
                <w:b/>
                <w:color w:val="0A3677"/>
                <w:spacing w:val="-10"/>
              </w:rPr>
              <w:t>4</w:t>
            </w:r>
          </w:hyperlink>
        </w:p>
        <w:p>
          <w:pPr>
            <w:pStyle w:val="TOC2"/>
            <w:tabs>
              <w:tab w:pos="9839" w:val="right" w:leader="dot"/>
            </w:tabs>
            <w:spacing w:before="79"/>
            <w:rPr>
              <w:rFonts w:ascii="Arial"/>
            </w:rPr>
          </w:pPr>
          <w:hyperlink w:history="true" w:anchor="_bookmark6">
            <w:r>
              <w:rPr/>
              <w:t>Who</w:t>
            </w:r>
            <w:r>
              <w:rPr>
                <w:spacing w:val="-4"/>
              </w:rPr>
              <w:t> </w:t>
            </w:r>
            <w:r>
              <w:rPr/>
              <w:t>We</w:t>
            </w:r>
            <w:r>
              <w:rPr>
                <w:spacing w:val="-1"/>
              </w:rPr>
              <w:t> </w:t>
            </w:r>
            <w:r>
              <w:rPr>
                <w:spacing w:val="-5"/>
              </w:rPr>
              <w:t>Are</w:t>
            </w:r>
          </w:hyperlink>
          <w:r>
            <w:rPr/>
            <w:tab/>
          </w:r>
          <w:hyperlink w:history="true" w:anchor="_bookmark6">
            <w:r>
              <w:rPr>
                <w:rFonts w:ascii="Arial"/>
                <w:spacing w:val="-12"/>
              </w:rPr>
              <w:t>4</w:t>
            </w:r>
          </w:hyperlink>
        </w:p>
        <w:p>
          <w:pPr>
            <w:pStyle w:val="TOC3"/>
            <w:tabs>
              <w:tab w:pos="9839" w:val="right" w:leader="dot"/>
            </w:tabs>
            <w:rPr>
              <w:rFonts w:ascii="Arial"/>
              <w:sz w:val="20"/>
            </w:rPr>
          </w:pPr>
          <w:hyperlink w:history="true" w:anchor="_bookmark7">
            <w:r>
              <w:rPr/>
              <w:t>Purpose,</w:t>
            </w:r>
            <w:r>
              <w:rPr>
                <w:spacing w:val="-3"/>
              </w:rPr>
              <w:t> </w:t>
            </w:r>
            <w:r>
              <w:rPr/>
              <w:t>Mission</w:t>
            </w:r>
            <w:r>
              <w:rPr>
                <w:spacing w:val="-3"/>
              </w:rPr>
              <w:t> </w:t>
            </w:r>
            <w:r>
              <w:rPr/>
              <w:t>and</w:t>
            </w:r>
            <w:r>
              <w:rPr>
                <w:spacing w:val="-2"/>
              </w:rPr>
              <w:t> Vision</w:t>
            </w:r>
          </w:hyperlink>
          <w:r>
            <w:rPr/>
            <w:tab/>
          </w:r>
          <w:hyperlink w:history="true" w:anchor="_bookmark7">
            <w:r>
              <w:rPr>
                <w:rFonts w:ascii="Arial"/>
                <w:spacing w:val="-12"/>
                <w:sz w:val="20"/>
              </w:rPr>
              <w:t>4</w:t>
            </w:r>
          </w:hyperlink>
        </w:p>
        <w:p>
          <w:pPr>
            <w:pStyle w:val="TOC3"/>
            <w:tabs>
              <w:tab w:pos="9839" w:val="right" w:leader="dot"/>
            </w:tabs>
            <w:rPr>
              <w:rFonts w:ascii="Arial"/>
              <w:sz w:val="20"/>
            </w:rPr>
          </w:pPr>
          <w:hyperlink w:history="true" w:anchor="_bookmark8">
            <w:r>
              <w:rPr/>
              <w:t>Guiding</w:t>
            </w:r>
            <w:r>
              <w:rPr>
                <w:spacing w:val="-5"/>
              </w:rPr>
              <w:t> </w:t>
            </w:r>
            <w:r>
              <w:rPr>
                <w:spacing w:val="-2"/>
              </w:rPr>
              <w:t>Principles</w:t>
            </w:r>
          </w:hyperlink>
          <w:r>
            <w:rPr/>
            <w:tab/>
          </w:r>
          <w:hyperlink w:history="true" w:anchor="_bookmark8">
            <w:r>
              <w:rPr>
                <w:rFonts w:ascii="Arial"/>
                <w:spacing w:val="-10"/>
                <w:sz w:val="20"/>
              </w:rPr>
              <w:t>4</w:t>
            </w:r>
          </w:hyperlink>
        </w:p>
        <w:p>
          <w:pPr>
            <w:pStyle w:val="TOC3"/>
            <w:tabs>
              <w:tab w:pos="9839" w:val="right" w:leader="dot"/>
            </w:tabs>
            <w:rPr>
              <w:rFonts w:ascii="Arial"/>
              <w:sz w:val="20"/>
            </w:rPr>
          </w:pPr>
          <w:hyperlink w:history="true" w:anchor="_bookmark9">
            <w:r>
              <w:rPr/>
              <w:t>Strategic</w:t>
            </w:r>
            <w:r>
              <w:rPr>
                <w:spacing w:val="-3"/>
              </w:rPr>
              <w:t> </w:t>
            </w:r>
            <w:r>
              <w:rPr/>
              <w:t>Vision</w:t>
            </w:r>
            <w:r>
              <w:rPr>
                <w:spacing w:val="-3"/>
              </w:rPr>
              <w:t> </w:t>
            </w:r>
            <w:r>
              <w:rPr/>
              <w:t>for</w:t>
            </w:r>
            <w:r>
              <w:rPr>
                <w:spacing w:val="-3"/>
              </w:rPr>
              <w:t> </w:t>
            </w:r>
            <w:r>
              <w:rPr/>
              <w:t>Public</w:t>
            </w:r>
            <w:r>
              <w:rPr>
                <w:spacing w:val="-3"/>
              </w:rPr>
              <w:t> </w:t>
            </w:r>
            <w:r>
              <w:rPr/>
              <w:t>Health</w:t>
            </w:r>
            <w:r>
              <w:rPr>
                <w:spacing w:val="-2"/>
              </w:rPr>
              <w:t> Overall</w:t>
            </w:r>
          </w:hyperlink>
          <w:r>
            <w:rPr/>
            <w:tab/>
          </w:r>
          <w:hyperlink w:history="true" w:anchor="_bookmark9">
            <w:r>
              <w:rPr>
                <w:rFonts w:ascii="Arial"/>
                <w:spacing w:val="-10"/>
                <w:sz w:val="20"/>
              </w:rPr>
              <w:t>4</w:t>
            </w:r>
          </w:hyperlink>
        </w:p>
        <w:p>
          <w:pPr>
            <w:pStyle w:val="TOC2"/>
            <w:tabs>
              <w:tab w:pos="9839" w:val="right" w:leader="dot"/>
            </w:tabs>
            <w:rPr>
              <w:rFonts w:ascii="Arial"/>
            </w:rPr>
          </w:pPr>
          <w:hyperlink w:history="true" w:anchor="_bookmark10">
            <w:r>
              <w:rPr/>
              <w:t>Accomplishments</w:t>
            </w:r>
            <w:r>
              <w:rPr>
                <w:spacing w:val="-5"/>
              </w:rPr>
              <w:t> </w:t>
            </w:r>
            <w:r>
              <w:rPr/>
              <w:t>to</w:t>
            </w:r>
            <w:r>
              <w:rPr>
                <w:spacing w:val="-5"/>
              </w:rPr>
              <w:t> </w:t>
            </w:r>
            <w:r>
              <w:rPr>
                <w:spacing w:val="-4"/>
              </w:rPr>
              <w:t>Date</w:t>
            </w:r>
          </w:hyperlink>
          <w:r>
            <w:rPr/>
            <w:tab/>
          </w:r>
          <w:hyperlink w:history="true" w:anchor="_bookmark10">
            <w:r>
              <w:rPr>
                <w:rFonts w:ascii="Arial"/>
                <w:spacing w:val="-10"/>
              </w:rPr>
              <w:t>6</w:t>
            </w:r>
          </w:hyperlink>
        </w:p>
        <w:p>
          <w:pPr>
            <w:pStyle w:val="TOC3"/>
            <w:tabs>
              <w:tab w:pos="9839" w:val="right" w:leader="dot"/>
            </w:tabs>
            <w:spacing w:before="119"/>
            <w:rPr>
              <w:rFonts w:ascii="Arial"/>
              <w:sz w:val="20"/>
            </w:rPr>
          </w:pPr>
          <w:hyperlink w:history="true" w:anchor="_bookmark11">
            <w:r>
              <w:rPr/>
              <w:t>Accomplishments</w:t>
            </w:r>
            <w:r>
              <w:rPr>
                <w:spacing w:val="-5"/>
              </w:rPr>
              <w:t> </w:t>
            </w:r>
            <w:r>
              <w:rPr/>
              <w:t>and</w:t>
            </w:r>
            <w:r>
              <w:rPr>
                <w:spacing w:val="-4"/>
              </w:rPr>
              <w:t> </w:t>
            </w:r>
            <w:r>
              <w:rPr>
                <w:spacing w:val="-2"/>
              </w:rPr>
              <w:t>Milestones</w:t>
            </w:r>
          </w:hyperlink>
          <w:r>
            <w:rPr/>
            <w:tab/>
          </w:r>
          <w:hyperlink w:history="true" w:anchor="_bookmark11">
            <w:r>
              <w:rPr>
                <w:rFonts w:ascii="Arial"/>
                <w:spacing w:val="-10"/>
                <w:sz w:val="20"/>
              </w:rPr>
              <w:t>7</w:t>
            </w:r>
          </w:hyperlink>
        </w:p>
        <w:p>
          <w:pPr>
            <w:pStyle w:val="TOC2"/>
            <w:tabs>
              <w:tab w:pos="9841" w:val="right" w:leader="dot"/>
            </w:tabs>
            <w:rPr>
              <w:rFonts w:ascii="Arial"/>
            </w:rPr>
          </w:pPr>
          <w:hyperlink w:history="true" w:anchor="_bookmark12">
            <w:r>
              <w:rPr/>
              <w:t>Stakeholder</w:t>
            </w:r>
            <w:r>
              <w:rPr>
                <w:spacing w:val="-6"/>
              </w:rPr>
              <w:t> </w:t>
            </w:r>
            <w:r>
              <w:rPr/>
              <w:t>Engagement</w:t>
            </w:r>
            <w:r>
              <w:rPr>
                <w:spacing w:val="-6"/>
              </w:rPr>
              <w:t> </w:t>
            </w:r>
            <w:r>
              <w:rPr/>
              <w:t>to</w:t>
            </w:r>
            <w:r>
              <w:rPr>
                <w:spacing w:val="-5"/>
              </w:rPr>
              <w:t> </w:t>
            </w:r>
            <w:r>
              <w:rPr/>
              <w:t>Inform</w:t>
            </w:r>
            <w:r>
              <w:rPr>
                <w:spacing w:val="-5"/>
              </w:rPr>
              <w:t> </w:t>
            </w:r>
            <w:r>
              <w:rPr/>
              <w:t>Strategic</w:t>
            </w:r>
            <w:r>
              <w:rPr>
                <w:spacing w:val="-5"/>
              </w:rPr>
              <w:t> </w:t>
            </w:r>
            <w:r>
              <w:rPr/>
              <w:t>Plan</w:t>
            </w:r>
            <w:r>
              <w:rPr>
                <w:spacing w:val="-4"/>
              </w:rPr>
              <w:t> </w:t>
            </w:r>
            <w:r>
              <w:rPr>
                <w:spacing w:val="-2"/>
              </w:rPr>
              <w:t>Development</w:t>
            </w:r>
          </w:hyperlink>
          <w:r>
            <w:rPr/>
            <w:tab/>
          </w:r>
          <w:hyperlink w:history="true" w:anchor="_bookmark12">
            <w:r>
              <w:rPr>
                <w:rFonts w:ascii="Arial"/>
                <w:spacing w:val="-5"/>
              </w:rPr>
              <w:t>11</w:t>
            </w:r>
          </w:hyperlink>
        </w:p>
        <w:p>
          <w:pPr>
            <w:pStyle w:val="TOC3"/>
            <w:tabs>
              <w:tab w:pos="9841" w:val="right" w:leader="dot"/>
            </w:tabs>
            <w:rPr>
              <w:rFonts w:ascii="Arial"/>
              <w:sz w:val="20"/>
            </w:rPr>
          </w:pPr>
          <w:hyperlink w:history="true" w:anchor="_bookmark13">
            <w:r>
              <w:rPr>
                <w:spacing w:val="-2"/>
              </w:rPr>
              <w:t>Overview</w:t>
            </w:r>
          </w:hyperlink>
          <w:r>
            <w:rPr/>
            <w:tab/>
          </w:r>
          <w:hyperlink w:history="true" w:anchor="_bookmark13">
            <w:r>
              <w:rPr>
                <w:rFonts w:ascii="Arial"/>
                <w:spacing w:val="-5"/>
                <w:sz w:val="20"/>
              </w:rPr>
              <w:t>11</w:t>
            </w:r>
          </w:hyperlink>
        </w:p>
        <w:p>
          <w:pPr>
            <w:pStyle w:val="TOC3"/>
            <w:tabs>
              <w:tab w:pos="9841" w:val="right" w:leader="dot"/>
            </w:tabs>
            <w:spacing w:before="119"/>
            <w:rPr>
              <w:rFonts w:ascii="Arial"/>
              <w:sz w:val="20"/>
            </w:rPr>
          </w:pPr>
          <w:hyperlink w:history="true" w:anchor="_bookmark14">
            <w:r>
              <w:rPr/>
              <w:t>Key</w:t>
            </w:r>
            <w:r>
              <w:rPr>
                <w:spacing w:val="-4"/>
              </w:rPr>
              <w:t> </w:t>
            </w:r>
            <w:r>
              <w:rPr>
                <w:spacing w:val="-2"/>
              </w:rPr>
              <w:t>Themes</w:t>
            </w:r>
          </w:hyperlink>
          <w:r>
            <w:rPr/>
            <w:tab/>
          </w:r>
          <w:hyperlink w:history="true" w:anchor="_bookmark14">
            <w:r>
              <w:rPr>
                <w:rFonts w:ascii="Arial"/>
                <w:spacing w:val="-5"/>
                <w:sz w:val="20"/>
              </w:rPr>
              <w:t>12</w:t>
            </w:r>
          </w:hyperlink>
        </w:p>
        <w:p>
          <w:pPr>
            <w:pStyle w:val="TOC2"/>
            <w:tabs>
              <w:tab w:pos="9841" w:val="right" w:leader="dot"/>
            </w:tabs>
            <w:rPr>
              <w:rFonts w:ascii="Arial"/>
            </w:rPr>
          </w:pPr>
          <w:hyperlink w:history="true" w:anchor="_bookmark15">
            <w:r>
              <w:rPr/>
              <w:t>Major</w:t>
            </w:r>
            <w:r>
              <w:rPr>
                <w:spacing w:val="-4"/>
              </w:rPr>
              <w:t> </w:t>
            </w:r>
            <w:r>
              <w:rPr/>
              <w:t>Impact</w:t>
            </w:r>
            <w:r>
              <w:rPr>
                <w:spacing w:val="-6"/>
              </w:rPr>
              <w:t> </w:t>
            </w:r>
            <w:r>
              <w:rPr/>
              <w:t>Areas,</w:t>
            </w:r>
            <w:r>
              <w:rPr>
                <w:spacing w:val="-4"/>
              </w:rPr>
              <w:t> </w:t>
            </w:r>
            <w:r>
              <w:rPr/>
              <w:t>Goals,</w:t>
            </w:r>
            <w:r>
              <w:rPr>
                <w:spacing w:val="-6"/>
              </w:rPr>
              <w:t> </w:t>
            </w:r>
            <w:r>
              <w:rPr/>
              <w:t>Strategies,</w:t>
            </w:r>
            <w:r>
              <w:rPr>
                <w:spacing w:val="-4"/>
              </w:rPr>
              <w:t> </w:t>
            </w:r>
            <w:r>
              <w:rPr/>
              <w:t>and</w:t>
            </w:r>
            <w:r>
              <w:rPr>
                <w:spacing w:val="-3"/>
              </w:rPr>
              <w:t> </w:t>
            </w:r>
            <w:r>
              <w:rPr>
                <w:spacing w:val="-2"/>
              </w:rPr>
              <w:t>Measures</w:t>
            </w:r>
          </w:hyperlink>
          <w:r>
            <w:rPr/>
            <w:tab/>
          </w:r>
          <w:hyperlink w:history="true" w:anchor="_bookmark15">
            <w:r>
              <w:rPr>
                <w:rFonts w:ascii="Arial"/>
                <w:spacing w:val="-5"/>
              </w:rPr>
              <w:t>12</w:t>
            </w:r>
          </w:hyperlink>
        </w:p>
        <w:p>
          <w:pPr>
            <w:pStyle w:val="TOC3"/>
            <w:tabs>
              <w:tab w:pos="9841" w:val="right" w:leader="dot"/>
            </w:tabs>
            <w:rPr>
              <w:rFonts w:ascii="Arial"/>
              <w:sz w:val="20"/>
            </w:rPr>
          </w:pPr>
          <w:hyperlink w:history="true" w:anchor="_bookmark16">
            <w:r>
              <w:rPr/>
              <w:t>Expand</w:t>
            </w:r>
            <w:r>
              <w:rPr>
                <w:spacing w:val="-4"/>
              </w:rPr>
              <w:t> </w:t>
            </w:r>
            <w:r>
              <w:rPr>
                <w:spacing w:val="-2"/>
              </w:rPr>
              <w:t>Reach</w:t>
            </w:r>
          </w:hyperlink>
          <w:r>
            <w:rPr/>
            <w:tab/>
          </w:r>
          <w:hyperlink w:history="true" w:anchor="_bookmark16">
            <w:r>
              <w:rPr>
                <w:rFonts w:ascii="Arial"/>
                <w:spacing w:val="-5"/>
                <w:sz w:val="20"/>
              </w:rPr>
              <w:t>14</w:t>
            </w:r>
          </w:hyperlink>
        </w:p>
        <w:p>
          <w:pPr>
            <w:pStyle w:val="TOC3"/>
            <w:tabs>
              <w:tab w:pos="9841" w:val="right" w:leader="dot"/>
            </w:tabs>
            <w:rPr>
              <w:rFonts w:ascii="Arial"/>
              <w:sz w:val="20"/>
            </w:rPr>
          </w:pPr>
          <w:hyperlink w:history="true" w:anchor="_bookmark17">
            <w:r>
              <w:rPr/>
              <w:t>Enhance</w:t>
            </w:r>
            <w:r>
              <w:rPr>
                <w:spacing w:val="-6"/>
              </w:rPr>
              <w:t> </w:t>
            </w:r>
            <w:r>
              <w:rPr>
                <w:spacing w:val="-2"/>
              </w:rPr>
              <w:t>Effectiveness</w:t>
            </w:r>
          </w:hyperlink>
          <w:r>
            <w:rPr/>
            <w:tab/>
          </w:r>
          <w:hyperlink w:history="true" w:anchor="_bookmark17">
            <w:r>
              <w:rPr>
                <w:rFonts w:ascii="Arial"/>
                <w:spacing w:val="-5"/>
                <w:sz w:val="20"/>
              </w:rPr>
              <w:t>16</w:t>
            </w:r>
          </w:hyperlink>
        </w:p>
        <w:p>
          <w:pPr>
            <w:pStyle w:val="TOC2"/>
            <w:tabs>
              <w:tab w:pos="9840" w:val="right" w:leader="dot"/>
            </w:tabs>
            <w:rPr>
              <w:rFonts w:ascii="Arial"/>
            </w:rPr>
          </w:pPr>
          <w:hyperlink w:history="true" w:anchor="_bookmark18">
            <w:r>
              <w:rPr>
                <w:spacing w:val="-2"/>
              </w:rPr>
              <w:t>Conclusion</w:t>
            </w:r>
          </w:hyperlink>
          <w:r>
            <w:rPr/>
            <w:tab/>
          </w:r>
          <w:hyperlink w:history="true" w:anchor="_bookmark18">
            <w:r>
              <w:rPr>
                <w:rFonts w:ascii="Arial"/>
                <w:spacing w:val="-5"/>
              </w:rPr>
              <w:t>17</w:t>
            </w:r>
          </w:hyperlink>
        </w:p>
      </w:sdtContent>
    </w:sdt>
    <w:p>
      <w:pPr>
        <w:spacing w:after="0"/>
        <w:rPr>
          <w:rFonts w:ascii="Arial"/>
        </w:rPr>
        <w:sectPr>
          <w:headerReference w:type="default" r:id="rId6"/>
          <w:footerReference w:type="default" r:id="rId7"/>
          <w:pgSz w:w="12240" w:h="15840"/>
          <w:pgMar w:header="438" w:footer="444" w:top="1320" w:bottom="640" w:left="960" w:right="1320"/>
          <w:pgNumType w:start="1"/>
        </w:sectPr>
      </w:pPr>
    </w:p>
    <w:p>
      <w:pPr>
        <w:pStyle w:val="Heading1"/>
        <w:spacing w:before="102"/>
        <w:rPr>
          <w:rFonts w:ascii="Franklin Gothic Book"/>
        </w:rPr>
      </w:pPr>
      <w:bookmarkStart w:name="Overview and Background" w:id="1"/>
      <w:bookmarkEnd w:id="1"/>
      <w:r>
        <w:rPr/>
      </w:r>
      <w:bookmarkStart w:name="_bookmark0" w:id="2"/>
      <w:bookmarkEnd w:id="2"/>
      <w:r>
        <w:rPr/>
      </w:r>
      <w:r>
        <w:rPr>
          <w:rFonts w:ascii="Franklin Gothic Book"/>
          <w:color w:val="055893"/>
        </w:rPr>
        <w:t>OVERVIEW</w:t>
      </w:r>
      <w:r>
        <w:rPr>
          <w:rFonts w:ascii="Franklin Gothic Book"/>
          <w:color w:val="055893"/>
          <w:spacing w:val="61"/>
        </w:rPr>
        <w:t> </w:t>
      </w:r>
      <w:r>
        <w:rPr>
          <w:rFonts w:ascii="Franklin Gothic Book"/>
          <w:color w:val="055893"/>
        </w:rPr>
        <w:t>AND</w:t>
      </w:r>
      <w:r>
        <w:rPr>
          <w:rFonts w:ascii="Franklin Gothic Book"/>
          <w:color w:val="055893"/>
          <w:spacing w:val="65"/>
        </w:rPr>
        <w:t> </w:t>
      </w:r>
      <w:r>
        <w:rPr>
          <w:rFonts w:ascii="Franklin Gothic Book"/>
          <w:color w:val="055893"/>
          <w:spacing w:val="-2"/>
        </w:rPr>
        <w:t>BACKGROUND</w:t>
      </w:r>
    </w:p>
    <w:p>
      <w:pPr>
        <w:pStyle w:val="Heading3"/>
        <w:spacing w:before="246"/>
      </w:pPr>
      <w:bookmarkStart w:name="Purpose" w:id="3"/>
      <w:bookmarkEnd w:id="3"/>
      <w:r>
        <w:rPr/>
      </w:r>
      <w:bookmarkStart w:name="_bookmark1" w:id="4"/>
      <w:bookmarkEnd w:id="4"/>
      <w:r>
        <w:rPr/>
      </w:r>
      <w:r>
        <w:rPr>
          <w:color w:val="032D52"/>
          <w:spacing w:val="-2"/>
        </w:rPr>
        <w:t>PURPOSE</w:t>
      </w:r>
    </w:p>
    <w:p>
      <w:pPr>
        <w:pStyle w:val="BodyText"/>
        <w:spacing w:line="259" w:lineRule="auto"/>
        <w:ind w:left="479" w:right="190"/>
      </w:pPr>
      <w:r>
        <w:rPr/>
        <w:t>This</w:t>
      </w:r>
      <w:r>
        <w:rPr>
          <w:spacing w:val="-3"/>
        </w:rPr>
        <w:t> </w:t>
      </w:r>
      <w:r>
        <w:rPr/>
        <w:t>strategic</w:t>
      </w:r>
      <w:r>
        <w:rPr>
          <w:spacing w:val="-4"/>
        </w:rPr>
        <w:t> </w:t>
      </w:r>
      <w:r>
        <w:rPr/>
        <w:t>plan</w:t>
      </w:r>
      <w:r>
        <w:rPr>
          <w:spacing w:val="-4"/>
        </w:rPr>
        <w:t> </w:t>
      </w:r>
      <w:r>
        <w:rPr/>
        <w:t>was</w:t>
      </w:r>
      <w:r>
        <w:rPr>
          <w:spacing w:val="-3"/>
        </w:rPr>
        <w:t> </w:t>
      </w:r>
      <w:r>
        <w:rPr/>
        <w:t>created</w:t>
      </w:r>
      <w:r>
        <w:rPr>
          <w:spacing w:val="-3"/>
        </w:rPr>
        <w:t> </w:t>
      </w:r>
      <w:r>
        <w:rPr/>
        <w:t>to</w:t>
      </w:r>
      <w:r>
        <w:rPr>
          <w:spacing w:val="-3"/>
        </w:rPr>
        <w:t> </w:t>
      </w:r>
      <w:r>
        <w:rPr/>
        <w:t>guide</w:t>
      </w:r>
      <w:r>
        <w:rPr>
          <w:spacing w:val="-4"/>
        </w:rPr>
        <w:t> </w:t>
      </w:r>
      <w:r>
        <w:rPr/>
        <w:t>the</w:t>
      </w:r>
      <w:r>
        <w:rPr>
          <w:spacing w:val="-4"/>
        </w:rPr>
        <w:t> </w:t>
      </w:r>
      <w:r>
        <w:rPr/>
        <w:t>work</w:t>
      </w:r>
      <w:r>
        <w:rPr>
          <w:spacing w:val="-3"/>
        </w:rPr>
        <w:t> </w:t>
      </w:r>
      <w:r>
        <w:rPr/>
        <w:t>of</w:t>
      </w:r>
      <w:r>
        <w:rPr>
          <w:spacing w:val="-2"/>
        </w:rPr>
        <w:t> </w:t>
      </w:r>
      <w:r>
        <w:rPr/>
        <w:t>the</w:t>
      </w:r>
      <w:r>
        <w:rPr>
          <w:spacing w:val="-4"/>
        </w:rPr>
        <w:t> </w:t>
      </w:r>
      <w:r>
        <w:rPr/>
        <w:t>Massachusetts</w:t>
      </w:r>
      <w:r>
        <w:rPr>
          <w:spacing w:val="-3"/>
        </w:rPr>
        <w:t> </w:t>
      </w:r>
      <w:r>
        <w:rPr/>
        <w:t>Department</w:t>
      </w:r>
      <w:r>
        <w:rPr>
          <w:spacing w:val="-4"/>
        </w:rPr>
        <w:t> </w:t>
      </w:r>
      <w:r>
        <w:rPr/>
        <w:t>of</w:t>
      </w:r>
      <w:r>
        <w:rPr>
          <w:spacing w:val="-2"/>
        </w:rPr>
        <w:t> </w:t>
      </w:r>
      <w:r>
        <w:rPr/>
        <w:t>Public</w:t>
      </w:r>
      <w:r>
        <w:rPr>
          <w:spacing w:val="-4"/>
        </w:rPr>
        <w:t> </w:t>
      </w:r>
      <w:r>
        <w:rPr/>
        <w:t>Health (DPH)’s Office of Problem Gambling Services (henceforth referred to as “OPGS” or “the Office”) during the time period 2022-2026. It details the origins of the Office, accomplishments to date by the Office and its partners, and the Office’s core focus, principles, and strategic priorities going </w:t>
      </w:r>
      <w:r>
        <w:rPr>
          <w:spacing w:val="-2"/>
        </w:rPr>
        <w:t>forward.</w:t>
      </w:r>
    </w:p>
    <w:p>
      <w:pPr>
        <w:pStyle w:val="BodyText"/>
        <w:spacing w:line="259" w:lineRule="auto" w:before="119"/>
        <w:ind w:left="479"/>
      </w:pPr>
      <w:r>
        <w:rPr/>
        <w:t>From 2016 to 2021, the Commonwealth of Massachusetts’ response to mitigating harms from problem</w:t>
      </w:r>
      <w:r>
        <w:rPr>
          <w:spacing w:val="-3"/>
        </w:rPr>
        <w:t> </w:t>
      </w:r>
      <w:r>
        <w:rPr/>
        <w:t>gambling</w:t>
      </w:r>
      <w:r>
        <w:rPr>
          <w:spacing w:val="-3"/>
        </w:rPr>
        <w:t> </w:t>
      </w:r>
      <w:r>
        <w:rPr/>
        <w:t>was</w:t>
      </w:r>
      <w:r>
        <w:rPr>
          <w:spacing w:val="-3"/>
        </w:rPr>
        <w:t> </w:t>
      </w:r>
      <w:r>
        <w:rPr/>
        <w:t>guided</w:t>
      </w:r>
      <w:r>
        <w:rPr>
          <w:spacing w:val="-3"/>
        </w:rPr>
        <w:t> </w:t>
      </w:r>
      <w:r>
        <w:rPr/>
        <w:t>by</w:t>
      </w:r>
      <w:r>
        <w:rPr>
          <w:spacing w:val="-3"/>
        </w:rPr>
        <w:t> </w:t>
      </w:r>
      <w:r>
        <w:rPr/>
        <w:t>a</w:t>
      </w:r>
      <w:r>
        <w:rPr>
          <w:spacing w:val="-3"/>
        </w:rPr>
        <w:t> </w:t>
      </w:r>
      <w:r>
        <w:rPr/>
        <w:t>strategic</w:t>
      </w:r>
      <w:r>
        <w:rPr>
          <w:spacing w:val="-4"/>
        </w:rPr>
        <w:t> </w:t>
      </w:r>
      <w:r>
        <w:rPr/>
        <w:t>plan</w:t>
      </w:r>
      <w:r>
        <w:rPr>
          <w:spacing w:val="-4"/>
        </w:rPr>
        <w:t> </w:t>
      </w:r>
      <w:r>
        <w:rPr/>
        <w:t>spearheaded</w:t>
      </w:r>
      <w:r>
        <w:rPr>
          <w:spacing w:val="-3"/>
        </w:rPr>
        <w:t> </w:t>
      </w:r>
      <w:r>
        <w:rPr/>
        <w:t>by</w:t>
      </w:r>
      <w:r>
        <w:rPr>
          <w:spacing w:val="-3"/>
        </w:rPr>
        <w:t> </w:t>
      </w:r>
      <w:r>
        <w:rPr/>
        <w:t>the</w:t>
      </w:r>
      <w:r>
        <w:rPr>
          <w:spacing w:val="-4"/>
        </w:rPr>
        <w:t> </w:t>
      </w:r>
      <w:r>
        <w:rPr/>
        <w:t>Public</w:t>
      </w:r>
      <w:r>
        <w:rPr>
          <w:spacing w:val="-2"/>
        </w:rPr>
        <w:t> </w:t>
      </w:r>
      <w:r>
        <w:rPr/>
        <w:t>Health</w:t>
      </w:r>
      <w:r>
        <w:rPr>
          <w:spacing w:val="-3"/>
        </w:rPr>
        <w:t> </w:t>
      </w:r>
      <w:r>
        <w:rPr/>
        <w:t>Trust</w:t>
      </w:r>
      <w:r>
        <w:rPr>
          <w:spacing w:val="-4"/>
        </w:rPr>
        <w:t> </w:t>
      </w:r>
      <w:r>
        <w:rPr/>
        <w:t>Fund.</w:t>
      </w:r>
      <w:r>
        <w:rPr>
          <w:spacing w:val="-3"/>
        </w:rPr>
        <w:t> </w:t>
      </w:r>
      <w:r>
        <w:rPr/>
        <w:t>Over this five-year period, OPGS</w:t>
      </w:r>
      <w:r>
        <w:rPr>
          <w:spacing w:val="-1"/>
        </w:rPr>
        <w:t> </w:t>
      </w:r>
      <w:r>
        <w:rPr/>
        <w:t>and its partners executed strategies across 11</w:t>
      </w:r>
      <w:r>
        <w:rPr>
          <w:spacing w:val="-1"/>
        </w:rPr>
        <w:t> </w:t>
      </w:r>
      <w:r>
        <w:rPr/>
        <w:t>priority areas identified in the 2016-2021 plan, thereby establishing a foundation for expanded impact going forward.</w:t>
      </w:r>
    </w:p>
    <w:p>
      <w:pPr>
        <w:pStyle w:val="BodyText"/>
        <w:spacing w:line="259" w:lineRule="auto" w:before="119"/>
        <w:ind w:left="479" w:right="190"/>
      </w:pPr>
      <w:r>
        <w:rPr/>
        <w:t>The prior strategic plan has matured, and OPGS has been charged with leading an expanded public health driven and equity-centered response to mitigating harms associated with continued expansion of gambling opportunities across the Commonwealth. OPGS operates in concert with colleagues</w:t>
      </w:r>
      <w:r>
        <w:rPr>
          <w:spacing w:val="-1"/>
        </w:rPr>
        <w:t> </w:t>
      </w:r>
      <w:r>
        <w:rPr/>
        <w:t>across DPH,</w:t>
      </w:r>
      <w:r>
        <w:rPr>
          <w:spacing w:val="-1"/>
        </w:rPr>
        <w:t> </w:t>
      </w:r>
      <w:r>
        <w:rPr/>
        <w:t>in</w:t>
      </w:r>
      <w:r>
        <w:rPr>
          <w:spacing w:val="-2"/>
        </w:rPr>
        <w:t> </w:t>
      </w:r>
      <w:r>
        <w:rPr/>
        <w:t>alliance</w:t>
      </w:r>
      <w:r>
        <w:rPr>
          <w:spacing w:val="-2"/>
        </w:rPr>
        <w:t> </w:t>
      </w:r>
      <w:r>
        <w:rPr/>
        <w:t>with</w:t>
      </w:r>
      <w:r>
        <w:rPr>
          <w:spacing w:val="-1"/>
        </w:rPr>
        <w:t> </w:t>
      </w:r>
      <w:r>
        <w:rPr/>
        <w:t>an</w:t>
      </w:r>
      <w:r>
        <w:rPr>
          <w:spacing w:val="-2"/>
        </w:rPr>
        <w:t> </w:t>
      </w:r>
      <w:r>
        <w:rPr/>
        <w:t>array</w:t>
      </w:r>
      <w:r>
        <w:rPr>
          <w:spacing w:val="-1"/>
        </w:rPr>
        <w:t> </w:t>
      </w:r>
      <w:r>
        <w:rPr/>
        <w:t>of local,</w:t>
      </w:r>
      <w:r>
        <w:rPr>
          <w:spacing w:val="-1"/>
        </w:rPr>
        <w:t> </w:t>
      </w:r>
      <w:r>
        <w:rPr/>
        <w:t>state,</w:t>
      </w:r>
      <w:r>
        <w:rPr>
          <w:spacing w:val="-1"/>
        </w:rPr>
        <w:t> </w:t>
      </w:r>
      <w:r>
        <w:rPr/>
        <w:t>and</w:t>
      </w:r>
      <w:r>
        <w:rPr>
          <w:spacing w:val="-1"/>
        </w:rPr>
        <w:t> </w:t>
      </w:r>
      <w:r>
        <w:rPr/>
        <w:t>national partners,</w:t>
      </w:r>
      <w:r>
        <w:rPr>
          <w:spacing w:val="-1"/>
        </w:rPr>
        <w:t> </w:t>
      </w:r>
      <w:r>
        <w:rPr/>
        <w:t>and</w:t>
      </w:r>
      <w:r>
        <w:rPr>
          <w:spacing w:val="-1"/>
        </w:rPr>
        <w:t> </w:t>
      </w:r>
      <w:r>
        <w:rPr/>
        <w:t>in</w:t>
      </w:r>
      <w:r>
        <w:rPr>
          <w:spacing w:val="-2"/>
        </w:rPr>
        <w:t> </w:t>
      </w:r>
      <w:r>
        <w:rPr/>
        <w:t>service and</w:t>
      </w:r>
      <w:r>
        <w:rPr>
          <w:spacing w:val="-5"/>
        </w:rPr>
        <w:t> </w:t>
      </w:r>
      <w:r>
        <w:rPr/>
        <w:t>response</w:t>
      </w:r>
      <w:r>
        <w:rPr>
          <w:spacing w:val="-6"/>
        </w:rPr>
        <w:t> </w:t>
      </w:r>
      <w:r>
        <w:rPr/>
        <w:t>to</w:t>
      </w:r>
      <w:r>
        <w:rPr>
          <w:spacing w:val="-5"/>
        </w:rPr>
        <w:t> </w:t>
      </w:r>
      <w:r>
        <w:rPr/>
        <w:t>historically</w:t>
      </w:r>
      <w:r>
        <w:rPr>
          <w:spacing w:val="-5"/>
        </w:rPr>
        <w:t> </w:t>
      </w:r>
      <w:r>
        <w:rPr/>
        <w:t>underserved</w:t>
      </w:r>
      <w:r>
        <w:rPr>
          <w:spacing w:val="-5"/>
        </w:rPr>
        <w:t> </w:t>
      </w:r>
      <w:r>
        <w:rPr/>
        <w:t>and</w:t>
      </w:r>
      <w:r>
        <w:rPr>
          <w:spacing w:val="-5"/>
        </w:rPr>
        <w:t> </w:t>
      </w:r>
      <w:r>
        <w:rPr/>
        <w:t>marginalized</w:t>
      </w:r>
      <w:r>
        <w:rPr>
          <w:spacing w:val="-5"/>
        </w:rPr>
        <w:t> </w:t>
      </w:r>
      <w:r>
        <w:rPr/>
        <w:t>communities.</w:t>
      </w:r>
      <w:r>
        <w:rPr>
          <w:spacing w:val="-5"/>
        </w:rPr>
        <w:t> </w:t>
      </w:r>
      <w:r>
        <w:rPr/>
        <w:t>By</w:t>
      </w:r>
      <w:r>
        <w:rPr>
          <w:spacing w:val="-5"/>
        </w:rPr>
        <w:t> </w:t>
      </w:r>
      <w:r>
        <w:rPr/>
        <w:t>empowering</w:t>
      </w:r>
      <w:r>
        <w:rPr>
          <w:spacing w:val="-4"/>
        </w:rPr>
        <w:t> </w:t>
      </w:r>
      <w:r>
        <w:rPr/>
        <w:t>community voice and acknowledging those who are experiencing health inequities, OPGS will promote equity and mitigate harms associated with problem gambling.</w:t>
      </w:r>
      <w:r>
        <w:rPr>
          <w:spacing w:val="40"/>
        </w:rPr>
        <w:t> </w:t>
      </w:r>
      <w:r>
        <w:rPr/>
        <w:t>OPGS will work over the time period governed</w:t>
      </w:r>
      <w:r>
        <w:rPr>
          <w:spacing w:val="-3"/>
        </w:rPr>
        <w:t> </w:t>
      </w:r>
      <w:r>
        <w:rPr/>
        <w:t>by</w:t>
      </w:r>
      <w:r>
        <w:rPr>
          <w:spacing w:val="-3"/>
        </w:rPr>
        <w:t> </w:t>
      </w:r>
      <w:r>
        <w:rPr/>
        <w:t>this</w:t>
      </w:r>
      <w:r>
        <w:rPr>
          <w:spacing w:val="-4"/>
        </w:rPr>
        <w:t> </w:t>
      </w:r>
      <w:r>
        <w:rPr/>
        <w:t>plan</w:t>
      </w:r>
      <w:r>
        <w:rPr>
          <w:spacing w:val="-4"/>
        </w:rPr>
        <w:t> </w:t>
      </w:r>
      <w:r>
        <w:rPr/>
        <w:t>to</w:t>
      </w:r>
      <w:r>
        <w:rPr>
          <w:spacing w:val="-3"/>
        </w:rPr>
        <w:t> </w:t>
      </w:r>
      <w:r>
        <w:rPr/>
        <w:t>continue</w:t>
      </w:r>
      <w:r>
        <w:rPr>
          <w:spacing w:val="-4"/>
        </w:rPr>
        <w:t> </w:t>
      </w:r>
      <w:r>
        <w:rPr/>
        <w:t>maximizing</w:t>
      </w:r>
      <w:r>
        <w:rPr>
          <w:spacing w:val="-3"/>
        </w:rPr>
        <w:t> </w:t>
      </w:r>
      <w:r>
        <w:rPr/>
        <w:t>positive</w:t>
      </w:r>
      <w:r>
        <w:rPr>
          <w:spacing w:val="-4"/>
        </w:rPr>
        <w:t> </w:t>
      </w:r>
      <w:r>
        <w:rPr/>
        <w:t>impact</w:t>
      </w:r>
      <w:r>
        <w:rPr>
          <w:spacing w:val="-4"/>
        </w:rPr>
        <w:t> </w:t>
      </w:r>
      <w:r>
        <w:rPr/>
        <w:t>by</w:t>
      </w:r>
      <w:r>
        <w:rPr>
          <w:spacing w:val="-2"/>
        </w:rPr>
        <w:t> </w:t>
      </w:r>
      <w:r>
        <w:rPr/>
        <w:t>ensuring</w:t>
      </w:r>
      <w:r>
        <w:rPr>
          <w:spacing w:val="-3"/>
        </w:rPr>
        <w:t> </w:t>
      </w:r>
      <w:r>
        <w:rPr/>
        <w:t>reach</w:t>
      </w:r>
      <w:r>
        <w:rPr>
          <w:spacing w:val="-3"/>
        </w:rPr>
        <w:t> </w:t>
      </w:r>
      <w:r>
        <w:rPr/>
        <w:t>and</w:t>
      </w:r>
      <w:r>
        <w:rPr>
          <w:spacing w:val="-3"/>
        </w:rPr>
        <w:t> </w:t>
      </w:r>
      <w:r>
        <w:rPr/>
        <w:t>effectiveness</w:t>
      </w:r>
      <w:r>
        <w:rPr>
          <w:spacing w:val="-3"/>
        </w:rPr>
        <w:t> </w:t>
      </w:r>
      <w:r>
        <w:rPr/>
        <w:t>of problem gambling prevention, treatment, and recovery services.</w:t>
      </w:r>
    </w:p>
    <w:p>
      <w:pPr>
        <w:pStyle w:val="Heading3"/>
        <w:spacing w:before="118"/>
      </w:pPr>
      <w:bookmarkStart w:name="Acknowledgments" w:id="5"/>
      <w:bookmarkEnd w:id="5"/>
      <w:r>
        <w:rPr/>
      </w:r>
      <w:bookmarkStart w:name="_bookmark2" w:id="6"/>
      <w:bookmarkEnd w:id="6"/>
      <w:r>
        <w:rPr/>
      </w:r>
      <w:r>
        <w:rPr>
          <w:color w:val="032D52"/>
          <w:spacing w:val="-2"/>
        </w:rPr>
        <w:t>ACKNOWLEDGMENTS</w:t>
      </w:r>
    </w:p>
    <w:p>
      <w:pPr>
        <w:pStyle w:val="BodyText"/>
        <w:spacing w:line="259" w:lineRule="auto"/>
        <w:ind w:left="480" w:right="190" w:hanging="1"/>
      </w:pPr>
      <w:r>
        <w:rPr/>
        <w:t>DPH/OPGS would like to thank the over 300 community members throughout the Commonwealth who</w:t>
      </w:r>
      <w:r>
        <w:rPr>
          <w:spacing w:val="-3"/>
        </w:rPr>
        <w:t> </w:t>
      </w:r>
      <w:r>
        <w:rPr/>
        <w:t>participated</w:t>
      </w:r>
      <w:r>
        <w:rPr>
          <w:spacing w:val="-3"/>
        </w:rPr>
        <w:t> </w:t>
      </w:r>
      <w:r>
        <w:rPr/>
        <w:t>in</w:t>
      </w:r>
      <w:r>
        <w:rPr>
          <w:spacing w:val="-4"/>
        </w:rPr>
        <w:t> </w:t>
      </w:r>
      <w:r>
        <w:rPr/>
        <w:t>this</w:t>
      </w:r>
      <w:r>
        <w:rPr>
          <w:spacing w:val="-3"/>
        </w:rPr>
        <w:t> </w:t>
      </w:r>
      <w:r>
        <w:rPr/>
        <w:t>process</w:t>
      </w:r>
      <w:r>
        <w:rPr>
          <w:spacing w:val="-3"/>
        </w:rPr>
        <w:t> </w:t>
      </w:r>
      <w:r>
        <w:rPr/>
        <w:t>and</w:t>
      </w:r>
      <w:r>
        <w:rPr>
          <w:spacing w:val="-3"/>
        </w:rPr>
        <w:t> </w:t>
      </w:r>
      <w:r>
        <w:rPr/>
        <w:t>lent</w:t>
      </w:r>
      <w:r>
        <w:rPr>
          <w:spacing w:val="-4"/>
        </w:rPr>
        <w:t> </w:t>
      </w:r>
      <w:r>
        <w:rPr/>
        <w:t>their</w:t>
      </w:r>
      <w:r>
        <w:rPr>
          <w:spacing w:val="-3"/>
        </w:rPr>
        <w:t> </w:t>
      </w:r>
      <w:r>
        <w:rPr/>
        <w:t>voices</w:t>
      </w:r>
      <w:r>
        <w:rPr>
          <w:spacing w:val="-3"/>
        </w:rPr>
        <w:t> </w:t>
      </w:r>
      <w:r>
        <w:rPr/>
        <w:t>to</w:t>
      </w:r>
      <w:r>
        <w:rPr>
          <w:spacing w:val="-3"/>
        </w:rPr>
        <w:t> </w:t>
      </w:r>
      <w:r>
        <w:rPr/>
        <w:t>the</w:t>
      </w:r>
      <w:r>
        <w:rPr>
          <w:spacing w:val="-4"/>
        </w:rPr>
        <w:t> </w:t>
      </w:r>
      <w:r>
        <w:rPr/>
        <w:t>development</w:t>
      </w:r>
      <w:r>
        <w:rPr>
          <w:spacing w:val="-4"/>
        </w:rPr>
        <w:t> </w:t>
      </w:r>
      <w:r>
        <w:rPr/>
        <w:t>of</w:t>
      </w:r>
      <w:r>
        <w:rPr>
          <w:spacing w:val="-2"/>
        </w:rPr>
        <w:t> </w:t>
      </w:r>
      <w:r>
        <w:rPr/>
        <w:t>this</w:t>
      </w:r>
      <w:r>
        <w:rPr>
          <w:spacing w:val="-3"/>
        </w:rPr>
        <w:t> </w:t>
      </w:r>
      <w:r>
        <w:rPr/>
        <w:t>plan.</w:t>
      </w:r>
      <w:r>
        <w:rPr>
          <w:spacing w:val="-3"/>
        </w:rPr>
        <w:t> </w:t>
      </w:r>
      <w:r>
        <w:rPr/>
        <w:t>We</w:t>
      </w:r>
      <w:r>
        <w:rPr>
          <w:spacing w:val="-2"/>
        </w:rPr>
        <w:t> </w:t>
      </w:r>
      <w:r>
        <w:rPr/>
        <w:t>also</w:t>
      </w:r>
      <w:r>
        <w:rPr>
          <w:spacing w:val="-3"/>
        </w:rPr>
        <w:t> </w:t>
      </w:r>
      <w:r>
        <w:rPr/>
        <w:t>thank the following organizations for their partnerships and contributions:</w:t>
      </w:r>
    </w:p>
    <w:p>
      <w:pPr>
        <w:spacing w:after="0" w:line="259" w:lineRule="auto"/>
        <w:sectPr>
          <w:pgSz w:w="12240" w:h="15840"/>
          <w:pgMar w:header="438" w:footer="444" w:top="1320" w:bottom="640" w:left="960" w:right="1320"/>
        </w:sectPr>
      </w:pPr>
    </w:p>
    <w:p>
      <w:pPr>
        <w:pStyle w:val="ListParagraph"/>
        <w:numPr>
          <w:ilvl w:val="0"/>
          <w:numId w:val="1"/>
        </w:numPr>
        <w:tabs>
          <w:tab w:pos="1199" w:val="left" w:leader="none"/>
          <w:tab w:pos="1200" w:val="left" w:leader="none"/>
        </w:tabs>
        <w:spacing w:line="240" w:lineRule="auto" w:before="160" w:after="0"/>
        <w:ind w:left="1199" w:right="0" w:hanging="360"/>
        <w:jc w:val="left"/>
        <w:rPr>
          <w:sz w:val="20"/>
        </w:rPr>
      </w:pPr>
      <w:r>
        <w:rPr>
          <w:sz w:val="20"/>
        </w:rPr>
        <w:t>Boston</w:t>
      </w:r>
      <w:r>
        <w:rPr>
          <w:spacing w:val="-6"/>
          <w:sz w:val="20"/>
        </w:rPr>
        <w:t> </w:t>
      </w:r>
      <w:r>
        <w:rPr>
          <w:sz w:val="20"/>
        </w:rPr>
        <w:t>Chinatown</w:t>
      </w:r>
      <w:r>
        <w:rPr>
          <w:spacing w:val="-6"/>
          <w:sz w:val="20"/>
        </w:rPr>
        <w:t> </w:t>
      </w:r>
      <w:r>
        <w:rPr>
          <w:sz w:val="20"/>
        </w:rPr>
        <w:t>Neighborhood</w:t>
      </w:r>
      <w:r>
        <w:rPr>
          <w:spacing w:val="-5"/>
          <w:sz w:val="20"/>
        </w:rPr>
        <w:t> </w:t>
      </w:r>
      <w:r>
        <w:rPr>
          <w:spacing w:val="-2"/>
          <w:sz w:val="20"/>
        </w:rPr>
        <w:t>Center</w:t>
      </w:r>
    </w:p>
    <w:p>
      <w:pPr>
        <w:pStyle w:val="ListParagraph"/>
        <w:numPr>
          <w:ilvl w:val="0"/>
          <w:numId w:val="1"/>
        </w:numPr>
        <w:tabs>
          <w:tab w:pos="1199" w:val="left" w:leader="none"/>
          <w:tab w:pos="1200" w:val="left" w:leader="none"/>
        </w:tabs>
        <w:spacing w:line="240" w:lineRule="auto" w:before="18" w:after="0"/>
        <w:ind w:left="1199" w:right="0" w:hanging="361"/>
        <w:jc w:val="left"/>
        <w:rPr>
          <w:sz w:val="20"/>
        </w:rPr>
      </w:pPr>
      <w:r>
        <w:rPr>
          <w:sz w:val="20"/>
        </w:rPr>
        <w:t>Cambridge</w:t>
      </w:r>
      <w:r>
        <w:rPr>
          <w:spacing w:val="-6"/>
          <w:sz w:val="20"/>
        </w:rPr>
        <w:t> </w:t>
      </w:r>
      <w:r>
        <w:rPr>
          <w:sz w:val="20"/>
        </w:rPr>
        <w:t>Health</w:t>
      </w:r>
      <w:r>
        <w:rPr>
          <w:spacing w:val="-5"/>
          <w:sz w:val="20"/>
        </w:rPr>
        <w:t> </w:t>
      </w:r>
      <w:r>
        <w:rPr>
          <w:spacing w:val="-2"/>
          <w:sz w:val="20"/>
        </w:rPr>
        <w:t>Alliance</w:t>
      </w:r>
    </w:p>
    <w:p>
      <w:pPr>
        <w:pStyle w:val="ListParagraph"/>
        <w:numPr>
          <w:ilvl w:val="0"/>
          <w:numId w:val="1"/>
        </w:numPr>
        <w:tabs>
          <w:tab w:pos="1199" w:val="left" w:leader="none"/>
          <w:tab w:pos="1200" w:val="left" w:leader="none"/>
        </w:tabs>
        <w:spacing w:line="240" w:lineRule="auto" w:before="16" w:after="0"/>
        <w:ind w:left="1199" w:right="0" w:hanging="361"/>
        <w:jc w:val="left"/>
        <w:rPr>
          <w:sz w:val="20"/>
        </w:rPr>
      </w:pPr>
      <w:r>
        <w:rPr>
          <w:sz w:val="20"/>
        </w:rPr>
        <w:t>City</w:t>
      </w:r>
      <w:r>
        <w:rPr>
          <w:spacing w:val="-3"/>
          <w:sz w:val="20"/>
        </w:rPr>
        <w:t> </w:t>
      </w:r>
      <w:r>
        <w:rPr>
          <w:sz w:val="20"/>
        </w:rPr>
        <w:t>of</w:t>
      </w:r>
      <w:r>
        <w:rPr>
          <w:spacing w:val="-3"/>
          <w:sz w:val="20"/>
        </w:rPr>
        <w:t> </w:t>
      </w:r>
      <w:r>
        <w:rPr>
          <w:sz w:val="20"/>
        </w:rPr>
        <w:t>Revere,</w:t>
      </w:r>
      <w:r>
        <w:rPr>
          <w:spacing w:val="-2"/>
          <w:sz w:val="20"/>
        </w:rPr>
        <w:t> </w:t>
      </w:r>
      <w:r>
        <w:rPr>
          <w:spacing w:val="-5"/>
          <w:sz w:val="20"/>
        </w:rPr>
        <w:t>MA</w:t>
      </w:r>
    </w:p>
    <w:p>
      <w:pPr>
        <w:pStyle w:val="ListParagraph"/>
        <w:numPr>
          <w:ilvl w:val="0"/>
          <w:numId w:val="1"/>
        </w:numPr>
        <w:tabs>
          <w:tab w:pos="1199" w:val="left" w:leader="none"/>
          <w:tab w:pos="1200" w:val="left" w:leader="none"/>
        </w:tabs>
        <w:spacing w:line="240" w:lineRule="auto" w:before="18" w:after="0"/>
        <w:ind w:left="1199" w:right="0" w:hanging="361"/>
        <w:jc w:val="left"/>
        <w:rPr>
          <w:sz w:val="20"/>
        </w:rPr>
      </w:pPr>
      <w:r>
        <w:rPr>
          <w:sz w:val="20"/>
        </w:rPr>
        <w:t>City</w:t>
      </w:r>
      <w:r>
        <w:rPr>
          <w:spacing w:val="-4"/>
          <w:sz w:val="20"/>
        </w:rPr>
        <w:t> </w:t>
      </w:r>
      <w:r>
        <w:rPr>
          <w:sz w:val="20"/>
        </w:rPr>
        <w:t>of</w:t>
      </w:r>
      <w:r>
        <w:rPr>
          <w:spacing w:val="-4"/>
          <w:sz w:val="20"/>
        </w:rPr>
        <w:t> </w:t>
      </w:r>
      <w:r>
        <w:rPr>
          <w:sz w:val="20"/>
        </w:rPr>
        <w:t>Springfield,</w:t>
      </w:r>
      <w:r>
        <w:rPr>
          <w:spacing w:val="-3"/>
          <w:sz w:val="20"/>
        </w:rPr>
        <w:t> </w:t>
      </w:r>
      <w:r>
        <w:rPr>
          <w:spacing w:val="-5"/>
          <w:sz w:val="20"/>
        </w:rPr>
        <w:t>MA</w:t>
      </w:r>
    </w:p>
    <w:p>
      <w:pPr>
        <w:pStyle w:val="ListParagraph"/>
        <w:numPr>
          <w:ilvl w:val="0"/>
          <w:numId w:val="1"/>
        </w:numPr>
        <w:tabs>
          <w:tab w:pos="1199" w:val="left" w:leader="none"/>
          <w:tab w:pos="1200" w:val="left" w:leader="none"/>
        </w:tabs>
        <w:spacing w:line="240" w:lineRule="auto" w:before="18" w:after="0"/>
        <w:ind w:left="1199" w:right="0" w:hanging="361"/>
        <w:jc w:val="left"/>
        <w:rPr>
          <w:sz w:val="20"/>
        </w:rPr>
      </w:pPr>
      <w:r>
        <w:rPr>
          <w:sz w:val="20"/>
        </w:rPr>
        <w:t>City</w:t>
      </w:r>
      <w:r>
        <w:rPr>
          <w:spacing w:val="-6"/>
          <w:sz w:val="20"/>
        </w:rPr>
        <w:t> </w:t>
      </w:r>
      <w:r>
        <w:rPr>
          <w:sz w:val="20"/>
        </w:rPr>
        <w:t>of</w:t>
      </w:r>
      <w:r>
        <w:rPr>
          <w:spacing w:val="-3"/>
          <w:sz w:val="20"/>
        </w:rPr>
        <w:t> </w:t>
      </w:r>
      <w:r>
        <w:rPr>
          <w:sz w:val="20"/>
        </w:rPr>
        <w:t>Worcester,</w:t>
      </w:r>
      <w:r>
        <w:rPr>
          <w:spacing w:val="-2"/>
          <w:sz w:val="20"/>
        </w:rPr>
        <w:t> </w:t>
      </w:r>
      <w:r>
        <w:rPr>
          <w:spacing w:val="-5"/>
          <w:sz w:val="20"/>
        </w:rPr>
        <w:t>MA</w:t>
      </w:r>
    </w:p>
    <w:p>
      <w:pPr>
        <w:pStyle w:val="ListParagraph"/>
        <w:numPr>
          <w:ilvl w:val="0"/>
          <w:numId w:val="1"/>
        </w:numPr>
        <w:tabs>
          <w:tab w:pos="1199" w:val="left" w:leader="none"/>
          <w:tab w:pos="1200" w:val="left" w:leader="none"/>
        </w:tabs>
        <w:spacing w:line="256" w:lineRule="auto" w:before="16" w:after="0"/>
        <w:ind w:left="1199" w:right="38" w:hanging="360"/>
        <w:jc w:val="left"/>
        <w:rPr>
          <w:sz w:val="20"/>
        </w:rPr>
      </w:pPr>
      <w:r>
        <w:rPr>
          <w:sz w:val="20"/>
        </w:rPr>
        <w:t>Division</w:t>
      </w:r>
      <w:r>
        <w:rPr>
          <w:spacing w:val="-8"/>
          <w:sz w:val="20"/>
        </w:rPr>
        <w:t> </w:t>
      </w:r>
      <w:r>
        <w:rPr>
          <w:sz w:val="20"/>
        </w:rPr>
        <w:t>on</w:t>
      </w:r>
      <w:r>
        <w:rPr>
          <w:spacing w:val="-7"/>
          <w:sz w:val="20"/>
        </w:rPr>
        <w:t> </w:t>
      </w:r>
      <w:r>
        <w:rPr>
          <w:sz w:val="20"/>
        </w:rPr>
        <w:t>Addiction</w:t>
      </w:r>
      <w:r>
        <w:rPr>
          <w:spacing w:val="-7"/>
          <w:sz w:val="20"/>
        </w:rPr>
        <w:t> </w:t>
      </w:r>
      <w:r>
        <w:rPr>
          <w:sz w:val="20"/>
        </w:rPr>
        <w:t>at</w:t>
      </w:r>
      <w:r>
        <w:rPr>
          <w:spacing w:val="-9"/>
          <w:sz w:val="20"/>
        </w:rPr>
        <w:t> </w:t>
      </w:r>
      <w:r>
        <w:rPr>
          <w:sz w:val="20"/>
        </w:rPr>
        <w:t>Cambridge</w:t>
      </w:r>
      <w:r>
        <w:rPr>
          <w:spacing w:val="-7"/>
          <w:sz w:val="20"/>
        </w:rPr>
        <w:t> </w:t>
      </w:r>
      <w:r>
        <w:rPr>
          <w:sz w:val="20"/>
        </w:rPr>
        <w:t>Health </w:t>
      </w:r>
      <w:r>
        <w:rPr>
          <w:spacing w:val="-2"/>
          <w:sz w:val="20"/>
        </w:rPr>
        <w:t>Alliance</w:t>
      </w:r>
    </w:p>
    <w:p>
      <w:pPr>
        <w:pStyle w:val="ListParagraph"/>
        <w:numPr>
          <w:ilvl w:val="0"/>
          <w:numId w:val="1"/>
        </w:numPr>
        <w:tabs>
          <w:tab w:pos="1199" w:val="left" w:leader="none"/>
          <w:tab w:pos="1200" w:val="left" w:leader="none"/>
        </w:tabs>
        <w:spacing w:line="240" w:lineRule="auto" w:before="3" w:after="0"/>
        <w:ind w:left="1199" w:right="0" w:hanging="361"/>
        <w:jc w:val="left"/>
        <w:rPr>
          <w:sz w:val="20"/>
        </w:rPr>
      </w:pPr>
      <w:r>
        <w:rPr>
          <w:sz w:val="20"/>
        </w:rPr>
        <w:t>Doura-Schawohl</w:t>
      </w:r>
      <w:r>
        <w:rPr>
          <w:spacing w:val="-12"/>
          <w:sz w:val="20"/>
        </w:rPr>
        <w:t> </w:t>
      </w:r>
      <w:r>
        <w:rPr>
          <w:spacing w:val="-2"/>
          <w:sz w:val="20"/>
        </w:rPr>
        <w:t>Consulting</w:t>
      </w:r>
    </w:p>
    <w:p>
      <w:pPr>
        <w:pStyle w:val="ListParagraph"/>
        <w:numPr>
          <w:ilvl w:val="0"/>
          <w:numId w:val="1"/>
        </w:numPr>
        <w:tabs>
          <w:tab w:pos="1199" w:val="left" w:leader="none"/>
          <w:tab w:pos="1200" w:val="left" w:leader="none"/>
        </w:tabs>
        <w:spacing w:line="240" w:lineRule="auto" w:before="18" w:after="0"/>
        <w:ind w:left="1199" w:right="0" w:hanging="361"/>
        <w:jc w:val="left"/>
        <w:rPr>
          <w:sz w:val="20"/>
        </w:rPr>
      </w:pPr>
      <w:r>
        <w:rPr>
          <w:sz w:val="20"/>
        </w:rPr>
        <w:t>Education</w:t>
      </w:r>
      <w:r>
        <w:rPr>
          <w:spacing w:val="-7"/>
          <w:sz w:val="20"/>
        </w:rPr>
        <w:t> </w:t>
      </w:r>
      <w:r>
        <w:rPr>
          <w:sz w:val="20"/>
        </w:rPr>
        <w:t>Development</w:t>
      </w:r>
      <w:r>
        <w:rPr>
          <w:spacing w:val="-6"/>
          <w:sz w:val="20"/>
        </w:rPr>
        <w:t> </w:t>
      </w:r>
      <w:r>
        <w:rPr>
          <w:spacing w:val="-2"/>
          <w:sz w:val="20"/>
        </w:rPr>
        <w:t>Center</w:t>
      </w:r>
    </w:p>
    <w:p>
      <w:pPr>
        <w:pStyle w:val="ListParagraph"/>
        <w:numPr>
          <w:ilvl w:val="0"/>
          <w:numId w:val="1"/>
        </w:numPr>
        <w:tabs>
          <w:tab w:pos="1199" w:val="left" w:leader="none"/>
          <w:tab w:pos="1200" w:val="left" w:leader="none"/>
        </w:tabs>
        <w:spacing w:line="256" w:lineRule="auto" w:before="18" w:after="0"/>
        <w:ind w:left="1199" w:right="511" w:hanging="360"/>
        <w:jc w:val="left"/>
        <w:rPr>
          <w:sz w:val="20"/>
        </w:rPr>
      </w:pPr>
      <w:r>
        <w:rPr>
          <w:sz w:val="20"/>
        </w:rPr>
        <w:t>Executive</w:t>
      </w:r>
      <w:r>
        <w:rPr>
          <w:spacing w:val="-7"/>
          <w:sz w:val="20"/>
        </w:rPr>
        <w:t> </w:t>
      </w:r>
      <w:r>
        <w:rPr>
          <w:sz w:val="20"/>
        </w:rPr>
        <w:t>Office</w:t>
      </w:r>
      <w:r>
        <w:rPr>
          <w:spacing w:val="-7"/>
          <w:sz w:val="20"/>
        </w:rPr>
        <w:t> </w:t>
      </w:r>
      <w:r>
        <w:rPr>
          <w:sz w:val="20"/>
        </w:rPr>
        <w:t>of</w:t>
      </w:r>
      <w:r>
        <w:rPr>
          <w:spacing w:val="-8"/>
          <w:sz w:val="20"/>
        </w:rPr>
        <w:t> </w:t>
      </w:r>
      <w:r>
        <w:rPr>
          <w:sz w:val="20"/>
        </w:rPr>
        <w:t>Public</w:t>
      </w:r>
      <w:r>
        <w:rPr>
          <w:spacing w:val="-7"/>
          <w:sz w:val="20"/>
        </w:rPr>
        <w:t> </w:t>
      </w:r>
      <w:r>
        <w:rPr>
          <w:sz w:val="20"/>
        </w:rPr>
        <w:t>Safety</w:t>
      </w:r>
      <w:r>
        <w:rPr>
          <w:spacing w:val="-8"/>
          <w:sz w:val="20"/>
        </w:rPr>
        <w:t> </w:t>
      </w:r>
      <w:r>
        <w:rPr>
          <w:sz w:val="20"/>
        </w:rPr>
        <w:t>and </w:t>
      </w:r>
      <w:r>
        <w:rPr>
          <w:spacing w:val="-2"/>
          <w:sz w:val="20"/>
        </w:rPr>
        <w:t>Security</w:t>
      </w:r>
    </w:p>
    <w:p>
      <w:pPr>
        <w:pStyle w:val="ListParagraph"/>
        <w:numPr>
          <w:ilvl w:val="0"/>
          <w:numId w:val="1"/>
        </w:numPr>
        <w:tabs>
          <w:tab w:pos="1199" w:val="left" w:leader="none"/>
          <w:tab w:pos="1200" w:val="left" w:leader="none"/>
        </w:tabs>
        <w:spacing w:line="240" w:lineRule="auto" w:before="1" w:after="0"/>
        <w:ind w:left="1199" w:right="0" w:hanging="361"/>
        <w:jc w:val="left"/>
        <w:rPr>
          <w:sz w:val="20"/>
        </w:rPr>
      </w:pPr>
      <w:r>
        <w:rPr>
          <w:sz w:val="20"/>
        </w:rPr>
        <w:t>Gandara</w:t>
      </w:r>
      <w:r>
        <w:rPr>
          <w:spacing w:val="-5"/>
          <w:sz w:val="20"/>
        </w:rPr>
        <w:t> </w:t>
      </w:r>
      <w:r>
        <w:rPr>
          <w:sz w:val="20"/>
        </w:rPr>
        <w:t>Mental</w:t>
      </w:r>
      <w:r>
        <w:rPr>
          <w:spacing w:val="-5"/>
          <w:sz w:val="20"/>
        </w:rPr>
        <w:t> </w:t>
      </w:r>
      <w:r>
        <w:rPr>
          <w:sz w:val="20"/>
        </w:rPr>
        <w:t>Health</w:t>
      </w:r>
      <w:r>
        <w:rPr>
          <w:spacing w:val="-4"/>
          <w:sz w:val="20"/>
        </w:rPr>
        <w:t> </w:t>
      </w:r>
      <w:r>
        <w:rPr>
          <w:spacing w:val="-2"/>
          <w:sz w:val="20"/>
        </w:rPr>
        <w:t>Center</w:t>
      </w:r>
    </w:p>
    <w:p>
      <w:pPr>
        <w:pStyle w:val="ListParagraph"/>
        <w:numPr>
          <w:ilvl w:val="0"/>
          <w:numId w:val="1"/>
        </w:numPr>
        <w:tabs>
          <w:tab w:pos="1199" w:val="left" w:leader="none"/>
          <w:tab w:pos="1200" w:val="left" w:leader="none"/>
        </w:tabs>
        <w:spacing w:line="256" w:lineRule="auto" w:before="18" w:after="0"/>
        <w:ind w:left="1199" w:right="534" w:hanging="360"/>
        <w:jc w:val="left"/>
        <w:rPr>
          <w:sz w:val="20"/>
        </w:rPr>
      </w:pPr>
      <w:r>
        <w:rPr>
          <w:sz w:val="20"/>
        </w:rPr>
        <w:t>The</w:t>
      </w:r>
      <w:r>
        <w:rPr>
          <w:spacing w:val="-7"/>
          <w:sz w:val="20"/>
        </w:rPr>
        <w:t> </w:t>
      </w:r>
      <w:r>
        <w:rPr>
          <w:sz w:val="20"/>
        </w:rPr>
        <w:t>Greater</w:t>
      </w:r>
      <w:r>
        <w:rPr>
          <w:spacing w:val="-7"/>
          <w:sz w:val="20"/>
        </w:rPr>
        <w:t> </w:t>
      </w:r>
      <w:r>
        <w:rPr>
          <w:sz w:val="20"/>
        </w:rPr>
        <w:t>Malden</w:t>
      </w:r>
      <w:r>
        <w:rPr>
          <w:spacing w:val="-6"/>
          <w:sz w:val="20"/>
        </w:rPr>
        <w:t> </w:t>
      </w:r>
      <w:r>
        <w:rPr>
          <w:sz w:val="20"/>
        </w:rPr>
        <w:t>Asian</w:t>
      </w:r>
      <w:r>
        <w:rPr>
          <w:spacing w:val="-7"/>
          <w:sz w:val="20"/>
        </w:rPr>
        <w:t> </w:t>
      </w:r>
      <w:r>
        <w:rPr>
          <w:sz w:val="20"/>
        </w:rPr>
        <w:t>American Community</w:t>
      </w:r>
      <w:r>
        <w:rPr>
          <w:spacing w:val="-15"/>
          <w:sz w:val="20"/>
        </w:rPr>
        <w:t> </w:t>
      </w:r>
      <w:r>
        <w:rPr>
          <w:sz w:val="20"/>
        </w:rPr>
        <w:t>Coalition,</w:t>
      </w:r>
      <w:r>
        <w:rPr>
          <w:spacing w:val="-12"/>
          <w:sz w:val="20"/>
        </w:rPr>
        <w:t> </w:t>
      </w:r>
      <w:r>
        <w:rPr>
          <w:sz w:val="20"/>
        </w:rPr>
        <w:t>Inc.</w:t>
      </w:r>
      <w:r>
        <w:rPr>
          <w:spacing w:val="-12"/>
          <w:sz w:val="20"/>
        </w:rPr>
        <w:t> </w:t>
      </w:r>
      <w:r>
        <w:rPr>
          <w:sz w:val="20"/>
        </w:rPr>
        <w:t>(GMAACC)</w:t>
      </w:r>
    </w:p>
    <w:p>
      <w:pPr>
        <w:pStyle w:val="ListParagraph"/>
        <w:numPr>
          <w:ilvl w:val="0"/>
          <w:numId w:val="1"/>
        </w:numPr>
        <w:tabs>
          <w:tab w:pos="1199" w:val="left" w:leader="none"/>
          <w:tab w:pos="1200" w:val="left" w:leader="none"/>
        </w:tabs>
        <w:spacing w:line="240" w:lineRule="auto" w:before="3" w:after="0"/>
        <w:ind w:left="1199" w:right="0" w:hanging="361"/>
        <w:jc w:val="left"/>
        <w:rPr>
          <w:sz w:val="20"/>
        </w:rPr>
      </w:pPr>
      <w:r>
        <w:rPr>
          <w:sz w:val="20"/>
        </w:rPr>
        <w:t>Health</w:t>
      </w:r>
      <w:r>
        <w:rPr>
          <w:spacing w:val="-4"/>
          <w:sz w:val="20"/>
        </w:rPr>
        <w:t> </w:t>
      </w:r>
      <w:r>
        <w:rPr>
          <w:sz w:val="20"/>
        </w:rPr>
        <w:t>Resources</w:t>
      </w:r>
      <w:r>
        <w:rPr>
          <w:spacing w:val="-3"/>
          <w:sz w:val="20"/>
        </w:rPr>
        <w:t> </w:t>
      </w:r>
      <w:r>
        <w:rPr>
          <w:sz w:val="20"/>
        </w:rPr>
        <w:t>in</w:t>
      </w:r>
      <w:r>
        <w:rPr>
          <w:spacing w:val="-3"/>
          <w:sz w:val="20"/>
        </w:rPr>
        <w:t> </w:t>
      </w:r>
      <w:r>
        <w:rPr>
          <w:spacing w:val="-2"/>
          <w:sz w:val="20"/>
        </w:rPr>
        <w:t>Action</w:t>
      </w:r>
    </w:p>
    <w:p>
      <w:pPr>
        <w:pStyle w:val="ListParagraph"/>
        <w:numPr>
          <w:ilvl w:val="0"/>
          <w:numId w:val="1"/>
        </w:numPr>
        <w:tabs>
          <w:tab w:pos="1198" w:val="left" w:leader="none"/>
          <w:tab w:pos="1199" w:val="left" w:leader="none"/>
        </w:tabs>
        <w:spacing w:line="256" w:lineRule="auto" w:before="16" w:after="0"/>
        <w:ind w:left="1198" w:right="528" w:hanging="360"/>
        <w:jc w:val="left"/>
        <w:rPr>
          <w:sz w:val="20"/>
        </w:rPr>
      </w:pPr>
      <w:r>
        <w:rPr>
          <w:sz w:val="20"/>
        </w:rPr>
        <w:t>International</w:t>
      </w:r>
      <w:r>
        <w:rPr>
          <w:spacing w:val="-12"/>
          <w:sz w:val="20"/>
        </w:rPr>
        <w:t> </w:t>
      </w:r>
      <w:r>
        <w:rPr>
          <w:sz w:val="20"/>
        </w:rPr>
        <w:t>Center</w:t>
      </w:r>
      <w:r>
        <w:rPr>
          <w:spacing w:val="-12"/>
          <w:sz w:val="20"/>
        </w:rPr>
        <w:t> </w:t>
      </w:r>
      <w:r>
        <w:rPr>
          <w:sz w:val="20"/>
        </w:rPr>
        <w:t>for</w:t>
      </w:r>
      <w:r>
        <w:rPr>
          <w:spacing w:val="-12"/>
          <w:sz w:val="20"/>
        </w:rPr>
        <w:t> </w:t>
      </w:r>
      <w:r>
        <w:rPr>
          <w:sz w:val="20"/>
        </w:rPr>
        <w:t>Responsible </w:t>
      </w:r>
      <w:r>
        <w:rPr>
          <w:spacing w:val="-2"/>
          <w:sz w:val="20"/>
        </w:rPr>
        <w:t>Gambling</w:t>
      </w:r>
    </w:p>
    <w:p>
      <w:pPr>
        <w:pStyle w:val="ListParagraph"/>
        <w:numPr>
          <w:ilvl w:val="0"/>
          <w:numId w:val="1"/>
        </w:numPr>
        <w:tabs>
          <w:tab w:pos="1198" w:val="left" w:leader="none"/>
          <w:tab w:pos="1199" w:val="left" w:leader="none"/>
        </w:tabs>
        <w:spacing w:line="240" w:lineRule="auto" w:before="3" w:after="0"/>
        <w:ind w:left="1198" w:right="0" w:hanging="361"/>
        <w:jc w:val="left"/>
        <w:rPr>
          <w:sz w:val="20"/>
        </w:rPr>
      </w:pPr>
      <w:r>
        <w:rPr>
          <w:sz w:val="20"/>
        </w:rPr>
        <w:t>John</w:t>
      </w:r>
      <w:r>
        <w:rPr>
          <w:spacing w:val="-3"/>
          <w:sz w:val="20"/>
        </w:rPr>
        <w:t> </w:t>
      </w:r>
      <w:r>
        <w:rPr>
          <w:sz w:val="20"/>
        </w:rPr>
        <w:t>Snow,</w:t>
      </w:r>
      <w:r>
        <w:rPr>
          <w:spacing w:val="-3"/>
          <w:sz w:val="20"/>
        </w:rPr>
        <w:t> </w:t>
      </w:r>
      <w:r>
        <w:rPr>
          <w:spacing w:val="-5"/>
          <w:sz w:val="20"/>
        </w:rPr>
        <w:t>Inc</w:t>
      </w:r>
    </w:p>
    <w:p>
      <w:pPr>
        <w:pStyle w:val="ListParagraph"/>
        <w:numPr>
          <w:ilvl w:val="0"/>
          <w:numId w:val="1"/>
        </w:numPr>
        <w:tabs>
          <w:tab w:pos="1198" w:val="left" w:leader="none"/>
          <w:tab w:pos="1199" w:val="left" w:leader="none"/>
        </w:tabs>
        <w:spacing w:line="240" w:lineRule="auto" w:before="18" w:after="0"/>
        <w:ind w:left="1198" w:right="0" w:hanging="361"/>
        <w:jc w:val="left"/>
        <w:rPr>
          <w:sz w:val="20"/>
        </w:rPr>
      </w:pPr>
      <w:r>
        <w:rPr>
          <w:sz w:val="20"/>
        </w:rPr>
        <w:t>Kindbridge</w:t>
      </w:r>
      <w:r>
        <w:rPr>
          <w:spacing w:val="-7"/>
          <w:sz w:val="20"/>
        </w:rPr>
        <w:t> </w:t>
      </w:r>
      <w:r>
        <w:rPr>
          <w:spacing w:val="-2"/>
          <w:sz w:val="20"/>
        </w:rPr>
        <w:t>Institute</w:t>
      </w:r>
    </w:p>
    <w:p>
      <w:pPr>
        <w:pStyle w:val="ListParagraph"/>
        <w:numPr>
          <w:ilvl w:val="0"/>
          <w:numId w:val="1"/>
        </w:numPr>
        <w:tabs>
          <w:tab w:pos="1198" w:val="left" w:leader="none"/>
          <w:tab w:pos="1199" w:val="left" w:leader="none"/>
        </w:tabs>
        <w:spacing w:line="240" w:lineRule="auto" w:before="17" w:after="0"/>
        <w:ind w:left="1198" w:right="0" w:hanging="361"/>
        <w:jc w:val="left"/>
        <w:rPr>
          <w:sz w:val="20"/>
        </w:rPr>
      </w:pPr>
      <w:r>
        <w:rPr>
          <w:sz w:val="20"/>
        </w:rPr>
        <w:t>Maryland</w:t>
      </w:r>
      <w:r>
        <w:rPr>
          <w:spacing w:val="-5"/>
          <w:sz w:val="20"/>
        </w:rPr>
        <w:t> </w:t>
      </w:r>
      <w:r>
        <w:rPr>
          <w:sz w:val="20"/>
        </w:rPr>
        <w:t>Council</w:t>
      </w:r>
      <w:r>
        <w:rPr>
          <w:spacing w:val="-4"/>
          <w:sz w:val="20"/>
        </w:rPr>
        <w:t> </w:t>
      </w:r>
      <w:r>
        <w:rPr>
          <w:sz w:val="20"/>
        </w:rPr>
        <w:t>on</w:t>
      </w:r>
      <w:r>
        <w:rPr>
          <w:spacing w:val="-4"/>
          <w:sz w:val="20"/>
        </w:rPr>
        <w:t> </w:t>
      </w:r>
      <w:r>
        <w:rPr>
          <w:sz w:val="20"/>
        </w:rPr>
        <w:t>Problem</w:t>
      </w:r>
      <w:r>
        <w:rPr>
          <w:spacing w:val="-4"/>
          <w:sz w:val="20"/>
        </w:rPr>
        <w:t> </w:t>
      </w:r>
      <w:r>
        <w:rPr>
          <w:spacing w:val="-2"/>
          <w:sz w:val="20"/>
        </w:rPr>
        <w:t>Gambling</w:t>
      </w:r>
    </w:p>
    <w:p>
      <w:pPr>
        <w:pStyle w:val="ListParagraph"/>
        <w:numPr>
          <w:ilvl w:val="0"/>
          <w:numId w:val="1"/>
        </w:numPr>
        <w:tabs>
          <w:tab w:pos="1199" w:val="left" w:leader="none"/>
          <w:tab w:pos="1200" w:val="left" w:leader="none"/>
        </w:tabs>
        <w:spacing w:line="256" w:lineRule="auto" w:before="159" w:after="0"/>
        <w:ind w:left="1199" w:right="431" w:hanging="360"/>
        <w:jc w:val="left"/>
        <w:rPr>
          <w:sz w:val="20"/>
        </w:rPr>
      </w:pPr>
      <w:r>
        <w:rPr/>
        <w:br w:type="column"/>
      </w:r>
      <w:r>
        <w:rPr>
          <w:sz w:val="20"/>
        </w:rPr>
        <w:t>Massachusetts</w:t>
      </w:r>
      <w:r>
        <w:rPr>
          <w:spacing w:val="-10"/>
          <w:sz w:val="20"/>
        </w:rPr>
        <w:t> </w:t>
      </w:r>
      <w:r>
        <w:rPr>
          <w:sz w:val="20"/>
        </w:rPr>
        <w:t>Council</w:t>
      </w:r>
      <w:r>
        <w:rPr>
          <w:spacing w:val="-10"/>
          <w:sz w:val="20"/>
        </w:rPr>
        <w:t> </w:t>
      </w:r>
      <w:r>
        <w:rPr>
          <w:sz w:val="20"/>
        </w:rPr>
        <w:t>on</w:t>
      </w:r>
      <w:r>
        <w:rPr>
          <w:spacing w:val="-9"/>
          <w:sz w:val="20"/>
        </w:rPr>
        <w:t> </w:t>
      </w:r>
      <w:r>
        <w:rPr>
          <w:sz w:val="20"/>
        </w:rPr>
        <w:t>Gaming</w:t>
      </w:r>
      <w:r>
        <w:rPr>
          <w:spacing w:val="-9"/>
          <w:sz w:val="20"/>
        </w:rPr>
        <w:t> </w:t>
      </w:r>
      <w:r>
        <w:rPr>
          <w:sz w:val="20"/>
        </w:rPr>
        <w:t>and </w:t>
      </w:r>
      <w:r>
        <w:rPr>
          <w:spacing w:val="-2"/>
          <w:sz w:val="20"/>
        </w:rPr>
        <w:t>Health</w:t>
      </w:r>
    </w:p>
    <w:p>
      <w:pPr>
        <w:pStyle w:val="ListParagraph"/>
        <w:numPr>
          <w:ilvl w:val="0"/>
          <w:numId w:val="1"/>
        </w:numPr>
        <w:tabs>
          <w:tab w:pos="1199" w:val="left" w:leader="none"/>
          <w:tab w:pos="1200" w:val="left" w:leader="none"/>
        </w:tabs>
        <w:spacing w:line="240" w:lineRule="auto" w:before="2" w:after="0"/>
        <w:ind w:left="1199" w:right="0" w:hanging="361"/>
        <w:jc w:val="left"/>
        <w:rPr>
          <w:sz w:val="20"/>
        </w:rPr>
      </w:pPr>
      <w:r>
        <w:rPr>
          <w:sz w:val="20"/>
        </w:rPr>
        <w:t>Massachusetts</w:t>
      </w:r>
      <w:r>
        <w:rPr>
          <w:spacing w:val="-6"/>
          <w:sz w:val="20"/>
        </w:rPr>
        <w:t> </w:t>
      </w:r>
      <w:r>
        <w:rPr>
          <w:sz w:val="20"/>
        </w:rPr>
        <w:t>Gaming</w:t>
      </w:r>
      <w:r>
        <w:rPr>
          <w:spacing w:val="-7"/>
          <w:sz w:val="20"/>
        </w:rPr>
        <w:t> </w:t>
      </w:r>
      <w:r>
        <w:rPr>
          <w:spacing w:val="-2"/>
          <w:sz w:val="20"/>
        </w:rPr>
        <w:t>Commission</w:t>
      </w:r>
    </w:p>
    <w:p>
      <w:pPr>
        <w:pStyle w:val="ListParagraph"/>
        <w:numPr>
          <w:ilvl w:val="0"/>
          <w:numId w:val="1"/>
        </w:numPr>
        <w:tabs>
          <w:tab w:pos="1199" w:val="left" w:leader="none"/>
          <w:tab w:pos="1200" w:val="left" w:leader="none"/>
        </w:tabs>
        <w:spacing w:line="240" w:lineRule="auto" w:before="18" w:after="0"/>
        <w:ind w:left="1199" w:right="0" w:hanging="361"/>
        <w:jc w:val="left"/>
        <w:rPr>
          <w:sz w:val="20"/>
        </w:rPr>
      </w:pPr>
      <w:r>
        <w:rPr>
          <w:sz w:val="20"/>
        </w:rPr>
        <w:t>Massachusetts</w:t>
      </w:r>
      <w:r>
        <w:rPr>
          <w:spacing w:val="-6"/>
          <w:sz w:val="20"/>
        </w:rPr>
        <w:t> </w:t>
      </w:r>
      <w:r>
        <w:rPr>
          <w:sz w:val="20"/>
        </w:rPr>
        <w:t>Public</w:t>
      </w:r>
      <w:r>
        <w:rPr>
          <w:spacing w:val="-6"/>
          <w:sz w:val="20"/>
        </w:rPr>
        <w:t> </w:t>
      </w:r>
      <w:r>
        <w:rPr>
          <w:sz w:val="20"/>
        </w:rPr>
        <w:t>Health</w:t>
      </w:r>
      <w:r>
        <w:rPr>
          <w:spacing w:val="-5"/>
          <w:sz w:val="20"/>
        </w:rPr>
        <w:t> </w:t>
      </w:r>
      <w:r>
        <w:rPr>
          <w:spacing w:val="-2"/>
          <w:sz w:val="20"/>
        </w:rPr>
        <w:t>Association</w:t>
      </w:r>
    </w:p>
    <w:p>
      <w:pPr>
        <w:pStyle w:val="ListParagraph"/>
        <w:numPr>
          <w:ilvl w:val="0"/>
          <w:numId w:val="1"/>
        </w:numPr>
        <w:tabs>
          <w:tab w:pos="1199" w:val="left" w:leader="none"/>
          <w:tab w:pos="1200" w:val="left" w:leader="none"/>
        </w:tabs>
        <w:spacing w:line="240" w:lineRule="auto" w:before="17" w:after="0"/>
        <w:ind w:left="1199" w:right="0" w:hanging="361"/>
        <w:jc w:val="left"/>
        <w:rPr>
          <w:sz w:val="20"/>
        </w:rPr>
      </w:pPr>
      <w:r>
        <w:rPr>
          <w:sz w:val="20"/>
        </w:rPr>
        <w:t>Massachusetts</w:t>
      </w:r>
      <w:r>
        <w:rPr>
          <w:spacing w:val="-5"/>
          <w:sz w:val="20"/>
        </w:rPr>
        <w:t> </w:t>
      </w:r>
      <w:r>
        <w:rPr>
          <w:sz w:val="20"/>
        </w:rPr>
        <w:t>State</w:t>
      </w:r>
      <w:r>
        <w:rPr>
          <w:spacing w:val="-6"/>
          <w:sz w:val="20"/>
        </w:rPr>
        <w:t> </w:t>
      </w:r>
      <w:r>
        <w:rPr>
          <w:sz w:val="20"/>
        </w:rPr>
        <w:t>Lottery</w:t>
      </w:r>
      <w:r>
        <w:rPr>
          <w:spacing w:val="-6"/>
          <w:sz w:val="20"/>
        </w:rPr>
        <w:t> </w:t>
      </w:r>
      <w:r>
        <w:rPr>
          <w:spacing w:val="-2"/>
          <w:sz w:val="20"/>
        </w:rPr>
        <w:t>Commission</w:t>
      </w:r>
    </w:p>
    <w:p>
      <w:pPr>
        <w:pStyle w:val="ListParagraph"/>
        <w:numPr>
          <w:ilvl w:val="0"/>
          <w:numId w:val="1"/>
        </w:numPr>
        <w:tabs>
          <w:tab w:pos="1199" w:val="left" w:leader="none"/>
          <w:tab w:pos="1200" w:val="left" w:leader="none"/>
        </w:tabs>
        <w:spacing w:line="256" w:lineRule="auto" w:before="18" w:after="0"/>
        <w:ind w:left="1199" w:right="391" w:hanging="360"/>
        <w:jc w:val="left"/>
        <w:rPr>
          <w:sz w:val="20"/>
        </w:rPr>
      </w:pPr>
      <w:r>
        <w:rPr>
          <w:sz w:val="20"/>
        </w:rPr>
        <w:t>Massachusetts</w:t>
      </w:r>
      <w:r>
        <w:rPr>
          <w:spacing w:val="-10"/>
          <w:sz w:val="20"/>
        </w:rPr>
        <w:t> </w:t>
      </w:r>
      <w:r>
        <w:rPr>
          <w:sz w:val="20"/>
        </w:rPr>
        <w:t>Center</w:t>
      </w:r>
      <w:r>
        <w:rPr>
          <w:spacing w:val="-10"/>
          <w:sz w:val="20"/>
        </w:rPr>
        <w:t> </w:t>
      </w:r>
      <w:r>
        <w:rPr>
          <w:sz w:val="20"/>
        </w:rPr>
        <w:t>of</w:t>
      </w:r>
      <w:r>
        <w:rPr>
          <w:spacing w:val="-10"/>
          <w:sz w:val="20"/>
        </w:rPr>
        <w:t> </w:t>
      </w:r>
      <w:r>
        <w:rPr>
          <w:sz w:val="20"/>
        </w:rPr>
        <w:t>Excellence</w:t>
      </w:r>
      <w:r>
        <w:rPr>
          <w:spacing w:val="-9"/>
          <w:sz w:val="20"/>
        </w:rPr>
        <w:t> </w:t>
      </w:r>
      <w:r>
        <w:rPr>
          <w:sz w:val="20"/>
        </w:rPr>
        <w:t>for Problem Gambling Prevention</w:t>
      </w:r>
    </w:p>
    <w:p>
      <w:pPr>
        <w:pStyle w:val="ListParagraph"/>
        <w:numPr>
          <w:ilvl w:val="0"/>
          <w:numId w:val="1"/>
        </w:numPr>
        <w:tabs>
          <w:tab w:pos="1198" w:val="left" w:leader="none"/>
          <w:tab w:pos="1199" w:val="left" w:leader="none"/>
        </w:tabs>
        <w:spacing w:line="256" w:lineRule="auto" w:before="2" w:after="0"/>
        <w:ind w:left="1198" w:right="227" w:hanging="360"/>
        <w:jc w:val="left"/>
        <w:rPr>
          <w:sz w:val="20"/>
        </w:rPr>
      </w:pPr>
      <w:r>
        <w:rPr>
          <w:sz w:val="20"/>
        </w:rPr>
        <w:t>National</w:t>
      </w:r>
      <w:r>
        <w:rPr>
          <w:spacing w:val="-10"/>
          <w:sz w:val="20"/>
        </w:rPr>
        <w:t> </w:t>
      </w:r>
      <w:r>
        <w:rPr>
          <w:sz w:val="20"/>
        </w:rPr>
        <w:t>Association</w:t>
      </w:r>
      <w:r>
        <w:rPr>
          <w:spacing w:val="-9"/>
          <w:sz w:val="20"/>
        </w:rPr>
        <w:t> </w:t>
      </w:r>
      <w:r>
        <w:rPr>
          <w:sz w:val="20"/>
        </w:rPr>
        <w:t>of</w:t>
      </w:r>
      <w:r>
        <w:rPr>
          <w:spacing w:val="-10"/>
          <w:sz w:val="20"/>
        </w:rPr>
        <w:t> </w:t>
      </w:r>
      <w:r>
        <w:rPr>
          <w:sz w:val="20"/>
        </w:rPr>
        <w:t>Administrators</w:t>
      </w:r>
      <w:r>
        <w:rPr>
          <w:spacing w:val="-10"/>
          <w:sz w:val="20"/>
        </w:rPr>
        <w:t> </w:t>
      </w:r>
      <w:r>
        <w:rPr>
          <w:sz w:val="20"/>
        </w:rPr>
        <w:t>for Disordered Gambling Services</w:t>
      </w:r>
    </w:p>
    <w:p>
      <w:pPr>
        <w:pStyle w:val="ListParagraph"/>
        <w:numPr>
          <w:ilvl w:val="0"/>
          <w:numId w:val="1"/>
        </w:numPr>
        <w:tabs>
          <w:tab w:pos="1198" w:val="left" w:leader="none"/>
          <w:tab w:pos="1199" w:val="left" w:leader="none"/>
        </w:tabs>
        <w:spacing w:line="240" w:lineRule="auto" w:before="3" w:after="0"/>
        <w:ind w:left="1198" w:right="0" w:hanging="361"/>
        <w:jc w:val="left"/>
        <w:rPr>
          <w:sz w:val="20"/>
        </w:rPr>
      </w:pPr>
      <w:r>
        <w:rPr>
          <w:sz w:val="20"/>
        </w:rPr>
        <w:t>National</w:t>
      </w:r>
      <w:r>
        <w:rPr>
          <w:spacing w:val="-5"/>
          <w:sz w:val="20"/>
        </w:rPr>
        <w:t> </w:t>
      </w:r>
      <w:r>
        <w:rPr>
          <w:sz w:val="20"/>
        </w:rPr>
        <w:t>Council</w:t>
      </w:r>
      <w:r>
        <w:rPr>
          <w:spacing w:val="-4"/>
          <w:sz w:val="20"/>
        </w:rPr>
        <w:t> </w:t>
      </w:r>
      <w:r>
        <w:rPr>
          <w:sz w:val="20"/>
        </w:rPr>
        <w:t>on</w:t>
      </w:r>
      <w:r>
        <w:rPr>
          <w:spacing w:val="-4"/>
          <w:sz w:val="20"/>
        </w:rPr>
        <w:t> </w:t>
      </w:r>
      <w:r>
        <w:rPr>
          <w:sz w:val="20"/>
        </w:rPr>
        <w:t>Problem</w:t>
      </w:r>
      <w:r>
        <w:rPr>
          <w:spacing w:val="-4"/>
          <w:sz w:val="20"/>
        </w:rPr>
        <w:t> </w:t>
      </w:r>
      <w:r>
        <w:rPr>
          <w:spacing w:val="-2"/>
          <w:sz w:val="20"/>
        </w:rPr>
        <w:t>Gambling</w:t>
      </w:r>
    </w:p>
    <w:p>
      <w:pPr>
        <w:pStyle w:val="ListParagraph"/>
        <w:numPr>
          <w:ilvl w:val="0"/>
          <w:numId w:val="1"/>
        </w:numPr>
        <w:tabs>
          <w:tab w:pos="1198" w:val="left" w:leader="none"/>
          <w:tab w:pos="1199" w:val="left" w:leader="none"/>
        </w:tabs>
        <w:spacing w:line="240" w:lineRule="auto" w:before="17" w:after="0"/>
        <w:ind w:left="1198" w:right="0" w:hanging="361"/>
        <w:jc w:val="left"/>
        <w:rPr>
          <w:sz w:val="20"/>
        </w:rPr>
      </w:pPr>
      <w:r>
        <w:rPr>
          <w:sz w:val="20"/>
        </w:rPr>
        <w:t>Old</w:t>
      </w:r>
      <w:r>
        <w:rPr>
          <w:spacing w:val="-5"/>
          <w:sz w:val="20"/>
        </w:rPr>
        <w:t> </w:t>
      </w:r>
      <w:r>
        <w:rPr>
          <w:sz w:val="20"/>
        </w:rPr>
        <w:t>Colony</w:t>
      </w:r>
      <w:r>
        <w:rPr>
          <w:spacing w:val="-2"/>
          <w:sz w:val="20"/>
        </w:rPr>
        <w:t> </w:t>
      </w:r>
      <w:r>
        <w:rPr>
          <w:spacing w:val="-4"/>
          <w:sz w:val="20"/>
        </w:rPr>
        <w:t>YMCA</w:t>
      </w:r>
    </w:p>
    <w:p>
      <w:pPr>
        <w:pStyle w:val="ListParagraph"/>
        <w:numPr>
          <w:ilvl w:val="0"/>
          <w:numId w:val="1"/>
        </w:numPr>
        <w:tabs>
          <w:tab w:pos="1198" w:val="left" w:leader="none"/>
          <w:tab w:pos="1199" w:val="left" w:leader="none"/>
        </w:tabs>
        <w:spacing w:line="256" w:lineRule="auto" w:before="17" w:after="0"/>
        <w:ind w:left="1198" w:right="893" w:hanging="360"/>
        <w:jc w:val="left"/>
        <w:rPr>
          <w:sz w:val="20"/>
        </w:rPr>
      </w:pPr>
      <w:r>
        <w:rPr>
          <w:sz w:val="20"/>
        </w:rPr>
        <w:t>Public</w:t>
      </w:r>
      <w:r>
        <w:rPr>
          <w:spacing w:val="-9"/>
          <w:sz w:val="20"/>
        </w:rPr>
        <w:t> </w:t>
      </w:r>
      <w:r>
        <w:rPr>
          <w:sz w:val="20"/>
        </w:rPr>
        <w:t>Health</w:t>
      </w:r>
      <w:r>
        <w:rPr>
          <w:spacing w:val="-9"/>
          <w:sz w:val="20"/>
        </w:rPr>
        <w:t> </w:t>
      </w:r>
      <w:r>
        <w:rPr>
          <w:sz w:val="20"/>
        </w:rPr>
        <w:t>Institute</w:t>
      </w:r>
      <w:r>
        <w:rPr>
          <w:spacing w:val="-9"/>
          <w:sz w:val="20"/>
        </w:rPr>
        <w:t> </w:t>
      </w:r>
      <w:r>
        <w:rPr>
          <w:sz w:val="20"/>
        </w:rPr>
        <w:t>of</w:t>
      </w:r>
      <w:r>
        <w:rPr>
          <w:spacing w:val="-10"/>
          <w:sz w:val="20"/>
        </w:rPr>
        <w:t> </w:t>
      </w:r>
      <w:r>
        <w:rPr>
          <w:sz w:val="20"/>
        </w:rPr>
        <w:t>Western </w:t>
      </w:r>
      <w:r>
        <w:rPr>
          <w:spacing w:val="-2"/>
          <w:sz w:val="20"/>
        </w:rPr>
        <w:t>Massachusetts</w:t>
      </w:r>
    </w:p>
    <w:p>
      <w:pPr>
        <w:pStyle w:val="ListParagraph"/>
        <w:numPr>
          <w:ilvl w:val="0"/>
          <w:numId w:val="1"/>
        </w:numPr>
        <w:tabs>
          <w:tab w:pos="1198" w:val="left" w:leader="none"/>
          <w:tab w:pos="1199" w:val="left" w:leader="none"/>
        </w:tabs>
        <w:spacing w:line="256" w:lineRule="auto" w:before="3" w:after="0"/>
        <w:ind w:left="1198" w:right="346" w:hanging="360"/>
        <w:jc w:val="left"/>
        <w:rPr>
          <w:sz w:val="20"/>
        </w:rPr>
      </w:pPr>
      <w:r>
        <w:rPr>
          <w:sz w:val="20"/>
        </w:rPr>
        <w:t>Social</w:t>
      </w:r>
      <w:r>
        <w:rPr>
          <w:spacing w:val="-10"/>
          <w:sz w:val="20"/>
        </w:rPr>
        <w:t> </w:t>
      </w:r>
      <w:r>
        <w:rPr>
          <w:sz w:val="20"/>
        </w:rPr>
        <w:t>Science</w:t>
      </w:r>
      <w:r>
        <w:rPr>
          <w:spacing w:val="-10"/>
          <w:sz w:val="20"/>
        </w:rPr>
        <w:t> </w:t>
      </w:r>
      <w:r>
        <w:rPr>
          <w:sz w:val="20"/>
        </w:rPr>
        <w:t>Research</w:t>
      </w:r>
      <w:r>
        <w:rPr>
          <w:spacing w:val="-9"/>
          <w:sz w:val="20"/>
        </w:rPr>
        <w:t> </w:t>
      </w:r>
      <w:r>
        <w:rPr>
          <w:sz w:val="20"/>
        </w:rPr>
        <w:t>and</w:t>
      </w:r>
      <w:r>
        <w:rPr>
          <w:spacing w:val="-10"/>
          <w:sz w:val="20"/>
        </w:rPr>
        <w:t> </w:t>
      </w:r>
      <w:r>
        <w:rPr>
          <w:sz w:val="20"/>
        </w:rPr>
        <w:t>Evaluation </w:t>
      </w:r>
      <w:r>
        <w:rPr>
          <w:spacing w:val="-4"/>
          <w:sz w:val="20"/>
        </w:rPr>
        <w:t>Inc.</w:t>
      </w:r>
    </w:p>
    <w:p>
      <w:pPr>
        <w:pStyle w:val="ListParagraph"/>
        <w:numPr>
          <w:ilvl w:val="0"/>
          <w:numId w:val="1"/>
        </w:numPr>
        <w:tabs>
          <w:tab w:pos="1198" w:val="left" w:leader="none"/>
          <w:tab w:pos="1199" w:val="left" w:leader="none"/>
        </w:tabs>
        <w:spacing w:line="240" w:lineRule="auto" w:before="2" w:after="0"/>
        <w:ind w:left="1198" w:right="0" w:hanging="361"/>
        <w:jc w:val="left"/>
        <w:rPr>
          <w:sz w:val="20"/>
        </w:rPr>
      </w:pPr>
      <w:r>
        <w:rPr>
          <w:sz w:val="20"/>
        </w:rPr>
        <w:t>Stairway</w:t>
      </w:r>
      <w:r>
        <w:rPr>
          <w:spacing w:val="-4"/>
          <w:sz w:val="20"/>
        </w:rPr>
        <w:t> </w:t>
      </w:r>
      <w:r>
        <w:rPr>
          <w:sz w:val="20"/>
        </w:rPr>
        <w:t>to</w:t>
      </w:r>
      <w:r>
        <w:rPr>
          <w:spacing w:val="-3"/>
          <w:sz w:val="20"/>
        </w:rPr>
        <w:t> </w:t>
      </w:r>
      <w:r>
        <w:rPr>
          <w:spacing w:val="-2"/>
          <w:sz w:val="20"/>
        </w:rPr>
        <w:t>Recovery</w:t>
      </w:r>
    </w:p>
    <w:p>
      <w:pPr>
        <w:pStyle w:val="ListParagraph"/>
        <w:numPr>
          <w:ilvl w:val="0"/>
          <w:numId w:val="1"/>
        </w:numPr>
        <w:tabs>
          <w:tab w:pos="1198" w:val="left" w:leader="none"/>
          <w:tab w:pos="1199" w:val="left" w:leader="none"/>
        </w:tabs>
        <w:spacing w:line="240" w:lineRule="auto" w:before="18" w:after="0"/>
        <w:ind w:left="1198" w:right="0" w:hanging="361"/>
        <w:jc w:val="left"/>
        <w:rPr>
          <w:sz w:val="20"/>
        </w:rPr>
      </w:pPr>
      <w:r>
        <w:rPr>
          <w:spacing w:val="-2"/>
          <w:sz w:val="20"/>
        </w:rPr>
        <w:t>ThinkArgus</w:t>
      </w:r>
    </w:p>
    <w:p>
      <w:pPr>
        <w:pStyle w:val="ListParagraph"/>
        <w:numPr>
          <w:ilvl w:val="0"/>
          <w:numId w:val="1"/>
        </w:numPr>
        <w:tabs>
          <w:tab w:pos="1198" w:val="left" w:leader="none"/>
          <w:tab w:pos="1199" w:val="left" w:leader="none"/>
        </w:tabs>
        <w:spacing w:line="240" w:lineRule="auto" w:before="17" w:after="0"/>
        <w:ind w:left="1198" w:right="0" w:hanging="361"/>
        <w:jc w:val="left"/>
        <w:rPr>
          <w:sz w:val="20"/>
        </w:rPr>
      </w:pPr>
      <w:r>
        <w:rPr>
          <w:sz w:val="20"/>
        </w:rPr>
        <w:t>UMass</w:t>
      </w:r>
      <w:r>
        <w:rPr>
          <w:spacing w:val="-6"/>
          <w:sz w:val="20"/>
        </w:rPr>
        <w:t> </w:t>
      </w:r>
      <w:r>
        <w:rPr>
          <w:spacing w:val="-2"/>
          <w:sz w:val="20"/>
        </w:rPr>
        <w:t>Boston</w:t>
      </w:r>
    </w:p>
    <w:p>
      <w:pPr>
        <w:pStyle w:val="ListParagraph"/>
        <w:numPr>
          <w:ilvl w:val="0"/>
          <w:numId w:val="1"/>
        </w:numPr>
        <w:tabs>
          <w:tab w:pos="1198" w:val="left" w:leader="none"/>
          <w:tab w:pos="1199" w:val="left" w:leader="none"/>
        </w:tabs>
        <w:spacing w:line="240" w:lineRule="auto" w:before="17" w:after="0"/>
        <w:ind w:left="1198" w:right="0" w:hanging="361"/>
        <w:jc w:val="left"/>
        <w:rPr>
          <w:sz w:val="20"/>
        </w:rPr>
      </w:pPr>
      <w:r>
        <w:rPr>
          <w:sz w:val="20"/>
        </w:rPr>
        <w:t>University</w:t>
      </w:r>
      <w:r>
        <w:rPr>
          <w:spacing w:val="-5"/>
          <w:sz w:val="20"/>
        </w:rPr>
        <w:t> </w:t>
      </w:r>
      <w:r>
        <w:rPr>
          <w:sz w:val="20"/>
        </w:rPr>
        <w:t>of</w:t>
      </w:r>
      <w:r>
        <w:rPr>
          <w:spacing w:val="-3"/>
          <w:sz w:val="20"/>
        </w:rPr>
        <w:t> </w:t>
      </w:r>
      <w:r>
        <w:rPr>
          <w:sz w:val="20"/>
        </w:rPr>
        <w:t>Nevada,</w:t>
      </w:r>
      <w:r>
        <w:rPr>
          <w:spacing w:val="-3"/>
          <w:sz w:val="20"/>
        </w:rPr>
        <w:t> </w:t>
      </w:r>
      <w:r>
        <w:rPr>
          <w:sz w:val="20"/>
        </w:rPr>
        <w:t>Las</w:t>
      </w:r>
      <w:r>
        <w:rPr>
          <w:spacing w:val="-4"/>
          <w:sz w:val="20"/>
        </w:rPr>
        <w:t> </w:t>
      </w:r>
      <w:r>
        <w:rPr>
          <w:spacing w:val="-2"/>
          <w:sz w:val="20"/>
        </w:rPr>
        <w:t>Vegas</w:t>
      </w:r>
    </w:p>
    <w:p>
      <w:pPr>
        <w:spacing w:after="0" w:line="240" w:lineRule="auto"/>
        <w:jc w:val="left"/>
        <w:rPr>
          <w:sz w:val="20"/>
        </w:rPr>
        <w:sectPr>
          <w:type w:val="continuous"/>
          <w:pgSz w:w="12240" w:h="15840"/>
          <w:pgMar w:header="438" w:footer="444" w:top="1820" w:bottom="280" w:left="960" w:right="1320"/>
          <w:cols w:num="2" w:equalWidth="0">
            <w:col w:w="4782" w:space="257"/>
            <w:col w:w="4921"/>
          </w:cols>
        </w:sectPr>
      </w:pPr>
    </w:p>
    <w:p>
      <w:pPr>
        <w:pStyle w:val="Heading3"/>
        <w:spacing w:line="240" w:lineRule="auto" w:before="102"/>
      </w:pPr>
      <w:bookmarkStart w:name="Background" w:id="7"/>
      <w:bookmarkEnd w:id="7"/>
      <w:r>
        <w:rPr/>
      </w:r>
      <w:bookmarkStart w:name="_bookmark3" w:id="8"/>
      <w:bookmarkEnd w:id="8"/>
      <w:r>
        <w:rPr/>
      </w:r>
      <w:r>
        <w:rPr>
          <w:color w:val="032D52"/>
          <w:spacing w:val="-2"/>
        </w:rPr>
        <w:t>BACKGROUND</w:t>
      </w:r>
    </w:p>
    <w:p>
      <w:pPr>
        <w:pStyle w:val="BodyText"/>
        <w:spacing w:line="259" w:lineRule="auto" w:before="1"/>
        <w:ind w:left="479"/>
      </w:pPr>
      <w:r>
        <w:rPr/>
        <w:t>Mitigating harm from problem gambling has been</w:t>
      </w:r>
      <w:r>
        <w:rPr>
          <w:spacing w:val="-1"/>
        </w:rPr>
        <w:t> </w:t>
      </w:r>
      <w:r>
        <w:rPr/>
        <w:t>a priority and focus of Massachusetts government since</w:t>
      </w:r>
      <w:r>
        <w:rPr>
          <w:spacing w:val="-2"/>
        </w:rPr>
        <w:t> </w:t>
      </w:r>
      <w:r>
        <w:rPr/>
        <w:t>the</w:t>
      </w:r>
      <w:r>
        <w:rPr>
          <w:spacing w:val="-4"/>
        </w:rPr>
        <w:t> </w:t>
      </w:r>
      <w:r>
        <w:rPr/>
        <w:t>Expanded</w:t>
      </w:r>
      <w:r>
        <w:rPr>
          <w:spacing w:val="-3"/>
        </w:rPr>
        <w:t> </w:t>
      </w:r>
      <w:r>
        <w:rPr/>
        <w:t>Gaming</w:t>
      </w:r>
      <w:r>
        <w:rPr>
          <w:spacing w:val="-3"/>
        </w:rPr>
        <w:t> </w:t>
      </w:r>
      <w:r>
        <w:rPr/>
        <w:t>Act</w:t>
      </w:r>
      <w:r>
        <w:rPr>
          <w:spacing w:val="-4"/>
        </w:rPr>
        <w:t> </w:t>
      </w:r>
      <w:r>
        <w:rPr/>
        <w:t>of</w:t>
      </w:r>
      <w:r>
        <w:rPr>
          <w:spacing w:val="-2"/>
        </w:rPr>
        <w:t> </w:t>
      </w:r>
      <w:r>
        <w:rPr/>
        <w:t>2011.</w:t>
      </w:r>
      <w:r>
        <w:rPr>
          <w:spacing w:val="-3"/>
        </w:rPr>
        <w:t> </w:t>
      </w:r>
      <w:r>
        <w:rPr/>
        <w:t>The</w:t>
      </w:r>
      <w:r>
        <w:rPr>
          <w:spacing w:val="-4"/>
        </w:rPr>
        <w:t> </w:t>
      </w:r>
      <w:r>
        <w:rPr/>
        <w:t>government’s</w:t>
      </w:r>
      <w:r>
        <w:rPr>
          <w:spacing w:val="-3"/>
        </w:rPr>
        <w:t> </w:t>
      </w:r>
      <w:r>
        <w:rPr/>
        <w:t>response,</w:t>
      </w:r>
      <w:r>
        <w:rPr>
          <w:spacing w:val="-3"/>
        </w:rPr>
        <w:t> </w:t>
      </w:r>
      <w:r>
        <w:rPr/>
        <w:t>led</w:t>
      </w:r>
      <w:r>
        <w:rPr>
          <w:spacing w:val="-3"/>
        </w:rPr>
        <w:t> </w:t>
      </w:r>
      <w:r>
        <w:rPr/>
        <w:t>by</w:t>
      </w:r>
      <w:r>
        <w:rPr>
          <w:spacing w:val="-2"/>
        </w:rPr>
        <w:t> </w:t>
      </w:r>
      <w:r>
        <w:rPr/>
        <w:t>DPH</w:t>
      </w:r>
      <w:r>
        <w:rPr>
          <w:spacing w:val="-3"/>
        </w:rPr>
        <w:t> </w:t>
      </w:r>
      <w:r>
        <w:rPr/>
        <w:t>in</w:t>
      </w:r>
      <w:r>
        <w:rPr>
          <w:spacing w:val="-4"/>
        </w:rPr>
        <w:t> </w:t>
      </w:r>
      <w:r>
        <w:rPr/>
        <w:t>partnership</w:t>
      </w:r>
      <w:r>
        <w:rPr>
          <w:spacing w:val="-3"/>
        </w:rPr>
        <w:t> </w:t>
      </w:r>
      <w:r>
        <w:rPr/>
        <w:t>with other public and private health and human services organizations, has expanded with a particular focus on communities affected directly by the legalization of casino-based gambling.</w:t>
      </w:r>
    </w:p>
    <w:p>
      <w:pPr>
        <w:pStyle w:val="BodyText"/>
        <w:spacing w:line="259" w:lineRule="auto" w:before="119"/>
        <w:ind w:left="478"/>
      </w:pPr>
      <w:r>
        <w:rPr/>
        <w:t>OPGS’ response to mitigating harm from problem gambling is grounded deeply in public health principles. Problem gambling exacerbates health inequities in myriad ways. An array of research has shown</w:t>
      </w:r>
      <w:r>
        <w:rPr>
          <w:spacing w:val="-5"/>
        </w:rPr>
        <w:t> </w:t>
      </w:r>
      <w:r>
        <w:rPr/>
        <w:t>it</w:t>
      </w:r>
      <w:r>
        <w:rPr>
          <w:spacing w:val="-5"/>
        </w:rPr>
        <w:t> </w:t>
      </w:r>
      <w:r>
        <w:rPr/>
        <w:t>frequently</w:t>
      </w:r>
      <w:r>
        <w:rPr>
          <w:spacing w:val="-4"/>
        </w:rPr>
        <w:t> </w:t>
      </w:r>
      <w:r>
        <w:rPr/>
        <w:t>co-occurs</w:t>
      </w:r>
      <w:r>
        <w:rPr>
          <w:spacing w:val="-4"/>
        </w:rPr>
        <w:t> </w:t>
      </w:r>
      <w:r>
        <w:rPr/>
        <w:t>with</w:t>
      </w:r>
      <w:r>
        <w:rPr>
          <w:spacing w:val="-4"/>
        </w:rPr>
        <w:t> </w:t>
      </w:r>
      <w:r>
        <w:rPr/>
        <w:t>mental</w:t>
      </w:r>
      <w:r>
        <w:rPr>
          <w:spacing w:val="-4"/>
        </w:rPr>
        <w:t> </w:t>
      </w:r>
      <w:r>
        <w:rPr/>
        <w:t>health</w:t>
      </w:r>
      <w:r>
        <w:rPr>
          <w:spacing w:val="-4"/>
        </w:rPr>
        <w:t> </w:t>
      </w:r>
      <w:r>
        <w:rPr/>
        <w:t>and</w:t>
      </w:r>
      <w:r>
        <w:rPr>
          <w:spacing w:val="-4"/>
        </w:rPr>
        <w:t> </w:t>
      </w:r>
      <w:r>
        <w:rPr/>
        <w:t>substance</w:t>
      </w:r>
      <w:r>
        <w:rPr>
          <w:spacing w:val="-3"/>
        </w:rPr>
        <w:t> </w:t>
      </w:r>
      <w:r>
        <w:rPr/>
        <w:t>misuse</w:t>
      </w:r>
      <w:r>
        <w:rPr>
          <w:spacing w:val="-5"/>
        </w:rPr>
        <w:t> </w:t>
      </w:r>
      <w:r>
        <w:rPr/>
        <w:t>disorders,</w:t>
      </w:r>
      <w:r>
        <w:rPr>
          <w:spacing w:val="-4"/>
        </w:rPr>
        <w:t> </w:t>
      </w:r>
      <w:r>
        <w:rPr/>
        <w:t>inhibiting</w:t>
      </w:r>
      <w:r>
        <w:rPr>
          <w:spacing w:val="-4"/>
        </w:rPr>
        <w:t> </w:t>
      </w:r>
      <w:r>
        <w:rPr/>
        <w:t>recovery and entrapping individuals, families, and communities in negative reinforcement cycles.</w:t>
      </w:r>
      <w:hyperlink w:history="true" w:anchor="_bookmark4">
        <w:r>
          <w:rPr>
            <w:position w:val="5"/>
            <w:sz w:val="14"/>
          </w:rPr>
          <w:t>1</w:t>
        </w:r>
      </w:hyperlink>
      <w:r>
        <w:rPr>
          <w:spacing w:val="32"/>
          <w:position w:val="5"/>
          <w:sz w:val="14"/>
        </w:rPr>
        <w:t> </w:t>
      </w:r>
      <w:r>
        <w:rPr/>
        <w:t>Problem gambling mitigation is, therefore, inextricably interwoven with broader DPH and societal work to eradicate health inequities in the Commonwealth.</w:t>
      </w:r>
    </w:p>
    <w:p>
      <w:pPr>
        <w:pStyle w:val="BodyText"/>
        <w:spacing w:line="259" w:lineRule="auto" w:before="118"/>
        <w:ind w:left="479" w:right="162"/>
      </w:pPr>
      <w:r>
        <w:rPr/>
        <w:t>In recognition of these dynamics, OPGS was created to ensure a comprehensive and integrated public health response to problem gambling using data to inform initiatives, engage communities, and ensure cultural intelligence and humility. The Office takes a community-driven approach rooted in</w:t>
      </w:r>
      <w:r>
        <w:rPr>
          <w:spacing w:val="-4"/>
        </w:rPr>
        <w:t> </w:t>
      </w:r>
      <w:r>
        <w:rPr/>
        <w:t>the</w:t>
      </w:r>
      <w:r>
        <w:rPr>
          <w:spacing w:val="-4"/>
        </w:rPr>
        <w:t> </w:t>
      </w:r>
      <w:r>
        <w:rPr/>
        <w:t>Social</w:t>
      </w:r>
      <w:r>
        <w:rPr>
          <w:spacing w:val="-2"/>
        </w:rPr>
        <w:t> </w:t>
      </w:r>
      <w:r>
        <w:rPr/>
        <w:t>Determinants</w:t>
      </w:r>
      <w:r>
        <w:rPr>
          <w:spacing w:val="-3"/>
        </w:rPr>
        <w:t> </w:t>
      </w:r>
      <w:r>
        <w:rPr/>
        <w:t>of</w:t>
      </w:r>
      <w:r>
        <w:rPr>
          <w:spacing w:val="-3"/>
        </w:rPr>
        <w:t> </w:t>
      </w:r>
      <w:r>
        <w:rPr/>
        <w:t>Health,</w:t>
      </w:r>
      <w:r>
        <w:rPr>
          <w:spacing w:val="-3"/>
        </w:rPr>
        <w:t> </w:t>
      </w:r>
      <w:r>
        <w:rPr/>
        <w:t>with</w:t>
      </w:r>
      <w:r>
        <w:rPr>
          <w:spacing w:val="-3"/>
        </w:rPr>
        <w:t> </w:t>
      </w:r>
      <w:r>
        <w:rPr/>
        <w:t>a</w:t>
      </w:r>
      <w:r>
        <w:rPr>
          <w:spacing w:val="-3"/>
        </w:rPr>
        <w:t> </w:t>
      </w:r>
      <w:r>
        <w:rPr/>
        <w:t>racial</w:t>
      </w:r>
      <w:r>
        <w:rPr>
          <w:spacing w:val="-2"/>
        </w:rPr>
        <w:t> </w:t>
      </w:r>
      <w:r>
        <w:rPr/>
        <w:t>equity</w:t>
      </w:r>
      <w:r>
        <w:rPr>
          <w:spacing w:val="-3"/>
        </w:rPr>
        <w:t> </w:t>
      </w:r>
      <w:r>
        <w:rPr/>
        <w:t>lens.</w:t>
      </w:r>
      <w:r>
        <w:rPr>
          <w:spacing w:val="-3"/>
        </w:rPr>
        <w:t> </w:t>
      </w:r>
      <w:r>
        <w:rPr/>
        <w:t>The</w:t>
      </w:r>
      <w:r>
        <w:rPr>
          <w:spacing w:val="-4"/>
        </w:rPr>
        <w:t> </w:t>
      </w:r>
      <w:r>
        <w:rPr/>
        <w:t>Office’s</w:t>
      </w:r>
      <w:r>
        <w:rPr>
          <w:spacing w:val="-3"/>
        </w:rPr>
        <w:t> </w:t>
      </w:r>
      <w:r>
        <w:rPr/>
        <w:t>work</w:t>
      </w:r>
      <w:r>
        <w:rPr>
          <w:spacing w:val="-3"/>
        </w:rPr>
        <w:t> </w:t>
      </w:r>
      <w:r>
        <w:rPr/>
        <w:t>focuses</w:t>
      </w:r>
      <w:r>
        <w:rPr>
          <w:spacing w:val="-2"/>
        </w:rPr>
        <w:t> </w:t>
      </w:r>
      <w:r>
        <w:rPr/>
        <w:t>on</w:t>
      </w:r>
      <w:r>
        <w:rPr>
          <w:spacing w:val="-4"/>
        </w:rPr>
        <w:t> </w:t>
      </w:r>
      <w:r>
        <w:rPr/>
        <w:t>elevating the voice of historically underserved communities and strengthening the government’s response to the needs of those who are disproportionately impacted by problem gambling.</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r>
        <w:rPr/>
        <w:pict>
          <v:rect style="position:absolute;margin-left:72pt;margin-top:14.666562pt;width:144pt;height:.48pt;mso-position-horizontal-relative:page;mso-position-vertical-relative:paragraph;z-index:-15728128;mso-wrap-distance-left:0;mso-wrap-distance-right:0" id="docshape6" filled="true" fillcolor="#000000" stroked="false">
            <v:fill type="solid"/>
            <w10:wrap type="topAndBottom"/>
          </v:rect>
        </w:pict>
      </w:r>
    </w:p>
    <w:p>
      <w:pPr>
        <w:pStyle w:val="BodyText"/>
        <w:spacing w:before="4"/>
        <w:rPr>
          <w:sz w:val="14"/>
        </w:rPr>
      </w:pPr>
    </w:p>
    <w:p>
      <w:pPr>
        <w:spacing w:line="259" w:lineRule="auto" w:before="100"/>
        <w:ind w:left="479" w:right="190" w:firstLine="0"/>
        <w:jc w:val="left"/>
        <w:rPr>
          <w:sz w:val="18"/>
        </w:rPr>
      </w:pPr>
      <w:bookmarkStart w:name="_bookmark4" w:id="9"/>
      <w:bookmarkEnd w:id="9"/>
      <w:r>
        <w:rPr/>
      </w:r>
      <w:r>
        <w:rPr>
          <w:position w:val="4"/>
          <w:sz w:val="12"/>
        </w:rPr>
        <w:t>1</w:t>
      </w:r>
      <w:r>
        <w:rPr>
          <w:spacing w:val="20"/>
          <w:position w:val="4"/>
          <w:sz w:val="12"/>
        </w:rPr>
        <w:t> </w:t>
      </w:r>
      <w:r>
        <w:rPr>
          <w:sz w:val="18"/>
        </w:rPr>
        <w:t>A few examples of research among many include Goodyear-Smith F, Arroll B, Kerse N, Sullivan S, Coupe N, Tse S, Shepherd</w:t>
      </w:r>
      <w:r>
        <w:rPr>
          <w:spacing w:val="-3"/>
          <w:sz w:val="18"/>
        </w:rPr>
        <w:t> </w:t>
      </w:r>
      <w:r>
        <w:rPr>
          <w:sz w:val="18"/>
        </w:rPr>
        <w:t>R,</w:t>
      </w:r>
      <w:r>
        <w:rPr>
          <w:spacing w:val="-2"/>
          <w:sz w:val="18"/>
        </w:rPr>
        <w:t> </w:t>
      </w:r>
      <w:r>
        <w:rPr>
          <w:sz w:val="18"/>
        </w:rPr>
        <w:t>Rossen</w:t>
      </w:r>
      <w:r>
        <w:rPr>
          <w:spacing w:val="-3"/>
          <w:sz w:val="18"/>
        </w:rPr>
        <w:t> </w:t>
      </w:r>
      <w:r>
        <w:rPr>
          <w:sz w:val="18"/>
        </w:rPr>
        <w:t>F,</w:t>
      </w:r>
      <w:r>
        <w:rPr>
          <w:spacing w:val="-4"/>
          <w:sz w:val="18"/>
        </w:rPr>
        <w:t> </w:t>
      </w:r>
      <w:r>
        <w:rPr>
          <w:sz w:val="18"/>
        </w:rPr>
        <w:t>Perese</w:t>
      </w:r>
      <w:r>
        <w:rPr>
          <w:spacing w:val="-4"/>
          <w:sz w:val="18"/>
        </w:rPr>
        <w:t> </w:t>
      </w:r>
      <w:r>
        <w:rPr>
          <w:sz w:val="18"/>
        </w:rPr>
        <w:t>L.</w:t>
      </w:r>
      <w:r>
        <w:rPr>
          <w:spacing w:val="-4"/>
          <w:sz w:val="18"/>
        </w:rPr>
        <w:t> </w:t>
      </w:r>
      <w:r>
        <w:rPr>
          <w:sz w:val="18"/>
        </w:rPr>
        <w:t>Primary</w:t>
      </w:r>
      <w:r>
        <w:rPr>
          <w:spacing w:val="-3"/>
          <w:sz w:val="18"/>
        </w:rPr>
        <w:t> </w:t>
      </w:r>
      <w:r>
        <w:rPr>
          <w:sz w:val="18"/>
        </w:rPr>
        <w:t>care</w:t>
      </w:r>
      <w:r>
        <w:rPr>
          <w:spacing w:val="-2"/>
          <w:sz w:val="18"/>
        </w:rPr>
        <w:t> </w:t>
      </w:r>
      <w:r>
        <w:rPr>
          <w:sz w:val="18"/>
        </w:rPr>
        <w:t>patients</w:t>
      </w:r>
      <w:r>
        <w:rPr>
          <w:spacing w:val="-2"/>
          <w:sz w:val="18"/>
        </w:rPr>
        <w:t> </w:t>
      </w:r>
      <w:r>
        <w:rPr>
          <w:sz w:val="18"/>
        </w:rPr>
        <w:t>reporting</w:t>
      </w:r>
      <w:r>
        <w:rPr>
          <w:spacing w:val="-3"/>
          <w:sz w:val="18"/>
        </w:rPr>
        <w:t> </w:t>
      </w:r>
      <w:r>
        <w:rPr>
          <w:sz w:val="18"/>
        </w:rPr>
        <w:t>concerns</w:t>
      </w:r>
      <w:r>
        <w:rPr>
          <w:spacing w:val="-2"/>
          <w:sz w:val="18"/>
        </w:rPr>
        <w:t> </w:t>
      </w:r>
      <w:r>
        <w:rPr>
          <w:sz w:val="18"/>
        </w:rPr>
        <w:t>about</w:t>
      </w:r>
      <w:r>
        <w:rPr>
          <w:spacing w:val="-3"/>
          <w:sz w:val="18"/>
        </w:rPr>
        <w:t> </w:t>
      </w:r>
      <w:r>
        <w:rPr>
          <w:sz w:val="18"/>
        </w:rPr>
        <w:t>their</w:t>
      </w:r>
      <w:r>
        <w:rPr>
          <w:spacing w:val="-3"/>
          <w:sz w:val="18"/>
        </w:rPr>
        <w:t> </w:t>
      </w:r>
      <w:r>
        <w:rPr>
          <w:sz w:val="18"/>
        </w:rPr>
        <w:t>gambling</w:t>
      </w:r>
      <w:r>
        <w:rPr>
          <w:spacing w:val="-3"/>
          <w:sz w:val="18"/>
        </w:rPr>
        <w:t> </w:t>
      </w:r>
      <w:r>
        <w:rPr>
          <w:sz w:val="18"/>
        </w:rPr>
        <w:t>frequently</w:t>
      </w:r>
      <w:r>
        <w:rPr>
          <w:spacing w:val="-3"/>
          <w:sz w:val="18"/>
        </w:rPr>
        <w:t> </w:t>
      </w:r>
      <w:r>
        <w:rPr>
          <w:sz w:val="18"/>
        </w:rPr>
        <w:t>have</w:t>
      </w:r>
      <w:r>
        <w:rPr>
          <w:spacing w:val="-3"/>
          <w:sz w:val="18"/>
        </w:rPr>
        <w:t> </w:t>
      </w:r>
      <w:r>
        <w:rPr>
          <w:sz w:val="18"/>
        </w:rPr>
        <w:t>other</w:t>
      </w:r>
      <w:r>
        <w:rPr>
          <w:spacing w:val="-3"/>
          <w:sz w:val="18"/>
        </w:rPr>
        <w:t> </w:t>
      </w:r>
      <w:r>
        <w:rPr>
          <w:sz w:val="18"/>
        </w:rPr>
        <w:t>co- occurring lifestyle and mental health issues. BMC Family Practice, 10 April 2006, 7-25; Kee-Lee Chou, Tracie O. Afifi.</w:t>
      </w:r>
    </w:p>
    <w:p>
      <w:pPr>
        <w:spacing w:line="259" w:lineRule="auto" w:before="0"/>
        <w:ind w:left="479" w:right="61" w:firstLine="0"/>
        <w:jc w:val="left"/>
        <w:rPr>
          <w:sz w:val="18"/>
        </w:rPr>
      </w:pPr>
      <w:r>
        <w:rPr>
          <w:sz w:val="18"/>
        </w:rPr>
        <w:t>Disordered (Pathologic or Problem) Gambling and Axis I Psychiatric Disorders: Results From the National Epidemiologic Survey on Alcohol and Related Conditions. </w:t>
      </w:r>
      <w:r>
        <w:rPr>
          <w:i/>
          <w:sz w:val="18"/>
        </w:rPr>
        <w:t>American Journal of Epidemiology</w:t>
      </w:r>
      <w:r>
        <w:rPr>
          <w:sz w:val="18"/>
        </w:rPr>
        <w:t>, Volume 173, Issue 11, 1 June 2011, 1289– 1297.</w:t>
      </w:r>
      <w:r>
        <w:rPr>
          <w:spacing w:val="40"/>
          <w:sz w:val="18"/>
        </w:rPr>
        <w:t> </w:t>
      </w:r>
      <w:r>
        <w:rPr>
          <w:sz w:val="18"/>
        </w:rPr>
        <w:t>Afifi,</w:t>
      </w:r>
      <w:r>
        <w:rPr>
          <w:spacing w:val="-1"/>
          <w:sz w:val="18"/>
        </w:rPr>
        <w:t> </w:t>
      </w:r>
      <w:r>
        <w:rPr>
          <w:sz w:val="18"/>
        </w:rPr>
        <w:t>T.O.,</w:t>
      </w:r>
      <w:r>
        <w:rPr>
          <w:spacing w:val="-1"/>
          <w:sz w:val="18"/>
        </w:rPr>
        <w:t> </w:t>
      </w:r>
      <w:r>
        <w:rPr>
          <w:sz w:val="18"/>
        </w:rPr>
        <w:t>Cox,</w:t>
      </w:r>
      <w:r>
        <w:rPr>
          <w:spacing w:val="-3"/>
          <w:sz w:val="18"/>
        </w:rPr>
        <w:t> </w:t>
      </w:r>
      <w:r>
        <w:rPr>
          <w:sz w:val="18"/>
        </w:rPr>
        <w:t>B.J.,</w:t>
      </w:r>
      <w:r>
        <w:rPr>
          <w:spacing w:val="-3"/>
          <w:sz w:val="18"/>
        </w:rPr>
        <w:t> </w:t>
      </w:r>
      <w:r>
        <w:rPr>
          <w:sz w:val="18"/>
        </w:rPr>
        <w:t>Martens,</w:t>
      </w:r>
      <w:r>
        <w:rPr>
          <w:spacing w:val="-1"/>
          <w:sz w:val="18"/>
        </w:rPr>
        <w:t> </w:t>
      </w:r>
      <w:r>
        <w:rPr>
          <w:sz w:val="18"/>
        </w:rPr>
        <w:t>P.J.</w:t>
      </w:r>
      <w:r>
        <w:rPr>
          <w:spacing w:val="-2"/>
          <w:sz w:val="18"/>
        </w:rPr>
        <w:t> </w:t>
      </w:r>
      <w:r>
        <w:rPr>
          <w:sz w:val="18"/>
        </w:rPr>
        <w:t>et</w:t>
      </w:r>
      <w:r>
        <w:rPr>
          <w:spacing w:val="-2"/>
          <w:sz w:val="18"/>
        </w:rPr>
        <w:t> </w:t>
      </w:r>
      <w:r>
        <w:rPr>
          <w:sz w:val="18"/>
        </w:rPr>
        <w:t>al.</w:t>
      </w:r>
      <w:r>
        <w:rPr>
          <w:spacing w:val="-1"/>
          <w:sz w:val="18"/>
        </w:rPr>
        <w:t> </w:t>
      </w:r>
      <w:r>
        <w:rPr>
          <w:sz w:val="18"/>
        </w:rPr>
        <w:t>The</w:t>
      </w:r>
      <w:r>
        <w:rPr>
          <w:spacing w:val="-2"/>
          <w:sz w:val="18"/>
        </w:rPr>
        <w:t> </w:t>
      </w:r>
      <w:r>
        <w:rPr>
          <w:sz w:val="18"/>
        </w:rPr>
        <w:t>Relationship</w:t>
      </w:r>
      <w:r>
        <w:rPr>
          <w:spacing w:val="-2"/>
          <w:sz w:val="18"/>
        </w:rPr>
        <w:t> </w:t>
      </w:r>
      <w:r>
        <w:rPr>
          <w:sz w:val="18"/>
        </w:rPr>
        <w:t>between</w:t>
      </w:r>
      <w:r>
        <w:rPr>
          <w:spacing w:val="-2"/>
          <w:sz w:val="18"/>
        </w:rPr>
        <w:t> </w:t>
      </w:r>
      <w:r>
        <w:rPr>
          <w:sz w:val="18"/>
        </w:rPr>
        <w:t>Problem</w:t>
      </w:r>
      <w:r>
        <w:rPr>
          <w:spacing w:val="-2"/>
          <w:sz w:val="18"/>
        </w:rPr>
        <w:t> </w:t>
      </w:r>
      <w:r>
        <w:rPr>
          <w:sz w:val="18"/>
        </w:rPr>
        <w:t>Gambling</w:t>
      </w:r>
      <w:r>
        <w:rPr>
          <w:spacing w:val="-2"/>
          <w:sz w:val="18"/>
        </w:rPr>
        <w:t> </w:t>
      </w:r>
      <w:r>
        <w:rPr>
          <w:sz w:val="18"/>
        </w:rPr>
        <w:t>and</w:t>
      </w:r>
      <w:r>
        <w:rPr>
          <w:spacing w:val="-2"/>
          <w:sz w:val="18"/>
        </w:rPr>
        <w:t> </w:t>
      </w:r>
      <w:r>
        <w:rPr>
          <w:sz w:val="18"/>
        </w:rPr>
        <w:t>Mental</w:t>
      </w:r>
      <w:r>
        <w:rPr>
          <w:spacing w:val="-1"/>
          <w:sz w:val="18"/>
        </w:rPr>
        <w:t> </w:t>
      </w:r>
      <w:r>
        <w:rPr>
          <w:sz w:val="18"/>
        </w:rPr>
        <w:t>and</w:t>
      </w:r>
      <w:r>
        <w:rPr>
          <w:spacing w:val="-3"/>
          <w:sz w:val="18"/>
        </w:rPr>
        <w:t> </w:t>
      </w:r>
      <w:r>
        <w:rPr>
          <w:sz w:val="18"/>
        </w:rPr>
        <w:t>Physical</w:t>
      </w:r>
      <w:r>
        <w:rPr>
          <w:spacing w:val="-1"/>
          <w:sz w:val="18"/>
        </w:rPr>
        <w:t> </w:t>
      </w:r>
      <w:r>
        <w:rPr>
          <w:sz w:val="18"/>
        </w:rPr>
        <w:t>Health Correlates</w:t>
      </w:r>
      <w:r>
        <w:rPr>
          <w:spacing w:val="-2"/>
          <w:sz w:val="18"/>
        </w:rPr>
        <w:t> </w:t>
      </w:r>
      <w:r>
        <w:rPr>
          <w:sz w:val="18"/>
        </w:rPr>
        <w:t>among</w:t>
      </w:r>
      <w:r>
        <w:rPr>
          <w:spacing w:val="-3"/>
          <w:sz w:val="18"/>
        </w:rPr>
        <w:t> </w:t>
      </w:r>
      <w:r>
        <w:rPr>
          <w:sz w:val="18"/>
        </w:rPr>
        <w:t>a</w:t>
      </w:r>
      <w:r>
        <w:rPr>
          <w:spacing w:val="-3"/>
          <w:sz w:val="18"/>
        </w:rPr>
        <w:t> </w:t>
      </w:r>
      <w:r>
        <w:rPr>
          <w:sz w:val="18"/>
        </w:rPr>
        <w:t>Nationally</w:t>
      </w:r>
      <w:r>
        <w:rPr>
          <w:spacing w:val="-4"/>
          <w:sz w:val="18"/>
        </w:rPr>
        <w:t> </w:t>
      </w:r>
      <w:r>
        <w:rPr>
          <w:sz w:val="18"/>
        </w:rPr>
        <w:t>Representative</w:t>
      </w:r>
      <w:r>
        <w:rPr>
          <w:spacing w:val="-3"/>
          <w:sz w:val="18"/>
        </w:rPr>
        <w:t> </w:t>
      </w:r>
      <w:r>
        <w:rPr>
          <w:sz w:val="18"/>
        </w:rPr>
        <w:t>Sample</w:t>
      </w:r>
      <w:r>
        <w:rPr>
          <w:spacing w:val="-3"/>
          <w:sz w:val="18"/>
        </w:rPr>
        <w:t> </w:t>
      </w:r>
      <w:r>
        <w:rPr>
          <w:sz w:val="18"/>
        </w:rPr>
        <w:t>of</w:t>
      </w:r>
      <w:r>
        <w:rPr>
          <w:spacing w:val="-3"/>
          <w:sz w:val="18"/>
        </w:rPr>
        <w:t> </w:t>
      </w:r>
      <w:r>
        <w:rPr>
          <w:sz w:val="18"/>
        </w:rPr>
        <w:t>Canadian</w:t>
      </w:r>
      <w:r>
        <w:rPr>
          <w:spacing w:val="-3"/>
          <w:sz w:val="18"/>
        </w:rPr>
        <w:t> </w:t>
      </w:r>
      <w:r>
        <w:rPr>
          <w:sz w:val="18"/>
        </w:rPr>
        <w:t>Women.</w:t>
      </w:r>
      <w:r>
        <w:rPr>
          <w:spacing w:val="-2"/>
          <w:sz w:val="18"/>
        </w:rPr>
        <w:t> </w:t>
      </w:r>
      <w:r>
        <w:rPr>
          <w:sz w:val="18"/>
        </w:rPr>
        <w:t>Canadian</w:t>
      </w:r>
      <w:r>
        <w:rPr>
          <w:spacing w:val="-3"/>
          <w:sz w:val="18"/>
        </w:rPr>
        <w:t> </w:t>
      </w:r>
      <w:r>
        <w:rPr>
          <w:sz w:val="18"/>
        </w:rPr>
        <w:t>Journal</w:t>
      </w:r>
      <w:r>
        <w:rPr>
          <w:spacing w:val="-1"/>
          <w:sz w:val="18"/>
        </w:rPr>
        <w:t> </w:t>
      </w:r>
      <w:r>
        <w:rPr>
          <w:sz w:val="18"/>
        </w:rPr>
        <w:t>of</w:t>
      </w:r>
      <w:r>
        <w:rPr>
          <w:spacing w:val="-3"/>
          <w:sz w:val="18"/>
        </w:rPr>
        <w:t> </w:t>
      </w:r>
      <w:r>
        <w:rPr>
          <w:sz w:val="18"/>
        </w:rPr>
        <w:t>Public</w:t>
      </w:r>
      <w:r>
        <w:rPr>
          <w:spacing w:val="-3"/>
          <w:sz w:val="18"/>
        </w:rPr>
        <w:t> </w:t>
      </w:r>
      <w:r>
        <w:rPr>
          <w:sz w:val="18"/>
        </w:rPr>
        <w:t>Health</w:t>
      </w:r>
      <w:r>
        <w:rPr>
          <w:spacing w:val="-3"/>
          <w:sz w:val="18"/>
        </w:rPr>
        <w:t> </w:t>
      </w:r>
      <w:r>
        <w:rPr>
          <w:sz w:val="18"/>
        </w:rPr>
        <w:t>Volume</w:t>
      </w:r>
      <w:r>
        <w:rPr>
          <w:spacing w:val="-3"/>
          <w:sz w:val="18"/>
        </w:rPr>
        <w:t> </w:t>
      </w:r>
      <w:r>
        <w:rPr>
          <w:sz w:val="18"/>
        </w:rPr>
        <w:t>101, 2010, 171–175; Caler KR, Vargas Garcia JR, Nower L. Problem gambling among ethnic minorities: results from an epidemiological study. Asian Journal of Gambling Issues and Public Health, Volume 7, Article 7, 7 September 2017, 1-13. Raybould, J.N., Larkin, M. &amp; Tunney, R.J. Is there a health inequality in gambling related harms? A systematic review. BMC Public Health Volume 305, Article 21, 6 February 2021, 1-17.</w:t>
      </w:r>
    </w:p>
    <w:p>
      <w:pPr>
        <w:spacing w:after="0" w:line="259" w:lineRule="auto"/>
        <w:jc w:val="left"/>
        <w:rPr>
          <w:sz w:val="18"/>
        </w:rPr>
        <w:sectPr>
          <w:pgSz w:w="12240" w:h="15840"/>
          <w:pgMar w:header="438" w:footer="444" w:top="1320" w:bottom="640" w:left="960" w:right="1320"/>
        </w:sectPr>
      </w:pPr>
    </w:p>
    <w:p>
      <w:pPr>
        <w:pStyle w:val="Heading1"/>
        <w:spacing w:before="102"/>
        <w:rPr>
          <w:rFonts w:ascii="Franklin Gothic Book"/>
        </w:rPr>
      </w:pPr>
      <w:bookmarkStart w:name="Strategic Plan 2022-2026" w:id="10"/>
      <w:bookmarkEnd w:id="10"/>
      <w:r>
        <w:rPr/>
      </w:r>
      <w:bookmarkStart w:name="_bookmark5" w:id="11"/>
      <w:bookmarkEnd w:id="11"/>
      <w:r>
        <w:rPr/>
      </w:r>
      <w:r>
        <w:rPr>
          <w:rFonts w:ascii="Franklin Gothic Book"/>
          <w:color w:val="055893"/>
        </w:rPr>
        <w:t>STRATEGIC</w:t>
      </w:r>
      <w:r>
        <w:rPr>
          <w:rFonts w:ascii="Franklin Gothic Book"/>
          <w:color w:val="055893"/>
          <w:spacing w:val="72"/>
        </w:rPr>
        <w:t> </w:t>
      </w:r>
      <w:r>
        <w:rPr>
          <w:rFonts w:ascii="Franklin Gothic Book"/>
          <w:color w:val="055893"/>
        </w:rPr>
        <w:t>PLAN</w:t>
      </w:r>
      <w:r>
        <w:rPr>
          <w:rFonts w:ascii="Franklin Gothic Book"/>
          <w:color w:val="055893"/>
          <w:spacing w:val="74"/>
        </w:rPr>
        <w:t> </w:t>
      </w:r>
      <w:r>
        <w:rPr>
          <w:rFonts w:ascii="Franklin Gothic Book"/>
          <w:color w:val="055893"/>
          <w:spacing w:val="9"/>
        </w:rPr>
        <w:t>2022-</w:t>
      </w:r>
      <w:r>
        <w:rPr>
          <w:rFonts w:ascii="Franklin Gothic Book"/>
          <w:color w:val="055893"/>
          <w:spacing w:val="6"/>
        </w:rPr>
        <w:t>2026</w:t>
      </w:r>
    </w:p>
    <w:p>
      <w:pPr>
        <w:pStyle w:val="Heading3"/>
        <w:spacing w:before="273"/>
      </w:pPr>
      <w:bookmarkStart w:name="Who We Are" w:id="12"/>
      <w:bookmarkEnd w:id="12"/>
      <w:r>
        <w:rPr/>
      </w:r>
      <w:bookmarkStart w:name="_bookmark6" w:id="13"/>
      <w:bookmarkEnd w:id="13"/>
      <w:r>
        <w:rPr/>
      </w:r>
      <w:r>
        <w:rPr>
          <w:color w:val="032D52"/>
        </w:rPr>
        <w:t>WHO</w:t>
      </w:r>
      <w:r>
        <w:rPr>
          <w:color w:val="032D52"/>
          <w:spacing w:val="19"/>
        </w:rPr>
        <w:t> </w:t>
      </w:r>
      <w:r>
        <w:rPr>
          <w:color w:val="032D52"/>
        </w:rPr>
        <w:t>WE</w:t>
      </w:r>
      <w:r>
        <w:rPr>
          <w:color w:val="032D52"/>
          <w:spacing w:val="22"/>
        </w:rPr>
        <w:t> </w:t>
      </w:r>
      <w:r>
        <w:rPr>
          <w:color w:val="032D52"/>
          <w:spacing w:val="-5"/>
        </w:rPr>
        <w:t>ARE</w:t>
      </w:r>
    </w:p>
    <w:p>
      <w:pPr>
        <w:pStyle w:val="BodyText"/>
        <w:spacing w:line="259" w:lineRule="auto"/>
        <w:ind w:left="479" w:right="164"/>
      </w:pPr>
      <w:r>
        <w:rPr/>
        <w:t>OPGS is an Office within the Massachusetts Department of Public Health, a Department under the Commonwealth’s</w:t>
      </w:r>
      <w:r>
        <w:rPr>
          <w:spacing w:val="-3"/>
        </w:rPr>
        <w:t> </w:t>
      </w:r>
      <w:r>
        <w:rPr/>
        <w:t>Executive</w:t>
      </w:r>
      <w:r>
        <w:rPr>
          <w:spacing w:val="-4"/>
        </w:rPr>
        <w:t> </w:t>
      </w:r>
      <w:r>
        <w:rPr/>
        <w:t>Office</w:t>
      </w:r>
      <w:r>
        <w:rPr>
          <w:spacing w:val="-4"/>
        </w:rPr>
        <w:t> </w:t>
      </w:r>
      <w:r>
        <w:rPr/>
        <w:t>of</w:t>
      </w:r>
      <w:r>
        <w:rPr>
          <w:spacing w:val="-3"/>
        </w:rPr>
        <w:t> </w:t>
      </w:r>
      <w:r>
        <w:rPr/>
        <w:t>Health</w:t>
      </w:r>
      <w:r>
        <w:rPr>
          <w:spacing w:val="-3"/>
        </w:rPr>
        <w:t> </w:t>
      </w:r>
      <w:r>
        <w:rPr/>
        <w:t>and</w:t>
      </w:r>
      <w:r>
        <w:rPr>
          <w:spacing w:val="-3"/>
        </w:rPr>
        <w:t> </w:t>
      </w:r>
      <w:r>
        <w:rPr/>
        <w:t>Human</w:t>
      </w:r>
      <w:r>
        <w:rPr>
          <w:spacing w:val="-4"/>
        </w:rPr>
        <w:t> </w:t>
      </w:r>
      <w:r>
        <w:rPr/>
        <w:t>Services</w:t>
      </w:r>
      <w:r>
        <w:rPr>
          <w:spacing w:val="-2"/>
        </w:rPr>
        <w:t> </w:t>
      </w:r>
      <w:r>
        <w:rPr/>
        <w:t>(EOHHS),</w:t>
      </w:r>
      <w:r>
        <w:rPr>
          <w:spacing w:val="-3"/>
        </w:rPr>
        <w:t> </w:t>
      </w:r>
      <w:r>
        <w:rPr/>
        <w:t>the</w:t>
      </w:r>
      <w:r>
        <w:rPr>
          <w:spacing w:val="-4"/>
        </w:rPr>
        <w:t> </w:t>
      </w:r>
      <w:r>
        <w:rPr/>
        <w:t>largest</w:t>
      </w:r>
      <w:r>
        <w:rPr>
          <w:spacing w:val="-4"/>
        </w:rPr>
        <w:t> </w:t>
      </w:r>
      <w:r>
        <w:rPr/>
        <w:t>secretariat</w:t>
      </w:r>
      <w:r>
        <w:rPr>
          <w:spacing w:val="-4"/>
        </w:rPr>
        <w:t> </w:t>
      </w:r>
      <w:r>
        <w:rPr/>
        <w:t>in Massachusetts state government.</w:t>
      </w:r>
    </w:p>
    <w:p>
      <w:pPr>
        <w:pStyle w:val="Heading2"/>
        <w:spacing w:before="111"/>
        <w:rPr>
          <w:i/>
        </w:rPr>
      </w:pPr>
      <w:bookmarkStart w:name="Purpose, Mission and Vision" w:id="14"/>
      <w:bookmarkEnd w:id="14"/>
      <w:r>
        <w:rPr>
          <w:i w:val="0"/>
        </w:rPr>
      </w:r>
      <w:bookmarkStart w:name="_bookmark7" w:id="15"/>
      <w:bookmarkEnd w:id="15"/>
      <w:r>
        <w:rPr>
          <w:i w:val="0"/>
        </w:rPr>
      </w:r>
      <w:r>
        <w:rPr>
          <w:i/>
          <w:color w:val="072858"/>
        </w:rPr>
        <w:t>Purpose,</w:t>
      </w:r>
      <w:r>
        <w:rPr>
          <w:i/>
          <w:color w:val="072858"/>
          <w:spacing w:val="-11"/>
        </w:rPr>
        <w:t> </w:t>
      </w:r>
      <w:r>
        <w:rPr>
          <w:i/>
          <w:color w:val="072858"/>
        </w:rPr>
        <w:t>Mission</w:t>
      </w:r>
      <w:r>
        <w:rPr>
          <w:i/>
          <w:color w:val="072858"/>
          <w:spacing w:val="-8"/>
        </w:rPr>
        <w:t> </w:t>
      </w:r>
      <w:r>
        <w:rPr>
          <w:i/>
          <w:color w:val="072858"/>
        </w:rPr>
        <w:t>and</w:t>
      </w:r>
      <w:r>
        <w:rPr>
          <w:i/>
          <w:color w:val="072858"/>
          <w:spacing w:val="-10"/>
        </w:rPr>
        <w:t> </w:t>
      </w:r>
      <w:r>
        <w:rPr>
          <w:i/>
          <w:color w:val="072858"/>
          <w:spacing w:val="-2"/>
        </w:rPr>
        <w:t>Vision</w:t>
      </w:r>
    </w:p>
    <w:p>
      <w:pPr>
        <w:pStyle w:val="BodyText"/>
        <w:spacing w:before="116"/>
        <w:ind w:left="480"/>
      </w:pPr>
      <w:r>
        <w:rPr/>
        <w:t>The</w:t>
      </w:r>
      <w:r>
        <w:rPr>
          <w:spacing w:val="-7"/>
        </w:rPr>
        <w:t> </w:t>
      </w:r>
      <w:r>
        <w:rPr/>
        <w:t>OPGS</w:t>
      </w:r>
      <w:r>
        <w:rPr>
          <w:spacing w:val="-7"/>
        </w:rPr>
        <w:t> </w:t>
      </w:r>
      <w:r>
        <w:rPr/>
        <w:t>purpose,</w:t>
      </w:r>
      <w:r>
        <w:rPr>
          <w:spacing w:val="-7"/>
        </w:rPr>
        <w:t> </w:t>
      </w:r>
      <w:r>
        <w:rPr/>
        <w:t>mission,</w:t>
      </w:r>
      <w:r>
        <w:rPr>
          <w:spacing w:val="-7"/>
        </w:rPr>
        <w:t> </w:t>
      </w:r>
      <w:r>
        <w:rPr/>
        <w:t>and</w:t>
      </w:r>
      <w:r>
        <w:rPr>
          <w:spacing w:val="-6"/>
        </w:rPr>
        <w:t> </w:t>
      </w:r>
      <w:r>
        <w:rPr/>
        <w:t>vision</w:t>
      </w:r>
      <w:r>
        <w:rPr>
          <w:spacing w:val="-8"/>
        </w:rPr>
        <w:t> </w:t>
      </w:r>
      <w:r>
        <w:rPr/>
        <w:t>are</w:t>
      </w:r>
      <w:r>
        <w:rPr>
          <w:spacing w:val="-7"/>
        </w:rPr>
        <w:t> </w:t>
      </w:r>
      <w:r>
        <w:rPr/>
        <w:t>outlined</w:t>
      </w:r>
      <w:r>
        <w:rPr>
          <w:spacing w:val="-7"/>
        </w:rPr>
        <w:t> </w:t>
      </w:r>
      <w:r>
        <w:rPr/>
        <w:t>below,</w:t>
      </w:r>
      <w:r>
        <w:rPr>
          <w:spacing w:val="-6"/>
        </w:rPr>
        <w:t> </w:t>
      </w:r>
      <w:r>
        <w:rPr/>
        <w:t>and</w:t>
      </w:r>
      <w:r>
        <w:rPr>
          <w:spacing w:val="-7"/>
        </w:rPr>
        <w:t> </w:t>
      </w:r>
      <w:r>
        <w:rPr/>
        <w:t>are</w:t>
      </w:r>
      <w:r>
        <w:rPr>
          <w:spacing w:val="-7"/>
        </w:rPr>
        <w:t> </w:t>
      </w:r>
      <w:r>
        <w:rPr/>
        <w:t>aligned</w:t>
      </w:r>
      <w:r>
        <w:rPr>
          <w:spacing w:val="-5"/>
        </w:rPr>
        <w:t> </w:t>
      </w:r>
      <w:r>
        <w:rPr/>
        <w:t>with</w:t>
      </w:r>
      <w:r>
        <w:rPr>
          <w:spacing w:val="-7"/>
        </w:rPr>
        <w:t> </w:t>
      </w:r>
      <w:r>
        <w:rPr/>
        <w:t>those</w:t>
      </w:r>
      <w:r>
        <w:rPr>
          <w:spacing w:val="-7"/>
        </w:rPr>
        <w:t> </w:t>
      </w:r>
      <w:r>
        <w:rPr/>
        <w:t>for</w:t>
      </w:r>
      <w:r>
        <w:rPr>
          <w:spacing w:val="-7"/>
        </w:rPr>
        <w:t> </w:t>
      </w:r>
      <w:r>
        <w:rPr>
          <w:spacing w:val="-4"/>
        </w:rPr>
        <w:t>DPH.</w:t>
      </w:r>
    </w:p>
    <w:p>
      <w:pPr>
        <w:pStyle w:val="BodyText"/>
        <w:spacing w:line="259" w:lineRule="auto" w:before="141"/>
        <w:ind w:left="1199"/>
      </w:pPr>
      <w:r>
        <w:rPr/>
        <w:t>Our</w:t>
      </w:r>
      <w:r>
        <w:rPr>
          <w:spacing w:val="-5"/>
        </w:rPr>
        <w:t> </w:t>
      </w:r>
      <w:r>
        <w:rPr/>
        <w:t>Purpose:</w:t>
      </w:r>
      <w:r>
        <w:rPr>
          <w:spacing w:val="-4"/>
        </w:rPr>
        <w:t> </w:t>
      </w:r>
      <w:r>
        <w:rPr/>
        <w:t>Work</w:t>
      </w:r>
      <w:r>
        <w:rPr>
          <w:spacing w:val="-4"/>
        </w:rPr>
        <w:t> </w:t>
      </w:r>
      <w:r>
        <w:rPr/>
        <w:t>to</w:t>
      </w:r>
      <w:r>
        <w:rPr>
          <w:spacing w:val="-4"/>
        </w:rPr>
        <w:t> </w:t>
      </w:r>
      <w:r>
        <w:rPr/>
        <w:t>prevent</w:t>
      </w:r>
      <w:r>
        <w:rPr>
          <w:spacing w:val="-5"/>
        </w:rPr>
        <w:t> </w:t>
      </w:r>
      <w:r>
        <w:rPr/>
        <w:t>and</w:t>
      </w:r>
      <w:r>
        <w:rPr>
          <w:spacing w:val="-4"/>
        </w:rPr>
        <w:t> </w:t>
      </w:r>
      <w:r>
        <w:rPr/>
        <w:t>address</w:t>
      </w:r>
      <w:r>
        <w:rPr>
          <w:spacing w:val="-4"/>
        </w:rPr>
        <w:t> </w:t>
      </w:r>
      <w:r>
        <w:rPr/>
        <w:t>problem</w:t>
      </w:r>
      <w:r>
        <w:rPr>
          <w:spacing w:val="-3"/>
        </w:rPr>
        <w:t> </w:t>
      </w:r>
      <w:r>
        <w:rPr/>
        <w:t>gambling</w:t>
      </w:r>
      <w:r>
        <w:rPr>
          <w:spacing w:val="-4"/>
        </w:rPr>
        <w:t> </w:t>
      </w:r>
      <w:r>
        <w:rPr/>
        <w:t>and</w:t>
      </w:r>
      <w:r>
        <w:rPr>
          <w:spacing w:val="-4"/>
        </w:rPr>
        <w:t> </w:t>
      </w:r>
      <w:r>
        <w:rPr/>
        <w:t>related</w:t>
      </w:r>
      <w:r>
        <w:rPr>
          <w:spacing w:val="-4"/>
        </w:rPr>
        <w:t> </w:t>
      </w:r>
      <w:r>
        <w:rPr/>
        <w:t>issues</w:t>
      </w:r>
      <w:r>
        <w:rPr>
          <w:spacing w:val="-4"/>
        </w:rPr>
        <w:t> </w:t>
      </w:r>
      <w:r>
        <w:rPr/>
        <w:t>in </w:t>
      </w:r>
      <w:r>
        <w:rPr>
          <w:spacing w:val="-2"/>
        </w:rPr>
        <w:t>Massachusetts.</w:t>
      </w:r>
    </w:p>
    <w:p>
      <w:pPr>
        <w:pStyle w:val="BodyText"/>
        <w:spacing w:line="259" w:lineRule="auto" w:before="119"/>
        <w:ind w:left="1199"/>
      </w:pPr>
      <w:r>
        <w:rPr/>
        <w:t>Our</w:t>
      </w:r>
      <w:r>
        <w:rPr>
          <w:spacing w:val="-4"/>
        </w:rPr>
        <w:t> </w:t>
      </w:r>
      <w:r>
        <w:rPr/>
        <w:t>Mission:</w:t>
      </w:r>
      <w:r>
        <w:rPr>
          <w:spacing w:val="-4"/>
        </w:rPr>
        <w:t> </w:t>
      </w:r>
      <w:r>
        <w:rPr/>
        <w:t>The</w:t>
      </w:r>
      <w:r>
        <w:rPr>
          <w:spacing w:val="-4"/>
        </w:rPr>
        <w:t> </w:t>
      </w:r>
      <w:r>
        <w:rPr/>
        <w:t>Office</w:t>
      </w:r>
      <w:r>
        <w:rPr>
          <w:spacing w:val="-4"/>
        </w:rPr>
        <w:t> </w:t>
      </w:r>
      <w:r>
        <w:rPr/>
        <w:t>works</w:t>
      </w:r>
      <w:r>
        <w:rPr>
          <w:spacing w:val="-3"/>
        </w:rPr>
        <w:t> </w:t>
      </w:r>
      <w:r>
        <w:rPr/>
        <w:t>every</w:t>
      </w:r>
      <w:r>
        <w:rPr>
          <w:spacing w:val="-3"/>
        </w:rPr>
        <w:t> </w:t>
      </w:r>
      <w:r>
        <w:rPr/>
        <w:t>day</w:t>
      </w:r>
      <w:r>
        <w:rPr>
          <w:spacing w:val="-3"/>
        </w:rPr>
        <w:t> </w:t>
      </w:r>
      <w:r>
        <w:rPr/>
        <w:t>to</w:t>
      </w:r>
      <w:r>
        <w:rPr>
          <w:spacing w:val="-3"/>
        </w:rPr>
        <w:t> </w:t>
      </w:r>
      <w:r>
        <w:rPr/>
        <w:t>mitigate</w:t>
      </w:r>
      <w:r>
        <w:rPr>
          <w:spacing w:val="-4"/>
        </w:rPr>
        <w:t> </w:t>
      </w:r>
      <w:r>
        <w:rPr/>
        <w:t>the</w:t>
      </w:r>
      <w:r>
        <w:rPr>
          <w:spacing w:val="-4"/>
        </w:rPr>
        <w:t> </w:t>
      </w:r>
      <w:r>
        <w:rPr/>
        <w:t>harmful</w:t>
      </w:r>
      <w:r>
        <w:rPr>
          <w:spacing w:val="-3"/>
        </w:rPr>
        <w:t> </w:t>
      </w:r>
      <w:r>
        <w:rPr/>
        <w:t>effects</w:t>
      </w:r>
      <w:r>
        <w:rPr>
          <w:spacing w:val="-3"/>
        </w:rPr>
        <w:t> </w:t>
      </w:r>
      <w:r>
        <w:rPr/>
        <w:t>of</w:t>
      </w:r>
      <w:r>
        <w:rPr>
          <w:spacing w:val="-3"/>
        </w:rPr>
        <w:t> </w:t>
      </w:r>
      <w:r>
        <w:rPr/>
        <w:t>problem</w:t>
      </w:r>
      <w:r>
        <w:rPr>
          <w:spacing w:val="-3"/>
        </w:rPr>
        <w:t> </w:t>
      </w:r>
      <w:r>
        <w:rPr/>
        <w:t>gambling and related health concerns through a variety of community-level strategies that ensure a strong public health response to problem gambling.</w:t>
      </w:r>
    </w:p>
    <w:p>
      <w:pPr>
        <w:pStyle w:val="BodyText"/>
        <w:spacing w:line="259" w:lineRule="auto" w:before="119"/>
        <w:ind w:left="1200" w:right="190" w:hanging="1"/>
      </w:pPr>
      <w:r>
        <w:rPr/>
        <w:t>Our Vision: To ensure a comprehensive and integrated public health response that will include</w:t>
      </w:r>
      <w:r>
        <w:rPr>
          <w:spacing w:val="-3"/>
        </w:rPr>
        <w:t> </w:t>
      </w:r>
      <w:r>
        <w:rPr/>
        <w:t>utilization</w:t>
      </w:r>
      <w:r>
        <w:rPr>
          <w:spacing w:val="-5"/>
        </w:rPr>
        <w:t> </w:t>
      </w:r>
      <w:r>
        <w:rPr/>
        <w:t>of</w:t>
      </w:r>
      <w:r>
        <w:rPr>
          <w:spacing w:val="-4"/>
        </w:rPr>
        <w:t> </w:t>
      </w:r>
      <w:r>
        <w:rPr/>
        <w:t>data</w:t>
      </w:r>
      <w:r>
        <w:rPr>
          <w:spacing w:val="-3"/>
        </w:rPr>
        <w:t> </w:t>
      </w:r>
      <w:r>
        <w:rPr/>
        <w:t>to</w:t>
      </w:r>
      <w:r>
        <w:rPr>
          <w:spacing w:val="-4"/>
        </w:rPr>
        <w:t> </w:t>
      </w:r>
      <w:r>
        <w:rPr/>
        <w:t>inform</w:t>
      </w:r>
      <w:r>
        <w:rPr>
          <w:spacing w:val="-4"/>
        </w:rPr>
        <w:t> </w:t>
      </w:r>
      <w:r>
        <w:rPr/>
        <w:t>initiatives,</w:t>
      </w:r>
      <w:r>
        <w:rPr>
          <w:spacing w:val="-4"/>
        </w:rPr>
        <w:t> </w:t>
      </w:r>
      <w:r>
        <w:rPr/>
        <w:t>engagement</w:t>
      </w:r>
      <w:r>
        <w:rPr>
          <w:spacing w:val="-5"/>
        </w:rPr>
        <w:t> </w:t>
      </w:r>
      <w:r>
        <w:rPr/>
        <w:t>of</w:t>
      </w:r>
      <w:r>
        <w:rPr>
          <w:spacing w:val="-4"/>
        </w:rPr>
        <w:t> </w:t>
      </w:r>
      <w:r>
        <w:rPr/>
        <w:t>communities,</w:t>
      </w:r>
      <w:r>
        <w:rPr>
          <w:spacing w:val="-3"/>
        </w:rPr>
        <w:t> </w:t>
      </w:r>
      <w:r>
        <w:rPr/>
        <w:t>and</w:t>
      </w:r>
      <w:r>
        <w:rPr>
          <w:spacing w:val="-4"/>
        </w:rPr>
        <w:t> </w:t>
      </w:r>
      <w:r>
        <w:rPr/>
        <w:t>that</w:t>
      </w:r>
      <w:r>
        <w:rPr>
          <w:spacing w:val="-5"/>
        </w:rPr>
        <w:t> </w:t>
      </w:r>
      <w:r>
        <w:rPr/>
        <w:t>which ensures cultural intelligence and humility.</w:t>
      </w:r>
    </w:p>
    <w:p>
      <w:pPr>
        <w:pStyle w:val="Heading2"/>
        <w:spacing w:before="111"/>
        <w:rPr>
          <w:i/>
        </w:rPr>
      </w:pPr>
      <w:bookmarkStart w:name="Guiding Principles" w:id="16"/>
      <w:bookmarkEnd w:id="16"/>
      <w:r>
        <w:rPr>
          <w:i w:val="0"/>
        </w:rPr>
      </w:r>
      <w:bookmarkStart w:name="_bookmark8" w:id="17"/>
      <w:bookmarkEnd w:id="17"/>
      <w:r>
        <w:rPr>
          <w:i w:val="0"/>
        </w:rPr>
      </w:r>
      <w:r>
        <w:rPr>
          <w:i/>
          <w:color w:val="072858"/>
        </w:rPr>
        <w:t>Guiding</w:t>
      </w:r>
      <w:r>
        <w:rPr>
          <w:i/>
          <w:color w:val="072858"/>
          <w:spacing w:val="-11"/>
        </w:rPr>
        <w:t> </w:t>
      </w:r>
      <w:r>
        <w:rPr>
          <w:i/>
          <w:color w:val="072858"/>
          <w:spacing w:val="-2"/>
        </w:rPr>
        <w:t>Principles</w:t>
      </w:r>
    </w:p>
    <w:p>
      <w:pPr>
        <w:pStyle w:val="BodyText"/>
        <w:spacing w:before="118"/>
        <w:ind w:left="480"/>
      </w:pPr>
      <w:r>
        <w:rPr/>
        <w:t>The</w:t>
      </w:r>
      <w:r>
        <w:rPr>
          <w:spacing w:val="-7"/>
        </w:rPr>
        <w:t> </w:t>
      </w:r>
      <w:r>
        <w:rPr/>
        <w:t>OPGS’</w:t>
      </w:r>
      <w:r>
        <w:rPr>
          <w:spacing w:val="-7"/>
        </w:rPr>
        <w:t> </w:t>
      </w:r>
      <w:r>
        <w:rPr/>
        <w:t>guiding</w:t>
      </w:r>
      <w:r>
        <w:rPr>
          <w:spacing w:val="-7"/>
        </w:rPr>
        <w:t> </w:t>
      </w:r>
      <w:r>
        <w:rPr/>
        <w:t>principles</w:t>
      </w:r>
      <w:r>
        <w:rPr>
          <w:spacing w:val="-6"/>
        </w:rPr>
        <w:t> </w:t>
      </w:r>
      <w:r>
        <w:rPr/>
        <w:t>are</w:t>
      </w:r>
      <w:r>
        <w:rPr>
          <w:spacing w:val="-8"/>
        </w:rPr>
        <w:t> </w:t>
      </w:r>
      <w:r>
        <w:rPr/>
        <w:t>as</w:t>
      </w:r>
      <w:r>
        <w:rPr>
          <w:spacing w:val="-7"/>
        </w:rPr>
        <w:t> </w:t>
      </w:r>
      <w:r>
        <w:rPr>
          <w:spacing w:val="-2"/>
        </w:rPr>
        <w:t>follows:</w:t>
      </w:r>
    </w:p>
    <w:p>
      <w:pPr>
        <w:pStyle w:val="BodyText"/>
        <w:spacing w:line="259" w:lineRule="auto" w:before="139"/>
        <w:ind w:left="1199" w:right="162"/>
      </w:pPr>
      <w:r>
        <w:rPr/>
        <w:drawing>
          <wp:anchor distT="0" distB="0" distL="0" distR="0" allowOverlap="1" layoutInCell="1" locked="0" behindDoc="0" simplePos="0" relativeHeight="15730176">
            <wp:simplePos x="0" y="0"/>
            <wp:positionH relativeFrom="page">
              <wp:posOffset>967097</wp:posOffset>
            </wp:positionH>
            <wp:positionV relativeFrom="paragraph">
              <wp:posOffset>411401</wp:posOffset>
            </wp:positionV>
            <wp:extent cx="290439" cy="272439"/>
            <wp:effectExtent l="0" t="0" r="0" b="0"/>
            <wp:wrapNone/>
            <wp:docPr id="3" name="image2.png"/>
            <wp:cNvGraphicFramePr>
              <a:graphicFrameLocks noChangeAspect="1"/>
            </wp:cNvGraphicFramePr>
            <a:graphic>
              <a:graphicData uri="http://schemas.openxmlformats.org/drawingml/2006/picture">
                <pic:pic>
                  <pic:nvPicPr>
                    <pic:cNvPr id="4" name="image2.png"/>
                    <pic:cNvPicPr/>
                  </pic:nvPicPr>
                  <pic:blipFill>
                    <a:blip r:embed="rId8" cstate="print"/>
                    <a:stretch>
                      <a:fillRect/>
                    </a:stretch>
                  </pic:blipFill>
                  <pic:spPr>
                    <a:xfrm>
                      <a:off x="0" y="0"/>
                      <a:ext cx="290439" cy="272439"/>
                    </a:xfrm>
                    <a:prstGeom prst="rect">
                      <a:avLst/>
                    </a:prstGeom>
                  </pic:spPr>
                </pic:pic>
              </a:graphicData>
            </a:graphic>
          </wp:anchor>
        </w:drawing>
      </w:r>
      <w:r>
        <w:rPr>
          <w:color w:val="055893"/>
        </w:rPr>
        <w:t>Community Engagement </w:t>
      </w:r>
      <w:r>
        <w:rPr/>
        <w:t>– OPGS serves the community, is inspired by the community, is guided</w:t>
      </w:r>
      <w:r>
        <w:rPr>
          <w:spacing w:val="-3"/>
        </w:rPr>
        <w:t> </w:t>
      </w:r>
      <w:r>
        <w:rPr/>
        <w:t>by</w:t>
      </w:r>
      <w:r>
        <w:rPr>
          <w:spacing w:val="-3"/>
        </w:rPr>
        <w:t> </w:t>
      </w:r>
      <w:r>
        <w:rPr/>
        <w:t>the</w:t>
      </w:r>
      <w:r>
        <w:rPr>
          <w:spacing w:val="-4"/>
        </w:rPr>
        <w:t> </w:t>
      </w:r>
      <w:r>
        <w:rPr/>
        <w:t>needs</w:t>
      </w:r>
      <w:r>
        <w:rPr>
          <w:spacing w:val="-3"/>
        </w:rPr>
        <w:t> </w:t>
      </w:r>
      <w:r>
        <w:rPr/>
        <w:t>and</w:t>
      </w:r>
      <w:r>
        <w:rPr>
          <w:spacing w:val="-2"/>
        </w:rPr>
        <w:t> </w:t>
      </w:r>
      <w:r>
        <w:rPr/>
        <w:t>insights</w:t>
      </w:r>
      <w:r>
        <w:rPr>
          <w:spacing w:val="-3"/>
        </w:rPr>
        <w:t> </w:t>
      </w:r>
      <w:r>
        <w:rPr/>
        <w:t>of</w:t>
      </w:r>
      <w:r>
        <w:rPr>
          <w:spacing w:val="-3"/>
        </w:rPr>
        <w:t> </w:t>
      </w:r>
      <w:r>
        <w:rPr/>
        <w:t>the</w:t>
      </w:r>
      <w:r>
        <w:rPr>
          <w:spacing w:val="-4"/>
        </w:rPr>
        <w:t> </w:t>
      </w:r>
      <w:r>
        <w:rPr/>
        <w:t>community,</w:t>
      </w:r>
      <w:r>
        <w:rPr>
          <w:spacing w:val="-3"/>
        </w:rPr>
        <w:t> </w:t>
      </w:r>
      <w:r>
        <w:rPr/>
        <w:t>and</w:t>
      </w:r>
      <w:r>
        <w:rPr>
          <w:spacing w:val="-3"/>
        </w:rPr>
        <w:t> </w:t>
      </w:r>
      <w:r>
        <w:rPr/>
        <w:t>empowers</w:t>
      </w:r>
      <w:r>
        <w:rPr>
          <w:spacing w:val="-3"/>
        </w:rPr>
        <w:t> </w:t>
      </w:r>
      <w:r>
        <w:rPr/>
        <w:t>the</w:t>
      </w:r>
      <w:r>
        <w:rPr>
          <w:spacing w:val="-4"/>
        </w:rPr>
        <w:t> </w:t>
      </w:r>
      <w:r>
        <w:rPr/>
        <w:t>community,</w:t>
      </w:r>
      <w:r>
        <w:rPr>
          <w:spacing w:val="-3"/>
        </w:rPr>
        <w:t> </w:t>
      </w:r>
      <w:r>
        <w:rPr/>
        <w:t>including individuals and groups passionate about addressing problem gambling and associated health concerns, at risk for problem gambling, or struggling with problem gambling and its ill </w:t>
      </w:r>
      <w:r>
        <w:rPr>
          <w:spacing w:val="-2"/>
        </w:rPr>
        <w:t>effects.</w:t>
      </w:r>
    </w:p>
    <w:p>
      <w:pPr>
        <w:pStyle w:val="BodyText"/>
        <w:spacing w:before="1"/>
        <w:rPr>
          <w:sz w:val="21"/>
        </w:rPr>
      </w:pPr>
    </w:p>
    <w:p>
      <w:pPr>
        <w:pStyle w:val="BodyText"/>
        <w:spacing w:line="259" w:lineRule="auto"/>
        <w:ind w:left="1200" w:right="190"/>
      </w:pPr>
      <w:r>
        <w:rPr/>
        <w:drawing>
          <wp:anchor distT="0" distB="0" distL="0" distR="0" allowOverlap="1" layoutInCell="1" locked="0" behindDoc="0" simplePos="0" relativeHeight="15729664">
            <wp:simplePos x="0" y="0"/>
            <wp:positionH relativeFrom="page">
              <wp:posOffset>973962</wp:posOffset>
            </wp:positionH>
            <wp:positionV relativeFrom="paragraph">
              <wp:posOffset>89304</wp:posOffset>
            </wp:positionV>
            <wp:extent cx="268009" cy="273044"/>
            <wp:effectExtent l="0" t="0" r="0" b="0"/>
            <wp:wrapNone/>
            <wp:docPr id="5" name="image3.png"/>
            <wp:cNvGraphicFramePr>
              <a:graphicFrameLocks noChangeAspect="1"/>
            </wp:cNvGraphicFramePr>
            <a:graphic>
              <a:graphicData uri="http://schemas.openxmlformats.org/drawingml/2006/picture">
                <pic:pic>
                  <pic:nvPicPr>
                    <pic:cNvPr id="6" name="image3.png"/>
                    <pic:cNvPicPr/>
                  </pic:nvPicPr>
                  <pic:blipFill>
                    <a:blip r:embed="rId9" cstate="print"/>
                    <a:stretch>
                      <a:fillRect/>
                    </a:stretch>
                  </pic:blipFill>
                  <pic:spPr>
                    <a:xfrm>
                      <a:off x="0" y="0"/>
                      <a:ext cx="268009" cy="273044"/>
                    </a:xfrm>
                    <a:prstGeom prst="rect">
                      <a:avLst/>
                    </a:prstGeom>
                  </pic:spPr>
                </pic:pic>
              </a:graphicData>
            </a:graphic>
          </wp:anchor>
        </w:drawing>
      </w:r>
      <w:r>
        <w:rPr>
          <w:color w:val="055893"/>
        </w:rPr>
        <w:t>Public Trust </w:t>
      </w:r>
      <w:r>
        <w:rPr/>
        <w:t>– As part of a publicly funded state agency, OPGS has a responsibility to the people</w:t>
      </w:r>
      <w:r>
        <w:rPr>
          <w:spacing w:val="-4"/>
        </w:rPr>
        <w:t> </w:t>
      </w:r>
      <w:r>
        <w:rPr/>
        <w:t>of</w:t>
      </w:r>
      <w:r>
        <w:rPr>
          <w:spacing w:val="-3"/>
        </w:rPr>
        <w:t> </w:t>
      </w:r>
      <w:r>
        <w:rPr/>
        <w:t>Massachusetts</w:t>
      </w:r>
      <w:r>
        <w:rPr>
          <w:spacing w:val="-3"/>
        </w:rPr>
        <w:t> </w:t>
      </w:r>
      <w:r>
        <w:rPr/>
        <w:t>to</w:t>
      </w:r>
      <w:r>
        <w:rPr>
          <w:spacing w:val="-3"/>
        </w:rPr>
        <w:t> </w:t>
      </w:r>
      <w:r>
        <w:rPr/>
        <w:t>ensure</w:t>
      </w:r>
      <w:r>
        <w:rPr>
          <w:spacing w:val="-3"/>
        </w:rPr>
        <w:t> </w:t>
      </w:r>
      <w:r>
        <w:rPr/>
        <w:t>that</w:t>
      </w:r>
      <w:r>
        <w:rPr>
          <w:spacing w:val="-4"/>
        </w:rPr>
        <w:t> </w:t>
      </w:r>
      <w:r>
        <w:rPr/>
        <w:t>all</w:t>
      </w:r>
      <w:r>
        <w:rPr>
          <w:spacing w:val="-3"/>
        </w:rPr>
        <w:t> </w:t>
      </w:r>
      <w:r>
        <w:rPr/>
        <w:t>of</w:t>
      </w:r>
      <w:r>
        <w:rPr>
          <w:spacing w:val="-3"/>
        </w:rPr>
        <w:t> </w:t>
      </w:r>
      <w:r>
        <w:rPr/>
        <w:t>its</w:t>
      </w:r>
      <w:r>
        <w:rPr>
          <w:spacing w:val="-3"/>
        </w:rPr>
        <w:t> </w:t>
      </w:r>
      <w:r>
        <w:rPr/>
        <w:t>operations</w:t>
      </w:r>
      <w:r>
        <w:rPr>
          <w:spacing w:val="-3"/>
        </w:rPr>
        <w:t> </w:t>
      </w:r>
      <w:r>
        <w:rPr/>
        <w:t>and</w:t>
      </w:r>
      <w:r>
        <w:rPr>
          <w:spacing w:val="-3"/>
        </w:rPr>
        <w:t> </w:t>
      </w:r>
      <w:r>
        <w:rPr/>
        <w:t>programs</w:t>
      </w:r>
      <w:r>
        <w:rPr>
          <w:spacing w:val="-3"/>
        </w:rPr>
        <w:t> </w:t>
      </w:r>
      <w:r>
        <w:rPr/>
        <w:t>are</w:t>
      </w:r>
      <w:r>
        <w:rPr>
          <w:spacing w:val="-4"/>
        </w:rPr>
        <w:t> </w:t>
      </w:r>
      <w:r>
        <w:rPr/>
        <w:t>administered with integrity and strong internal controls.</w:t>
      </w:r>
    </w:p>
    <w:p>
      <w:pPr>
        <w:pStyle w:val="BodyText"/>
        <w:spacing w:before="2"/>
        <w:rPr>
          <w:sz w:val="21"/>
        </w:rPr>
      </w:pPr>
    </w:p>
    <w:p>
      <w:pPr>
        <w:pStyle w:val="BodyText"/>
        <w:spacing w:line="259" w:lineRule="auto"/>
        <w:ind w:left="1199" w:right="61"/>
      </w:pPr>
      <w:r>
        <w:rPr>
          <w:color w:val="055893"/>
        </w:rPr>
        <w:t>Racial Equity </w:t>
      </w:r>
      <w:r>
        <w:rPr/>
        <w:t>– OPGS adheres to the definition of racial equity put forth by the Center for Social</w:t>
      </w:r>
      <w:r>
        <w:rPr>
          <w:spacing w:val="-3"/>
        </w:rPr>
        <w:t> </w:t>
      </w:r>
      <w:r>
        <w:rPr/>
        <w:t>Inclusion</w:t>
      </w:r>
      <w:r>
        <w:rPr>
          <w:spacing w:val="-4"/>
        </w:rPr>
        <w:t> </w:t>
      </w:r>
      <w:r>
        <w:rPr/>
        <w:t>as</w:t>
      </w:r>
      <w:r>
        <w:rPr>
          <w:spacing w:val="-3"/>
        </w:rPr>
        <w:t> </w:t>
      </w:r>
      <w:r>
        <w:rPr/>
        <w:t>“both</w:t>
      </w:r>
      <w:r>
        <w:rPr>
          <w:spacing w:val="-2"/>
        </w:rPr>
        <w:t> </w:t>
      </w:r>
      <w:r>
        <w:rPr/>
        <w:t>an</w:t>
      </w:r>
      <w:r>
        <w:rPr>
          <w:spacing w:val="-4"/>
        </w:rPr>
        <w:t> </w:t>
      </w:r>
      <w:r>
        <w:rPr/>
        <w:t>outcome</w:t>
      </w:r>
      <w:r>
        <w:rPr>
          <w:spacing w:val="-2"/>
        </w:rPr>
        <w:t> </w:t>
      </w:r>
      <w:r>
        <w:rPr/>
        <w:t>and</w:t>
      </w:r>
      <w:r>
        <w:rPr>
          <w:spacing w:val="-3"/>
        </w:rPr>
        <w:t> </w:t>
      </w:r>
      <w:r>
        <w:rPr/>
        <w:t>a</w:t>
      </w:r>
      <w:r>
        <w:rPr>
          <w:spacing w:val="-3"/>
        </w:rPr>
        <w:t> </w:t>
      </w:r>
      <w:r>
        <w:rPr/>
        <w:t>process.</w:t>
      </w:r>
      <w:r>
        <w:rPr>
          <w:spacing w:val="-3"/>
        </w:rPr>
        <w:t> </w:t>
      </w:r>
      <w:r>
        <w:rPr/>
        <w:t>As</w:t>
      </w:r>
      <w:r>
        <w:rPr>
          <w:spacing w:val="-3"/>
        </w:rPr>
        <w:t> </w:t>
      </w:r>
      <w:r>
        <w:rPr/>
        <w:t>an</w:t>
      </w:r>
      <w:r>
        <w:rPr>
          <w:spacing w:val="-4"/>
        </w:rPr>
        <w:t> </w:t>
      </w:r>
      <w:r>
        <w:rPr/>
        <w:t>outcome,</w:t>
      </w:r>
      <w:r>
        <w:rPr>
          <w:spacing w:val="-3"/>
        </w:rPr>
        <w:t> </w:t>
      </w:r>
      <w:r>
        <w:rPr/>
        <w:t>we</w:t>
      </w:r>
      <w:r>
        <w:rPr>
          <w:spacing w:val="-4"/>
        </w:rPr>
        <w:t> </w:t>
      </w:r>
      <w:r>
        <w:rPr/>
        <w:t>achieve</w:t>
      </w:r>
      <w:r>
        <w:rPr>
          <w:spacing w:val="-1"/>
        </w:rPr>
        <w:t> </w:t>
      </w:r>
      <w:r>
        <w:rPr/>
        <w:t>racial</w:t>
      </w:r>
      <w:r>
        <w:rPr>
          <w:spacing w:val="-3"/>
        </w:rPr>
        <w:t> </w:t>
      </w:r>
      <w:r>
        <w:rPr/>
        <w:t>equity</w:t>
      </w:r>
    </w:p>
    <w:p>
      <w:pPr>
        <w:pStyle w:val="BodyText"/>
        <w:spacing w:line="299" w:lineRule="exact"/>
        <w:ind w:left="559"/>
      </w:pPr>
      <w:r>
        <w:rPr>
          <w:position w:val="-12"/>
        </w:rPr>
        <w:drawing>
          <wp:inline distT="0" distB="0" distL="0" distR="0">
            <wp:extent cx="267097" cy="266555"/>
            <wp:effectExtent l="0" t="0" r="0" b="0"/>
            <wp:docPr id="7" name="image4.png"/>
            <wp:cNvGraphicFramePr>
              <a:graphicFrameLocks noChangeAspect="1"/>
            </wp:cNvGraphicFramePr>
            <a:graphic>
              <a:graphicData uri="http://schemas.openxmlformats.org/drawingml/2006/picture">
                <pic:pic>
                  <pic:nvPicPr>
                    <pic:cNvPr id="8" name="image4.png"/>
                    <pic:cNvPicPr/>
                  </pic:nvPicPr>
                  <pic:blipFill>
                    <a:blip r:embed="rId10" cstate="print"/>
                    <a:stretch>
                      <a:fillRect/>
                    </a:stretch>
                  </pic:blipFill>
                  <pic:spPr>
                    <a:xfrm>
                      <a:off x="0" y="0"/>
                      <a:ext cx="267097" cy="266555"/>
                    </a:xfrm>
                    <a:prstGeom prst="rect">
                      <a:avLst/>
                    </a:prstGeom>
                  </pic:spPr>
                </pic:pic>
              </a:graphicData>
            </a:graphic>
          </wp:inline>
        </w:drawing>
      </w:r>
      <w:r>
        <w:rPr>
          <w:position w:val="-12"/>
        </w:rPr>
      </w:r>
      <w:r>
        <w:rPr>
          <w:rFonts w:ascii="Times New Roman" w:hAnsi="Times New Roman"/>
          <w:spacing w:val="40"/>
          <w:sz w:val="20"/>
        </w:rPr>
        <w:t>  </w:t>
      </w:r>
      <w:r>
        <w:rPr/>
        <w:t>when race no longer determines one’s socioeconomic outcomes; when everyone has what</w:t>
      </w:r>
    </w:p>
    <w:p>
      <w:pPr>
        <w:pStyle w:val="BodyText"/>
        <w:spacing w:line="219" w:lineRule="exact"/>
        <w:ind w:left="1199"/>
      </w:pPr>
      <w:r>
        <w:rPr/>
        <w:t>they</w:t>
      </w:r>
      <w:r>
        <w:rPr>
          <w:spacing w:val="-6"/>
        </w:rPr>
        <w:t> </w:t>
      </w:r>
      <w:r>
        <w:rPr/>
        <w:t>need</w:t>
      </w:r>
      <w:r>
        <w:rPr>
          <w:spacing w:val="-6"/>
        </w:rPr>
        <w:t> </w:t>
      </w:r>
      <w:r>
        <w:rPr/>
        <w:t>to</w:t>
      </w:r>
      <w:r>
        <w:rPr>
          <w:spacing w:val="-5"/>
        </w:rPr>
        <w:t> </w:t>
      </w:r>
      <w:r>
        <w:rPr/>
        <w:t>thrive,</w:t>
      </w:r>
      <w:r>
        <w:rPr>
          <w:spacing w:val="-6"/>
        </w:rPr>
        <w:t> </w:t>
      </w:r>
      <w:r>
        <w:rPr/>
        <w:t>no</w:t>
      </w:r>
      <w:r>
        <w:rPr>
          <w:spacing w:val="-6"/>
        </w:rPr>
        <w:t> </w:t>
      </w:r>
      <w:r>
        <w:rPr/>
        <w:t>matter</w:t>
      </w:r>
      <w:r>
        <w:rPr>
          <w:spacing w:val="-7"/>
        </w:rPr>
        <w:t> </w:t>
      </w:r>
      <w:r>
        <w:rPr/>
        <w:t>where</w:t>
      </w:r>
      <w:r>
        <w:rPr>
          <w:spacing w:val="-5"/>
        </w:rPr>
        <w:t> </w:t>
      </w:r>
      <w:r>
        <w:rPr/>
        <w:t>they</w:t>
      </w:r>
      <w:r>
        <w:rPr>
          <w:spacing w:val="-6"/>
        </w:rPr>
        <w:t> </w:t>
      </w:r>
      <w:r>
        <w:rPr>
          <w:spacing w:val="-2"/>
        </w:rPr>
        <w:t>live.”</w:t>
      </w:r>
    </w:p>
    <w:p>
      <w:pPr>
        <w:pStyle w:val="BodyText"/>
        <w:spacing w:before="9"/>
      </w:pPr>
    </w:p>
    <w:p>
      <w:pPr>
        <w:pStyle w:val="BodyText"/>
        <w:spacing w:line="259" w:lineRule="auto" w:before="1"/>
        <w:ind w:left="1199" w:right="164"/>
      </w:pPr>
      <w:r>
        <w:rPr/>
        <w:drawing>
          <wp:anchor distT="0" distB="0" distL="0" distR="0" allowOverlap="1" layoutInCell="1" locked="0" behindDoc="0" simplePos="0" relativeHeight="15730688">
            <wp:simplePos x="0" y="0"/>
            <wp:positionH relativeFrom="page">
              <wp:posOffset>965820</wp:posOffset>
            </wp:positionH>
            <wp:positionV relativeFrom="paragraph">
              <wp:posOffset>261658</wp:posOffset>
            </wp:positionV>
            <wp:extent cx="267560" cy="272712"/>
            <wp:effectExtent l="0" t="0" r="0" b="0"/>
            <wp:wrapNone/>
            <wp:docPr id="9" name="image5.png"/>
            <wp:cNvGraphicFramePr>
              <a:graphicFrameLocks noChangeAspect="1"/>
            </wp:cNvGraphicFramePr>
            <a:graphic>
              <a:graphicData uri="http://schemas.openxmlformats.org/drawingml/2006/picture">
                <pic:pic>
                  <pic:nvPicPr>
                    <pic:cNvPr id="10" name="image5.png"/>
                    <pic:cNvPicPr/>
                  </pic:nvPicPr>
                  <pic:blipFill>
                    <a:blip r:embed="rId11" cstate="print"/>
                    <a:stretch>
                      <a:fillRect/>
                    </a:stretch>
                  </pic:blipFill>
                  <pic:spPr>
                    <a:xfrm>
                      <a:off x="0" y="0"/>
                      <a:ext cx="267560" cy="272712"/>
                    </a:xfrm>
                    <a:prstGeom prst="rect">
                      <a:avLst/>
                    </a:prstGeom>
                  </pic:spPr>
                </pic:pic>
              </a:graphicData>
            </a:graphic>
          </wp:anchor>
        </w:drawing>
      </w:r>
      <w:r>
        <w:rPr>
          <w:color w:val="055893"/>
        </w:rPr>
        <w:t>Partnership </w:t>
      </w:r>
      <w:r>
        <w:rPr/>
        <w:t>– OPGS actively seeks to connect with others who share the Office’s vision and principles while bringing complementary knowledge, skills, and resources. The Office works with</w:t>
      </w:r>
      <w:r>
        <w:rPr>
          <w:spacing w:val="-3"/>
        </w:rPr>
        <w:t> </w:t>
      </w:r>
      <w:r>
        <w:rPr/>
        <w:t>an</w:t>
      </w:r>
      <w:r>
        <w:rPr>
          <w:spacing w:val="-4"/>
        </w:rPr>
        <w:t> </w:t>
      </w:r>
      <w:r>
        <w:rPr/>
        <w:t>array</w:t>
      </w:r>
      <w:r>
        <w:rPr>
          <w:spacing w:val="-2"/>
        </w:rPr>
        <w:t> </w:t>
      </w:r>
      <w:r>
        <w:rPr/>
        <w:t>of</w:t>
      </w:r>
      <w:r>
        <w:rPr>
          <w:spacing w:val="-3"/>
        </w:rPr>
        <w:t> </w:t>
      </w:r>
      <w:r>
        <w:rPr/>
        <w:t>public</w:t>
      </w:r>
      <w:r>
        <w:rPr>
          <w:spacing w:val="-4"/>
        </w:rPr>
        <w:t> </w:t>
      </w:r>
      <w:r>
        <w:rPr/>
        <w:t>and</w:t>
      </w:r>
      <w:r>
        <w:rPr>
          <w:spacing w:val="-3"/>
        </w:rPr>
        <w:t> </w:t>
      </w:r>
      <w:r>
        <w:rPr/>
        <w:t>private</w:t>
      </w:r>
      <w:r>
        <w:rPr>
          <w:spacing w:val="-4"/>
        </w:rPr>
        <w:t> </w:t>
      </w:r>
      <w:r>
        <w:rPr/>
        <w:t>partners</w:t>
      </w:r>
      <w:r>
        <w:rPr>
          <w:spacing w:val="-3"/>
        </w:rPr>
        <w:t> </w:t>
      </w:r>
      <w:r>
        <w:rPr/>
        <w:t>on</w:t>
      </w:r>
      <w:r>
        <w:rPr>
          <w:spacing w:val="-4"/>
        </w:rPr>
        <w:t> </w:t>
      </w:r>
      <w:r>
        <w:rPr/>
        <w:t>a</w:t>
      </w:r>
      <w:r>
        <w:rPr>
          <w:spacing w:val="-3"/>
        </w:rPr>
        <w:t> </w:t>
      </w:r>
      <w:r>
        <w:rPr/>
        <w:t>joint,</w:t>
      </w:r>
      <w:r>
        <w:rPr>
          <w:spacing w:val="-3"/>
        </w:rPr>
        <w:t> </w:t>
      </w:r>
      <w:r>
        <w:rPr/>
        <w:t>comprehensive,</w:t>
      </w:r>
      <w:r>
        <w:rPr>
          <w:spacing w:val="-3"/>
        </w:rPr>
        <w:t> </w:t>
      </w:r>
      <w:r>
        <w:rPr/>
        <w:t>and</w:t>
      </w:r>
      <w:r>
        <w:rPr>
          <w:spacing w:val="-3"/>
        </w:rPr>
        <w:t> </w:t>
      </w:r>
      <w:r>
        <w:rPr/>
        <w:t>integrated</w:t>
      </w:r>
      <w:r>
        <w:rPr>
          <w:spacing w:val="-3"/>
        </w:rPr>
        <w:t> </w:t>
      </w:r>
      <w:r>
        <w:rPr/>
        <w:t>public health response to problem gambling and associated health concerns.</w:t>
      </w:r>
    </w:p>
    <w:p>
      <w:pPr>
        <w:pStyle w:val="BodyText"/>
        <w:rPr>
          <w:sz w:val="24"/>
        </w:rPr>
      </w:pPr>
    </w:p>
    <w:p>
      <w:pPr>
        <w:pStyle w:val="BodyText"/>
        <w:spacing w:before="4"/>
        <w:rPr>
          <w:sz w:val="21"/>
        </w:rPr>
      </w:pPr>
    </w:p>
    <w:p>
      <w:pPr>
        <w:pStyle w:val="Heading2"/>
        <w:spacing w:before="0"/>
        <w:rPr>
          <w:i/>
        </w:rPr>
      </w:pPr>
      <w:bookmarkStart w:name="Strategic Vision for Public Health" w:id="18"/>
      <w:bookmarkEnd w:id="18"/>
      <w:r>
        <w:rPr>
          <w:i w:val="0"/>
        </w:rPr>
      </w:r>
      <w:bookmarkStart w:name="_bookmark9" w:id="19"/>
      <w:bookmarkEnd w:id="19"/>
      <w:r>
        <w:rPr>
          <w:i w:val="0"/>
        </w:rPr>
      </w:r>
      <w:r>
        <w:rPr>
          <w:i/>
          <w:color w:val="072858"/>
        </w:rPr>
        <w:t>Strategic</w:t>
      </w:r>
      <w:r>
        <w:rPr>
          <w:i/>
          <w:color w:val="072858"/>
          <w:spacing w:val="-6"/>
        </w:rPr>
        <w:t> </w:t>
      </w:r>
      <w:r>
        <w:rPr>
          <w:i/>
          <w:color w:val="072858"/>
        </w:rPr>
        <w:t>Vision</w:t>
      </w:r>
      <w:r>
        <w:rPr>
          <w:i/>
          <w:color w:val="072858"/>
          <w:spacing w:val="-5"/>
        </w:rPr>
        <w:t> </w:t>
      </w:r>
      <w:r>
        <w:rPr>
          <w:i/>
          <w:color w:val="072858"/>
        </w:rPr>
        <w:t>for</w:t>
      </w:r>
      <w:r>
        <w:rPr>
          <w:i/>
          <w:color w:val="072858"/>
          <w:spacing w:val="-5"/>
        </w:rPr>
        <w:t> </w:t>
      </w:r>
      <w:r>
        <w:rPr>
          <w:i/>
          <w:color w:val="072858"/>
        </w:rPr>
        <w:t>Public</w:t>
      </w:r>
      <w:r>
        <w:rPr>
          <w:i/>
          <w:color w:val="072858"/>
          <w:spacing w:val="-5"/>
        </w:rPr>
        <w:t> </w:t>
      </w:r>
      <w:r>
        <w:rPr>
          <w:i/>
          <w:color w:val="072858"/>
          <w:spacing w:val="-2"/>
        </w:rPr>
        <w:t>Health</w:t>
      </w:r>
    </w:p>
    <w:p>
      <w:pPr>
        <w:pStyle w:val="BodyText"/>
        <w:spacing w:line="259" w:lineRule="auto" w:before="118"/>
        <w:ind w:left="479" w:right="190"/>
      </w:pPr>
      <w:r>
        <w:rPr/>
        <w:t>The mission of DPH is to prevent illness, injury, and premature death, to assure access to high quality public health and health care services, and to promote wellness and health equity for all people</w:t>
      </w:r>
      <w:r>
        <w:rPr>
          <w:spacing w:val="-5"/>
        </w:rPr>
        <w:t> </w:t>
      </w:r>
      <w:r>
        <w:rPr/>
        <w:t>in</w:t>
      </w:r>
      <w:r>
        <w:rPr>
          <w:spacing w:val="-3"/>
        </w:rPr>
        <w:t> </w:t>
      </w:r>
      <w:r>
        <w:rPr/>
        <w:t>the</w:t>
      </w:r>
      <w:r>
        <w:rPr>
          <w:spacing w:val="-3"/>
        </w:rPr>
        <w:t> </w:t>
      </w:r>
      <w:r>
        <w:rPr/>
        <w:t>Commonwealth.</w:t>
      </w:r>
      <w:r>
        <w:rPr>
          <w:spacing w:val="-4"/>
        </w:rPr>
        <w:t> </w:t>
      </w:r>
      <w:r>
        <w:rPr/>
        <w:t>DPH</w:t>
      </w:r>
      <w:r>
        <w:rPr>
          <w:spacing w:val="-4"/>
        </w:rPr>
        <w:t> </w:t>
      </w:r>
      <w:r>
        <w:rPr/>
        <w:t>envisions</w:t>
      </w:r>
      <w:r>
        <w:rPr>
          <w:spacing w:val="-4"/>
        </w:rPr>
        <w:t> </w:t>
      </w:r>
      <w:r>
        <w:rPr/>
        <w:t>a</w:t>
      </w:r>
      <w:r>
        <w:rPr>
          <w:spacing w:val="-4"/>
        </w:rPr>
        <w:t> </w:t>
      </w:r>
      <w:r>
        <w:rPr/>
        <w:t>Commonwealth</w:t>
      </w:r>
      <w:r>
        <w:rPr>
          <w:spacing w:val="-3"/>
        </w:rPr>
        <w:t> </w:t>
      </w:r>
      <w:r>
        <w:rPr/>
        <w:t>in</w:t>
      </w:r>
      <w:r>
        <w:rPr>
          <w:spacing w:val="-5"/>
        </w:rPr>
        <w:t> </w:t>
      </w:r>
      <w:r>
        <w:rPr/>
        <w:t>which</w:t>
      </w:r>
      <w:r>
        <w:rPr>
          <w:spacing w:val="-4"/>
        </w:rPr>
        <w:t> </w:t>
      </w:r>
      <w:r>
        <w:rPr/>
        <w:t>all</w:t>
      </w:r>
      <w:r>
        <w:rPr>
          <w:spacing w:val="-4"/>
        </w:rPr>
        <w:t> </w:t>
      </w:r>
      <w:r>
        <w:rPr/>
        <w:t>people</w:t>
      </w:r>
      <w:r>
        <w:rPr>
          <w:spacing w:val="-5"/>
        </w:rPr>
        <w:t> </w:t>
      </w:r>
      <w:r>
        <w:rPr/>
        <w:t>enjoy</w:t>
      </w:r>
      <w:r>
        <w:rPr>
          <w:spacing w:val="-3"/>
        </w:rPr>
        <w:t> </w:t>
      </w:r>
      <w:r>
        <w:rPr/>
        <w:t>optimal</w:t>
      </w:r>
    </w:p>
    <w:p>
      <w:pPr>
        <w:spacing w:after="0" w:line="259" w:lineRule="auto"/>
        <w:sectPr>
          <w:pgSz w:w="12240" w:h="15840"/>
          <w:pgMar w:header="438" w:footer="444" w:top="1320" w:bottom="640" w:left="960" w:right="1320"/>
        </w:sectPr>
      </w:pPr>
    </w:p>
    <w:p>
      <w:pPr>
        <w:pStyle w:val="BodyText"/>
        <w:spacing w:line="259" w:lineRule="auto" w:before="102"/>
        <w:ind w:left="479" w:right="190"/>
      </w:pPr>
      <w:r>
        <w:rPr/>
        <w:t>health.</w:t>
      </w:r>
      <w:r>
        <w:rPr>
          <w:spacing w:val="-4"/>
        </w:rPr>
        <w:t> </w:t>
      </w:r>
      <w:r>
        <w:rPr/>
        <w:t>Massachusetts</w:t>
      </w:r>
      <w:r>
        <w:rPr>
          <w:spacing w:val="-4"/>
        </w:rPr>
        <w:t> </w:t>
      </w:r>
      <w:r>
        <w:rPr/>
        <w:t>ranks</w:t>
      </w:r>
      <w:r>
        <w:rPr>
          <w:spacing w:val="-4"/>
        </w:rPr>
        <w:t> </w:t>
      </w:r>
      <w:r>
        <w:rPr/>
        <w:t>among</w:t>
      </w:r>
      <w:r>
        <w:rPr>
          <w:spacing w:val="-4"/>
        </w:rPr>
        <w:t> </w:t>
      </w:r>
      <w:r>
        <w:rPr/>
        <w:t>the</w:t>
      </w:r>
      <w:r>
        <w:rPr>
          <w:spacing w:val="-5"/>
        </w:rPr>
        <w:t> </w:t>
      </w:r>
      <w:r>
        <w:rPr/>
        <w:t>healthiest</w:t>
      </w:r>
      <w:r>
        <w:rPr>
          <w:spacing w:val="-4"/>
        </w:rPr>
        <w:t> </w:t>
      </w:r>
      <w:r>
        <w:rPr/>
        <w:t>of</w:t>
      </w:r>
      <w:r>
        <w:rPr>
          <w:spacing w:val="-4"/>
        </w:rPr>
        <w:t> </w:t>
      </w:r>
      <w:r>
        <w:rPr/>
        <w:t>states</w:t>
      </w:r>
      <w:r>
        <w:rPr>
          <w:spacing w:val="-4"/>
        </w:rPr>
        <w:t> </w:t>
      </w:r>
      <w:r>
        <w:rPr/>
        <w:t>according</w:t>
      </w:r>
      <w:r>
        <w:rPr>
          <w:spacing w:val="-3"/>
        </w:rPr>
        <w:t> </w:t>
      </w:r>
      <w:r>
        <w:rPr/>
        <w:t>to</w:t>
      </w:r>
      <w:r>
        <w:rPr>
          <w:spacing w:val="-4"/>
        </w:rPr>
        <w:t> </w:t>
      </w:r>
      <w:r>
        <w:rPr/>
        <w:t>comparative</w:t>
      </w:r>
      <w:r>
        <w:rPr>
          <w:spacing w:val="-5"/>
        </w:rPr>
        <w:t> </w:t>
      </w:r>
      <w:r>
        <w:rPr/>
        <w:t>analyses,</w:t>
      </w:r>
      <w:r>
        <w:rPr>
          <w:spacing w:val="-4"/>
        </w:rPr>
        <w:t> </w:t>
      </w:r>
      <w:r>
        <w:rPr/>
        <w:t>but also faces numerous challenges, including chronic and infectious disease, substance misuse, violence, preventable hospitalizations, and health disparities.</w:t>
      </w:r>
    </w:p>
    <w:p>
      <w:pPr>
        <w:pStyle w:val="BodyText"/>
        <w:spacing w:line="259" w:lineRule="auto" w:before="120"/>
        <w:ind w:left="479" w:right="164"/>
      </w:pPr>
      <w:r>
        <w:rPr/>
        <w:t>DPH recognizes the deep and insidious intersectionality between barriers to optimal health and structural</w:t>
      </w:r>
      <w:r>
        <w:rPr>
          <w:spacing w:val="-4"/>
        </w:rPr>
        <w:t> </w:t>
      </w:r>
      <w:r>
        <w:rPr/>
        <w:t>disparities</w:t>
      </w:r>
      <w:r>
        <w:rPr>
          <w:spacing w:val="-4"/>
        </w:rPr>
        <w:t> </w:t>
      </w:r>
      <w:r>
        <w:rPr/>
        <w:t>faced</w:t>
      </w:r>
      <w:r>
        <w:rPr>
          <w:spacing w:val="-4"/>
        </w:rPr>
        <w:t> </w:t>
      </w:r>
      <w:r>
        <w:rPr/>
        <w:t>by</w:t>
      </w:r>
      <w:r>
        <w:rPr>
          <w:spacing w:val="-4"/>
        </w:rPr>
        <w:t> </w:t>
      </w:r>
      <w:r>
        <w:rPr/>
        <w:t>historically</w:t>
      </w:r>
      <w:r>
        <w:rPr>
          <w:spacing w:val="-4"/>
        </w:rPr>
        <w:t> </w:t>
      </w:r>
      <w:r>
        <w:rPr/>
        <w:t>marginalized</w:t>
      </w:r>
      <w:r>
        <w:rPr>
          <w:spacing w:val="-4"/>
        </w:rPr>
        <w:t> </w:t>
      </w:r>
      <w:r>
        <w:rPr/>
        <w:t>communities.</w:t>
      </w:r>
      <w:r>
        <w:rPr>
          <w:spacing w:val="-4"/>
        </w:rPr>
        <w:t> </w:t>
      </w:r>
      <w:r>
        <w:rPr/>
        <w:t>DPH staff</w:t>
      </w:r>
      <w:r>
        <w:rPr>
          <w:spacing w:val="-4"/>
        </w:rPr>
        <w:t> </w:t>
      </w:r>
      <w:r>
        <w:rPr/>
        <w:t>—</w:t>
      </w:r>
      <w:r>
        <w:rPr>
          <w:spacing w:val="-4"/>
        </w:rPr>
        <w:t> </w:t>
      </w:r>
      <w:r>
        <w:rPr/>
        <w:t>including</w:t>
      </w:r>
      <w:r>
        <w:rPr>
          <w:spacing w:val="-4"/>
        </w:rPr>
        <w:t> </w:t>
      </w:r>
      <w:r>
        <w:rPr/>
        <w:t>the</w:t>
      </w:r>
      <w:r>
        <w:rPr>
          <w:spacing w:val="-3"/>
        </w:rPr>
        <w:t> </w:t>
      </w:r>
      <w:r>
        <w:rPr/>
        <w:t>OPGS team — work in concert with each other and networks of external partners to provide communities facing health inequities with holistic supports to overcome systemic barriers to optimal health.</w:t>
      </w:r>
    </w:p>
    <w:p>
      <w:pPr>
        <w:pStyle w:val="BodyText"/>
        <w:spacing w:before="119"/>
        <w:ind w:left="479"/>
      </w:pPr>
      <w:r>
        <w:rPr/>
        <w:t>The</w:t>
      </w:r>
      <w:r>
        <w:rPr>
          <w:spacing w:val="-10"/>
        </w:rPr>
        <w:t> </w:t>
      </w:r>
      <w:r>
        <w:rPr/>
        <w:t>following</w:t>
      </w:r>
      <w:r>
        <w:rPr>
          <w:spacing w:val="-7"/>
        </w:rPr>
        <w:t> </w:t>
      </w:r>
      <w:r>
        <w:rPr/>
        <w:t>graphic</w:t>
      </w:r>
      <w:r>
        <w:rPr>
          <w:spacing w:val="-9"/>
        </w:rPr>
        <w:t> </w:t>
      </w:r>
      <w:r>
        <w:rPr/>
        <w:t>summarizes</w:t>
      </w:r>
      <w:r>
        <w:rPr>
          <w:spacing w:val="-8"/>
        </w:rPr>
        <w:t> </w:t>
      </w:r>
      <w:r>
        <w:rPr/>
        <w:t>the</w:t>
      </w:r>
      <w:r>
        <w:rPr>
          <w:spacing w:val="-9"/>
        </w:rPr>
        <w:t> </w:t>
      </w:r>
      <w:r>
        <w:rPr/>
        <w:t>DPH</w:t>
      </w:r>
      <w:r>
        <w:rPr>
          <w:spacing w:val="-8"/>
        </w:rPr>
        <w:t> </w:t>
      </w:r>
      <w:r>
        <w:rPr/>
        <w:t>vision,</w:t>
      </w:r>
      <w:r>
        <w:rPr>
          <w:spacing w:val="-7"/>
        </w:rPr>
        <w:t> </w:t>
      </w:r>
      <w:r>
        <w:rPr/>
        <w:t>mission,</w:t>
      </w:r>
      <w:r>
        <w:rPr>
          <w:spacing w:val="-9"/>
        </w:rPr>
        <w:t> </w:t>
      </w:r>
      <w:r>
        <w:rPr/>
        <w:t>and</w:t>
      </w:r>
      <w:r>
        <w:rPr>
          <w:spacing w:val="-7"/>
        </w:rPr>
        <w:t> </w:t>
      </w:r>
      <w:r>
        <w:rPr/>
        <w:t>guiding</w:t>
      </w:r>
      <w:r>
        <w:rPr>
          <w:spacing w:val="-8"/>
        </w:rPr>
        <w:t> </w:t>
      </w:r>
      <w:r>
        <w:rPr>
          <w:spacing w:val="-2"/>
        </w:rPr>
        <w:t>principles:</w:t>
      </w:r>
    </w:p>
    <w:p>
      <w:pPr>
        <w:pStyle w:val="BodyText"/>
        <w:spacing w:before="5"/>
        <w:rPr>
          <w:sz w:val="9"/>
        </w:rPr>
      </w:pPr>
      <w:r>
        <w:rPr/>
        <w:pict>
          <v:group style="position:absolute;margin-left:92.5pt;margin-top:6.55268pt;width:422.85pt;height:316.75pt;mso-position-horizontal-relative:page;mso-position-vertical-relative:paragraph;z-index:-15726080;mso-wrap-distance-left:0;mso-wrap-distance-right:0" id="docshapegroup7" coordorigin="1850,131" coordsize="8457,6335">
            <v:shape style="position:absolute;left:1927;top:231;width:8380;height:6234" type="#_x0000_t75" id="docshape8" alt="Graphical user interface  Description automatically generated " stroked="false">
              <v:imagedata r:id="rId12" o:title=""/>
            </v:shape>
            <v:shape style="position:absolute;left:1860;top:141;width:1176;height:1152" id="docshape9" coordorigin="1860,141" coordsize="1176,1152" path="m2448,141l2374,146,2303,159,2235,180,2172,209,2112,244,2057,286,2008,335,1965,388,1929,446,1900,509,1878,575,1865,645,1860,717,1865,789,1878,859,1900,925,1929,988,1965,1046,2008,1100,2057,1148,2112,1190,2172,1226,2235,1254,2303,1275,2374,1289,2448,1293,2522,1289,2593,1275,2661,1254,2724,1226,2784,1190,2839,1148,2888,1100,2931,1046,2967,988,2996,925,3018,859,3031,789,3036,717,3031,645,3018,575,2996,509,2967,446,2931,388,2888,335,2839,286,2784,244,2724,209,2661,180,2593,159,2522,146,2448,141xe" filled="true" fillcolor="#ffffff" stroked="false">
              <v:path arrowok="t"/>
              <v:fill type="solid"/>
            </v:shape>
            <v:shape style="position:absolute;left:1860;top:141;width:1176;height:1152" id="docshape10" coordorigin="1860,141" coordsize="1176,1152" path="m1860,717l1865,645,1878,575,1900,509,1929,446,1965,388,2008,335,2057,286,2112,244,2172,209,2235,180,2303,159,2374,146,2448,141,2522,146,2593,159,2661,180,2724,209,2784,244,2839,286,2888,335,2931,388,2967,446,2996,509,3018,575,3031,645,3036,717,3031,789,3018,859,2996,925,2967,988,2931,1046,2888,1100,2839,1148,2784,1190,2724,1226,2661,1254,2593,1275,2522,1289,2448,1293,2374,1289,2303,1275,2235,1254,2172,1226,2112,1190,2057,1148,2008,1100,1965,1046,1929,988,1900,925,1878,859,1865,789,1860,717xe" filled="false" stroked="true" strokeweight="1pt" strokecolor="#ffffff">
              <v:path arrowok="t"/>
              <v:stroke dashstyle="solid"/>
            </v:shape>
            <w10:wrap type="topAndBottom"/>
          </v:group>
        </w:pict>
      </w:r>
    </w:p>
    <w:p>
      <w:pPr>
        <w:spacing w:after="0"/>
        <w:rPr>
          <w:sz w:val="9"/>
        </w:rPr>
        <w:sectPr>
          <w:pgSz w:w="12240" w:h="15840"/>
          <w:pgMar w:header="438" w:footer="444" w:top="1320" w:bottom="640" w:left="960" w:right="1320"/>
        </w:sectPr>
      </w:pPr>
    </w:p>
    <w:p>
      <w:pPr>
        <w:pStyle w:val="Heading3"/>
        <w:spacing w:before="103"/>
      </w:pPr>
      <w:bookmarkStart w:name="Accomplishments to Date" w:id="20"/>
      <w:bookmarkEnd w:id="20"/>
      <w:r>
        <w:rPr/>
      </w:r>
      <w:bookmarkStart w:name="_bookmark10" w:id="21"/>
      <w:bookmarkEnd w:id="21"/>
      <w:r>
        <w:rPr/>
      </w:r>
      <w:r>
        <w:rPr>
          <w:color w:val="032D52"/>
        </w:rPr>
        <w:t>ACCOMPLISHMENTS</w:t>
      </w:r>
      <w:r>
        <w:rPr>
          <w:color w:val="032D52"/>
          <w:spacing w:val="53"/>
        </w:rPr>
        <w:t> </w:t>
      </w:r>
      <w:r>
        <w:rPr>
          <w:color w:val="032D52"/>
        </w:rPr>
        <w:t>TO</w:t>
      </w:r>
      <w:r>
        <w:rPr>
          <w:color w:val="032D52"/>
          <w:spacing w:val="54"/>
        </w:rPr>
        <w:t> </w:t>
      </w:r>
      <w:r>
        <w:rPr>
          <w:color w:val="032D52"/>
          <w:spacing w:val="-4"/>
        </w:rPr>
        <w:t>DATE</w:t>
      </w:r>
    </w:p>
    <w:p>
      <w:pPr>
        <w:pStyle w:val="BodyText"/>
        <w:spacing w:line="259" w:lineRule="auto"/>
        <w:ind w:left="479" w:right="164"/>
      </w:pPr>
      <w:r>
        <w:rPr/>
        <w:t>Since 2016, OPGS’ approach to mitigating harm from problem gambling behaviors has received national</w:t>
      </w:r>
      <w:r>
        <w:rPr>
          <w:spacing w:val="-2"/>
        </w:rPr>
        <w:t> </w:t>
      </w:r>
      <w:r>
        <w:rPr/>
        <w:t>recognition</w:t>
      </w:r>
      <w:r>
        <w:rPr>
          <w:spacing w:val="-4"/>
        </w:rPr>
        <w:t> </w:t>
      </w:r>
      <w:r>
        <w:rPr/>
        <w:t>within</w:t>
      </w:r>
      <w:r>
        <w:rPr>
          <w:spacing w:val="-4"/>
        </w:rPr>
        <w:t> </w:t>
      </w:r>
      <w:r>
        <w:rPr/>
        <w:t>the</w:t>
      </w:r>
      <w:r>
        <w:rPr>
          <w:spacing w:val="-4"/>
        </w:rPr>
        <w:t> </w:t>
      </w:r>
      <w:r>
        <w:rPr/>
        <w:t>field</w:t>
      </w:r>
      <w:r>
        <w:rPr>
          <w:spacing w:val="-3"/>
        </w:rPr>
        <w:t> </w:t>
      </w:r>
      <w:r>
        <w:rPr/>
        <w:t>of</w:t>
      </w:r>
      <w:r>
        <w:rPr>
          <w:spacing w:val="-2"/>
        </w:rPr>
        <w:t> </w:t>
      </w:r>
      <w:r>
        <w:rPr/>
        <w:t>problem</w:t>
      </w:r>
      <w:r>
        <w:rPr>
          <w:spacing w:val="-3"/>
        </w:rPr>
        <w:t> </w:t>
      </w:r>
      <w:r>
        <w:rPr/>
        <w:t>gambling</w:t>
      </w:r>
      <w:r>
        <w:rPr>
          <w:spacing w:val="-3"/>
        </w:rPr>
        <w:t> </w:t>
      </w:r>
      <w:r>
        <w:rPr/>
        <w:t>for</w:t>
      </w:r>
      <w:r>
        <w:rPr>
          <w:spacing w:val="-4"/>
        </w:rPr>
        <w:t> </w:t>
      </w:r>
      <w:r>
        <w:rPr/>
        <w:t>leadership</w:t>
      </w:r>
      <w:r>
        <w:rPr>
          <w:spacing w:val="-3"/>
        </w:rPr>
        <w:t> </w:t>
      </w:r>
      <w:r>
        <w:rPr/>
        <w:t>in</w:t>
      </w:r>
      <w:r>
        <w:rPr>
          <w:spacing w:val="-4"/>
        </w:rPr>
        <w:t> </w:t>
      </w:r>
      <w:r>
        <w:rPr/>
        <w:t>the</w:t>
      </w:r>
      <w:r>
        <w:rPr>
          <w:spacing w:val="-2"/>
        </w:rPr>
        <w:t> </w:t>
      </w:r>
      <w:r>
        <w:rPr/>
        <w:t>promotion</w:t>
      </w:r>
      <w:r>
        <w:rPr>
          <w:spacing w:val="-4"/>
        </w:rPr>
        <w:t> </w:t>
      </w:r>
      <w:r>
        <w:rPr/>
        <w:t>of</w:t>
      </w:r>
      <w:r>
        <w:rPr>
          <w:spacing w:val="-2"/>
        </w:rPr>
        <w:t> </w:t>
      </w:r>
      <w:r>
        <w:rPr/>
        <w:t>equity. The 2016-2021 strategic plan articulated the following priority areas which guided the efforts of OPGS and its partners:</w:t>
      </w:r>
    </w:p>
    <w:p>
      <w:pPr>
        <w:pStyle w:val="BodyText"/>
        <w:spacing w:before="4" w:after="1"/>
        <w:rPr>
          <w:sz w:val="14"/>
        </w:rPr>
      </w:pPr>
    </w:p>
    <w:tbl>
      <w:tblPr>
        <w:tblW w:w="0" w:type="auto"/>
        <w:jc w:val="left"/>
        <w:tblInd w:w="531" w:type="dxa"/>
        <w:tblBorders>
          <w:top w:val="single" w:sz="2" w:space="0" w:color="F1F1F1"/>
          <w:left w:val="single" w:sz="2" w:space="0" w:color="F1F1F1"/>
          <w:bottom w:val="single" w:sz="2" w:space="0" w:color="F1F1F1"/>
          <w:right w:val="single" w:sz="2" w:space="0" w:color="F1F1F1"/>
          <w:insideH w:val="single" w:sz="2" w:space="0" w:color="F1F1F1"/>
          <w:insideV w:val="single" w:sz="2" w:space="0" w:color="F1F1F1"/>
        </w:tblBorders>
        <w:tblLayout w:type="fixed"/>
        <w:tblCellMar>
          <w:top w:w="0" w:type="dxa"/>
          <w:left w:w="0" w:type="dxa"/>
          <w:bottom w:w="0" w:type="dxa"/>
          <w:right w:w="0" w:type="dxa"/>
        </w:tblCellMar>
        <w:tblLook w:val="01E0"/>
      </w:tblPr>
      <w:tblGrid>
        <w:gridCol w:w="430"/>
        <w:gridCol w:w="8842"/>
      </w:tblGrid>
      <w:tr>
        <w:trPr>
          <w:trHeight w:val="299" w:hRule="atLeast"/>
        </w:trPr>
        <w:tc>
          <w:tcPr>
            <w:tcW w:w="430" w:type="dxa"/>
            <w:tcBorders>
              <w:top w:val="nil"/>
              <w:left w:val="nil"/>
              <w:right w:val="single" w:sz="18" w:space="0" w:color="FFFFFF"/>
            </w:tcBorders>
            <w:shd w:val="clear" w:color="auto" w:fill="032D52"/>
          </w:tcPr>
          <w:p>
            <w:pPr>
              <w:pStyle w:val="TableParagraph"/>
              <w:spacing w:before="29"/>
              <w:ind w:left="0"/>
              <w:jc w:val="center"/>
              <w:rPr>
                <w:sz w:val="20"/>
              </w:rPr>
            </w:pPr>
            <w:r>
              <w:rPr>
                <w:color w:val="FFFFFF"/>
                <w:w w:val="100"/>
                <w:sz w:val="20"/>
              </w:rPr>
              <w:t>1</w:t>
            </w:r>
          </w:p>
        </w:tc>
        <w:tc>
          <w:tcPr>
            <w:tcW w:w="8842" w:type="dxa"/>
            <w:tcBorders>
              <w:top w:val="nil"/>
              <w:left w:val="single" w:sz="18" w:space="0" w:color="FFFFFF"/>
              <w:right w:val="nil"/>
            </w:tcBorders>
            <w:shd w:val="clear" w:color="auto" w:fill="F1F1F1"/>
          </w:tcPr>
          <w:p>
            <w:pPr>
              <w:pStyle w:val="TableParagraph"/>
              <w:spacing w:before="29"/>
              <w:ind w:left="85"/>
              <w:rPr>
                <w:sz w:val="20"/>
              </w:rPr>
            </w:pPr>
            <w:r>
              <w:rPr>
                <w:sz w:val="20"/>
              </w:rPr>
              <w:t>Prevention</w:t>
            </w:r>
            <w:r>
              <w:rPr>
                <w:spacing w:val="-4"/>
                <w:sz w:val="20"/>
              </w:rPr>
              <w:t> </w:t>
            </w:r>
            <w:r>
              <w:rPr>
                <w:sz w:val="20"/>
              </w:rPr>
              <w:t>for</w:t>
            </w:r>
            <w:r>
              <w:rPr>
                <w:spacing w:val="-4"/>
                <w:sz w:val="20"/>
              </w:rPr>
              <w:t> Youth</w:t>
            </w:r>
          </w:p>
        </w:tc>
      </w:tr>
      <w:tr>
        <w:trPr>
          <w:trHeight w:val="341" w:hRule="atLeast"/>
        </w:trPr>
        <w:tc>
          <w:tcPr>
            <w:tcW w:w="430" w:type="dxa"/>
            <w:tcBorders>
              <w:left w:val="nil"/>
              <w:right w:val="single" w:sz="18" w:space="0" w:color="FFFFFF"/>
            </w:tcBorders>
            <w:shd w:val="clear" w:color="auto" w:fill="032D52"/>
          </w:tcPr>
          <w:p>
            <w:pPr>
              <w:pStyle w:val="TableParagraph"/>
              <w:spacing w:before="72"/>
              <w:ind w:left="0"/>
              <w:jc w:val="center"/>
              <w:rPr>
                <w:sz w:val="20"/>
              </w:rPr>
            </w:pPr>
            <w:r>
              <w:rPr>
                <w:color w:val="FFFFFF"/>
                <w:w w:val="100"/>
                <w:sz w:val="20"/>
              </w:rPr>
              <w:t>2</w:t>
            </w:r>
          </w:p>
        </w:tc>
        <w:tc>
          <w:tcPr>
            <w:tcW w:w="8842" w:type="dxa"/>
            <w:tcBorders>
              <w:left w:val="single" w:sz="18" w:space="0" w:color="FFFFFF"/>
              <w:right w:val="nil"/>
            </w:tcBorders>
            <w:shd w:val="clear" w:color="auto" w:fill="F1F1F1"/>
          </w:tcPr>
          <w:p>
            <w:pPr>
              <w:pStyle w:val="TableParagraph"/>
              <w:spacing w:before="72"/>
              <w:ind w:left="85"/>
              <w:rPr>
                <w:sz w:val="20"/>
              </w:rPr>
            </w:pPr>
            <w:r>
              <w:rPr>
                <w:sz w:val="20"/>
              </w:rPr>
              <w:t>Prevention</w:t>
            </w:r>
            <w:r>
              <w:rPr>
                <w:spacing w:val="-5"/>
                <w:sz w:val="20"/>
              </w:rPr>
              <w:t> </w:t>
            </w:r>
            <w:r>
              <w:rPr>
                <w:sz w:val="20"/>
              </w:rPr>
              <w:t>for</w:t>
            </w:r>
            <w:r>
              <w:rPr>
                <w:spacing w:val="-5"/>
                <w:sz w:val="20"/>
              </w:rPr>
              <w:t> </w:t>
            </w:r>
            <w:r>
              <w:rPr>
                <w:sz w:val="20"/>
              </w:rPr>
              <w:t>High-Risk</w:t>
            </w:r>
            <w:r>
              <w:rPr>
                <w:spacing w:val="-4"/>
                <w:sz w:val="20"/>
              </w:rPr>
              <w:t> </w:t>
            </w:r>
            <w:r>
              <w:rPr>
                <w:spacing w:val="-2"/>
                <w:sz w:val="20"/>
              </w:rPr>
              <w:t>Populations</w:t>
            </w:r>
          </w:p>
        </w:tc>
      </w:tr>
      <w:tr>
        <w:trPr>
          <w:trHeight w:val="332" w:hRule="atLeast"/>
        </w:trPr>
        <w:tc>
          <w:tcPr>
            <w:tcW w:w="430" w:type="dxa"/>
            <w:tcBorders>
              <w:left w:val="nil"/>
              <w:right w:val="single" w:sz="18" w:space="0" w:color="FFFFFF"/>
            </w:tcBorders>
            <w:shd w:val="clear" w:color="auto" w:fill="032D52"/>
          </w:tcPr>
          <w:p>
            <w:pPr>
              <w:pStyle w:val="TableParagraph"/>
              <w:spacing w:before="68"/>
              <w:ind w:left="0"/>
              <w:jc w:val="center"/>
              <w:rPr>
                <w:sz w:val="20"/>
              </w:rPr>
            </w:pPr>
            <w:r>
              <w:rPr>
                <w:color w:val="FFFFFF"/>
                <w:w w:val="100"/>
                <w:sz w:val="20"/>
              </w:rPr>
              <w:t>3</w:t>
            </w:r>
          </w:p>
        </w:tc>
        <w:tc>
          <w:tcPr>
            <w:tcW w:w="8842" w:type="dxa"/>
            <w:tcBorders>
              <w:left w:val="single" w:sz="18" w:space="0" w:color="FFFFFF"/>
              <w:right w:val="nil"/>
            </w:tcBorders>
            <w:shd w:val="clear" w:color="auto" w:fill="F1F1F1"/>
          </w:tcPr>
          <w:p>
            <w:pPr>
              <w:pStyle w:val="TableParagraph"/>
              <w:spacing w:before="68"/>
              <w:ind w:left="85"/>
              <w:rPr>
                <w:sz w:val="20"/>
              </w:rPr>
            </w:pPr>
            <w:r>
              <w:rPr>
                <w:sz w:val="20"/>
              </w:rPr>
              <w:t>Focus</w:t>
            </w:r>
            <w:r>
              <w:rPr>
                <w:spacing w:val="-3"/>
                <w:sz w:val="20"/>
              </w:rPr>
              <w:t> </w:t>
            </w:r>
            <w:r>
              <w:rPr>
                <w:sz w:val="20"/>
              </w:rPr>
              <w:t>on</w:t>
            </w:r>
            <w:r>
              <w:rPr>
                <w:spacing w:val="-5"/>
                <w:sz w:val="20"/>
              </w:rPr>
              <w:t> </w:t>
            </w:r>
            <w:r>
              <w:rPr>
                <w:sz w:val="20"/>
              </w:rPr>
              <w:t>Community-Level</w:t>
            </w:r>
            <w:r>
              <w:rPr>
                <w:spacing w:val="-5"/>
                <w:sz w:val="20"/>
              </w:rPr>
              <w:t> </w:t>
            </w:r>
            <w:r>
              <w:rPr>
                <w:spacing w:val="-2"/>
                <w:sz w:val="20"/>
              </w:rPr>
              <w:t>Interventions</w:t>
            </w:r>
          </w:p>
        </w:tc>
      </w:tr>
      <w:tr>
        <w:trPr>
          <w:trHeight w:val="341" w:hRule="atLeast"/>
        </w:trPr>
        <w:tc>
          <w:tcPr>
            <w:tcW w:w="430" w:type="dxa"/>
            <w:tcBorders>
              <w:left w:val="nil"/>
              <w:right w:val="single" w:sz="18" w:space="0" w:color="FFFFFF"/>
            </w:tcBorders>
            <w:shd w:val="clear" w:color="auto" w:fill="032D52"/>
          </w:tcPr>
          <w:p>
            <w:pPr>
              <w:pStyle w:val="TableParagraph"/>
              <w:spacing w:before="72"/>
              <w:ind w:left="0"/>
              <w:jc w:val="center"/>
              <w:rPr>
                <w:sz w:val="20"/>
              </w:rPr>
            </w:pPr>
            <w:r>
              <w:rPr>
                <w:color w:val="FFFFFF"/>
                <w:w w:val="100"/>
                <w:sz w:val="20"/>
              </w:rPr>
              <w:t>4</w:t>
            </w:r>
          </w:p>
        </w:tc>
        <w:tc>
          <w:tcPr>
            <w:tcW w:w="8842" w:type="dxa"/>
            <w:tcBorders>
              <w:left w:val="single" w:sz="18" w:space="0" w:color="FFFFFF"/>
              <w:right w:val="nil"/>
            </w:tcBorders>
            <w:shd w:val="clear" w:color="auto" w:fill="F1F1F1"/>
          </w:tcPr>
          <w:p>
            <w:pPr>
              <w:pStyle w:val="TableParagraph"/>
              <w:spacing w:before="72"/>
              <w:ind w:left="85"/>
              <w:rPr>
                <w:sz w:val="20"/>
              </w:rPr>
            </w:pPr>
            <w:r>
              <w:rPr>
                <w:sz w:val="20"/>
              </w:rPr>
              <w:t>Coordination</w:t>
            </w:r>
            <w:r>
              <w:rPr>
                <w:spacing w:val="-6"/>
                <w:sz w:val="20"/>
              </w:rPr>
              <w:t> </w:t>
            </w:r>
            <w:r>
              <w:rPr>
                <w:sz w:val="20"/>
              </w:rPr>
              <w:t>of</w:t>
            </w:r>
            <w:r>
              <w:rPr>
                <w:spacing w:val="-3"/>
                <w:sz w:val="20"/>
              </w:rPr>
              <w:t> </w:t>
            </w:r>
            <w:r>
              <w:rPr>
                <w:sz w:val="20"/>
              </w:rPr>
              <w:t>Problem</w:t>
            </w:r>
            <w:r>
              <w:rPr>
                <w:spacing w:val="-4"/>
                <w:sz w:val="20"/>
              </w:rPr>
              <w:t> </w:t>
            </w:r>
            <w:r>
              <w:rPr>
                <w:sz w:val="20"/>
              </w:rPr>
              <w:t>Gambling</w:t>
            </w:r>
            <w:r>
              <w:rPr>
                <w:spacing w:val="-4"/>
                <w:sz w:val="20"/>
              </w:rPr>
              <w:t> </w:t>
            </w:r>
            <w:r>
              <w:rPr>
                <w:spacing w:val="-2"/>
                <w:sz w:val="20"/>
              </w:rPr>
              <w:t>Services</w:t>
            </w:r>
          </w:p>
        </w:tc>
      </w:tr>
      <w:tr>
        <w:trPr>
          <w:trHeight w:val="342" w:hRule="atLeast"/>
        </w:trPr>
        <w:tc>
          <w:tcPr>
            <w:tcW w:w="430" w:type="dxa"/>
            <w:tcBorders>
              <w:left w:val="nil"/>
              <w:right w:val="single" w:sz="18" w:space="0" w:color="FFFFFF"/>
            </w:tcBorders>
            <w:shd w:val="clear" w:color="auto" w:fill="032D52"/>
          </w:tcPr>
          <w:p>
            <w:pPr>
              <w:pStyle w:val="TableParagraph"/>
              <w:spacing w:before="72"/>
              <w:ind w:left="0"/>
              <w:jc w:val="center"/>
              <w:rPr>
                <w:sz w:val="20"/>
              </w:rPr>
            </w:pPr>
            <w:r>
              <w:rPr>
                <w:color w:val="FFFFFF"/>
                <w:w w:val="100"/>
                <w:sz w:val="20"/>
              </w:rPr>
              <w:t>5</w:t>
            </w:r>
          </w:p>
        </w:tc>
        <w:tc>
          <w:tcPr>
            <w:tcW w:w="8842" w:type="dxa"/>
            <w:tcBorders>
              <w:left w:val="single" w:sz="18" w:space="0" w:color="FFFFFF"/>
              <w:right w:val="nil"/>
            </w:tcBorders>
            <w:shd w:val="clear" w:color="auto" w:fill="F1F1F1"/>
          </w:tcPr>
          <w:p>
            <w:pPr>
              <w:pStyle w:val="TableParagraph"/>
              <w:spacing w:before="72"/>
              <w:ind w:left="85"/>
              <w:rPr>
                <w:sz w:val="20"/>
              </w:rPr>
            </w:pPr>
            <w:r>
              <w:rPr>
                <w:sz w:val="20"/>
              </w:rPr>
              <w:t>Integration</w:t>
            </w:r>
            <w:r>
              <w:rPr>
                <w:spacing w:val="-7"/>
                <w:sz w:val="20"/>
              </w:rPr>
              <w:t> </w:t>
            </w:r>
            <w:r>
              <w:rPr>
                <w:sz w:val="20"/>
              </w:rPr>
              <w:t>of</w:t>
            </w:r>
            <w:r>
              <w:rPr>
                <w:spacing w:val="-7"/>
                <w:sz w:val="20"/>
              </w:rPr>
              <w:t> </w:t>
            </w:r>
            <w:r>
              <w:rPr>
                <w:sz w:val="20"/>
              </w:rPr>
              <w:t>Addiction</w:t>
            </w:r>
            <w:r>
              <w:rPr>
                <w:spacing w:val="-4"/>
                <w:sz w:val="20"/>
              </w:rPr>
              <w:t> </w:t>
            </w:r>
            <w:r>
              <w:rPr>
                <w:sz w:val="20"/>
              </w:rPr>
              <w:t>Services,</w:t>
            </w:r>
            <w:r>
              <w:rPr>
                <w:spacing w:val="-5"/>
                <w:sz w:val="20"/>
              </w:rPr>
              <w:t> </w:t>
            </w:r>
            <w:r>
              <w:rPr>
                <w:sz w:val="20"/>
              </w:rPr>
              <w:t>Mental</w:t>
            </w:r>
            <w:r>
              <w:rPr>
                <w:spacing w:val="-4"/>
                <w:sz w:val="20"/>
              </w:rPr>
              <w:t> </w:t>
            </w:r>
            <w:r>
              <w:rPr>
                <w:sz w:val="20"/>
              </w:rPr>
              <w:t>Health</w:t>
            </w:r>
            <w:r>
              <w:rPr>
                <w:spacing w:val="-4"/>
                <w:sz w:val="20"/>
              </w:rPr>
              <w:t> </w:t>
            </w:r>
            <w:r>
              <w:rPr>
                <w:sz w:val="20"/>
              </w:rPr>
              <w:t>Services,</w:t>
            </w:r>
            <w:r>
              <w:rPr>
                <w:spacing w:val="-4"/>
                <w:sz w:val="20"/>
              </w:rPr>
              <w:t> </w:t>
            </w:r>
            <w:r>
              <w:rPr>
                <w:sz w:val="20"/>
              </w:rPr>
              <w:t>and</w:t>
            </w:r>
            <w:r>
              <w:rPr>
                <w:spacing w:val="-5"/>
                <w:sz w:val="20"/>
              </w:rPr>
              <w:t> </w:t>
            </w:r>
            <w:r>
              <w:rPr>
                <w:sz w:val="20"/>
              </w:rPr>
              <w:t>Primary</w:t>
            </w:r>
            <w:r>
              <w:rPr>
                <w:spacing w:val="-6"/>
                <w:sz w:val="20"/>
              </w:rPr>
              <w:t> </w:t>
            </w:r>
            <w:r>
              <w:rPr>
                <w:spacing w:val="-4"/>
                <w:sz w:val="20"/>
              </w:rPr>
              <w:t>Care</w:t>
            </w:r>
          </w:p>
        </w:tc>
      </w:tr>
      <w:tr>
        <w:trPr>
          <w:trHeight w:val="341" w:hRule="atLeast"/>
        </w:trPr>
        <w:tc>
          <w:tcPr>
            <w:tcW w:w="430" w:type="dxa"/>
            <w:tcBorders>
              <w:left w:val="nil"/>
              <w:right w:val="single" w:sz="18" w:space="0" w:color="FFFFFF"/>
            </w:tcBorders>
            <w:shd w:val="clear" w:color="auto" w:fill="032D52"/>
          </w:tcPr>
          <w:p>
            <w:pPr>
              <w:pStyle w:val="TableParagraph"/>
              <w:spacing w:before="71"/>
              <w:ind w:left="0"/>
              <w:jc w:val="center"/>
              <w:rPr>
                <w:sz w:val="20"/>
              </w:rPr>
            </w:pPr>
            <w:r>
              <w:rPr>
                <w:color w:val="FFFFFF"/>
                <w:w w:val="100"/>
                <w:sz w:val="20"/>
              </w:rPr>
              <w:t>6</w:t>
            </w:r>
          </w:p>
        </w:tc>
        <w:tc>
          <w:tcPr>
            <w:tcW w:w="8842" w:type="dxa"/>
            <w:tcBorders>
              <w:left w:val="single" w:sz="18" w:space="0" w:color="FFFFFF"/>
              <w:right w:val="nil"/>
            </w:tcBorders>
            <w:shd w:val="clear" w:color="auto" w:fill="F1F1F1"/>
          </w:tcPr>
          <w:p>
            <w:pPr>
              <w:pStyle w:val="TableParagraph"/>
              <w:spacing w:before="71"/>
              <w:ind w:left="85"/>
              <w:rPr>
                <w:sz w:val="20"/>
              </w:rPr>
            </w:pPr>
            <w:r>
              <w:rPr>
                <w:sz w:val="20"/>
              </w:rPr>
              <w:t>Decrease</w:t>
            </w:r>
            <w:r>
              <w:rPr>
                <w:spacing w:val="-5"/>
                <w:sz w:val="20"/>
              </w:rPr>
              <w:t> </w:t>
            </w:r>
            <w:r>
              <w:rPr>
                <w:sz w:val="20"/>
              </w:rPr>
              <w:t>in</w:t>
            </w:r>
            <w:r>
              <w:rPr>
                <w:spacing w:val="-5"/>
                <w:sz w:val="20"/>
              </w:rPr>
              <w:t> </w:t>
            </w:r>
            <w:r>
              <w:rPr>
                <w:sz w:val="20"/>
              </w:rPr>
              <w:t>Stigma</w:t>
            </w:r>
            <w:r>
              <w:rPr>
                <w:spacing w:val="-5"/>
                <w:sz w:val="20"/>
              </w:rPr>
              <w:t> </w:t>
            </w:r>
            <w:r>
              <w:rPr>
                <w:sz w:val="20"/>
              </w:rPr>
              <w:t>and</w:t>
            </w:r>
            <w:r>
              <w:rPr>
                <w:spacing w:val="-5"/>
                <w:sz w:val="20"/>
              </w:rPr>
              <w:t> </w:t>
            </w:r>
            <w:r>
              <w:rPr>
                <w:sz w:val="20"/>
              </w:rPr>
              <w:t>Unsupportive</w:t>
            </w:r>
            <w:r>
              <w:rPr>
                <w:spacing w:val="-4"/>
                <w:sz w:val="20"/>
              </w:rPr>
              <w:t> </w:t>
            </w:r>
            <w:r>
              <w:rPr>
                <w:sz w:val="20"/>
              </w:rPr>
              <w:t>Social</w:t>
            </w:r>
            <w:r>
              <w:rPr>
                <w:spacing w:val="-5"/>
                <w:sz w:val="20"/>
              </w:rPr>
              <w:t> </w:t>
            </w:r>
            <w:r>
              <w:rPr>
                <w:spacing w:val="-4"/>
                <w:sz w:val="20"/>
              </w:rPr>
              <w:t>Norms</w:t>
            </w:r>
          </w:p>
        </w:tc>
      </w:tr>
      <w:tr>
        <w:trPr>
          <w:trHeight w:val="332" w:hRule="atLeast"/>
        </w:trPr>
        <w:tc>
          <w:tcPr>
            <w:tcW w:w="430" w:type="dxa"/>
            <w:tcBorders>
              <w:left w:val="nil"/>
              <w:right w:val="single" w:sz="18" w:space="0" w:color="FFFFFF"/>
            </w:tcBorders>
            <w:shd w:val="clear" w:color="auto" w:fill="032D52"/>
          </w:tcPr>
          <w:p>
            <w:pPr>
              <w:pStyle w:val="TableParagraph"/>
              <w:spacing w:before="66"/>
              <w:ind w:left="0"/>
              <w:jc w:val="center"/>
              <w:rPr>
                <w:sz w:val="20"/>
              </w:rPr>
            </w:pPr>
            <w:r>
              <w:rPr>
                <w:color w:val="FFFFFF"/>
                <w:w w:val="100"/>
                <w:sz w:val="20"/>
              </w:rPr>
              <w:t>7</w:t>
            </w:r>
          </w:p>
        </w:tc>
        <w:tc>
          <w:tcPr>
            <w:tcW w:w="8842" w:type="dxa"/>
            <w:tcBorders>
              <w:left w:val="single" w:sz="18" w:space="0" w:color="FFFFFF"/>
              <w:right w:val="nil"/>
            </w:tcBorders>
            <w:shd w:val="clear" w:color="auto" w:fill="F1F1F1"/>
          </w:tcPr>
          <w:p>
            <w:pPr>
              <w:pStyle w:val="TableParagraph"/>
              <w:spacing w:before="66"/>
              <w:ind w:left="85"/>
              <w:rPr>
                <w:sz w:val="20"/>
              </w:rPr>
            </w:pPr>
            <w:r>
              <w:rPr>
                <w:sz w:val="20"/>
              </w:rPr>
              <w:t>Increase</w:t>
            </w:r>
            <w:r>
              <w:rPr>
                <w:spacing w:val="-4"/>
                <w:sz w:val="20"/>
              </w:rPr>
              <w:t> </w:t>
            </w:r>
            <w:r>
              <w:rPr>
                <w:sz w:val="20"/>
              </w:rPr>
              <w:t>in</w:t>
            </w:r>
            <w:r>
              <w:rPr>
                <w:spacing w:val="-5"/>
                <w:sz w:val="20"/>
              </w:rPr>
              <w:t> </w:t>
            </w:r>
            <w:r>
              <w:rPr>
                <w:sz w:val="20"/>
              </w:rPr>
              <w:t>Availability</w:t>
            </w:r>
            <w:r>
              <w:rPr>
                <w:spacing w:val="-5"/>
                <w:sz w:val="20"/>
              </w:rPr>
              <w:t> </w:t>
            </w:r>
            <w:r>
              <w:rPr>
                <w:sz w:val="20"/>
              </w:rPr>
              <w:t>of</w:t>
            </w:r>
            <w:r>
              <w:rPr>
                <w:spacing w:val="-4"/>
                <w:sz w:val="20"/>
              </w:rPr>
              <w:t> </w:t>
            </w:r>
            <w:r>
              <w:rPr>
                <w:sz w:val="20"/>
              </w:rPr>
              <w:t>Support</w:t>
            </w:r>
            <w:r>
              <w:rPr>
                <w:spacing w:val="-4"/>
                <w:sz w:val="20"/>
              </w:rPr>
              <w:t> </w:t>
            </w:r>
            <w:r>
              <w:rPr>
                <w:spacing w:val="-2"/>
                <w:sz w:val="20"/>
              </w:rPr>
              <w:t>Services</w:t>
            </w:r>
          </w:p>
        </w:tc>
      </w:tr>
      <w:tr>
        <w:trPr>
          <w:trHeight w:val="341" w:hRule="atLeast"/>
        </w:trPr>
        <w:tc>
          <w:tcPr>
            <w:tcW w:w="430" w:type="dxa"/>
            <w:tcBorders>
              <w:left w:val="nil"/>
              <w:right w:val="single" w:sz="18" w:space="0" w:color="FFFFFF"/>
            </w:tcBorders>
            <w:shd w:val="clear" w:color="auto" w:fill="032D52"/>
          </w:tcPr>
          <w:p>
            <w:pPr>
              <w:pStyle w:val="TableParagraph"/>
              <w:spacing w:before="71"/>
              <w:ind w:left="0"/>
              <w:jc w:val="center"/>
              <w:rPr>
                <w:sz w:val="20"/>
              </w:rPr>
            </w:pPr>
            <w:r>
              <w:rPr>
                <w:color w:val="FFFFFF"/>
                <w:w w:val="100"/>
                <w:sz w:val="20"/>
              </w:rPr>
              <w:t>8</w:t>
            </w:r>
          </w:p>
        </w:tc>
        <w:tc>
          <w:tcPr>
            <w:tcW w:w="8842" w:type="dxa"/>
            <w:tcBorders>
              <w:left w:val="single" w:sz="18" w:space="0" w:color="FFFFFF"/>
              <w:right w:val="nil"/>
            </w:tcBorders>
            <w:shd w:val="clear" w:color="auto" w:fill="F1F1F1"/>
          </w:tcPr>
          <w:p>
            <w:pPr>
              <w:pStyle w:val="TableParagraph"/>
              <w:spacing w:before="71"/>
              <w:ind w:left="85"/>
              <w:rPr>
                <w:sz w:val="20"/>
              </w:rPr>
            </w:pPr>
            <w:r>
              <w:rPr>
                <w:sz w:val="20"/>
              </w:rPr>
              <w:t>Increase</w:t>
            </w:r>
            <w:r>
              <w:rPr>
                <w:spacing w:val="-6"/>
                <w:sz w:val="20"/>
              </w:rPr>
              <w:t> </w:t>
            </w:r>
            <w:r>
              <w:rPr>
                <w:sz w:val="20"/>
              </w:rPr>
              <w:t>in</w:t>
            </w:r>
            <w:r>
              <w:rPr>
                <w:spacing w:val="-5"/>
                <w:sz w:val="20"/>
              </w:rPr>
              <w:t> </w:t>
            </w:r>
            <w:r>
              <w:rPr>
                <w:sz w:val="20"/>
              </w:rPr>
              <w:t>Availability</w:t>
            </w:r>
            <w:r>
              <w:rPr>
                <w:spacing w:val="-6"/>
                <w:sz w:val="20"/>
              </w:rPr>
              <w:t> </w:t>
            </w:r>
            <w:r>
              <w:rPr>
                <w:sz w:val="20"/>
              </w:rPr>
              <w:t>of</w:t>
            </w:r>
            <w:r>
              <w:rPr>
                <w:spacing w:val="-5"/>
                <w:sz w:val="20"/>
              </w:rPr>
              <w:t> </w:t>
            </w:r>
            <w:r>
              <w:rPr>
                <w:sz w:val="20"/>
              </w:rPr>
              <w:t>Culturally</w:t>
            </w:r>
            <w:r>
              <w:rPr>
                <w:spacing w:val="-6"/>
                <w:sz w:val="20"/>
              </w:rPr>
              <w:t> </w:t>
            </w:r>
            <w:r>
              <w:rPr>
                <w:sz w:val="20"/>
              </w:rPr>
              <w:t>Appropriate</w:t>
            </w:r>
            <w:r>
              <w:rPr>
                <w:spacing w:val="-5"/>
                <w:sz w:val="20"/>
              </w:rPr>
              <w:t> </w:t>
            </w:r>
            <w:r>
              <w:rPr>
                <w:spacing w:val="-2"/>
                <w:sz w:val="20"/>
              </w:rPr>
              <w:t>Services</w:t>
            </w:r>
          </w:p>
        </w:tc>
      </w:tr>
      <w:tr>
        <w:trPr>
          <w:trHeight w:val="341" w:hRule="atLeast"/>
        </w:trPr>
        <w:tc>
          <w:tcPr>
            <w:tcW w:w="430" w:type="dxa"/>
            <w:tcBorders>
              <w:left w:val="nil"/>
              <w:right w:val="single" w:sz="18" w:space="0" w:color="FFFFFF"/>
            </w:tcBorders>
            <w:shd w:val="clear" w:color="auto" w:fill="032D52"/>
          </w:tcPr>
          <w:p>
            <w:pPr>
              <w:pStyle w:val="TableParagraph"/>
              <w:spacing w:before="71"/>
              <w:ind w:left="0"/>
              <w:jc w:val="center"/>
              <w:rPr>
                <w:sz w:val="20"/>
              </w:rPr>
            </w:pPr>
            <w:r>
              <w:rPr>
                <w:color w:val="FFFFFF"/>
                <w:w w:val="100"/>
                <w:sz w:val="20"/>
              </w:rPr>
              <w:t>9</w:t>
            </w:r>
          </w:p>
        </w:tc>
        <w:tc>
          <w:tcPr>
            <w:tcW w:w="8842" w:type="dxa"/>
            <w:tcBorders>
              <w:left w:val="single" w:sz="18" w:space="0" w:color="FFFFFF"/>
              <w:right w:val="nil"/>
            </w:tcBorders>
            <w:shd w:val="clear" w:color="auto" w:fill="F1F1F1"/>
          </w:tcPr>
          <w:p>
            <w:pPr>
              <w:pStyle w:val="TableParagraph"/>
              <w:spacing w:before="71"/>
              <w:ind w:left="85"/>
              <w:rPr>
                <w:sz w:val="20"/>
              </w:rPr>
            </w:pPr>
            <w:r>
              <w:rPr>
                <w:sz w:val="20"/>
              </w:rPr>
              <w:t>Contribution</w:t>
            </w:r>
            <w:r>
              <w:rPr>
                <w:spacing w:val="-6"/>
                <w:sz w:val="20"/>
              </w:rPr>
              <w:t> </w:t>
            </w:r>
            <w:r>
              <w:rPr>
                <w:sz w:val="20"/>
              </w:rPr>
              <w:t>to</w:t>
            </w:r>
            <w:r>
              <w:rPr>
                <w:spacing w:val="-4"/>
                <w:sz w:val="20"/>
              </w:rPr>
              <w:t> </w:t>
            </w:r>
            <w:r>
              <w:rPr>
                <w:sz w:val="20"/>
              </w:rPr>
              <w:t>the</w:t>
            </w:r>
            <w:r>
              <w:rPr>
                <w:spacing w:val="-5"/>
                <w:sz w:val="20"/>
              </w:rPr>
              <w:t> </w:t>
            </w:r>
            <w:r>
              <w:rPr>
                <w:sz w:val="20"/>
              </w:rPr>
              <w:t>Evidence</w:t>
            </w:r>
            <w:r>
              <w:rPr>
                <w:spacing w:val="-3"/>
                <w:sz w:val="20"/>
              </w:rPr>
              <w:t> </w:t>
            </w:r>
            <w:r>
              <w:rPr>
                <w:sz w:val="20"/>
              </w:rPr>
              <w:t>Base</w:t>
            </w:r>
            <w:r>
              <w:rPr>
                <w:spacing w:val="-4"/>
                <w:sz w:val="20"/>
              </w:rPr>
              <w:t> </w:t>
            </w:r>
            <w:r>
              <w:rPr>
                <w:sz w:val="20"/>
              </w:rPr>
              <w:t>for</w:t>
            </w:r>
            <w:r>
              <w:rPr>
                <w:spacing w:val="-4"/>
                <w:sz w:val="20"/>
              </w:rPr>
              <w:t> </w:t>
            </w:r>
            <w:r>
              <w:rPr>
                <w:sz w:val="20"/>
              </w:rPr>
              <w:t>Problem</w:t>
            </w:r>
            <w:r>
              <w:rPr>
                <w:spacing w:val="-4"/>
                <w:sz w:val="20"/>
              </w:rPr>
              <w:t> </w:t>
            </w:r>
            <w:r>
              <w:rPr>
                <w:sz w:val="20"/>
              </w:rPr>
              <w:t>Gambling</w:t>
            </w:r>
            <w:r>
              <w:rPr>
                <w:spacing w:val="-3"/>
                <w:sz w:val="20"/>
              </w:rPr>
              <w:t> </w:t>
            </w:r>
            <w:r>
              <w:rPr>
                <w:spacing w:val="-2"/>
                <w:sz w:val="20"/>
              </w:rPr>
              <w:t>Services</w:t>
            </w:r>
          </w:p>
        </w:tc>
      </w:tr>
      <w:tr>
        <w:trPr>
          <w:trHeight w:val="341" w:hRule="atLeast"/>
        </w:trPr>
        <w:tc>
          <w:tcPr>
            <w:tcW w:w="430" w:type="dxa"/>
            <w:tcBorders>
              <w:left w:val="nil"/>
              <w:right w:val="single" w:sz="18" w:space="0" w:color="FFFFFF"/>
            </w:tcBorders>
            <w:shd w:val="clear" w:color="auto" w:fill="032D52"/>
          </w:tcPr>
          <w:p>
            <w:pPr>
              <w:pStyle w:val="TableParagraph"/>
              <w:spacing w:before="71"/>
              <w:ind w:left="71" w:right="71"/>
              <w:jc w:val="center"/>
              <w:rPr>
                <w:sz w:val="20"/>
              </w:rPr>
            </w:pPr>
            <w:r>
              <w:rPr>
                <w:color w:val="FFFFFF"/>
                <w:spacing w:val="-5"/>
                <w:sz w:val="20"/>
              </w:rPr>
              <w:t>10</w:t>
            </w:r>
          </w:p>
        </w:tc>
        <w:tc>
          <w:tcPr>
            <w:tcW w:w="8842" w:type="dxa"/>
            <w:tcBorders>
              <w:left w:val="single" w:sz="18" w:space="0" w:color="FFFFFF"/>
              <w:right w:val="nil"/>
            </w:tcBorders>
            <w:shd w:val="clear" w:color="auto" w:fill="F1F1F1"/>
          </w:tcPr>
          <w:p>
            <w:pPr>
              <w:pStyle w:val="TableParagraph"/>
              <w:spacing w:before="71"/>
              <w:ind w:left="85"/>
              <w:rPr>
                <w:sz w:val="20"/>
              </w:rPr>
            </w:pPr>
            <w:r>
              <w:rPr>
                <w:sz w:val="20"/>
              </w:rPr>
              <w:t>Establishment</w:t>
            </w:r>
            <w:r>
              <w:rPr>
                <w:spacing w:val="-6"/>
                <w:sz w:val="20"/>
              </w:rPr>
              <w:t> </w:t>
            </w:r>
            <w:r>
              <w:rPr>
                <w:sz w:val="20"/>
              </w:rPr>
              <w:t>of</w:t>
            </w:r>
            <w:r>
              <w:rPr>
                <w:spacing w:val="-4"/>
                <w:sz w:val="20"/>
              </w:rPr>
              <w:t> </w:t>
            </w:r>
            <w:r>
              <w:rPr>
                <w:sz w:val="20"/>
              </w:rPr>
              <w:t>an</w:t>
            </w:r>
            <w:r>
              <w:rPr>
                <w:spacing w:val="-5"/>
                <w:sz w:val="20"/>
              </w:rPr>
              <w:t> </w:t>
            </w:r>
            <w:r>
              <w:rPr>
                <w:sz w:val="20"/>
              </w:rPr>
              <w:t>Evaluation</w:t>
            </w:r>
            <w:r>
              <w:rPr>
                <w:spacing w:val="-5"/>
                <w:sz w:val="20"/>
              </w:rPr>
              <w:t> </w:t>
            </w:r>
            <w:r>
              <w:rPr>
                <w:spacing w:val="-2"/>
                <w:sz w:val="20"/>
              </w:rPr>
              <w:t>Infrastructure</w:t>
            </w:r>
          </w:p>
        </w:tc>
      </w:tr>
      <w:tr>
        <w:trPr>
          <w:trHeight w:val="332" w:hRule="atLeast"/>
        </w:trPr>
        <w:tc>
          <w:tcPr>
            <w:tcW w:w="430" w:type="dxa"/>
            <w:tcBorders>
              <w:left w:val="nil"/>
              <w:right w:val="single" w:sz="18" w:space="0" w:color="FFFFFF"/>
            </w:tcBorders>
            <w:shd w:val="clear" w:color="auto" w:fill="032D52"/>
          </w:tcPr>
          <w:p>
            <w:pPr>
              <w:pStyle w:val="TableParagraph"/>
              <w:spacing w:before="66"/>
              <w:ind w:left="71" w:right="71"/>
              <w:jc w:val="center"/>
              <w:rPr>
                <w:sz w:val="20"/>
              </w:rPr>
            </w:pPr>
            <w:r>
              <w:rPr>
                <w:color w:val="FFFFFF"/>
                <w:spacing w:val="-5"/>
                <w:sz w:val="20"/>
              </w:rPr>
              <w:t>11</w:t>
            </w:r>
          </w:p>
        </w:tc>
        <w:tc>
          <w:tcPr>
            <w:tcW w:w="8842" w:type="dxa"/>
            <w:tcBorders>
              <w:left w:val="single" w:sz="18" w:space="0" w:color="FFFFFF"/>
              <w:right w:val="nil"/>
            </w:tcBorders>
            <w:shd w:val="clear" w:color="auto" w:fill="F1F1F1"/>
          </w:tcPr>
          <w:p>
            <w:pPr>
              <w:pStyle w:val="TableParagraph"/>
              <w:spacing w:before="66"/>
              <w:ind w:left="85"/>
              <w:rPr>
                <w:sz w:val="20"/>
              </w:rPr>
            </w:pPr>
            <w:r>
              <w:rPr>
                <w:sz w:val="20"/>
              </w:rPr>
              <w:t>Expansion</w:t>
            </w:r>
            <w:r>
              <w:rPr>
                <w:spacing w:val="-8"/>
                <w:sz w:val="20"/>
              </w:rPr>
              <w:t> </w:t>
            </w:r>
            <w:r>
              <w:rPr>
                <w:sz w:val="20"/>
              </w:rPr>
              <w:t>of</w:t>
            </w:r>
            <w:r>
              <w:rPr>
                <w:spacing w:val="-5"/>
                <w:sz w:val="20"/>
              </w:rPr>
              <w:t> </w:t>
            </w:r>
            <w:r>
              <w:rPr>
                <w:sz w:val="20"/>
              </w:rPr>
              <w:t>Institutional</w:t>
            </w:r>
            <w:r>
              <w:rPr>
                <w:spacing w:val="-5"/>
                <w:sz w:val="20"/>
              </w:rPr>
              <w:t> </w:t>
            </w:r>
            <w:r>
              <w:rPr>
                <w:sz w:val="20"/>
              </w:rPr>
              <w:t>Capacity</w:t>
            </w:r>
            <w:r>
              <w:rPr>
                <w:spacing w:val="-5"/>
                <w:sz w:val="20"/>
              </w:rPr>
              <w:t> </w:t>
            </w:r>
            <w:r>
              <w:rPr>
                <w:sz w:val="20"/>
              </w:rPr>
              <w:t>to</w:t>
            </w:r>
            <w:r>
              <w:rPr>
                <w:spacing w:val="-4"/>
                <w:sz w:val="20"/>
              </w:rPr>
              <w:t> </w:t>
            </w:r>
            <w:r>
              <w:rPr>
                <w:sz w:val="20"/>
              </w:rPr>
              <w:t>Address</w:t>
            </w:r>
            <w:r>
              <w:rPr>
                <w:spacing w:val="-3"/>
                <w:sz w:val="20"/>
              </w:rPr>
              <w:t> </w:t>
            </w:r>
            <w:r>
              <w:rPr>
                <w:sz w:val="20"/>
              </w:rPr>
              <w:t>Problem</w:t>
            </w:r>
            <w:r>
              <w:rPr>
                <w:spacing w:val="-5"/>
                <w:sz w:val="20"/>
              </w:rPr>
              <w:t> </w:t>
            </w:r>
            <w:r>
              <w:rPr>
                <w:sz w:val="20"/>
              </w:rPr>
              <w:t>Gambling</w:t>
            </w:r>
            <w:r>
              <w:rPr>
                <w:spacing w:val="-4"/>
                <w:sz w:val="20"/>
              </w:rPr>
              <w:t> </w:t>
            </w:r>
            <w:r>
              <w:rPr>
                <w:sz w:val="20"/>
              </w:rPr>
              <w:t>and</w:t>
            </w:r>
            <w:r>
              <w:rPr>
                <w:spacing w:val="-4"/>
                <w:sz w:val="20"/>
              </w:rPr>
              <w:t> </w:t>
            </w:r>
            <w:r>
              <w:rPr>
                <w:sz w:val="20"/>
              </w:rPr>
              <w:t>Related</w:t>
            </w:r>
            <w:r>
              <w:rPr>
                <w:spacing w:val="-4"/>
                <w:sz w:val="20"/>
              </w:rPr>
              <w:t> </w:t>
            </w:r>
            <w:r>
              <w:rPr>
                <w:spacing w:val="-2"/>
                <w:sz w:val="20"/>
              </w:rPr>
              <w:t>Issues</w:t>
            </w:r>
          </w:p>
        </w:tc>
      </w:tr>
    </w:tbl>
    <w:p>
      <w:pPr>
        <w:pStyle w:val="BodyText"/>
        <w:spacing w:line="259" w:lineRule="auto" w:before="169"/>
        <w:ind w:left="479" w:right="190"/>
      </w:pPr>
      <w:r>
        <w:rPr/>
        <w:t>In response, the OPGS team has engaged over 2,000 community stakeholders and in concert with 40</w:t>
      </w:r>
      <w:r>
        <w:rPr>
          <w:spacing w:val="-5"/>
        </w:rPr>
        <w:t> </w:t>
      </w:r>
      <w:r>
        <w:rPr/>
        <w:t>community-based</w:t>
      </w:r>
      <w:r>
        <w:rPr>
          <w:spacing w:val="-4"/>
        </w:rPr>
        <w:t> </w:t>
      </w:r>
      <w:r>
        <w:rPr/>
        <w:t>partners</w:t>
      </w:r>
      <w:r>
        <w:rPr>
          <w:spacing w:val="-4"/>
        </w:rPr>
        <w:t> </w:t>
      </w:r>
      <w:r>
        <w:rPr/>
        <w:t>spearheaded</w:t>
      </w:r>
      <w:r>
        <w:rPr>
          <w:spacing w:val="-4"/>
        </w:rPr>
        <w:t> </w:t>
      </w:r>
      <w:r>
        <w:rPr/>
        <w:t>over</w:t>
      </w:r>
      <w:r>
        <w:rPr>
          <w:spacing w:val="-3"/>
        </w:rPr>
        <w:t> </w:t>
      </w:r>
      <w:r>
        <w:rPr/>
        <w:t>twenty-three</w:t>
      </w:r>
      <w:r>
        <w:rPr>
          <w:spacing w:val="-5"/>
        </w:rPr>
        <w:t> </w:t>
      </w:r>
      <w:r>
        <w:rPr/>
        <w:t>(23)</w:t>
      </w:r>
      <w:r>
        <w:rPr>
          <w:spacing w:val="-4"/>
        </w:rPr>
        <w:t> </w:t>
      </w:r>
      <w:r>
        <w:rPr/>
        <w:t>initiatives.</w:t>
      </w:r>
      <w:r>
        <w:rPr>
          <w:spacing w:val="-4"/>
        </w:rPr>
        <w:t> </w:t>
      </w:r>
      <w:r>
        <w:rPr/>
        <w:t>On</w:t>
      </w:r>
      <w:r>
        <w:rPr>
          <w:spacing w:val="-5"/>
        </w:rPr>
        <w:t> </w:t>
      </w:r>
      <w:r>
        <w:rPr/>
        <w:t>the</w:t>
      </w:r>
      <w:r>
        <w:rPr>
          <w:spacing w:val="-3"/>
        </w:rPr>
        <w:t> </w:t>
      </w:r>
      <w:r>
        <w:rPr/>
        <w:t>next</w:t>
      </w:r>
      <w:r>
        <w:rPr>
          <w:spacing w:val="-3"/>
        </w:rPr>
        <w:t> </w:t>
      </w:r>
      <w:r>
        <w:rPr/>
        <w:t>two</w:t>
      </w:r>
      <w:r>
        <w:rPr>
          <w:spacing w:val="-4"/>
        </w:rPr>
        <w:t> </w:t>
      </w:r>
      <w:r>
        <w:rPr/>
        <w:t>pages are year-over-year examples of milestones and accomplishments achieved in the course of that </w:t>
      </w:r>
      <w:r>
        <w:rPr>
          <w:spacing w:val="-4"/>
        </w:rPr>
        <w:t>work.</w:t>
      </w:r>
    </w:p>
    <w:p>
      <w:pPr>
        <w:spacing w:after="0" w:line="259" w:lineRule="auto"/>
        <w:sectPr>
          <w:pgSz w:w="12240" w:h="15840"/>
          <w:pgMar w:header="438" w:footer="444" w:top="1320" w:bottom="640" w:left="960" w:right="1320"/>
        </w:sectPr>
      </w:pPr>
    </w:p>
    <w:p>
      <w:pPr>
        <w:pStyle w:val="Heading2"/>
        <w:rPr>
          <w:i/>
        </w:rPr>
      </w:pPr>
      <w:bookmarkStart w:name="Accomplishments and Milestones" w:id="22"/>
      <w:bookmarkEnd w:id="22"/>
      <w:r>
        <w:rPr>
          <w:i w:val="0"/>
        </w:rPr>
      </w:r>
      <w:bookmarkStart w:name="_bookmark11" w:id="23"/>
      <w:bookmarkEnd w:id="23"/>
      <w:r>
        <w:rPr>
          <w:i w:val="0"/>
        </w:rPr>
      </w:r>
      <w:r>
        <w:rPr>
          <w:i/>
          <w:color w:val="072858"/>
          <w:spacing w:val="-2"/>
        </w:rPr>
        <w:t>Accomplishments</w:t>
      </w:r>
      <w:r>
        <w:rPr>
          <w:i/>
          <w:color w:val="072858"/>
        </w:rPr>
        <w:t> </w:t>
      </w:r>
      <w:r>
        <w:rPr>
          <w:i/>
          <w:color w:val="072858"/>
          <w:spacing w:val="-2"/>
        </w:rPr>
        <w:t>and</w:t>
      </w:r>
      <w:r>
        <w:rPr>
          <w:i/>
          <w:color w:val="072858"/>
          <w:spacing w:val="1"/>
        </w:rPr>
        <w:t> </w:t>
      </w:r>
      <w:r>
        <w:rPr>
          <w:i/>
          <w:color w:val="072858"/>
          <w:spacing w:val="-2"/>
        </w:rPr>
        <w:t>Milestones</w:t>
      </w:r>
    </w:p>
    <w:p>
      <w:pPr>
        <w:pStyle w:val="BodyText"/>
        <w:rPr>
          <w:i/>
          <w:sz w:val="20"/>
        </w:rPr>
      </w:pPr>
    </w:p>
    <w:p>
      <w:pPr>
        <w:pStyle w:val="BodyText"/>
        <w:spacing w:before="2"/>
        <w:rPr>
          <w:i/>
          <w:sz w:val="24"/>
        </w:rPr>
      </w:pPr>
      <w:r>
        <w:rPr/>
        <w:drawing>
          <wp:anchor distT="0" distB="0" distL="0" distR="0" allowOverlap="1" layoutInCell="1" locked="0" behindDoc="0" simplePos="0" relativeHeight="6">
            <wp:simplePos x="0" y="0"/>
            <wp:positionH relativeFrom="page">
              <wp:posOffset>914400</wp:posOffset>
            </wp:positionH>
            <wp:positionV relativeFrom="paragraph">
              <wp:posOffset>189919</wp:posOffset>
            </wp:positionV>
            <wp:extent cx="5943959" cy="3304032"/>
            <wp:effectExtent l="0" t="0" r="0" b="0"/>
            <wp:wrapTopAndBottom/>
            <wp:docPr id="11" name="image7.png" descr="Text  Description automatically generated "/>
            <wp:cNvGraphicFramePr>
              <a:graphicFrameLocks noChangeAspect="1"/>
            </wp:cNvGraphicFramePr>
            <a:graphic>
              <a:graphicData uri="http://schemas.openxmlformats.org/drawingml/2006/picture">
                <pic:pic>
                  <pic:nvPicPr>
                    <pic:cNvPr id="12" name="image7.png"/>
                    <pic:cNvPicPr/>
                  </pic:nvPicPr>
                  <pic:blipFill>
                    <a:blip r:embed="rId13" cstate="print"/>
                    <a:stretch>
                      <a:fillRect/>
                    </a:stretch>
                  </pic:blipFill>
                  <pic:spPr>
                    <a:xfrm>
                      <a:off x="0" y="0"/>
                      <a:ext cx="5943959" cy="3304032"/>
                    </a:xfrm>
                    <a:prstGeom prst="rect">
                      <a:avLst/>
                    </a:prstGeom>
                  </pic:spPr>
                </pic:pic>
              </a:graphicData>
            </a:graphic>
          </wp:anchor>
        </w:drawing>
      </w:r>
      <w:r>
        <w:rPr/>
        <w:drawing>
          <wp:anchor distT="0" distB="0" distL="0" distR="0" allowOverlap="1" layoutInCell="1" locked="0" behindDoc="0" simplePos="0" relativeHeight="7">
            <wp:simplePos x="0" y="0"/>
            <wp:positionH relativeFrom="page">
              <wp:posOffset>914400</wp:posOffset>
            </wp:positionH>
            <wp:positionV relativeFrom="paragraph">
              <wp:posOffset>3637207</wp:posOffset>
            </wp:positionV>
            <wp:extent cx="5860212" cy="3944207"/>
            <wp:effectExtent l="0" t="0" r="0" b="0"/>
            <wp:wrapTopAndBottom/>
            <wp:docPr id="13" name="image8.png" descr="A group of people sitting in a room  Description automatically generated with medium confidence "/>
            <wp:cNvGraphicFramePr>
              <a:graphicFrameLocks noChangeAspect="1"/>
            </wp:cNvGraphicFramePr>
            <a:graphic>
              <a:graphicData uri="http://schemas.openxmlformats.org/drawingml/2006/picture">
                <pic:pic>
                  <pic:nvPicPr>
                    <pic:cNvPr id="14" name="image8.png"/>
                    <pic:cNvPicPr/>
                  </pic:nvPicPr>
                  <pic:blipFill>
                    <a:blip r:embed="rId14" cstate="print"/>
                    <a:stretch>
                      <a:fillRect/>
                    </a:stretch>
                  </pic:blipFill>
                  <pic:spPr>
                    <a:xfrm>
                      <a:off x="0" y="0"/>
                      <a:ext cx="5860212" cy="3944207"/>
                    </a:xfrm>
                    <a:prstGeom prst="rect">
                      <a:avLst/>
                    </a:prstGeom>
                  </pic:spPr>
                </pic:pic>
              </a:graphicData>
            </a:graphic>
          </wp:anchor>
        </w:drawing>
      </w:r>
    </w:p>
    <w:p>
      <w:pPr>
        <w:pStyle w:val="BodyText"/>
        <w:spacing w:before="8"/>
        <w:rPr>
          <w:i/>
          <w:sz w:val="17"/>
        </w:rPr>
      </w:pPr>
    </w:p>
    <w:p>
      <w:pPr>
        <w:spacing w:after="0"/>
        <w:rPr>
          <w:sz w:val="17"/>
        </w:rPr>
        <w:sectPr>
          <w:pgSz w:w="12240" w:h="15840"/>
          <w:pgMar w:header="438" w:footer="444" w:top="1320" w:bottom="640" w:left="960" w:right="1320"/>
        </w:sectPr>
      </w:pPr>
    </w:p>
    <w:p>
      <w:pPr>
        <w:pStyle w:val="BodyText"/>
        <w:rPr>
          <w:i/>
          <w:sz w:val="9"/>
        </w:rPr>
      </w:pPr>
    </w:p>
    <w:p>
      <w:pPr>
        <w:pStyle w:val="BodyText"/>
        <w:ind w:left="480"/>
        <w:rPr>
          <w:sz w:val="20"/>
        </w:rPr>
      </w:pPr>
      <w:r>
        <w:rPr>
          <w:sz w:val="20"/>
        </w:rPr>
        <w:drawing>
          <wp:inline distT="0" distB="0" distL="0" distR="0">
            <wp:extent cx="5944336" cy="3621024"/>
            <wp:effectExtent l="0" t="0" r="0" b="0"/>
            <wp:docPr id="15" name="image9.png" descr="Graphical user interface, text, application  Description automatically generated "/>
            <wp:cNvGraphicFramePr>
              <a:graphicFrameLocks noChangeAspect="1"/>
            </wp:cNvGraphicFramePr>
            <a:graphic>
              <a:graphicData uri="http://schemas.openxmlformats.org/drawingml/2006/picture">
                <pic:pic>
                  <pic:nvPicPr>
                    <pic:cNvPr id="16" name="image9.png"/>
                    <pic:cNvPicPr/>
                  </pic:nvPicPr>
                  <pic:blipFill>
                    <a:blip r:embed="rId15" cstate="print"/>
                    <a:stretch>
                      <a:fillRect/>
                    </a:stretch>
                  </pic:blipFill>
                  <pic:spPr>
                    <a:xfrm>
                      <a:off x="0" y="0"/>
                      <a:ext cx="5944336" cy="3621024"/>
                    </a:xfrm>
                    <a:prstGeom prst="rect">
                      <a:avLst/>
                    </a:prstGeom>
                  </pic:spPr>
                </pic:pic>
              </a:graphicData>
            </a:graphic>
          </wp:inline>
        </w:drawing>
      </w:r>
      <w:r>
        <w:rPr>
          <w:sz w:val="20"/>
        </w:rPr>
      </w:r>
    </w:p>
    <w:p>
      <w:pPr>
        <w:pStyle w:val="BodyText"/>
        <w:spacing w:before="3"/>
        <w:rPr>
          <w:i/>
          <w:sz w:val="19"/>
        </w:rPr>
      </w:pPr>
      <w:r>
        <w:rPr/>
        <w:drawing>
          <wp:anchor distT="0" distB="0" distL="0" distR="0" allowOverlap="1" layoutInCell="1" locked="0" behindDoc="0" simplePos="0" relativeHeight="8">
            <wp:simplePos x="0" y="0"/>
            <wp:positionH relativeFrom="page">
              <wp:posOffset>914400</wp:posOffset>
            </wp:positionH>
            <wp:positionV relativeFrom="paragraph">
              <wp:posOffset>154304</wp:posOffset>
            </wp:positionV>
            <wp:extent cx="5760317" cy="3779520"/>
            <wp:effectExtent l="0" t="0" r="0" b="0"/>
            <wp:wrapTopAndBottom/>
            <wp:docPr id="17" name="image10.png"/>
            <wp:cNvGraphicFramePr>
              <a:graphicFrameLocks noChangeAspect="1"/>
            </wp:cNvGraphicFramePr>
            <a:graphic>
              <a:graphicData uri="http://schemas.openxmlformats.org/drawingml/2006/picture">
                <pic:pic>
                  <pic:nvPicPr>
                    <pic:cNvPr id="18" name="image10.png"/>
                    <pic:cNvPicPr/>
                  </pic:nvPicPr>
                  <pic:blipFill>
                    <a:blip r:embed="rId16" cstate="print"/>
                    <a:stretch>
                      <a:fillRect/>
                    </a:stretch>
                  </pic:blipFill>
                  <pic:spPr>
                    <a:xfrm>
                      <a:off x="0" y="0"/>
                      <a:ext cx="5760317" cy="3779520"/>
                    </a:xfrm>
                    <a:prstGeom prst="rect">
                      <a:avLst/>
                    </a:prstGeom>
                  </pic:spPr>
                </pic:pic>
              </a:graphicData>
            </a:graphic>
          </wp:anchor>
        </w:drawing>
      </w:r>
    </w:p>
    <w:p>
      <w:pPr>
        <w:spacing w:after="0"/>
        <w:rPr>
          <w:sz w:val="19"/>
        </w:rPr>
        <w:sectPr>
          <w:pgSz w:w="12240" w:h="15840"/>
          <w:pgMar w:header="438" w:footer="444" w:top="1320" w:bottom="640" w:left="960" w:right="1320"/>
        </w:sectPr>
      </w:pPr>
    </w:p>
    <w:p>
      <w:pPr>
        <w:pStyle w:val="BodyText"/>
        <w:rPr>
          <w:i/>
          <w:sz w:val="9"/>
        </w:rPr>
      </w:pPr>
    </w:p>
    <w:p>
      <w:pPr>
        <w:pStyle w:val="BodyText"/>
        <w:ind w:left="480"/>
        <w:rPr>
          <w:sz w:val="20"/>
        </w:rPr>
      </w:pPr>
      <w:r>
        <w:rPr>
          <w:sz w:val="20"/>
        </w:rPr>
        <w:drawing>
          <wp:inline distT="0" distB="0" distL="0" distR="0">
            <wp:extent cx="5943810" cy="3483864"/>
            <wp:effectExtent l="0" t="0" r="0" b="0"/>
            <wp:docPr id="19" name="image11.png" descr="Graphical user interface, text, application  Description automatically generated "/>
            <wp:cNvGraphicFramePr>
              <a:graphicFrameLocks noChangeAspect="1"/>
            </wp:cNvGraphicFramePr>
            <a:graphic>
              <a:graphicData uri="http://schemas.openxmlformats.org/drawingml/2006/picture">
                <pic:pic>
                  <pic:nvPicPr>
                    <pic:cNvPr id="20" name="image11.png"/>
                    <pic:cNvPicPr/>
                  </pic:nvPicPr>
                  <pic:blipFill>
                    <a:blip r:embed="rId17" cstate="print"/>
                    <a:stretch>
                      <a:fillRect/>
                    </a:stretch>
                  </pic:blipFill>
                  <pic:spPr>
                    <a:xfrm>
                      <a:off x="0" y="0"/>
                      <a:ext cx="5943810" cy="3483864"/>
                    </a:xfrm>
                    <a:prstGeom prst="rect">
                      <a:avLst/>
                    </a:prstGeom>
                  </pic:spPr>
                </pic:pic>
              </a:graphicData>
            </a:graphic>
          </wp:inline>
        </w:drawing>
      </w:r>
      <w:r>
        <w:rPr>
          <w:sz w:val="20"/>
        </w:rPr>
      </w:r>
    </w:p>
    <w:p>
      <w:pPr>
        <w:pStyle w:val="BodyText"/>
        <w:spacing w:before="10"/>
        <w:rPr>
          <w:i/>
          <w:sz w:val="15"/>
        </w:rPr>
      </w:pPr>
      <w:r>
        <w:rPr/>
        <w:drawing>
          <wp:anchor distT="0" distB="0" distL="0" distR="0" allowOverlap="1" layoutInCell="1" locked="0" behindDoc="0" simplePos="0" relativeHeight="9">
            <wp:simplePos x="0" y="0"/>
            <wp:positionH relativeFrom="page">
              <wp:posOffset>914400</wp:posOffset>
            </wp:positionH>
            <wp:positionV relativeFrom="paragraph">
              <wp:posOffset>130022</wp:posOffset>
            </wp:positionV>
            <wp:extent cx="5760894" cy="3448812"/>
            <wp:effectExtent l="0" t="0" r="0" b="0"/>
            <wp:wrapTopAndBottom/>
            <wp:docPr id="21" name="image12.png"/>
            <wp:cNvGraphicFramePr>
              <a:graphicFrameLocks noChangeAspect="1"/>
            </wp:cNvGraphicFramePr>
            <a:graphic>
              <a:graphicData uri="http://schemas.openxmlformats.org/drawingml/2006/picture">
                <pic:pic>
                  <pic:nvPicPr>
                    <pic:cNvPr id="22" name="image12.png"/>
                    <pic:cNvPicPr/>
                  </pic:nvPicPr>
                  <pic:blipFill>
                    <a:blip r:embed="rId18" cstate="print"/>
                    <a:stretch>
                      <a:fillRect/>
                    </a:stretch>
                  </pic:blipFill>
                  <pic:spPr>
                    <a:xfrm>
                      <a:off x="0" y="0"/>
                      <a:ext cx="5760894" cy="3448812"/>
                    </a:xfrm>
                    <a:prstGeom prst="rect">
                      <a:avLst/>
                    </a:prstGeom>
                  </pic:spPr>
                </pic:pic>
              </a:graphicData>
            </a:graphic>
          </wp:anchor>
        </w:drawing>
      </w:r>
    </w:p>
    <w:p>
      <w:pPr>
        <w:spacing w:after="0"/>
        <w:rPr>
          <w:sz w:val="15"/>
        </w:rPr>
        <w:sectPr>
          <w:pgSz w:w="12240" w:h="15840"/>
          <w:pgMar w:header="438" w:footer="444" w:top="1320" w:bottom="640" w:left="960" w:right="1320"/>
        </w:sectPr>
      </w:pPr>
    </w:p>
    <w:p>
      <w:pPr>
        <w:pStyle w:val="BodyText"/>
        <w:rPr>
          <w:i/>
          <w:sz w:val="29"/>
        </w:rPr>
      </w:pPr>
    </w:p>
    <w:p>
      <w:pPr>
        <w:pStyle w:val="BodyText"/>
        <w:ind w:left="480"/>
        <w:rPr>
          <w:sz w:val="20"/>
        </w:rPr>
      </w:pPr>
      <w:r>
        <w:rPr>
          <w:sz w:val="20"/>
        </w:rPr>
        <w:drawing>
          <wp:inline distT="0" distB="0" distL="0" distR="0">
            <wp:extent cx="5943642" cy="3429000"/>
            <wp:effectExtent l="0" t="0" r="0" b="0"/>
            <wp:docPr id="23" name="image13.png"/>
            <wp:cNvGraphicFramePr>
              <a:graphicFrameLocks noChangeAspect="1"/>
            </wp:cNvGraphicFramePr>
            <a:graphic>
              <a:graphicData uri="http://schemas.openxmlformats.org/drawingml/2006/picture">
                <pic:pic>
                  <pic:nvPicPr>
                    <pic:cNvPr id="24" name="image13.png"/>
                    <pic:cNvPicPr/>
                  </pic:nvPicPr>
                  <pic:blipFill>
                    <a:blip r:embed="rId19" cstate="print"/>
                    <a:stretch>
                      <a:fillRect/>
                    </a:stretch>
                  </pic:blipFill>
                  <pic:spPr>
                    <a:xfrm>
                      <a:off x="0" y="0"/>
                      <a:ext cx="5943642" cy="3429000"/>
                    </a:xfrm>
                    <a:prstGeom prst="rect">
                      <a:avLst/>
                    </a:prstGeom>
                  </pic:spPr>
                </pic:pic>
              </a:graphicData>
            </a:graphic>
          </wp:inline>
        </w:drawing>
      </w:r>
      <w:r>
        <w:rPr>
          <w:sz w:val="20"/>
        </w:rPr>
      </w:r>
    </w:p>
    <w:p>
      <w:pPr>
        <w:pStyle w:val="BodyText"/>
        <w:spacing w:before="10"/>
        <w:rPr>
          <w:i/>
          <w:sz w:val="17"/>
        </w:rPr>
      </w:pPr>
      <w:r>
        <w:rPr/>
        <w:drawing>
          <wp:anchor distT="0" distB="0" distL="0" distR="0" allowOverlap="1" layoutInCell="1" locked="0" behindDoc="0" simplePos="0" relativeHeight="10">
            <wp:simplePos x="0" y="0"/>
            <wp:positionH relativeFrom="page">
              <wp:posOffset>914400</wp:posOffset>
            </wp:positionH>
            <wp:positionV relativeFrom="paragraph">
              <wp:posOffset>144018</wp:posOffset>
            </wp:positionV>
            <wp:extent cx="5760147" cy="3779520"/>
            <wp:effectExtent l="0" t="0" r="0" b="0"/>
            <wp:wrapTopAndBottom/>
            <wp:docPr id="25" name="image14.png"/>
            <wp:cNvGraphicFramePr>
              <a:graphicFrameLocks noChangeAspect="1"/>
            </wp:cNvGraphicFramePr>
            <a:graphic>
              <a:graphicData uri="http://schemas.openxmlformats.org/drawingml/2006/picture">
                <pic:pic>
                  <pic:nvPicPr>
                    <pic:cNvPr id="26" name="image14.png"/>
                    <pic:cNvPicPr/>
                  </pic:nvPicPr>
                  <pic:blipFill>
                    <a:blip r:embed="rId20" cstate="print"/>
                    <a:stretch>
                      <a:fillRect/>
                    </a:stretch>
                  </pic:blipFill>
                  <pic:spPr>
                    <a:xfrm>
                      <a:off x="0" y="0"/>
                      <a:ext cx="5760147" cy="3779520"/>
                    </a:xfrm>
                    <a:prstGeom prst="rect">
                      <a:avLst/>
                    </a:prstGeom>
                  </pic:spPr>
                </pic:pic>
              </a:graphicData>
            </a:graphic>
          </wp:anchor>
        </w:drawing>
      </w:r>
    </w:p>
    <w:p>
      <w:pPr>
        <w:spacing w:after="0"/>
        <w:rPr>
          <w:sz w:val="17"/>
        </w:rPr>
        <w:sectPr>
          <w:pgSz w:w="12240" w:h="15840"/>
          <w:pgMar w:header="438" w:footer="444" w:top="1320" w:bottom="640" w:left="960" w:right="1320"/>
        </w:sectPr>
      </w:pPr>
    </w:p>
    <w:p>
      <w:pPr>
        <w:pStyle w:val="BodyText"/>
        <w:spacing w:line="259" w:lineRule="auto" w:before="102"/>
        <w:ind w:left="480"/>
      </w:pPr>
      <w:r>
        <w:rPr/>
        <w:t>In addition to these accomplishments, OPGS has empowered and equipped people to help the individuals and communities they love prevent and mitigate harms from problem gambling and strengthen</w:t>
      </w:r>
      <w:r>
        <w:rPr>
          <w:spacing w:val="-5"/>
        </w:rPr>
        <w:t> </w:t>
      </w:r>
      <w:r>
        <w:rPr/>
        <w:t>community-level</w:t>
      </w:r>
      <w:r>
        <w:rPr>
          <w:spacing w:val="-6"/>
        </w:rPr>
        <w:t> </w:t>
      </w:r>
      <w:r>
        <w:rPr/>
        <w:t>and</w:t>
      </w:r>
      <w:r>
        <w:rPr>
          <w:spacing w:val="-5"/>
        </w:rPr>
        <w:t> </w:t>
      </w:r>
      <w:r>
        <w:rPr/>
        <w:t>culturally</w:t>
      </w:r>
      <w:r>
        <w:rPr>
          <w:spacing w:val="-5"/>
        </w:rPr>
        <w:t> </w:t>
      </w:r>
      <w:r>
        <w:rPr/>
        <w:t>appropriate</w:t>
      </w:r>
      <w:r>
        <w:rPr>
          <w:spacing w:val="-6"/>
        </w:rPr>
        <w:t> </w:t>
      </w:r>
      <w:r>
        <w:rPr/>
        <w:t>prevention,</w:t>
      </w:r>
      <w:r>
        <w:rPr>
          <w:spacing w:val="-5"/>
        </w:rPr>
        <w:t> </w:t>
      </w:r>
      <w:r>
        <w:rPr/>
        <w:t>treatment,</w:t>
      </w:r>
      <w:r>
        <w:rPr>
          <w:spacing w:val="-3"/>
        </w:rPr>
        <w:t> </w:t>
      </w:r>
      <w:r>
        <w:rPr/>
        <w:t>and</w:t>
      </w:r>
      <w:r>
        <w:rPr>
          <w:spacing w:val="-5"/>
        </w:rPr>
        <w:t> </w:t>
      </w:r>
      <w:r>
        <w:rPr/>
        <w:t>recovery</w:t>
      </w:r>
      <w:r>
        <w:rPr>
          <w:spacing w:val="-5"/>
        </w:rPr>
        <w:t> </w:t>
      </w:r>
      <w:r>
        <w:rPr/>
        <w:t>services, </w:t>
      </w:r>
      <w:r>
        <w:rPr>
          <w:spacing w:val="-2"/>
        </w:rPr>
        <w:t>including:</w:t>
      </w:r>
    </w:p>
    <w:p>
      <w:pPr>
        <w:pStyle w:val="ListParagraph"/>
        <w:numPr>
          <w:ilvl w:val="0"/>
          <w:numId w:val="2"/>
        </w:numPr>
        <w:tabs>
          <w:tab w:pos="1200" w:val="left" w:leader="none"/>
        </w:tabs>
        <w:spacing w:line="256" w:lineRule="auto" w:before="161" w:after="0"/>
        <w:ind w:left="1200" w:right="422" w:hanging="361"/>
        <w:jc w:val="both"/>
        <w:rPr>
          <w:rFonts w:ascii="Symbol" w:hAnsi="Symbol"/>
          <w:color w:val="3A3A3A"/>
          <w:sz w:val="22"/>
        </w:rPr>
      </w:pPr>
      <w:r>
        <w:rPr>
          <w:sz w:val="22"/>
        </w:rPr>
        <w:t>Developing</w:t>
      </w:r>
      <w:r>
        <w:rPr>
          <w:spacing w:val="-4"/>
          <w:sz w:val="22"/>
        </w:rPr>
        <w:t> </w:t>
      </w:r>
      <w:r>
        <w:rPr>
          <w:sz w:val="22"/>
        </w:rPr>
        <w:t>and</w:t>
      </w:r>
      <w:r>
        <w:rPr>
          <w:spacing w:val="-4"/>
          <w:sz w:val="22"/>
        </w:rPr>
        <w:t> </w:t>
      </w:r>
      <w:r>
        <w:rPr>
          <w:sz w:val="22"/>
        </w:rPr>
        <w:t>implementing</w:t>
      </w:r>
      <w:r>
        <w:rPr>
          <w:spacing w:val="-4"/>
          <w:sz w:val="22"/>
        </w:rPr>
        <w:t> </w:t>
      </w:r>
      <w:r>
        <w:rPr>
          <w:sz w:val="22"/>
        </w:rPr>
        <w:t>the</w:t>
      </w:r>
      <w:r>
        <w:rPr>
          <w:spacing w:val="-4"/>
          <w:sz w:val="22"/>
        </w:rPr>
        <w:t> </w:t>
      </w:r>
      <w:r>
        <w:rPr>
          <w:sz w:val="22"/>
        </w:rPr>
        <w:t>MassMen</w:t>
      </w:r>
      <w:r>
        <w:rPr>
          <w:spacing w:val="-5"/>
          <w:sz w:val="22"/>
        </w:rPr>
        <w:t> </w:t>
      </w:r>
      <w:r>
        <w:rPr>
          <w:sz w:val="22"/>
        </w:rPr>
        <w:t>and</w:t>
      </w:r>
      <w:r>
        <w:rPr>
          <w:spacing w:val="-3"/>
          <w:sz w:val="22"/>
        </w:rPr>
        <w:t> </w:t>
      </w:r>
      <w:r>
        <w:rPr>
          <w:sz w:val="22"/>
        </w:rPr>
        <w:t>Gambling</w:t>
      </w:r>
      <w:r>
        <w:rPr>
          <w:spacing w:val="-4"/>
          <w:sz w:val="22"/>
        </w:rPr>
        <w:t> </w:t>
      </w:r>
      <w:r>
        <w:rPr>
          <w:sz w:val="22"/>
        </w:rPr>
        <w:t>Project,</w:t>
      </w:r>
      <w:r>
        <w:rPr>
          <w:spacing w:val="-4"/>
          <w:sz w:val="22"/>
        </w:rPr>
        <w:t> </w:t>
      </w:r>
      <w:r>
        <w:rPr>
          <w:sz w:val="22"/>
        </w:rPr>
        <w:t>a</w:t>
      </w:r>
      <w:r>
        <w:rPr>
          <w:spacing w:val="-4"/>
          <w:sz w:val="22"/>
        </w:rPr>
        <w:t> </w:t>
      </w:r>
      <w:r>
        <w:rPr>
          <w:sz w:val="22"/>
        </w:rPr>
        <w:t>self-assessment</w:t>
      </w:r>
      <w:r>
        <w:rPr>
          <w:spacing w:val="-5"/>
          <w:sz w:val="22"/>
        </w:rPr>
        <w:t> </w:t>
      </w:r>
      <w:r>
        <w:rPr>
          <w:sz w:val="22"/>
        </w:rPr>
        <w:t>and screening and resource tool for men on MassMen.org.</w:t>
      </w:r>
    </w:p>
    <w:p>
      <w:pPr>
        <w:pStyle w:val="ListParagraph"/>
        <w:numPr>
          <w:ilvl w:val="0"/>
          <w:numId w:val="2"/>
        </w:numPr>
        <w:tabs>
          <w:tab w:pos="1200" w:val="left" w:leader="none"/>
        </w:tabs>
        <w:spacing w:line="256" w:lineRule="auto" w:before="3" w:after="0"/>
        <w:ind w:left="1200" w:right="243" w:hanging="360"/>
        <w:jc w:val="both"/>
        <w:rPr>
          <w:rFonts w:ascii="Symbol" w:hAnsi="Symbol"/>
          <w:color w:val="3A3A3A"/>
          <w:sz w:val="22"/>
        </w:rPr>
      </w:pPr>
      <w:r>
        <w:rPr>
          <w:sz w:val="22"/>
        </w:rPr>
        <w:t>Convening</w:t>
      </w:r>
      <w:r>
        <w:rPr>
          <w:spacing w:val="-1"/>
          <w:sz w:val="22"/>
        </w:rPr>
        <w:t> </w:t>
      </w:r>
      <w:r>
        <w:rPr>
          <w:sz w:val="22"/>
        </w:rPr>
        <w:t>the</w:t>
      </w:r>
      <w:r>
        <w:rPr>
          <w:spacing w:val="-2"/>
          <w:sz w:val="22"/>
        </w:rPr>
        <w:t> </w:t>
      </w:r>
      <w:r>
        <w:rPr>
          <w:sz w:val="22"/>
        </w:rPr>
        <w:t>Community-Level</w:t>
      </w:r>
      <w:r>
        <w:rPr>
          <w:spacing w:val="-1"/>
          <w:sz w:val="22"/>
        </w:rPr>
        <w:t> </w:t>
      </w:r>
      <w:r>
        <w:rPr>
          <w:sz w:val="22"/>
        </w:rPr>
        <w:t>Health</w:t>
      </w:r>
      <w:r>
        <w:rPr>
          <w:spacing w:val="-1"/>
          <w:sz w:val="22"/>
        </w:rPr>
        <w:t> </w:t>
      </w:r>
      <w:r>
        <w:rPr>
          <w:sz w:val="22"/>
        </w:rPr>
        <w:t>Project,</w:t>
      </w:r>
      <w:r>
        <w:rPr>
          <w:spacing w:val="-1"/>
          <w:sz w:val="22"/>
        </w:rPr>
        <w:t> </w:t>
      </w:r>
      <w:r>
        <w:rPr>
          <w:sz w:val="22"/>
        </w:rPr>
        <w:t>a</w:t>
      </w:r>
      <w:r>
        <w:rPr>
          <w:spacing w:val="-2"/>
          <w:sz w:val="22"/>
        </w:rPr>
        <w:t> </w:t>
      </w:r>
      <w:r>
        <w:rPr>
          <w:sz w:val="22"/>
        </w:rPr>
        <w:t>community-driven</w:t>
      </w:r>
      <w:r>
        <w:rPr>
          <w:spacing w:val="-2"/>
          <w:sz w:val="22"/>
        </w:rPr>
        <w:t> </w:t>
      </w:r>
      <w:r>
        <w:rPr>
          <w:sz w:val="22"/>
        </w:rPr>
        <w:t>initiative</w:t>
      </w:r>
      <w:r>
        <w:rPr>
          <w:spacing w:val="-2"/>
          <w:sz w:val="22"/>
        </w:rPr>
        <w:t> </w:t>
      </w:r>
      <w:r>
        <w:rPr>
          <w:sz w:val="22"/>
        </w:rPr>
        <w:t>to</w:t>
      </w:r>
      <w:r>
        <w:rPr>
          <w:spacing w:val="-1"/>
          <w:sz w:val="22"/>
        </w:rPr>
        <w:t> </w:t>
      </w:r>
      <w:r>
        <w:rPr>
          <w:sz w:val="22"/>
        </w:rPr>
        <w:t>identify</w:t>
      </w:r>
      <w:r>
        <w:rPr>
          <w:spacing w:val="-1"/>
          <w:sz w:val="22"/>
        </w:rPr>
        <w:t> </w:t>
      </w:r>
      <w:r>
        <w:rPr>
          <w:sz w:val="22"/>
        </w:rPr>
        <w:t>and address</w:t>
      </w:r>
      <w:r>
        <w:rPr>
          <w:spacing w:val="-4"/>
          <w:sz w:val="22"/>
        </w:rPr>
        <w:t> </w:t>
      </w:r>
      <w:r>
        <w:rPr>
          <w:sz w:val="22"/>
        </w:rPr>
        <w:t>specific</w:t>
      </w:r>
      <w:r>
        <w:rPr>
          <w:spacing w:val="-5"/>
          <w:sz w:val="22"/>
        </w:rPr>
        <w:t> </w:t>
      </w:r>
      <w:r>
        <w:rPr>
          <w:sz w:val="22"/>
        </w:rPr>
        <w:t>gambling-related</w:t>
      </w:r>
      <w:r>
        <w:rPr>
          <w:spacing w:val="-4"/>
          <w:sz w:val="22"/>
        </w:rPr>
        <w:t> </w:t>
      </w:r>
      <w:r>
        <w:rPr>
          <w:sz w:val="22"/>
        </w:rPr>
        <w:t>health</w:t>
      </w:r>
      <w:r>
        <w:rPr>
          <w:spacing w:val="-4"/>
          <w:sz w:val="22"/>
        </w:rPr>
        <w:t> </w:t>
      </w:r>
      <w:r>
        <w:rPr>
          <w:sz w:val="22"/>
        </w:rPr>
        <w:t>concerns</w:t>
      </w:r>
      <w:r>
        <w:rPr>
          <w:spacing w:val="-3"/>
          <w:sz w:val="22"/>
        </w:rPr>
        <w:t> </w:t>
      </w:r>
      <w:r>
        <w:rPr>
          <w:sz w:val="22"/>
        </w:rPr>
        <w:t>and</w:t>
      </w:r>
      <w:r>
        <w:rPr>
          <w:spacing w:val="-4"/>
          <w:sz w:val="22"/>
        </w:rPr>
        <w:t> </w:t>
      </w:r>
      <w:r>
        <w:rPr>
          <w:sz w:val="22"/>
        </w:rPr>
        <w:t>outline</w:t>
      </w:r>
      <w:r>
        <w:rPr>
          <w:spacing w:val="-5"/>
          <w:sz w:val="22"/>
        </w:rPr>
        <w:t> </w:t>
      </w:r>
      <w:r>
        <w:rPr>
          <w:sz w:val="22"/>
        </w:rPr>
        <w:t>improvement</w:t>
      </w:r>
      <w:r>
        <w:rPr>
          <w:spacing w:val="-4"/>
          <w:sz w:val="22"/>
        </w:rPr>
        <w:t> </w:t>
      </w:r>
      <w:r>
        <w:rPr>
          <w:sz w:val="22"/>
        </w:rPr>
        <w:t>initiatives</w:t>
      </w:r>
      <w:r>
        <w:rPr>
          <w:spacing w:val="-4"/>
          <w:sz w:val="22"/>
        </w:rPr>
        <w:t> </w:t>
      </w:r>
      <w:r>
        <w:rPr>
          <w:sz w:val="22"/>
        </w:rPr>
        <w:t>to</w:t>
      </w:r>
      <w:r>
        <w:rPr>
          <w:spacing w:val="-3"/>
          <w:sz w:val="22"/>
        </w:rPr>
        <w:t> </w:t>
      </w:r>
      <w:r>
        <w:rPr>
          <w:sz w:val="22"/>
        </w:rPr>
        <w:t>be carried out at the community level in Springfield and Everett.</w:t>
      </w:r>
    </w:p>
    <w:p>
      <w:pPr>
        <w:pStyle w:val="ListParagraph"/>
        <w:numPr>
          <w:ilvl w:val="0"/>
          <w:numId w:val="2"/>
        </w:numPr>
        <w:tabs>
          <w:tab w:pos="1199" w:val="left" w:leader="none"/>
          <w:tab w:pos="1200" w:val="left" w:leader="none"/>
        </w:tabs>
        <w:spacing w:line="256" w:lineRule="auto" w:before="4" w:after="0"/>
        <w:ind w:left="1200" w:right="374" w:hanging="361"/>
        <w:jc w:val="left"/>
        <w:rPr>
          <w:rFonts w:ascii="Symbol" w:hAnsi="Symbol"/>
          <w:color w:val="3A3A3A"/>
          <w:sz w:val="22"/>
        </w:rPr>
      </w:pPr>
      <w:r>
        <w:rPr>
          <w:sz w:val="22"/>
        </w:rPr>
        <w:t>Implementing</w:t>
      </w:r>
      <w:r>
        <w:rPr>
          <w:spacing w:val="-3"/>
          <w:sz w:val="22"/>
        </w:rPr>
        <w:t> </w:t>
      </w:r>
      <w:r>
        <w:rPr>
          <w:sz w:val="22"/>
        </w:rPr>
        <w:t>Project</w:t>
      </w:r>
      <w:r>
        <w:rPr>
          <w:spacing w:val="-4"/>
          <w:sz w:val="22"/>
        </w:rPr>
        <w:t> </w:t>
      </w:r>
      <w:r>
        <w:rPr>
          <w:sz w:val="22"/>
        </w:rPr>
        <w:t>Build</w:t>
      </w:r>
      <w:r>
        <w:rPr>
          <w:spacing w:val="-3"/>
          <w:sz w:val="22"/>
        </w:rPr>
        <w:t> </w:t>
      </w:r>
      <w:r>
        <w:rPr>
          <w:sz w:val="22"/>
        </w:rPr>
        <w:t>Up,</w:t>
      </w:r>
      <w:r>
        <w:rPr>
          <w:spacing w:val="-3"/>
          <w:sz w:val="22"/>
        </w:rPr>
        <w:t> </w:t>
      </w:r>
      <w:r>
        <w:rPr>
          <w:sz w:val="22"/>
        </w:rPr>
        <w:t>a</w:t>
      </w:r>
      <w:r>
        <w:rPr>
          <w:spacing w:val="-4"/>
          <w:sz w:val="22"/>
        </w:rPr>
        <w:t> </w:t>
      </w:r>
      <w:r>
        <w:rPr>
          <w:sz w:val="22"/>
        </w:rPr>
        <w:t>grant</w:t>
      </w:r>
      <w:r>
        <w:rPr>
          <w:spacing w:val="-3"/>
          <w:sz w:val="22"/>
        </w:rPr>
        <w:t> </w:t>
      </w:r>
      <w:r>
        <w:rPr>
          <w:sz w:val="22"/>
        </w:rPr>
        <w:t>program</w:t>
      </w:r>
      <w:r>
        <w:rPr>
          <w:spacing w:val="-3"/>
          <w:sz w:val="22"/>
        </w:rPr>
        <w:t> </w:t>
      </w:r>
      <w:r>
        <w:rPr>
          <w:sz w:val="22"/>
        </w:rPr>
        <w:t>aimed</w:t>
      </w:r>
      <w:r>
        <w:rPr>
          <w:spacing w:val="-3"/>
          <w:sz w:val="22"/>
        </w:rPr>
        <w:t> </w:t>
      </w:r>
      <w:r>
        <w:rPr>
          <w:sz w:val="22"/>
        </w:rPr>
        <w:t>at</w:t>
      </w:r>
      <w:r>
        <w:rPr>
          <w:spacing w:val="-4"/>
          <w:sz w:val="22"/>
        </w:rPr>
        <w:t> </w:t>
      </w:r>
      <w:r>
        <w:rPr>
          <w:sz w:val="22"/>
        </w:rPr>
        <w:t>strengthening</w:t>
      </w:r>
      <w:r>
        <w:rPr>
          <w:spacing w:val="-3"/>
          <w:sz w:val="22"/>
        </w:rPr>
        <w:t> </w:t>
      </w:r>
      <w:r>
        <w:rPr>
          <w:sz w:val="22"/>
        </w:rPr>
        <w:t>the</w:t>
      </w:r>
      <w:r>
        <w:rPr>
          <w:spacing w:val="-3"/>
          <w:sz w:val="22"/>
        </w:rPr>
        <w:t> </w:t>
      </w:r>
      <w:r>
        <w:rPr>
          <w:sz w:val="22"/>
        </w:rPr>
        <w:t>capacity</w:t>
      </w:r>
      <w:r>
        <w:rPr>
          <w:spacing w:val="-3"/>
          <w:sz w:val="22"/>
        </w:rPr>
        <w:t> </w:t>
      </w:r>
      <w:r>
        <w:rPr>
          <w:sz w:val="22"/>
        </w:rPr>
        <w:t>of</w:t>
      </w:r>
      <w:r>
        <w:rPr>
          <w:spacing w:val="-3"/>
          <w:sz w:val="22"/>
        </w:rPr>
        <w:t> </w:t>
      </w:r>
      <w:r>
        <w:rPr>
          <w:sz w:val="22"/>
        </w:rPr>
        <w:t>the workforce in outpatient substance use and gambling treatment agencies to provide or promote gambling treatment services.</w:t>
      </w:r>
    </w:p>
    <w:p>
      <w:pPr>
        <w:pStyle w:val="ListParagraph"/>
        <w:numPr>
          <w:ilvl w:val="0"/>
          <w:numId w:val="2"/>
        </w:numPr>
        <w:tabs>
          <w:tab w:pos="1199" w:val="left" w:leader="none"/>
          <w:tab w:pos="1200" w:val="left" w:leader="none"/>
        </w:tabs>
        <w:spacing w:line="256" w:lineRule="auto" w:before="5" w:after="0"/>
        <w:ind w:left="1199" w:right="375" w:hanging="360"/>
        <w:jc w:val="left"/>
        <w:rPr>
          <w:rFonts w:ascii="Symbol" w:hAnsi="Symbol"/>
          <w:color w:val="3A3A3A"/>
          <w:sz w:val="22"/>
        </w:rPr>
      </w:pPr>
      <w:r>
        <w:rPr>
          <w:sz w:val="22"/>
        </w:rPr>
        <w:t>Publishing</w:t>
      </w:r>
      <w:r>
        <w:rPr>
          <w:spacing w:val="-4"/>
          <w:sz w:val="22"/>
        </w:rPr>
        <w:t> </w:t>
      </w:r>
      <w:r>
        <w:rPr>
          <w:sz w:val="22"/>
        </w:rPr>
        <w:t>practice</w:t>
      </w:r>
      <w:r>
        <w:rPr>
          <w:spacing w:val="-5"/>
          <w:sz w:val="22"/>
        </w:rPr>
        <w:t> </w:t>
      </w:r>
      <w:r>
        <w:rPr>
          <w:sz w:val="22"/>
        </w:rPr>
        <w:t>guidelines</w:t>
      </w:r>
      <w:r>
        <w:rPr>
          <w:spacing w:val="-4"/>
          <w:sz w:val="22"/>
        </w:rPr>
        <w:t> </w:t>
      </w:r>
      <w:r>
        <w:rPr>
          <w:sz w:val="22"/>
        </w:rPr>
        <w:t>for</w:t>
      </w:r>
      <w:r>
        <w:rPr>
          <w:spacing w:val="-3"/>
          <w:sz w:val="22"/>
        </w:rPr>
        <w:t> </w:t>
      </w:r>
      <w:r>
        <w:rPr>
          <w:sz w:val="22"/>
        </w:rPr>
        <w:t>Treating</w:t>
      </w:r>
      <w:r>
        <w:rPr>
          <w:spacing w:val="-4"/>
          <w:sz w:val="22"/>
        </w:rPr>
        <w:t> </w:t>
      </w:r>
      <w:r>
        <w:rPr>
          <w:sz w:val="22"/>
        </w:rPr>
        <w:t>Gambling</w:t>
      </w:r>
      <w:r>
        <w:rPr>
          <w:spacing w:val="-4"/>
          <w:sz w:val="22"/>
        </w:rPr>
        <w:t> </w:t>
      </w:r>
      <w:r>
        <w:rPr>
          <w:sz w:val="22"/>
        </w:rPr>
        <w:t>Related</w:t>
      </w:r>
      <w:r>
        <w:rPr>
          <w:spacing w:val="-4"/>
          <w:sz w:val="22"/>
        </w:rPr>
        <w:t> </w:t>
      </w:r>
      <w:r>
        <w:rPr>
          <w:sz w:val="22"/>
        </w:rPr>
        <w:t>Harms,</w:t>
      </w:r>
      <w:r>
        <w:rPr>
          <w:spacing w:val="-4"/>
          <w:sz w:val="22"/>
        </w:rPr>
        <w:t> </w:t>
      </w:r>
      <w:r>
        <w:rPr>
          <w:sz w:val="22"/>
        </w:rPr>
        <w:t>a</w:t>
      </w:r>
      <w:r>
        <w:rPr>
          <w:spacing w:val="-4"/>
          <w:sz w:val="22"/>
        </w:rPr>
        <w:t> </w:t>
      </w:r>
      <w:r>
        <w:rPr>
          <w:sz w:val="22"/>
        </w:rPr>
        <w:t>web-based</w:t>
      </w:r>
      <w:r>
        <w:rPr>
          <w:spacing w:val="-4"/>
          <w:sz w:val="22"/>
        </w:rPr>
        <w:t> </w:t>
      </w:r>
      <w:r>
        <w:rPr>
          <w:sz w:val="22"/>
        </w:rPr>
        <w:t>platform and an evidence-based treatment resource for behavioral and mental health providers.</w:t>
      </w:r>
    </w:p>
    <w:p>
      <w:pPr>
        <w:pStyle w:val="ListParagraph"/>
        <w:numPr>
          <w:ilvl w:val="0"/>
          <w:numId w:val="2"/>
        </w:numPr>
        <w:tabs>
          <w:tab w:pos="1199" w:val="left" w:leader="none"/>
          <w:tab w:pos="1200" w:val="left" w:leader="none"/>
        </w:tabs>
        <w:spacing w:line="256" w:lineRule="auto" w:before="3" w:after="0"/>
        <w:ind w:left="1199" w:right="463" w:hanging="360"/>
        <w:jc w:val="left"/>
        <w:rPr>
          <w:rFonts w:ascii="Symbol" w:hAnsi="Symbol"/>
          <w:color w:val="3A3A3A"/>
          <w:sz w:val="22"/>
        </w:rPr>
      </w:pPr>
      <w:r>
        <w:rPr>
          <w:sz w:val="22"/>
        </w:rPr>
        <w:t>Coordinating</w:t>
      </w:r>
      <w:r>
        <w:rPr>
          <w:spacing w:val="-2"/>
          <w:sz w:val="22"/>
        </w:rPr>
        <w:t> </w:t>
      </w:r>
      <w:r>
        <w:rPr>
          <w:sz w:val="22"/>
        </w:rPr>
        <w:t>an</w:t>
      </w:r>
      <w:r>
        <w:rPr>
          <w:spacing w:val="-3"/>
          <w:sz w:val="22"/>
        </w:rPr>
        <w:t> </w:t>
      </w:r>
      <w:r>
        <w:rPr>
          <w:sz w:val="22"/>
        </w:rPr>
        <w:t>Intimate</w:t>
      </w:r>
      <w:r>
        <w:rPr>
          <w:spacing w:val="-4"/>
          <w:sz w:val="22"/>
        </w:rPr>
        <w:t> </w:t>
      </w:r>
      <w:r>
        <w:rPr>
          <w:sz w:val="22"/>
        </w:rPr>
        <w:t>Partner</w:t>
      </w:r>
      <w:r>
        <w:rPr>
          <w:spacing w:val="-4"/>
          <w:sz w:val="22"/>
        </w:rPr>
        <w:t> </w:t>
      </w:r>
      <w:r>
        <w:rPr>
          <w:sz w:val="22"/>
        </w:rPr>
        <w:t>Violence</w:t>
      </w:r>
      <w:r>
        <w:rPr>
          <w:spacing w:val="-4"/>
          <w:sz w:val="22"/>
        </w:rPr>
        <w:t> </w:t>
      </w:r>
      <w:r>
        <w:rPr>
          <w:sz w:val="22"/>
        </w:rPr>
        <w:t>and</w:t>
      </w:r>
      <w:r>
        <w:rPr>
          <w:spacing w:val="-3"/>
          <w:sz w:val="22"/>
        </w:rPr>
        <w:t> </w:t>
      </w:r>
      <w:r>
        <w:rPr>
          <w:sz w:val="22"/>
        </w:rPr>
        <w:t>Gambling</w:t>
      </w:r>
      <w:r>
        <w:rPr>
          <w:spacing w:val="-3"/>
          <w:sz w:val="22"/>
        </w:rPr>
        <w:t> </w:t>
      </w:r>
      <w:r>
        <w:rPr>
          <w:sz w:val="22"/>
        </w:rPr>
        <w:t>Assessment</w:t>
      </w:r>
      <w:r>
        <w:rPr>
          <w:spacing w:val="-2"/>
          <w:sz w:val="22"/>
        </w:rPr>
        <w:t> </w:t>
      </w:r>
      <w:r>
        <w:rPr>
          <w:sz w:val="22"/>
        </w:rPr>
        <w:t>to</w:t>
      </w:r>
      <w:r>
        <w:rPr>
          <w:spacing w:val="-3"/>
          <w:sz w:val="22"/>
        </w:rPr>
        <w:t> </w:t>
      </w:r>
      <w:r>
        <w:rPr>
          <w:sz w:val="22"/>
        </w:rPr>
        <w:t>provide</w:t>
      </w:r>
      <w:r>
        <w:rPr>
          <w:spacing w:val="-4"/>
          <w:sz w:val="22"/>
        </w:rPr>
        <w:t> </w:t>
      </w:r>
      <w:r>
        <w:rPr>
          <w:sz w:val="22"/>
        </w:rPr>
        <w:t>tools</w:t>
      </w:r>
      <w:r>
        <w:rPr>
          <w:spacing w:val="-3"/>
          <w:sz w:val="22"/>
        </w:rPr>
        <w:t> </w:t>
      </w:r>
      <w:r>
        <w:rPr>
          <w:sz w:val="22"/>
        </w:rPr>
        <w:t>and information to intimate partner violence education programs and their staff members.</w:t>
      </w:r>
    </w:p>
    <w:p>
      <w:pPr>
        <w:pStyle w:val="ListParagraph"/>
        <w:numPr>
          <w:ilvl w:val="0"/>
          <w:numId w:val="2"/>
        </w:numPr>
        <w:tabs>
          <w:tab w:pos="1199" w:val="left" w:leader="none"/>
          <w:tab w:pos="1200" w:val="left" w:leader="none"/>
        </w:tabs>
        <w:spacing w:line="256" w:lineRule="auto" w:before="2" w:after="0"/>
        <w:ind w:left="1199" w:right="399" w:hanging="360"/>
        <w:jc w:val="left"/>
        <w:rPr>
          <w:rFonts w:ascii="Symbol" w:hAnsi="Symbol"/>
          <w:color w:val="3A3A3A"/>
          <w:sz w:val="22"/>
        </w:rPr>
      </w:pPr>
      <w:r>
        <w:rPr>
          <w:sz w:val="22"/>
        </w:rPr>
        <w:t>Leading</w:t>
      </w:r>
      <w:r>
        <w:rPr>
          <w:spacing w:val="-4"/>
          <w:sz w:val="22"/>
        </w:rPr>
        <w:t> </w:t>
      </w:r>
      <w:r>
        <w:rPr>
          <w:sz w:val="22"/>
        </w:rPr>
        <w:t>a</w:t>
      </w:r>
      <w:r>
        <w:rPr>
          <w:spacing w:val="-4"/>
          <w:sz w:val="22"/>
        </w:rPr>
        <w:t> </w:t>
      </w:r>
      <w:r>
        <w:rPr>
          <w:sz w:val="22"/>
        </w:rPr>
        <w:t>Regional</w:t>
      </w:r>
      <w:r>
        <w:rPr>
          <w:spacing w:val="-3"/>
          <w:sz w:val="22"/>
        </w:rPr>
        <w:t> </w:t>
      </w:r>
      <w:r>
        <w:rPr>
          <w:sz w:val="22"/>
        </w:rPr>
        <w:t>Planning</w:t>
      </w:r>
      <w:r>
        <w:rPr>
          <w:spacing w:val="-4"/>
          <w:sz w:val="22"/>
        </w:rPr>
        <w:t> </w:t>
      </w:r>
      <w:r>
        <w:rPr>
          <w:sz w:val="22"/>
        </w:rPr>
        <w:t>Process</w:t>
      </w:r>
      <w:r>
        <w:rPr>
          <w:spacing w:val="-3"/>
          <w:sz w:val="22"/>
        </w:rPr>
        <w:t> </w:t>
      </w:r>
      <w:r>
        <w:rPr>
          <w:sz w:val="22"/>
        </w:rPr>
        <w:t>to</w:t>
      </w:r>
      <w:r>
        <w:rPr>
          <w:spacing w:val="-4"/>
          <w:sz w:val="22"/>
        </w:rPr>
        <w:t> </w:t>
      </w:r>
      <w:r>
        <w:rPr>
          <w:sz w:val="22"/>
        </w:rPr>
        <w:t>engage</w:t>
      </w:r>
      <w:r>
        <w:rPr>
          <w:spacing w:val="-3"/>
          <w:sz w:val="22"/>
        </w:rPr>
        <w:t> </w:t>
      </w:r>
      <w:r>
        <w:rPr>
          <w:sz w:val="22"/>
        </w:rPr>
        <w:t>community</w:t>
      </w:r>
      <w:r>
        <w:rPr>
          <w:spacing w:val="-4"/>
          <w:sz w:val="22"/>
        </w:rPr>
        <w:t> </w:t>
      </w:r>
      <w:r>
        <w:rPr>
          <w:sz w:val="22"/>
        </w:rPr>
        <w:t>stakeholders</w:t>
      </w:r>
      <w:r>
        <w:rPr>
          <w:spacing w:val="-4"/>
          <w:sz w:val="22"/>
        </w:rPr>
        <w:t> </w:t>
      </w:r>
      <w:r>
        <w:rPr>
          <w:sz w:val="22"/>
        </w:rPr>
        <w:t>and</w:t>
      </w:r>
      <w:r>
        <w:rPr>
          <w:spacing w:val="-4"/>
          <w:sz w:val="22"/>
        </w:rPr>
        <w:t> </w:t>
      </w:r>
      <w:r>
        <w:rPr>
          <w:sz w:val="22"/>
        </w:rPr>
        <w:t>continuously improve reach and efficacy of prevention programs.</w:t>
      </w:r>
    </w:p>
    <w:p>
      <w:pPr>
        <w:pStyle w:val="ListParagraph"/>
        <w:numPr>
          <w:ilvl w:val="0"/>
          <w:numId w:val="2"/>
        </w:numPr>
        <w:tabs>
          <w:tab w:pos="1199" w:val="left" w:leader="none"/>
          <w:tab w:pos="1200" w:val="left" w:leader="none"/>
        </w:tabs>
        <w:spacing w:line="256" w:lineRule="auto" w:before="3" w:after="0"/>
        <w:ind w:left="1200" w:right="559" w:hanging="361"/>
        <w:jc w:val="left"/>
        <w:rPr>
          <w:rFonts w:ascii="Symbol" w:hAnsi="Symbol"/>
          <w:color w:val="3A3A3A"/>
          <w:sz w:val="22"/>
        </w:rPr>
      </w:pPr>
      <w:r>
        <w:rPr>
          <w:sz w:val="22"/>
        </w:rPr>
        <w:t>Revising</w:t>
      </w:r>
      <w:r>
        <w:rPr>
          <w:spacing w:val="-3"/>
          <w:sz w:val="22"/>
        </w:rPr>
        <w:t> </w:t>
      </w:r>
      <w:r>
        <w:rPr>
          <w:sz w:val="22"/>
        </w:rPr>
        <w:t>“Your</w:t>
      </w:r>
      <w:r>
        <w:rPr>
          <w:spacing w:val="-4"/>
          <w:sz w:val="22"/>
        </w:rPr>
        <w:t> </w:t>
      </w:r>
      <w:r>
        <w:rPr>
          <w:sz w:val="22"/>
        </w:rPr>
        <w:t>First</w:t>
      </w:r>
      <w:r>
        <w:rPr>
          <w:spacing w:val="-2"/>
          <w:sz w:val="22"/>
        </w:rPr>
        <w:t> </w:t>
      </w:r>
      <w:r>
        <w:rPr>
          <w:sz w:val="22"/>
        </w:rPr>
        <w:t>Step</w:t>
      </w:r>
      <w:r>
        <w:rPr>
          <w:spacing w:val="-3"/>
          <w:sz w:val="22"/>
        </w:rPr>
        <w:t> </w:t>
      </w:r>
      <w:r>
        <w:rPr>
          <w:sz w:val="22"/>
        </w:rPr>
        <w:t>to</w:t>
      </w:r>
      <w:r>
        <w:rPr>
          <w:spacing w:val="-3"/>
          <w:sz w:val="22"/>
        </w:rPr>
        <w:t> </w:t>
      </w:r>
      <w:r>
        <w:rPr>
          <w:sz w:val="22"/>
        </w:rPr>
        <w:t>Change”</w:t>
      </w:r>
      <w:r>
        <w:rPr>
          <w:spacing w:val="-4"/>
          <w:sz w:val="22"/>
        </w:rPr>
        <w:t> </w:t>
      </w:r>
      <w:r>
        <w:rPr>
          <w:sz w:val="22"/>
        </w:rPr>
        <w:t>3</w:t>
      </w:r>
      <w:r>
        <w:rPr>
          <w:position w:val="5"/>
          <w:sz w:val="14"/>
        </w:rPr>
        <w:t>rd</w:t>
      </w:r>
      <w:r>
        <w:rPr>
          <w:spacing w:val="17"/>
          <w:position w:val="5"/>
          <w:sz w:val="14"/>
        </w:rPr>
        <w:t> </w:t>
      </w:r>
      <w:r>
        <w:rPr>
          <w:sz w:val="22"/>
        </w:rPr>
        <w:t>Edition,</w:t>
      </w:r>
      <w:r>
        <w:rPr>
          <w:spacing w:val="-3"/>
          <w:sz w:val="22"/>
        </w:rPr>
        <w:t> </w:t>
      </w:r>
      <w:r>
        <w:rPr>
          <w:sz w:val="22"/>
        </w:rPr>
        <w:t>an</w:t>
      </w:r>
      <w:r>
        <w:rPr>
          <w:spacing w:val="-5"/>
          <w:sz w:val="22"/>
        </w:rPr>
        <w:t> </w:t>
      </w:r>
      <w:r>
        <w:rPr>
          <w:sz w:val="22"/>
        </w:rPr>
        <w:t>evidence-based</w:t>
      </w:r>
      <w:r>
        <w:rPr>
          <w:spacing w:val="-3"/>
          <w:sz w:val="22"/>
        </w:rPr>
        <w:t> </w:t>
      </w:r>
      <w:r>
        <w:rPr>
          <w:sz w:val="22"/>
        </w:rPr>
        <w:t>self-assessment</w:t>
      </w:r>
      <w:r>
        <w:rPr>
          <w:spacing w:val="-4"/>
          <w:sz w:val="22"/>
        </w:rPr>
        <w:t> </w:t>
      </w:r>
      <w:r>
        <w:rPr>
          <w:sz w:val="22"/>
        </w:rPr>
        <w:t>and intervention tool.</w:t>
      </w:r>
    </w:p>
    <w:p>
      <w:pPr>
        <w:pStyle w:val="ListParagraph"/>
        <w:numPr>
          <w:ilvl w:val="0"/>
          <w:numId w:val="2"/>
        </w:numPr>
        <w:tabs>
          <w:tab w:pos="1199" w:val="left" w:leader="none"/>
          <w:tab w:pos="1200" w:val="left" w:leader="none"/>
        </w:tabs>
        <w:spacing w:line="256" w:lineRule="auto" w:before="3" w:after="0"/>
        <w:ind w:left="1200" w:right="578" w:hanging="360"/>
        <w:jc w:val="left"/>
        <w:rPr>
          <w:rFonts w:ascii="Symbol" w:hAnsi="Symbol"/>
          <w:color w:val="3A3A3A"/>
          <w:sz w:val="22"/>
        </w:rPr>
      </w:pPr>
      <w:r>
        <w:rPr>
          <w:sz w:val="22"/>
        </w:rPr>
        <w:t>Publishing</w:t>
      </w:r>
      <w:r>
        <w:rPr>
          <w:spacing w:val="-4"/>
          <w:sz w:val="22"/>
        </w:rPr>
        <w:t> </w:t>
      </w:r>
      <w:r>
        <w:rPr>
          <w:sz w:val="22"/>
        </w:rPr>
        <w:t>online</w:t>
      </w:r>
      <w:r>
        <w:rPr>
          <w:spacing w:val="-5"/>
          <w:sz w:val="22"/>
        </w:rPr>
        <w:t> </w:t>
      </w:r>
      <w:r>
        <w:rPr>
          <w:sz w:val="22"/>
        </w:rPr>
        <w:t>resources</w:t>
      </w:r>
      <w:r>
        <w:rPr>
          <w:spacing w:val="-4"/>
          <w:sz w:val="22"/>
        </w:rPr>
        <w:t> </w:t>
      </w:r>
      <w:r>
        <w:rPr>
          <w:sz w:val="22"/>
        </w:rPr>
        <w:t>with</w:t>
      </w:r>
      <w:r>
        <w:rPr>
          <w:spacing w:val="-4"/>
          <w:sz w:val="22"/>
        </w:rPr>
        <w:t> </w:t>
      </w:r>
      <w:r>
        <w:rPr>
          <w:sz w:val="22"/>
        </w:rPr>
        <w:t>information</w:t>
      </w:r>
      <w:r>
        <w:rPr>
          <w:spacing w:val="-5"/>
          <w:sz w:val="22"/>
        </w:rPr>
        <w:t> </w:t>
      </w:r>
      <w:r>
        <w:rPr>
          <w:sz w:val="22"/>
        </w:rPr>
        <w:t>about</w:t>
      </w:r>
      <w:r>
        <w:rPr>
          <w:spacing w:val="-5"/>
          <w:sz w:val="22"/>
        </w:rPr>
        <w:t> </w:t>
      </w:r>
      <w:r>
        <w:rPr>
          <w:sz w:val="22"/>
        </w:rPr>
        <w:t>community</w:t>
      </w:r>
      <w:r>
        <w:rPr>
          <w:spacing w:val="-3"/>
          <w:sz w:val="22"/>
        </w:rPr>
        <w:t> </w:t>
      </w:r>
      <w:r>
        <w:rPr>
          <w:sz w:val="22"/>
        </w:rPr>
        <w:t>services</w:t>
      </w:r>
      <w:r>
        <w:rPr>
          <w:spacing w:val="-4"/>
          <w:sz w:val="22"/>
        </w:rPr>
        <w:t> </w:t>
      </w:r>
      <w:r>
        <w:rPr>
          <w:sz w:val="22"/>
        </w:rPr>
        <w:t>and</w:t>
      </w:r>
      <w:r>
        <w:rPr>
          <w:spacing w:val="-3"/>
          <w:sz w:val="22"/>
        </w:rPr>
        <w:t> </w:t>
      </w:r>
      <w:r>
        <w:rPr>
          <w:sz w:val="22"/>
        </w:rPr>
        <w:t>supports</w:t>
      </w:r>
      <w:r>
        <w:rPr>
          <w:spacing w:val="-4"/>
          <w:sz w:val="22"/>
        </w:rPr>
        <w:t> </w:t>
      </w:r>
      <w:r>
        <w:rPr>
          <w:sz w:val="22"/>
        </w:rPr>
        <w:t>for friends and family who are concerned about a person’s gambling.</w:t>
      </w:r>
    </w:p>
    <w:p>
      <w:pPr>
        <w:pStyle w:val="ListParagraph"/>
        <w:numPr>
          <w:ilvl w:val="0"/>
          <w:numId w:val="2"/>
        </w:numPr>
        <w:tabs>
          <w:tab w:pos="1199" w:val="left" w:leader="none"/>
          <w:tab w:pos="1200" w:val="left" w:leader="none"/>
        </w:tabs>
        <w:spacing w:line="256" w:lineRule="auto" w:before="2" w:after="0"/>
        <w:ind w:left="1200" w:right="346" w:hanging="361"/>
        <w:jc w:val="left"/>
        <w:rPr>
          <w:rFonts w:ascii="Symbol" w:hAnsi="Symbol"/>
          <w:color w:val="3A3A3A"/>
          <w:sz w:val="22"/>
        </w:rPr>
      </w:pPr>
      <w:r>
        <w:rPr>
          <w:sz w:val="22"/>
        </w:rPr>
        <w:t>Launching</w:t>
      </w:r>
      <w:r>
        <w:rPr>
          <w:spacing w:val="-3"/>
          <w:sz w:val="22"/>
        </w:rPr>
        <w:t> </w:t>
      </w:r>
      <w:r>
        <w:rPr>
          <w:sz w:val="22"/>
        </w:rPr>
        <w:t>the</w:t>
      </w:r>
      <w:r>
        <w:rPr>
          <w:spacing w:val="-4"/>
          <w:sz w:val="22"/>
        </w:rPr>
        <w:t> </w:t>
      </w:r>
      <w:r>
        <w:rPr>
          <w:sz w:val="22"/>
        </w:rPr>
        <w:t>Treatment</w:t>
      </w:r>
      <w:r>
        <w:rPr>
          <w:spacing w:val="-4"/>
          <w:sz w:val="22"/>
        </w:rPr>
        <w:t> </w:t>
      </w:r>
      <w:r>
        <w:rPr>
          <w:sz w:val="22"/>
        </w:rPr>
        <w:t>Gap</w:t>
      </w:r>
      <w:r>
        <w:rPr>
          <w:spacing w:val="-3"/>
          <w:sz w:val="22"/>
        </w:rPr>
        <w:t> </w:t>
      </w:r>
      <w:r>
        <w:rPr>
          <w:sz w:val="22"/>
        </w:rPr>
        <w:t>Analysis,</w:t>
      </w:r>
      <w:r>
        <w:rPr>
          <w:spacing w:val="-3"/>
          <w:sz w:val="22"/>
        </w:rPr>
        <w:t> </w:t>
      </w:r>
      <w:r>
        <w:rPr>
          <w:sz w:val="22"/>
        </w:rPr>
        <w:t>a</w:t>
      </w:r>
      <w:r>
        <w:rPr>
          <w:spacing w:val="-3"/>
          <w:sz w:val="22"/>
        </w:rPr>
        <w:t> </w:t>
      </w:r>
      <w:r>
        <w:rPr>
          <w:sz w:val="22"/>
        </w:rPr>
        <w:t>comprehensive</w:t>
      </w:r>
      <w:r>
        <w:rPr>
          <w:spacing w:val="-4"/>
          <w:sz w:val="22"/>
        </w:rPr>
        <w:t> </w:t>
      </w:r>
      <w:r>
        <w:rPr>
          <w:sz w:val="22"/>
        </w:rPr>
        <w:t>analysis</w:t>
      </w:r>
      <w:r>
        <w:rPr>
          <w:spacing w:val="-3"/>
          <w:sz w:val="22"/>
        </w:rPr>
        <w:t> </w:t>
      </w:r>
      <w:r>
        <w:rPr>
          <w:sz w:val="22"/>
        </w:rPr>
        <w:t>of</w:t>
      </w:r>
      <w:r>
        <w:rPr>
          <w:spacing w:val="-3"/>
          <w:sz w:val="22"/>
        </w:rPr>
        <w:t> </w:t>
      </w:r>
      <w:r>
        <w:rPr>
          <w:sz w:val="22"/>
        </w:rPr>
        <w:t>gambling</w:t>
      </w:r>
      <w:r>
        <w:rPr>
          <w:spacing w:val="-3"/>
          <w:sz w:val="22"/>
        </w:rPr>
        <w:t> </w:t>
      </w:r>
      <w:r>
        <w:rPr>
          <w:sz w:val="22"/>
        </w:rPr>
        <w:t>treatment</w:t>
      </w:r>
      <w:r>
        <w:rPr>
          <w:spacing w:val="-4"/>
          <w:sz w:val="22"/>
        </w:rPr>
        <w:t> </w:t>
      </w:r>
      <w:r>
        <w:rPr>
          <w:sz w:val="22"/>
        </w:rPr>
        <w:t>in the Commonwealth.</w:t>
      </w:r>
    </w:p>
    <w:p>
      <w:pPr>
        <w:pStyle w:val="ListParagraph"/>
        <w:numPr>
          <w:ilvl w:val="0"/>
          <w:numId w:val="2"/>
        </w:numPr>
        <w:tabs>
          <w:tab w:pos="1199" w:val="left" w:leader="none"/>
          <w:tab w:pos="1200" w:val="left" w:leader="none"/>
        </w:tabs>
        <w:spacing w:line="249" w:lineRule="auto" w:before="3" w:after="0"/>
        <w:ind w:left="1200" w:right="262" w:hanging="361"/>
        <w:jc w:val="left"/>
        <w:rPr>
          <w:rFonts w:ascii="Symbol" w:hAnsi="Symbol"/>
          <w:color w:val="3A3A3A"/>
          <w:sz w:val="22"/>
        </w:rPr>
      </w:pPr>
      <w:r>
        <w:rPr>
          <w:sz w:val="22"/>
        </w:rPr>
        <w:t>Launching the Massachusetts Problem Gambling Helpline, a comprehensive helpline that provides</w:t>
      </w:r>
      <w:r>
        <w:rPr>
          <w:spacing w:val="-4"/>
          <w:sz w:val="22"/>
        </w:rPr>
        <w:t> </w:t>
      </w:r>
      <w:r>
        <w:rPr>
          <w:sz w:val="22"/>
        </w:rPr>
        <w:t>support</w:t>
      </w:r>
      <w:r>
        <w:rPr>
          <w:spacing w:val="-5"/>
          <w:sz w:val="22"/>
        </w:rPr>
        <w:t> </w:t>
      </w:r>
      <w:r>
        <w:rPr>
          <w:sz w:val="22"/>
        </w:rPr>
        <w:t>and</w:t>
      </w:r>
      <w:r>
        <w:rPr>
          <w:spacing w:val="-4"/>
          <w:sz w:val="22"/>
        </w:rPr>
        <w:t> </w:t>
      </w:r>
      <w:r>
        <w:rPr>
          <w:sz w:val="22"/>
        </w:rPr>
        <w:t>access</w:t>
      </w:r>
      <w:r>
        <w:rPr>
          <w:spacing w:val="-4"/>
          <w:sz w:val="22"/>
        </w:rPr>
        <w:t> </w:t>
      </w:r>
      <w:r>
        <w:rPr>
          <w:sz w:val="22"/>
        </w:rPr>
        <w:t>to</w:t>
      </w:r>
      <w:r>
        <w:rPr>
          <w:spacing w:val="-4"/>
          <w:sz w:val="22"/>
        </w:rPr>
        <w:t> </w:t>
      </w:r>
      <w:r>
        <w:rPr>
          <w:sz w:val="22"/>
        </w:rPr>
        <w:t>treatment</w:t>
      </w:r>
      <w:r>
        <w:rPr>
          <w:spacing w:val="-4"/>
          <w:sz w:val="22"/>
        </w:rPr>
        <w:t> </w:t>
      </w:r>
      <w:r>
        <w:rPr>
          <w:sz w:val="22"/>
        </w:rPr>
        <w:t>centers</w:t>
      </w:r>
      <w:r>
        <w:rPr>
          <w:spacing w:val="-4"/>
          <w:sz w:val="22"/>
        </w:rPr>
        <w:t> </w:t>
      </w:r>
      <w:r>
        <w:rPr>
          <w:sz w:val="22"/>
        </w:rPr>
        <w:t>and</w:t>
      </w:r>
      <w:r>
        <w:rPr>
          <w:spacing w:val="-4"/>
          <w:sz w:val="22"/>
        </w:rPr>
        <w:t> </w:t>
      </w:r>
      <w:r>
        <w:rPr>
          <w:sz w:val="22"/>
        </w:rPr>
        <w:t>resources</w:t>
      </w:r>
      <w:r>
        <w:rPr>
          <w:spacing w:val="-4"/>
          <w:sz w:val="22"/>
        </w:rPr>
        <w:t> </w:t>
      </w:r>
      <w:r>
        <w:rPr>
          <w:sz w:val="22"/>
        </w:rPr>
        <w:t>for</w:t>
      </w:r>
      <w:r>
        <w:rPr>
          <w:spacing w:val="-3"/>
          <w:sz w:val="22"/>
        </w:rPr>
        <w:t> </w:t>
      </w:r>
      <w:r>
        <w:rPr>
          <w:sz w:val="22"/>
        </w:rPr>
        <w:t>those</w:t>
      </w:r>
      <w:r>
        <w:rPr>
          <w:spacing w:val="-3"/>
          <w:sz w:val="22"/>
        </w:rPr>
        <w:t> </w:t>
      </w:r>
      <w:r>
        <w:rPr>
          <w:sz w:val="22"/>
        </w:rPr>
        <w:t>concerned</w:t>
      </w:r>
      <w:r>
        <w:rPr>
          <w:spacing w:val="-4"/>
          <w:sz w:val="22"/>
        </w:rPr>
        <w:t> </w:t>
      </w:r>
      <w:r>
        <w:rPr>
          <w:sz w:val="22"/>
        </w:rPr>
        <w:t>about problem gambling and other related issues.</w:t>
      </w:r>
    </w:p>
    <w:p>
      <w:pPr>
        <w:pStyle w:val="ListParagraph"/>
        <w:numPr>
          <w:ilvl w:val="0"/>
          <w:numId w:val="2"/>
        </w:numPr>
        <w:tabs>
          <w:tab w:pos="1199" w:val="left" w:leader="none"/>
          <w:tab w:pos="1200" w:val="left" w:leader="none"/>
        </w:tabs>
        <w:spacing w:line="249" w:lineRule="auto" w:before="6" w:after="0"/>
        <w:ind w:left="1200" w:right="141" w:hanging="361"/>
        <w:jc w:val="left"/>
        <w:rPr>
          <w:rFonts w:ascii="Symbol" w:hAnsi="Symbol"/>
          <w:color w:val="3A3A3A"/>
          <w:sz w:val="22"/>
        </w:rPr>
      </w:pPr>
      <w:r>
        <w:rPr>
          <w:sz w:val="22"/>
        </w:rPr>
        <w:t>Launching</w:t>
      </w:r>
      <w:r>
        <w:rPr>
          <w:spacing w:val="-3"/>
          <w:sz w:val="22"/>
        </w:rPr>
        <w:t> </w:t>
      </w:r>
      <w:r>
        <w:rPr>
          <w:sz w:val="22"/>
        </w:rPr>
        <w:t>public</w:t>
      </w:r>
      <w:r>
        <w:rPr>
          <w:spacing w:val="-4"/>
          <w:sz w:val="22"/>
        </w:rPr>
        <w:t> </w:t>
      </w:r>
      <w:r>
        <w:rPr>
          <w:sz w:val="22"/>
        </w:rPr>
        <w:t>awareness</w:t>
      </w:r>
      <w:r>
        <w:rPr>
          <w:spacing w:val="-3"/>
          <w:sz w:val="22"/>
        </w:rPr>
        <w:t> </w:t>
      </w:r>
      <w:r>
        <w:rPr>
          <w:sz w:val="22"/>
        </w:rPr>
        <w:t>campaigns</w:t>
      </w:r>
      <w:r>
        <w:rPr>
          <w:spacing w:val="-3"/>
          <w:sz w:val="22"/>
        </w:rPr>
        <w:t> </w:t>
      </w:r>
      <w:r>
        <w:rPr>
          <w:sz w:val="22"/>
        </w:rPr>
        <w:t>through</w:t>
      </w:r>
      <w:r>
        <w:rPr>
          <w:spacing w:val="-3"/>
          <w:sz w:val="22"/>
        </w:rPr>
        <w:t> </w:t>
      </w:r>
      <w:r>
        <w:rPr>
          <w:sz w:val="22"/>
        </w:rPr>
        <w:t>the</w:t>
      </w:r>
      <w:r>
        <w:rPr>
          <w:spacing w:val="-3"/>
          <w:sz w:val="22"/>
        </w:rPr>
        <w:t> </w:t>
      </w:r>
      <w:r>
        <w:rPr>
          <w:sz w:val="22"/>
        </w:rPr>
        <w:t>Let’s</w:t>
      </w:r>
      <w:r>
        <w:rPr>
          <w:spacing w:val="-2"/>
          <w:sz w:val="22"/>
        </w:rPr>
        <w:t> </w:t>
      </w:r>
      <w:r>
        <w:rPr>
          <w:sz w:val="22"/>
        </w:rPr>
        <w:t>Get</w:t>
      </w:r>
      <w:r>
        <w:rPr>
          <w:spacing w:val="-4"/>
          <w:sz w:val="22"/>
        </w:rPr>
        <w:t> </w:t>
      </w:r>
      <w:r>
        <w:rPr>
          <w:sz w:val="22"/>
        </w:rPr>
        <w:t>Real</w:t>
      </w:r>
      <w:r>
        <w:rPr>
          <w:spacing w:val="-3"/>
          <w:sz w:val="22"/>
        </w:rPr>
        <w:t> </w:t>
      </w:r>
      <w:r>
        <w:rPr>
          <w:sz w:val="22"/>
        </w:rPr>
        <w:t>About</w:t>
      </w:r>
      <w:r>
        <w:rPr>
          <w:spacing w:val="-2"/>
          <w:sz w:val="22"/>
        </w:rPr>
        <w:t> </w:t>
      </w:r>
      <w:r>
        <w:rPr>
          <w:sz w:val="22"/>
        </w:rPr>
        <w:t>Gambling</w:t>
      </w:r>
      <w:r>
        <w:rPr>
          <w:spacing w:val="-3"/>
          <w:sz w:val="22"/>
        </w:rPr>
        <w:t> </w:t>
      </w:r>
      <w:r>
        <w:rPr>
          <w:sz w:val="22"/>
        </w:rPr>
        <w:t>platform, which promotes frank conversations about gambling as an issue of health equity.</w:t>
      </w:r>
    </w:p>
    <w:p>
      <w:pPr>
        <w:pStyle w:val="BodyText"/>
        <w:spacing w:line="259" w:lineRule="auto" w:before="163"/>
        <w:ind w:left="480"/>
      </w:pPr>
      <w:r>
        <w:rPr/>
        <w:t>Going forward, OPGS will build on this foundation of accomplishment to further expand reach and strengthen</w:t>
      </w:r>
      <w:r>
        <w:rPr>
          <w:spacing w:val="-5"/>
        </w:rPr>
        <w:t> </w:t>
      </w:r>
      <w:r>
        <w:rPr/>
        <w:t>effectiveness</w:t>
      </w:r>
      <w:r>
        <w:rPr>
          <w:spacing w:val="-3"/>
        </w:rPr>
        <w:t> </w:t>
      </w:r>
      <w:r>
        <w:rPr/>
        <w:t>of</w:t>
      </w:r>
      <w:r>
        <w:rPr>
          <w:spacing w:val="-4"/>
        </w:rPr>
        <w:t> </w:t>
      </w:r>
      <w:r>
        <w:rPr/>
        <w:t>efforts</w:t>
      </w:r>
      <w:r>
        <w:rPr>
          <w:spacing w:val="-3"/>
        </w:rPr>
        <w:t> </w:t>
      </w:r>
      <w:r>
        <w:rPr/>
        <w:t>to</w:t>
      </w:r>
      <w:r>
        <w:rPr>
          <w:spacing w:val="-4"/>
        </w:rPr>
        <w:t> </w:t>
      </w:r>
      <w:r>
        <w:rPr/>
        <w:t>remedy</w:t>
      </w:r>
      <w:r>
        <w:rPr>
          <w:spacing w:val="-4"/>
        </w:rPr>
        <w:t> </w:t>
      </w:r>
      <w:r>
        <w:rPr/>
        <w:t>community</w:t>
      </w:r>
      <w:r>
        <w:rPr>
          <w:spacing w:val="-4"/>
        </w:rPr>
        <w:t> </w:t>
      </w:r>
      <w:r>
        <w:rPr/>
        <w:t>health</w:t>
      </w:r>
      <w:r>
        <w:rPr>
          <w:spacing w:val="-4"/>
        </w:rPr>
        <w:t> </w:t>
      </w:r>
      <w:r>
        <w:rPr/>
        <w:t>inequities</w:t>
      </w:r>
      <w:r>
        <w:rPr>
          <w:spacing w:val="-3"/>
        </w:rPr>
        <w:t> </w:t>
      </w:r>
      <w:r>
        <w:rPr/>
        <w:t>exacerbated</w:t>
      </w:r>
      <w:r>
        <w:rPr>
          <w:spacing w:val="-4"/>
        </w:rPr>
        <w:t> </w:t>
      </w:r>
      <w:r>
        <w:rPr/>
        <w:t>by</w:t>
      </w:r>
      <w:r>
        <w:rPr>
          <w:spacing w:val="-4"/>
        </w:rPr>
        <w:t> </w:t>
      </w:r>
      <w:r>
        <w:rPr/>
        <w:t>harm</w:t>
      </w:r>
      <w:r>
        <w:rPr>
          <w:spacing w:val="-4"/>
        </w:rPr>
        <w:t> </w:t>
      </w:r>
      <w:r>
        <w:rPr/>
        <w:t>from problem</w:t>
      </w:r>
      <w:r>
        <w:rPr>
          <w:spacing w:val="-8"/>
        </w:rPr>
        <w:t> </w:t>
      </w:r>
      <w:r>
        <w:rPr/>
        <w:t>gambling,</w:t>
      </w:r>
      <w:r>
        <w:rPr>
          <w:spacing w:val="-7"/>
        </w:rPr>
        <w:t> </w:t>
      </w:r>
      <w:r>
        <w:rPr/>
        <w:t>continue</w:t>
      </w:r>
      <w:r>
        <w:rPr>
          <w:spacing w:val="-8"/>
        </w:rPr>
        <w:t> </w:t>
      </w:r>
      <w:r>
        <w:rPr/>
        <w:t>to</w:t>
      </w:r>
      <w:r>
        <w:rPr>
          <w:spacing w:val="-8"/>
        </w:rPr>
        <w:t> </w:t>
      </w:r>
      <w:r>
        <w:rPr/>
        <w:t>lift</w:t>
      </w:r>
      <w:r>
        <w:rPr>
          <w:spacing w:val="-8"/>
        </w:rPr>
        <w:t> </w:t>
      </w:r>
      <w:r>
        <w:rPr/>
        <w:t>up</w:t>
      </w:r>
      <w:r>
        <w:rPr>
          <w:spacing w:val="-8"/>
        </w:rPr>
        <w:t> </w:t>
      </w:r>
      <w:r>
        <w:rPr/>
        <w:t>community</w:t>
      </w:r>
      <w:r>
        <w:rPr>
          <w:spacing w:val="-7"/>
        </w:rPr>
        <w:t> </w:t>
      </w:r>
      <w:r>
        <w:rPr/>
        <w:t>voice</w:t>
      </w:r>
      <w:r>
        <w:rPr>
          <w:spacing w:val="-6"/>
        </w:rPr>
        <w:t> </w:t>
      </w:r>
      <w:r>
        <w:rPr/>
        <w:t>and</w:t>
      </w:r>
      <w:r>
        <w:rPr>
          <w:spacing w:val="-8"/>
        </w:rPr>
        <w:t> </w:t>
      </w:r>
      <w:r>
        <w:rPr/>
        <w:t>drive</w:t>
      </w:r>
      <w:r>
        <w:rPr>
          <w:spacing w:val="-6"/>
        </w:rPr>
        <w:t> </w:t>
      </w:r>
      <w:r>
        <w:rPr/>
        <w:t>a</w:t>
      </w:r>
      <w:r>
        <w:rPr>
          <w:spacing w:val="-8"/>
        </w:rPr>
        <w:t> </w:t>
      </w:r>
      <w:r>
        <w:rPr/>
        <w:t>concerted</w:t>
      </w:r>
      <w:r>
        <w:rPr>
          <w:spacing w:val="-7"/>
        </w:rPr>
        <w:t> </w:t>
      </w:r>
      <w:r>
        <w:rPr/>
        <w:t>public</w:t>
      </w:r>
      <w:r>
        <w:rPr>
          <w:spacing w:val="-8"/>
        </w:rPr>
        <w:t> </w:t>
      </w:r>
      <w:r>
        <w:rPr/>
        <w:t>health</w:t>
      </w:r>
      <w:r>
        <w:rPr>
          <w:spacing w:val="-7"/>
        </w:rPr>
        <w:t> </w:t>
      </w:r>
      <w:r>
        <w:rPr>
          <w:spacing w:val="-2"/>
        </w:rPr>
        <w:t>response.</w:t>
      </w:r>
    </w:p>
    <w:p>
      <w:pPr>
        <w:pStyle w:val="BodyText"/>
        <w:spacing w:before="8"/>
        <w:rPr>
          <w:sz w:val="35"/>
        </w:rPr>
      </w:pPr>
    </w:p>
    <w:p>
      <w:pPr>
        <w:pStyle w:val="Heading3"/>
        <w:spacing w:line="240" w:lineRule="auto"/>
      </w:pPr>
      <w:bookmarkStart w:name="Stakeholder Engagement to Inform Strateg" w:id="24"/>
      <w:bookmarkEnd w:id="24"/>
      <w:r>
        <w:rPr/>
      </w:r>
      <w:bookmarkStart w:name="Overview" w:id="25"/>
      <w:bookmarkEnd w:id="25"/>
      <w:r>
        <w:rPr/>
      </w:r>
      <w:bookmarkStart w:name="_bookmark12" w:id="26"/>
      <w:bookmarkEnd w:id="26"/>
      <w:r>
        <w:rPr/>
      </w:r>
      <w:bookmarkStart w:name="_bookmark13" w:id="27"/>
      <w:bookmarkEnd w:id="27"/>
      <w:r>
        <w:rPr/>
      </w:r>
      <w:r>
        <w:rPr>
          <w:color w:val="032D52"/>
        </w:rPr>
        <w:t>STAKEHOLDER</w:t>
      </w:r>
      <w:r>
        <w:rPr>
          <w:color w:val="032D52"/>
          <w:spacing w:val="44"/>
        </w:rPr>
        <w:t> </w:t>
      </w:r>
      <w:r>
        <w:rPr>
          <w:color w:val="032D52"/>
        </w:rPr>
        <w:t>ENGAGEMENT</w:t>
      </w:r>
      <w:r>
        <w:rPr>
          <w:color w:val="032D52"/>
          <w:spacing w:val="46"/>
        </w:rPr>
        <w:t> </w:t>
      </w:r>
      <w:r>
        <w:rPr>
          <w:color w:val="032D52"/>
        </w:rPr>
        <w:t>TO</w:t>
      </w:r>
      <w:r>
        <w:rPr>
          <w:color w:val="032D52"/>
          <w:spacing w:val="45"/>
        </w:rPr>
        <w:t> </w:t>
      </w:r>
      <w:r>
        <w:rPr>
          <w:color w:val="032D52"/>
        </w:rPr>
        <w:t>INFORM</w:t>
      </w:r>
      <w:r>
        <w:rPr>
          <w:color w:val="032D52"/>
          <w:spacing w:val="45"/>
        </w:rPr>
        <w:t> </w:t>
      </w:r>
      <w:r>
        <w:rPr>
          <w:color w:val="032D52"/>
        </w:rPr>
        <w:t>STRATEGIC</w:t>
      </w:r>
      <w:r>
        <w:rPr>
          <w:color w:val="032D52"/>
          <w:spacing w:val="46"/>
        </w:rPr>
        <w:t> </w:t>
      </w:r>
      <w:r>
        <w:rPr>
          <w:color w:val="032D52"/>
        </w:rPr>
        <w:t>PLAN</w:t>
      </w:r>
      <w:r>
        <w:rPr>
          <w:color w:val="032D52"/>
          <w:spacing w:val="45"/>
        </w:rPr>
        <w:t> </w:t>
      </w:r>
      <w:r>
        <w:rPr>
          <w:color w:val="032D52"/>
          <w:spacing w:val="-2"/>
        </w:rPr>
        <w:t>DEVELOPMENT</w:t>
      </w:r>
    </w:p>
    <w:p>
      <w:pPr>
        <w:pStyle w:val="Heading2"/>
        <w:spacing w:before="30"/>
        <w:rPr>
          <w:i/>
        </w:rPr>
      </w:pPr>
      <w:r>
        <w:rPr>
          <w:i/>
          <w:color w:val="072858"/>
          <w:spacing w:val="-2"/>
        </w:rPr>
        <w:t>Overview</w:t>
      </w:r>
    </w:p>
    <w:p>
      <w:pPr>
        <w:pStyle w:val="BodyText"/>
        <w:spacing w:line="259" w:lineRule="auto" w:before="118"/>
        <w:ind w:left="479" w:right="190"/>
      </w:pPr>
      <w:r>
        <w:rPr/>
        <w:t>To inform the new strategic plan and promote equity, OPGS conducted listening sessions, focus groups, and individual interviews to understand the impact of expanded gambling on community members disproportionately affected by problem gambling. Sessions were facilitated in English and Spanish</w:t>
      </w:r>
      <w:r>
        <w:rPr>
          <w:spacing w:val="-3"/>
        </w:rPr>
        <w:t> </w:t>
      </w:r>
      <w:r>
        <w:rPr/>
        <w:t>by</w:t>
      </w:r>
      <w:r>
        <w:rPr>
          <w:spacing w:val="-3"/>
        </w:rPr>
        <w:t> </w:t>
      </w:r>
      <w:r>
        <w:rPr/>
        <w:t>third-party</w:t>
      </w:r>
      <w:r>
        <w:rPr>
          <w:spacing w:val="-3"/>
        </w:rPr>
        <w:t> </w:t>
      </w:r>
      <w:r>
        <w:rPr/>
        <w:t>vendors</w:t>
      </w:r>
      <w:r>
        <w:rPr>
          <w:spacing w:val="-3"/>
        </w:rPr>
        <w:t> </w:t>
      </w:r>
      <w:r>
        <w:rPr/>
        <w:t>to</w:t>
      </w:r>
      <w:r>
        <w:rPr>
          <w:spacing w:val="-3"/>
        </w:rPr>
        <w:t> </w:t>
      </w:r>
      <w:r>
        <w:rPr/>
        <w:t>create</w:t>
      </w:r>
      <w:r>
        <w:rPr>
          <w:spacing w:val="-4"/>
        </w:rPr>
        <w:t> </w:t>
      </w:r>
      <w:r>
        <w:rPr/>
        <w:t>a</w:t>
      </w:r>
      <w:r>
        <w:rPr>
          <w:spacing w:val="-3"/>
        </w:rPr>
        <w:t> </w:t>
      </w:r>
      <w:r>
        <w:rPr/>
        <w:t>safe</w:t>
      </w:r>
      <w:r>
        <w:rPr>
          <w:spacing w:val="-3"/>
        </w:rPr>
        <w:t> </w:t>
      </w:r>
      <w:r>
        <w:rPr/>
        <w:t>space</w:t>
      </w:r>
      <w:r>
        <w:rPr>
          <w:spacing w:val="-4"/>
        </w:rPr>
        <w:t> </w:t>
      </w:r>
      <w:r>
        <w:rPr/>
        <w:t>for</w:t>
      </w:r>
      <w:r>
        <w:rPr>
          <w:spacing w:val="-4"/>
        </w:rPr>
        <w:t> </w:t>
      </w:r>
      <w:r>
        <w:rPr/>
        <w:t>participants</w:t>
      </w:r>
      <w:r>
        <w:rPr>
          <w:spacing w:val="-3"/>
        </w:rPr>
        <w:t> </w:t>
      </w:r>
      <w:r>
        <w:rPr/>
        <w:t>to</w:t>
      </w:r>
      <w:r>
        <w:rPr>
          <w:spacing w:val="-3"/>
        </w:rPr>
        <w:t> </w:t>
      </w:r>
      <w:r>
        <w:rPr/>
        <w:t>communicate</w:t>
      </w:r>
      <w:r>
        <w:rPr>
          <w:spacing w:val="-4"/>
        </w:rPr>
        <w:t> </w:t>
      </w:r>
      <w:r>
        <w:rPr/>
        <w:t>their</w:t>
      </w:r>
      <w:r>
        <w:rPr>
          <w:spacing w:val="-4"/>
        </w:rPr>
        <w:t> </w:t>
      </w:r>
      <w:r>
        <w:rPr/>
        <w:t>thoughts openly and honestly.. These efforts were central to the Office’s efforts to promote equity and lift up the community voice in the development of this strategic plan. In total, we engaged </w:t>
      </w:r>
      <w:r>
        <w:rPr>
          <w:color w:val="0D48A0"/>
          <w:u w:val="single" w:color="0D48A0"/>
        </w:rPr>
        <w:t>496 people</w:t>
      </w:r>
      <w:r>
        <w:rPr>
          <w:color w:val="0D48A0"/>
        </w:rPr>
        <w:t> </w:t>
      </w:r>
      <w:r>
        <w:rPr/>
        <w:t>through these</w:t>
      </w:r>
      <w:r>
        <w:rPr>
          <w:spacing w:val="-1"/>
        </w:rPr>
        <w:t> </w:t>
      </w:r>
      <w:r>
        <w:rPr/>
        <w:t>sessions, with a significant</w:t>
      </w:r>
      <w:r>
        <w:rPr>
          <w:spacing w:val="-1"/>
        </w:rPr>
        <w:t> </w:t>
      </w:r>
      <w:r>
        <w:rPr/>
        <w:t>number of people</w:t>
      </w:r>
      <w:r>
        <w:rPr>
          <w:spacing w:val="-1"/>
        </w:rPr>
        <w:t> </w:t>
      </w:r>
      <w:r>
        <w:rPr/>
        <w:t>being from historically underserved and marginalized communities.</w:t>
      </w:r>
    </w:p>
    <w:p>
      <w:pPr>
        <w:spacing w:after="0" w:line="259" w:lineRule="auto"/>
        <w:sectPr>
          <w:pgSz w:w="12240" w:h="15840"/>
          <w:pgMar w:header="438" w:footer="444" w:top="1320" w:bottom="640" w:left="960" w:right="1320"/>
        </w:sectPr>
      </w:pPr>
    </w:p>
    <w:p>
      <w:pPr>
        <w:pStyle w:val="BodyText"/>
        <w:spacing w:before="102"/>
        <w:ind w:left="480"/>
      </w:pPr>
      <w:r>
        <w:rPr/>
        <w:t>The</w:t>
      </w:r>
      <w:r>
        <w:rPr>
          <w:spacing w:val="-10"/>
        </w:rPr>
        <w:t> </w:t>
      </w:r>
      <w:r>
        <w:rPr/>
        <w:t>following</w:t>
      </w:r>
      <w:r>
        <w:rPr>
          <w:spacing w:val="-7"/>
        </w:rPr>
        <w:t> </w:t>
      </w:r>
      <w:r>
        <w:rPr/>
        <w:t>table</w:t>
      </w:r>
      <w:r>
        <w:rPr>
          <w:spacing w:val="-9"/>
        </w:rPr>
        <w:t> </w:t>
      </w:r>
      <w:r>
        <w:rPr/>
        <w:t>summarizes</w:t>
      </w:r>
      <w:r>
        <w:rPr>
          <w:spacing w:val="-8"/>
        </w:rPr>
        <w:t> </w:t>
      </w:r>
      <w:r>
        <w:rPr/>
        <w:t>the</w:t>
      </w:r>
      <w:r>
        <w:rPr>
          <w:spacing w:val="-9"/>
        </w:rPr>
        <w:t> </w:t>
      </w:r>
      <w:r>
        <w:rPr/>
        <w:t>participants</w:t>
      </w:r>
      <w:r>
        <w:rPr>
          <w:spacing w:val="-7"/>
        </w:rPr>
        <w:t> </w:t>
      </w:r>
      <w:r>
        <w:rPr/>
        <w:t>who</w:t>
      </w:r>
      <w:r>
        <w:rPr>
          <w:spacing w:val="-9"/>
        </w:rPr>
        <w:t> </w:t>
      </w:r>
      <w:r>
        <w:rPr/>
        <w:t>provided</w:t>
      </w:r>
      <w:r>
        <w:rPr>
          <w:spacing w:val="-7"/>
        </w:rPr>
        <w:t> </w:t>
      </w:r>
      <w:r>
        <w:rPr/>
        <w:t>input</w:t>
      </w:r>
      <w:r>
        <w:rPr>
          <w:spacing w:val="-9"/>
        </w:rPr>
        <w:t> </w:t>
      </w:r>
      <w:r>
        <w:rPr/>
        <w:t>to</w:t>
      </w:r>
      <w:r>
        <w:rPr>
          <w:spacing w:val="-7"/>
        </w:rPr>
        <w:t> </w:t>
      </w:r>
      <w:r>
        <w:rPr/>
        <w:t>OPGS</w:t>
      </w:r>
      <w:r>
        <w:rPr>
          <w:spacing w:val="-8"/>
        </w:rPr>
        <w:t> </w:t>
      </w:r>
      <w:r>
        <w:rPr/>
        <w:t>strategic</w:t>
      </w:r>
      <w:r>
        <w:rPr>
          <w:spacing w:val="-9"/>
        </w:rPr>
        <w:t> </w:t>
      </w:r>
      <w:r>
        <w:rPr>
          <w:spacing w:val="-2"/>
        </w:rPr>
        <w:t>planning:</w:t>
      </w:r>
    </w:p>
    <w:p>
      <w:pPr>
        <w:pStyle w:val="BodyText"/>
        <w:spacing w:before="10"/>
      </w:pPr>
    </w:p>
    <w:tbl>
      <w:tblPr>
        <w:tblW w:w="0" w:type="auto"/>
        <w:jc w:val="left"/>
        <w:tblInd w:w="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14"/>
        <w:gridCol w:w="4154"/>
      </w:tblGrid>
      <w:tr>
        <w:trPr>
          <w:trHeight w:val="371" w:hRule="atLeast"/>
        </w:trPr>
        <w:tc>
          <w:tcPr>
            <w:tcW w:w="5214" w:type="dxa"/>
            <w:tcBorders>
              <w:top w:val="single" w:sz="8" w:space="0" w:color="3A3A3A"/>
              <w:bottom w:val="single" w:sz="8" w:space="0" w:color="3A3A3A"/>
            </w:tcBorders>
            <w:shd w:val="clear" w:color="auto" w:fill="0A3677"/>
          </w:tcPr>
          <w:p>
            <w:pPr>
              <w:pStyle w:val="TableParagraph"/>
              <w:spacing w:before="73"/>
              <w:ind w:left="2533"/>
              <w:rPr>
                <w:sz w:val="20"/>
              </w:rPr>
            </w:pPr>
            <w:r>
              <w:rPr>
                <w:color w:val="FFFFFF"/>
                <w:sz w:val="20"/>
              </w:rPr>
              <w:t>Session</w:t>
            </w:r>
            <w:r>
              <w:rPr>
                <w:color w:val="FFFFFF"/>
                <w:spacing w:val="-6"/>
                <w:sz w:val="20"/>
              </w:rPr>
              <w:t> </w:t>
            </w:r>
            <w:r>
              <w:rPr>
                <w:color w:val="FFFFFF"/>
                <w:spacing w:val="-4"/>
                <w:sz w:val="20"/>
              </w:rPr>
              <w:t>Type</w:t>
            </w:r>
          </w:p>
        </w:tc>
        <w:tc>
          <w:tcPr>
            <w:tcW w:w="4154" w:type="dxa"/>
            <w:tcBorders>
              <w:top w:val="single" w:sz="8" w:space="0" w:color="3A3A3A"/>
              <w:bottom w:val="single" w:sz="8" w:space="0" w:color="3A3A3A"/>
            </w:tcBorders>
            <w:shd w:val="clear" w:color="auto" w:fill="0A3677"/>
          </w:tcPr>
          <w:p>
            <w:pPr>
              <w:pStyle w:val="TableParagraph"/>
              <w:spacing w:before="73"/>
              <w:ind w:left="1569" w:right="621"/>
              <w:jc w:val="center"/>
              <w:rPr>
                <w:sz w:val="20"/>
              </w:rPr>
            </w:pPr>
            <w:r>
              <w:rPr>
                <w:color w:val="FFFFFF"/>
                <w:sz w:val="20"/>
              </w:rPr>
              <w:t>Number</w:t>
            </w:r>
            <w:r>
              <w:rPr>
                <w:color w:val="FFFFFF"/>
                <w:spacing w:val="-1"/>
                <w:sz w:val="20"/>
              </w:rPr>
              <w:t> </w:t>
            </w:r>
            <w:r>
              <w:rPr>
                <w:color w:val="FFFFFF"/>
                <w:sz w:val="20"/>
              </w:rPr>
              <w:t>of</w:t>
            </w:r>
            <w:r>
              <w:rPr>
                <w:color w:val="FFFFFF"/>
                <w:spacing w:val="-1"/>
                <w:sz w:val="20"/>
              </w:rPr>
              <w:t> </w:t>
            </w:r>
            <w:r>
              <w:rPr>
                <w:color w:val="FFFFFF"/>
                <w:spacing w:val="-2"/>
                <w:sz w:val="20"/>
              </w:rPr>
              <w:t>Participants</w:t>
            </w:r>
          </w:p>
        </w:tc>
      </w:tr>
      <w:tr>
        <w:trPr>
          <w:trHeight w:val="371" w:hRule="atLeast"/>
        </w:trPr>
        <w:tc>
          <w:tcPr>
            <w:tcW w:w="5214" w:type="dxa"/>
            <w:tcBorders>
              <w:top w:val="single" w:sz="8" w:space="0" w:color="3A3A3A"/>
            </w:tcBorders>
            <w:shd w:val="clear" w:color="auto" w:fill="E8E8E8"/>
          </w:tcPr>
          <w:p>
            <w:pPr>
              <w:pStyle w:val="TableParagraph"/>
              <w:spacing w:before="73"/>
              <w:ind w:left="151"/>
              <w:rPr>
                <w:sz w:val="20"/>
              </w:rPr>
            </w:pPr>
            <w:r>
              <w:rPr>
                <w:color w:val="3A3A3A"/>
                <w:sz w:val="20"/>
              </w:rPr>
              <w:t>Community</w:t>
            </w:r>
            <w:r>
              <w:rPr>
                <w:color w:val="3A3A3A"/>
                <w:spacing w:val="-5"/>
                <w:sz w:val="20"/>
              </w:rPr>
              <w:t> </w:t>
            </w:r>
            <w:r>
              <w:rPr>
                <w:color w:val="3A3A3A"/>
                <w:sz w:val="20"/>
              </w:rPr>
              <w:t>Listening</w:t>
            </w:r>
            <w:r>
              <w:rPr>
                <w:color w:val="3A3A3A"/>
                <w:spacing w:val="-5"/>
                <w:sz w:val="20"/>
              </w:rPr>
              <w:t> </w:t>
            </w:r>
            <w:r>
              <w:rPr>
                <w:color w:val="3A3A3A"/>
                <w:spacing w:val="-2"/>
                <w:sz w:val="20"/>
              </w:rPr>
              <w:t>Sessions</w:t>
            </w:r>
          </w:p>
        </w:tc>
        <w:tc>
          <w:tcPr>
            <w:tcW w:w="4154" w:type="dxa"/>
            <w:tcBorders>
              <w:top w:val="single" w:sz="8" w:space="0" w:color="3A3A3A"/>
            </w:tcBorders>
            <w:shd w:val="clear" w:color="auto" w:fill="E8E8E8"/>
          </w:tcPr>
          <w:p>
            <w:pPr>
              <w:pStyle w:val="TableParagraph"/>
              <w:spacing w:before="73"/>
              <w:ind w:left="1569" w:right="619"/>
              <w:jc w:val="center"/>
              <w:rPr>
                <w:sz w:val="20"/>
              </w:rPr>
            </w:pPr>
            <w:r>
              <w:rPr>
                <w:color w:val="3A3A3A"/>
                <w:spacing w:val="-5"/>
                <w:sz w:val="20"/>
              </w:rPr>
              <w:t>375</w:t>
            </w:r>
          </w:p>
        </w:tc>
      </w:tr>
      <w:tr>
        <w:trPr>
          <w:trHeight w:val="370" w:hRule="atLeast"/>
        </w:trPr>
        <w:tc>
          <w:tcPr>
            <w:tcW w:w="5214" w:type="dxa"/>
          </w:tcPr>
          <w:p>
            <w:pPr>
              <w:pStyle w:val="TableParagraph"/>
              <w:spacing w:before="72"/>
              <w:ind w:left="151"/>
              <w:rPr>
                <w:sz w:val="20"/>
              </w:rPr>
            </w:pPr>
            <w:r>
              <w:rPr>
                <w:color w:val="3A3A3A"/>
                <w:sz w:val="20"/>
              </w:rPr>
              <w:t>Stakeholder</w:t>
            </w:r>
            <w:r>
              <w:rPr>
                <w:color w:val="3A3A3A"/>
                <w:spacing w:val="-6"/>
                <w:sz w:val="20"/>
              </w:rPr>
              <w:t> </w:t>
            </w:r>
            <w:r>
              <w:rPr>
                <w:color w:val="3A3A3A"/>
                <w:sz w:val="20"/>
              </w:rPr>
              <w:t>Listening</w:t>
            </w:r>
            <w:r>
              <w:rPr>
                <w:color w:val="3A3A3A"/>
                <w:spacing w:val="-5"/>
                <w:sz w:val="20"/>
              </w:rPr>
              <w:t> </w:t>
            </w:r>
            <w:r>
              <w:rPr>
                <w:color w:val="3A3A3A"/>
                <w:spacing w:val="-2"/>
                <w:sz w:val="20"/>
              </w:rPr>
              <w:t>Sessions</w:t>
            </w:r>
          </w:p>
        </w:tc>
        <w:tc>
          <w:tcPr>
            <w:tcW w:w="4154" w:type="dxa"/>
          </w:tcPr>
          <w:p>
            <w:pPr>
              <w:pStyle w:val="TableParagraph"/>
              <w:spacing w:before="72"/>
              <w:ind w:left="1569" w:right="619"/>
              <w:jc w:val="center"/>
              <w:rPr>
                <w:sz w:val="20"/>
              </w:rPr>
            </w:pPr>
            <w:r>
              <w:rPr>
                <w:color w:val="3A3A3A"/>
                <w:spacing w:val="-5"/>
                <w:sz w:val="20"/>
              </w:rPr>
              <w:t>87</w:t>
            </w:r>
          </w:p>
        </w:tc>
      </w:tr>
      <w:tr>
        <w:trPr>
          <w:trHeight w:val="370" w:hRule="atLeast"/>
        </w:trPr>
        <w:tc>
          <w:tcPr>
            <w:tcW w:w="5214" w:type="dxa"/>
            <w:shd w:val="clear" w:color="auto" w:fill="E8E8E8"/>
          </w:tcPr>
          <w:p>
            <w:pPr>
              <w:pStyle w:val="TableParagraph"/>
              <w:spacing w:before="72"/>
              <w:ind w:left="151"/>
              <w:rPr>
                <w:sz w:val="20"/>
              </w:rPr>
            </w:pPr>
            <w:r>
              <w:rPr>
                <w:color w:val="3A3A3A"/>
                <w:spacing w:val="-2"/>
                <w:sz w:val="20"/>
              </w:rPr>
              <w:t>Vendors/Partners</w:t>
            </w:r>
          </w:p>
        </w:tc>
        <w:tc>
          <w:tcPr>
            <w:tcW w:w="4154" w:type="dxa"/>
            <w:shd w:val="clear" w:color="auto" w:fill="E8E8E8"/>
          </w:tcPr>
          <w:p>
            <w:pPr>
              <w:pStyle w:val="TableParagraph"/>
              <w:spacing w:before="72"/>
              <w:ind w:left="1569" w:right="619"/>
              <w:jc w:val="center"/>
              <w:rPr>
                <w:sz w:val="20"/>
              </w:rPr>
            </w:pPr>
            <w:r>
              <w:rPr>
                <w:color w:val="3A3A3A"/>
                <w:spacing w:val="-5"/>
                <w:sz w:val="20"/>
              </w:rPr>
              <w:t>14</w:t>
            </w:r>
          </w:p>
        </w:tc>
      </w:tr>
      <w:tr>
        <w:trPr>
          <w:trHeight w:val="369" w:hRule="atLeast"/>
        </w:trPr>
        <w:tc>
          <w:tcPr>
            <w:tcW w:w="5214" w:type="dxa"/>
          </w:tcPr>
          <w:p>
            <w:pPr>
              <w:pStyle w:val="TableParagraph"/>
              <w:spacing w:before="71"/>
              <w:ind w:left="151"/>
              <w:rPr>
                <w:sz w:val="20"/>
              </w:rPr>
            </w:pPr>
            <w:r>
              <w:rPr>
                <w:color w:val="3A3A3A"/>
                <w:sz w:val="20"/>
              </w:rPr>
              <w:t>MA</w:t>
            </w:r>
            <w:r>
              <w:rPr>
                <w:color w:val="3A3A3A"/>
                <w:spacing w:val="-5"/>
                <w:sz w:val="20"/>
              </w:rPr>
              <w:t> </w:t>
            </w:r>
            <w:r>
              <w:rPr>
                <w:color w:val="3A3A3A"/>
                <w:sz w:val="20"/>
              </w:rPr>
              <w:t>Government</w:t>
            </w:r>
            <w:r>
              <w:rPr>
                <w:color w:val="3A3A3A"/>
                <w:spacing w:val="-3"/>
                <w:sz w:val="20"/>
              </w:rPr>
              <w:t> </w:t>
            </w:r>
            <w:r>
              <w:rPr>
                <w:color w:val="3A3A3A"/>
                <w:spacing w:val="-2"/>
                <w:sz w:val="20"/>
              </w:rPr>
              <w:t>Stakeholders</w:t>
            </w:r>
          </w:p>
        </w:tc>
        <w:tc>
          <w:tcPr>
            <w:tcW w:w="4154" w:type="dxa"/>
          </w:tcPr>
          <w:p>
            <w:pPr>
              <w:pStyle w:val="TableParagraph"/>
              <w:spacing w:before="71"/>
              <w:ind w:left="1569" w:right="619"/>
              <w:jc w:val="center"/>
              <w:rPr>
                <w:sz w:val="20"/>
              </w:rPr>
            </w:pPr>
            <w:r>
              <w:rPr>
                <w:color w:val="3A3A3A"/>
                <w:spacing w:val="-5"/>
                <w:sz w:val="20"/>
              </w:rPr>
              <w:t>12</w:t>
            </w:r>
          </w:p>
        </w:tc>
      </w:tr>
      <w:tr>
        <w:trPr>
          <w:trHeight w:val="370" w:hRule="atLeast"/>
        </w:trPr>
        <w:tc>
          <w:tcPr>
            <w:tcW w:w="5214" w:type="dxa"/>
            <w:shd w:val="clear" w:color="auto" w:fill="E8E8E8"/>
          </w:tcPr>
          <w:p>
            <w:pPr>
              <w:pStyle w:val="TableParagraph"/>
              <w:spacing w:before="72"/>
              <w:ind w:left="151"/>
              <w:rPr>
                <w:sz w:val="20"/>
              </w:rPr>
            </w:pPr>
            <w:r>
              <w:rPr>
                <w:color w:val="3A3A3A"/>
                <w:sz w:val="20"/>
              </w:rPr>
              <w:t>National</w:t>
            </w:r>
            <w:r>
              <w:rPr>
                <w:color w:val="3A3A3A"/>
                <w:spacing w:val="-5"/>
                <w:sz w:val="20"/>
              </w:rPr>
              <w:t> </w:t>
            </w:r>
            <w:r>
              <w:rPr>
                <w:color w:val="3A3A3A"/>
                <w:spacing w:val="-2"/>
                <w:sz w:val="20"/>
              </w:rPr>
              <w:t>Stakeholders</w:t>
            </w:r>
          </w:p>
        </w:tc>
        <w:tc>
          <w:tcPr>
            <w:tcW w:w="4154" w:type="dxa"/>
            <w:shd w:val="clear" w:color="auto" w:fill="E8E8E8"/>
          </w:tcPr>
          <w:p>
            <w:pPr>
              <w:pStyle w:val="TableParagraph"/>
              <w:spacing w:before="72"/>
              <w:ind w:left="948"/>
              <w:jc w:val="center"/>
              <w:rPr>
                <w:sz w:val="20"/>
              </w:rPr>
            </w:pPr>
            <w:r>
              <w:rPr>
                <w:color w:val="3A3A3A"/>
                <w:w w:val="100"/>
                <w:sz w:val="20"/>
              </w:rPr>
              <w:t>6</w:t>
            </w:r>
          </w:p>
        </w:tc>
      </w:tr>
      <w:tr>
        <w:trPr>
          <w:trHeight w:val="371" w:hRule="atLeast"/>
        </w:trPr>
        <w:tc>
          <w:tcPr>
            <w:tcW w:w="5214" w:type="dxa"/>
            <w:tcBorders>
              <w:bottom w:val="single" w:sz="8" w:space="0" w:color="3A3A3A"/>
            </w:tcBorders>
          </w:tcPr>
          <w:p>
            <w:pPr>
              <w:pStyle w:val="TableParagraph"/>
              <w:ind w:left="0"/>
              <w:rPr>
                <w:rFonts w:ascii="Times New Roman"/>
                <w:sz w:val="20"/>
              </w:rPr>
            </w:pPr>
          </w:p>
        </w:tc>
        <w:tc>
          <w:tcPr>
            <w:tcW w:w="4154" w:type="dxa"/>
            <w:tcBorders>
              <w:bottom w:val="single" w:sz="8" w:space="0" w:color="3A3A3A"/>
            </w:tcBorders>
          </w:tcPr>
          <w:p>
            <w:pPr>
              <w:pStyle w:val="TableParagraph"/>
              <w:spacing w:before="72"/>
              <w:ind w:left="1569" w:right="619"/>
              <w:jc w:val="center"/>
              <w:rPr>
                <w:sz w:val="20"/>
              </w:rPr>
            </w:pPr>
            <w:r>
              <w:rPr>
                <w:color w:val="3A3A3A"/>
                <w:sz w:val="20"/>
              </w:rPr>
              <w:t>TOTAL:</w:t>
            </w:r>
            <w:r>
              <w:rPr>
                <w:color w:val="3A3A3A"/>
                <w:spacing w:val="47"/>
                <w:sz w:val="20"/>
              </w:rPr>
              <w:t> </w:t>
            </w:r>
            <w:r>
              <w:rPr>
                <w:color w:val="3A3A3A"/>
                <w:spacing w:val="-5"/>
                <w:sz w:val="20"/>
              </w:rPr>
              <w:t>496</w:t>
            </w:r>
          </w:p>
        </w:tc>
      </w:tr>
    </w:tbl>
    <w:p>
      <w:pPr>
        <w:pStyle w:val="BodyText"/>
        <w:rPr>
          <w:sz w:val="24"/>
        </w:rPr>
      </w:pPr>
    </w:p>
    <w:p>
      <w:pPr>
        <w:pStyle w:val="Heading2"/>
        <w:spacing w:before="177"/>
        <w:rPr>
          <w:i/>
        </w:rPr>
      </w:pPr>
      <w:bookmarkStart w:name="Key Themes" w:id="28"/>
      <w:bookmarkEnd w:id="28"/>
      <w:r>
        <w:rPr>
          <w:i w:val="0"/>
        </w:rPr>
      </w:r>
      <w:bookmarkStart w:name="_bookmark14" w:id="29"/>
      <w:bookmarkEnd w:id="29"/>
      <w:r>
        <w:rPr>
          <w:i w:val="0"/>
        </w:rPr>
      </w:r>
      <w:r>
        <w:rPr>
          <w:i/>
          <w:color w:val="072858"/>
        </w:rPr>
        <w:t>Key</w:t>
      </w:r>
      <w:r>
        <w:rPr>
          <w:i/>
          <w:color w:val="072858"/>
          <w:spacing w:val="-5"/>
        </w:rPr>
        <w:t> </w:t>
      </w:r>
      <w:r>
        <w:rPr>
          <w:i/>
          <w:color w:val="072858"/>
          <w:spacing w:val="-2"/>
        </w:rPr>
        <w:t>Themes</w:t>
      </w:r>
    </w:p>
    <w:p>
      <w:pPr>
        <w:pStyle w:val="BodyText"/>
        <w:spacing w:before="118"/>
        <w:ind w:left="480"/>
      </w:pPr>
      <w:r>
        <w:rPr/>
        <w:t>Several</w:t>
      </w:r>
      <w:r>
        <w:rPr>
          <w:spacing w:val="-8"/>
        </w:rPr>
        <w:t> </w:t>
      </w:r>
      <w:r>
        <w:rPr/>
        <w:t>major</w:t>
      </w:r>
      <w:r>
        <w:rPr>
          <w:spacing w:val="-9"/>
        </w:rPr>
        <w:t> </w:t>
      </w:r>
      <w:r>
        <w:rPr/>
        <w:t>themes</w:t>
      </w:r>
      <w:r>
        <w:rPr>
          <w:spacing w:val="-7"/>
        </w:rPr>
        <w:t> </w:t>
      </w:r>
      <w:r>
        <w:rPr/>
        <w:t>emerged</w:t>
      </w:r>
      <w:r>
        <w:rPr>
          <w:spacing w:val="-8"/>
        </w:rPr>
        <w:t> </w:t>
      </w:r>
      <w:r>
        <w:rPr/>
        <w:t>from</w:t>
      </w:r>
      <w:r>
        <w:rPr>
          <w:spacing w:val="-8"/>
        </w:rPr>
        <w:t> </w:t>
      </w:r>
      <w:r>
        <w:rPr/>
        <w:t>these</w:t>
      </w:r>
      <w:r>
        <w:rPr>
          <w:spacing w:val="-8"/>
        </w:rPr>
        <w:t> </w:t>
      </w:r>
      <w:r>
        <w:rPr>
          <w:spacing w:val="-2"/>
        </w:rPr>
        <w:t>sessions:</w:t>
      </w:r>
    </w:p>
    <w:p>
      <w:pPr>
        <w:pStyle w:val="ListParagraph"/>
        <w:numPr>
          <w:ilvl w:val="0"/>
          <w:numId w:val="2"/>
        </w:numPr>
        <w:tabs>
          <w:tab w:pos="1199" w:val="left" w:leader="none"/>
          <w:tab w:pos="1200" w:val="left" w:leader="none"/>
        </w:tabs>
        <w:spacing w:line="259" w:lineRule="auto" w:before="180" w:after="0"/>
        <w:ind w:left="1199" w:right="421" w:hanging="360"/>
        <w:jc w:val="left"/>
        <w:rPr>
          <w:rFonts w:ascii="Symbol" w:hAnsi="Symbol"/>
          <w:sz w:val="22"/>
        </w:rPr>
      </w:pPr>
      <w:r>
        <w:rPr>
          <w:sz w:val="22"/>
        </w:rPr>
        <w:t>Acute</w:t>
      </w:r>
      <w:r>
        <w:rPr>
          <w:spacing w:val="-4"/>
          <w:sz w:val="22"/>
        </w:rPr>
        <w:t> </w:t>
      </w:r>
      <w:r>
        <w:rPr>
          <w:sz w:val="22"/>
        </w:rPr>
        <w:t>gaps</w:t>
      </w:r>
      <w:r>
        <w:rPr>
          <w:spacing w:val="-3"/>
          <w:sz w:val="22"/>
        </w:rPr>
        <w:t> </w:t>
      </w:r>
      <w:r>
        <w:rPr>
          <w:sz w:val="22"/>
        </w:rPr>
        <w:t>in</w:t>
      </w:r>
      <w:r>
        <w:rPr>
          <w:spacing w:val="-4"/>
          <w:sz w:val="22"/>
        </w:rPr>
        <w:t> </w:t>
      </w:r>
      <w:r>
        <w:rPr>
          <w:sz w:val="22"/>
        </w:rPr>
        <w:t>access</w:t>
      </w:r>
      <w:r>
        <w:rPr>
          <w:spacing w:val="-2"/>
          <w:sz w:val="22"/>
        </w:rPr>
        <w:t> </w:t>
      </w:r>
      <w:r>
        <w:rPr>
          <w:sz w:val="22"/>
        </w:rPr>
        <w:t>to</w:t>
      </w:r>
      <w:r>
        <w:rPr>
          <w:spacing w:val="-3"/>
          <w:sz w:val="22"/>
        </w:rPr>
        <w:t> </w:t>
      </w:r>
      <w:r>
        <w:rPr>
          <w:sz w:val="22"/>
        </w:rPr>
        <w:t>behavioral</w:t>
      </w:r>
      <w:r>
        <w:rPr>
          <w:spacing w:val="-3"/>
          <w:sz w:val="22"/>
        </w:rPr>
        <w:t> </w:t>
      </w:r>
      <w:r>
        <w:rPr>
          <w:sz w:val="22"/>
        </w:rPr>
        <w:t>and</w:t>
      </w:r>
      <w:r>
        <w:rPr>
          <w:spacing w:val="-3"/>
          <w:sz w:val="22"/>
        </w:rPr>
        <w:t> </w:t>
      </w:r>
      <w:r>
        <w:rPr>
          <w:sz w:val="22"/>
        </w:rPr>
        <w:t>mental</w:t>
      </w:r>
      <w:r>
        <w:rPr>
          <w:spacing w:val="-3"/>
          <w:sz w:val="22"/>
        </w:rPr>
        <w:t> </w:t>
      </w:r>
      <w:r>
        <w:rPr>
          <w:sz w:val="22"/>
        </w:rPr>
        <w:t>health</w:t>
      </w:r>
      <w:r>
        <w:rPr>
          <w:spacing w:val="-3"/>
          <w:sz w:val="22"/>
        </w:rPr>
        <w:t> </w:t>
      </w:r>
      <w:r>
        <w:rPr>
          <w:sz w:val="22"/>
        </w:rPr>
        <w:t>prevention,</w:t>
      </w:r>
      <w:r>
        <w:rPr>
          <w:spacing w:val="-2"/>
          <w:sz w:val="22"/>
        </w:rPr>
        <w:t> </w:t>
      </w:r>
      <w:r>
        <w:rPr>
          <w:sz w:val="22"/>
        </w:rPr>
        <w:t>treatment,</w:t>
      </w:r>
      <w:r>
        <w:rPr>
          <w:spacing w:val="-3"/>
          <w:sz w:val="22"/>
        </w:rPr>
        <w:t> </w:t>
      </w:r>
      <w:r>
        <w:rPr>
          <w:sz w:val="22"/>
        </w:rPr>
        <w:t>and</w:t>
      </w:r>
      <w:r>
        <w:rPr>
          <w:spacing w:val="-2"/>
          <w:sz w:val="22"/>
        </w:rPr>
        <w:t> </w:t>
      </w:r>
      <w:r>
        <w:rPr>
          <w:sz w:val="22"/>
        </w:rPr>
        <w:t>recovery services – particularly in historically underserved and marginalized communities – persistently reinforce inequities in health. Members of these communities view problem gambling as a seamless part</w:t>
      </w:r>
      <w:r>
        <w:rPr>
          <w:spacing w:val="-1"/>
          <w:sz w:val="22"/>
        </w:rPr>
        <w:t> </w:t>
      </w:r>
      <w:r>
        <w:rPr>
          <w:sz w:val="22"/>
        </w:rPr>
        <w:t>of the broader</w:t>
      </w:r>
      <w:r>
        <w:rPr>
          <w:spacing w:val="-1"/>
          <w:sz w:val="22"/>
        </w:rPr>
        <w:t> </w:t>
      </w:r>
      <w:r>
        <w:rPr>
          <w:sz w:val="22"/>
        </w:rPr>
        <w:t>behavioral and mental health landscape, and look to DPH and its government and community partners for help.</w:t>
      </w:r>
    </w:p>
    <w:p>
      <w:pPr>
        <w:pStyle w:val="ListParagraph"/>
        <w:numPr>
          <w:ilvl w:val="0"/>
          <w:numId w:val="2"/>
        </w:numPr>
        <w:tabs>
          <w:tab w:pos="1199" w:val="left" w:leader="none"/>
          <w:tab w:pos="1200" w:val="left" w:leader="none"/>
        </w:tabs>
        <w:spacing w:line="259" w:lineRule="auto" w:before="117" w:after="0"/>
        <w:ind w:left="1199" w:right="230" w:hanging="360"/>
        <w:jc w:val="left"/>
        <w:rPr>
          <w:rFonts w:ascii="Symbol" w:hAnsi="Symbol"/>
          <w:sz w:val="22"/>
        </w:rPr>
      </w:pPr>
      <w:r>
        <w:rPr>
          <w:sz w:val="22"/>
        </w:rPr>
        <w:t>The Problem Gambling field faces an urgent need to ensure that equity is central to its prevention,</w:t>
      </w:r>
      <w:r>
        <w:rPr>
          <w:spacing w:val="-3"/>
          <w:sz w:val="22"/>
        </w:rPr>
        <w:t> </w:t>
      </w:r>
      <w:r>
        <w:rPr>
          <w:sz w:val="22"/>
        </w:rPr>
        <w:t>treatment,</w:t>
      </w:r>
      <w:r>
        <w:rPr>
          <w:spacing w:val="-3"/>
          <w:sz w:val="22"/>
        </w:rPr>
        <w:t> </w:t>
      </w:r>
      <w:r>
        <w:rPr>
          <w:sz w:val="22"/>
        </w:rPr>
        <w:t>and</w:t>
      </w:r>
      <w:r>
        <w:rPr>
          <w:spacing w:val="-3"/>
          <w:sz w:val="22"/>
        </w:rPr>
        <w:t> </w:t>
      </w:r>
      <w:r>
        <w:rPr>
          <w:sz w:val="22"/>
        </w:rPr>
        <w:t>recovery</w:t>
      </w:r>
      <w:r>
        <w:rPr>
          <w:spacing w:val="-3"/>
          <w:sz w:val="22"/>
        </w:rPr>
        <w:t> </w:t>
      </w:r>
      <w:r>
        <w:rPr>
          <w:sz w:val="22"/>
        </w:rPr>
        <w:t>work</w:t>
      </w:r>
      <w:r>
        <w:rPr>
          <w:spacing w:val="-3"/>
          <w:sz w:val="22"/>
        </w:rPr>
        <w:t> </w:t>
      </w:r>
      <w:r>
        <w:rPr>
          <w:sz w:val="22"/>
        </w:rPr>
        <w:t>as</w:t>
      </w:r>
      <w:r>
        <w:rPr>
          <w:spacing w:val="-3"/>
          <w:sz w:val="22"/>
        </w:rPr>
        <w:t> </w:t>
      </w:r>
      <w:r>
        <w:rPr>
          <w:sz w:val="22"/>
        </w:rPr>
        <w:t>well</w:t>
      </w:r>
      <w:r>
        <w:rPr>
          <w:spacing w:val="-4"/>
          <w:sz w:val="22"/>
        </w:rPr>
        <w:t> </w:t>
      </w:r>
      <w:r>
        <w:rPr>
          <w:sz w:val="22"/>
        </w:rPr>
        <w:t>as</w:t>
      </w:r>
      <w:r>
        <w:rPr>
          <w:spacing w:val="-3"/>
          <w:sz w:val="22"/>
        </w:rPr>
        <w:t> </w:t>
      </w:r>
      <w:r>
        <w:rPr>
          <w:sz w:val="22"/>
        </w:rPr>
        <w:t>its</w:t>
      </w:r>
      <w:r>
        <w:rPr>
          <w:spacing w:val="-3"/>
          <w:sz w:val="22"/>
        </w:rPr>
        <w:t> </w:t>
      </w:r>
      <w:r>
        <w:rPr>
          <w:sz w:val="22"/>
        </w:rPr>
        <w:t>research</w:t>
      </w:r>
      <w:r>
        <w:rPr>
          <w:spacing w:val="-2"/>
          <w:sz w:val="22"/>
        </w:rPr>
        <w:t> </w:t>
      </w:r>
      <w:r>
        <w:rPr>
          <w:sz w:val="22"/>
        </w:rPr>
        <w:t>base.</w:t>
      </w:r>
      <w:r>
        <w:rPr>
          <w:spacing w:val="-1"/>
          <w:sz w:val="22"/>
        </w:rPr>
        <w:t> </w:t>
      </w:r>
      <w:r>
        <w:rPr>
          <w:sz w:val="22"/>
        </w:rPr>
        <w:t>Community</w:t>
      </w:r>
      <w:r>
        <w:rPr>
          <w:spacing w:val="-3"/>
          <w:sz w:val="22"/>
        </w:rPr>
        <w:t> </w:t>
      </w:r>
      <w:r>
        <w:rPr>
          <w:sz w:val="22"/>
        </w:rPr>
        <w:t>members and DPH vendors and partners in particular spotlight prevention activities responsive to the needs of historically underserved and marginalized communities as critical to addressing root causes of problem gambling and urge a focus on upstream prevention in conjunction with strengthening access to treatment and recovery services.</w:t>
      </w:r>
    </w:p>
    <w:p>
      <w:pPr>
        <w:pStyle w:val="ListParagraph"/>
        <w:numPr>
          <w:ilvl w:val="0"/>
          <w:numId w:val="2"/>
        </w:numPr>
        <w:tabs>
          <w:tab w:pos="1199" w:val="left" w:leader="none"/>
          <w:tab w:pos="1200" w:val="left" w:leader="none"/>
        </w:tabs>
        <w:spacing w:line="259" w:lineRule="auto" w:before="116" w:after="0"/>
        <w:ind w:left="1199" w:right="210" w:hanging="360"/>
        <w:jc w:val="left"/>
        <w:rPr>
          <w:rFonts w:ascii="Symbol" w:hAnsi="Symbol"/>
          <w:sz w:val="22"/>
        </w:rPr>
      </w:pPr>
      <w:r>
        <w:rPr>
          <w:sz w:val="22"/>
        </w:rPr>
        <w:t>In all areas of public health and human services, the collective community need is greater than any single government agency can meet. DPH, like all organizations, needs to prioritize how it focuses its finite resources, guided by the voice of the community, data, mission and principles.</w:t>
      </w:r>
      <w:r>
        <w:rPr>
          <w:spacing w:val="-4"/>
          <w:sz w:val="22"/>
        </w:rPr>
        <w:t> </w:t>
      </w:r>
      <w:r>
        <w:rPr>
          <w:sz w:val="22"/>
        </w:rPr>
        <w:t>The</w:t>
      </w:r>
      <w:r>
        <w:rPr>
          <w:spacing w:val="-5"/>
          <w:sz w:val="22"/>
        </w:rPr>
        <w:t> </w:t>
      </w:r>
      <w:r>
        <w:rPr>
          <w:sz w:val="22"/>
        </w:rPr>
        <w:t>majority</w:t>
      </w:r>
      <w:r>
        <w:rPr>
          <w:spacing w:val="-4"/>
          <w:sz w:val="22"/>
        </w:rPr>
        <w:t> </w:t>
      </w:r>
      <w:r>
        <w:rPr>
          <w:sz w:val="22"/>
        </w:rPr>
        <w:t>of</w:t>
      </w:r>
      <w:r>
        <w:rPr>
          <w:spacing w:val="-4"/>
          <w:sz w:val="22"/>
        </w:rPr>
        <w:t> </w:t>
      </w:r>
      <w:r>
        <w:rPr>
          <w:sz w:val="22"/>
        </w:rPr>
        <w:t>community</w:t>
      </w:r>
      <w:r>
        <w:rPr>
          <w:spacing w:val="-3"/>
          <w:sz w:val="22"/>
        </w:rPr>
        <w:t> </w:t>
      </w:r>
      <w:r>
        <w:rPr>
          <w:sz w:val="22"/>
        </w:rPr>
        <w:t>members</w:t>
      </w:r>
      <w:r>
        <w:rPr>
          <w:spacing w:val="-4"/>
          <w:sz w:val="22"/>
        </w:rPr>
        <w:t> </w:t>
      </w:r>
      <w:r>
        <w:rPr>
          <w:sz w:val="22"/>
        </w:rPr>
        <w:t>and</w:t>
      </w:r>
      <w:r>
        <w:rPr>
          <w:spacing w:val="-4"/>
          <w:sz w:val="22"/>
        </w:rPr>
        <w:t> </w:t>
      </w:r>
      <w:r>
        <w:rPr>
          <w:sz w:val="22"/>
        </w:rPr>
        <w:t>OPGS</w:t>
      </w:r>
      <w:r>
        <w:rPr>
          <w:spacing w:val="-5"/>
          <w:sz w:val="22"/>
        </w:rPr>
        <w:t> </w:t>
      </w:r>
      <w:r>
        <w:rPr>
          <w:sz w:val="22"/>
        </w:rPr>
        <w:t>vendors</w:t>
      </w:r>
      <w:r>
        <w:rPr>
          <w:spacing w:val="-4"/>
          <w:sz w:val="22"/>
        </w:rPr>
        <w:t> </w:t>
      </w:r>
      <w:r>
        <w:rPr>
          <w:sz w:val="22"/>
        </w:rPr>
        <w:t>and</w:t>
      </w:r>
      <w:r>
        <w:rPr>
          <w:spacing w:val="-4"/>
          <w:sz w:val="22"/>
        </w:rPr>
        <w:t> </w:t>
      </w:r>
      <w:r>
        <w:rPr>
          <w:sz w:val="22"/>
        </w:rPr>
        <w:t>partners</w:t>
      </w:r>
      <w:r>
        <w:rPr>
          <w:spacing w:val="-4"/>
          <w:sz w:val="22"/>
        </w:rPr>
        <w:t> </w:t>
      </w:r>
      <w:r>
        <w:rPr>
          <w:sz w:val="22"/>
        </w:rPr>
        <w:t>interviewed look to DPH to prioritize historically underserved and marginalized communities.</w:t>
      </w:r>
    </w:p>
    <w:p>
      <w:pPr>
        <w:pStyle w:val="ListParagraph"/>
        <w:numPr>
          <w:ilvl w:val="0"/>
          <w:numId w:val="2"/>
        </w:numPr>
        <w:tabs>
          <w:tab w:pos="1199" w:val="left" w:leader="none"/>
          <w:tab w:pos="1200" w:val="left" w:leader="none"/>
        </w:tabs>
        <w:spacing w:line="259" w:lineRule="auto" w:before="117" w:after="0"/>
        <w:ind w:left="1200" w:right="194" w:hanging="360"/>
        <w:jc w:val="left"/>
        <w:rPr>
          <w:rFonts w:ascii="Symbol" w:hAnsi="Symbol"/>
          <w:sz w:val="22"/>
        </w:rPr>
      </w:pPr>
      <w:r>
        <w:rPr>
          <w:sz w:val="22"/>
        </w:rPr>
        <w:t>The expansion of gambling/gaming modalities, including legalized betting on sports and rapid growth of online gambling and gaming, brings with it a mix of challenges and opportunities.</w:t>
      </w:r>
      <w:r>
        <w:rPr>
          <w:spacing w:val="-3"/>
          <w:sz w:val="22"/>
        </w:rPr>
        <w:t> </w:t>
      </w:r>
      <w:r>
        <w:rPr>
          <w:sz w:val="22"/>
        </w:rPr>
        <w:t>Challenges</w:t>
      </w:r>
      <w:r>
        <w:rPr>
          <w:spacing w:val="-3"/>
          <w:sz w:val="22"/>
        </w:rPr>
        <w:t> </w:t>
      </w:r>
      <w:r>
        <w:rPr>
          <w:sz w:val="22"/>
        </w:rPr>
        <w:t>include</w:t>
      </w:r>
      <w:r>
        <w:rPr>
          <w:spacing w:val="-4"/>
          <w:sz w:val="22"/>
        </w:rPr>
        <w:t> </w:t>
      </w:r>
      <w:r>
        <w:rPr>
          <w:sz w:val="22"/>
        </w:rPr>
        <w:t>stretching</w:t>
      </w:r>
      <w:r>
        <w:rPr>
          <w:spacing w:val="-3"/>
          <w:sz w:val="22"/>
        </w:rPr>
        <w:t> </w:t>
      </w:r>
      <w:r>
        <w:rPr>
          <w:sz w:val="22"/>
        </w:rPr>
        <w:t>of</w:t>
      </w:r>
      <w:r>
        <w:rPr>
          <w:spacing w:val="-3"/>
          <w:sz w:val="22"/>
        </w:rPr>
        <w:t> </w:t>
      </w:r>
      <w:r>
        <w:rPr>
          <w:sz w:val="22"/>
        </w:rPr>
        <w:t>OPGS</w:t>
      </w:r>
      <w:r>
        <w:rPr>
          <w:spacing w:val="-4"/>
          <w:sz w:val="22"/>
        </w:rPr>
        <w:t> </w:t>
      </w:r>
      <w:r>
        <w:rPr>
          <w:sz w:val="22"/>
        </w:rPr>
        <w:t>and</w:t>
      </w:r>
      <w:r>
        <w:rPr>
          <w:spacing w:val="-3"/>
          <w:sz w:val="22"/>
        </w:rPr>
        <w:t> </w:t>
      </w:r>
      <w:r>
        <w:rPr>
          <w:sz w:val="22"/>
        </w:rPr>
        <w:t>vendor/partner</w:t>
      </w:r>
      <w:r>
        <w:rPr>
          <w:spacing w:val="-4"/>
          <w:sz w:val="22"/>
        </w:rPr>
        <w:t> </w:t>
      </w:r>
      <w:r>
        <w:rPr>
          <w:sz w:val="22"/>
        </w:rPr>
        <w:t>capacity</w:t>
      </w:r>
      <w:r>
        <w:rPr>
          <w:spacing w:val="-2"/>
          <w:sz w:val="22"/>
        </w:rPr>
        <w:t> </w:t>
      </w:r>
      <w:r>
        <w:rPr>
          <w:sz w:val="22"/>
        </w:rPr>
        <w:t>as</w:t>
      </w:r>
      <w:r>
        <w:rPr>
          <w:spacing w:val="-2"/>
          <w:sz w:val="22"/>
        </w:rPr>
        <w:t> </w:t>
      </w:r>
      <w:r>
        <w:rPr>
          <w:sz w:val="22"/>
        </w:rPr>
        <w:t>well</w:t>
      </w:r>
      <w:r>
        <w:rPr>
          <w:spacing w:val="-3"/>
          <w:sz w:val="22"/>
        </w:rPr>
        <w:t> </w:t>
      </w:r>
      <w:r>
        <w:rPr>
          <w:sz w:val="22"/>
        </w:rPr>
        <w:t>as deepened</w:t>
      </w:r>
      <w:r>
        <w:rPr>
          <w:spacing w:val="-4"/>
          <w:sz w:val="22"/>
        </w:rPr>
        <w:t> </w:t>
      </w:r>
      <w:r>
        <w:rPr>
          <w:sz w:val="22"/>
        </w:rPr>
        <w:t>societal</w:t>
      </w:r>
      <w:r>
        <w:rPr>
          <w:spacing w:val="-3"/>
          <w:sz w:val="22"/>
        </w:rPr>
        <w:t> </w:t>
      </w:r>
      <w:r>
        <w:rPr>
          <w:sz w:val="22"/>
        </w:rPr>
        <w:t>normalizing</w:t>
      </w:r>
      <w:r>
        <w:rPr>
          <w:spacing w:val="-4"/>
          <w:sz w:val="22"/>
        </w:rPr>
        <w:t> </w:t>
      </w:r>
      <w:r>
        <w:rPr>
          <w:sz w:val="22"/>
        </w:rPr>
        <w:t>of</w:t>
      </w:r>
      <w:r>
        <w:rPr>
          <w:spacing w:val="-4"/>
          <w:sz w:val="22"/>
        </w:rPr>
        <w:t> </w:t>
      </w:r>
      <w:r>
        <w:rPr>
          <w:sz w:val="22"/>
        </w:rPr>
        <w:t>gambling</w:t>
      </w:r>
      <w:r>
        <w:rPr>
          <w:spacing w:val="-4"/>
          <w:sz w:val="22"/>
        </w:rPr>
        <w:t> </w:t>
      </w:r>
      <w:r>
        <w:rPr>
          <w:sz w:val="22"/>
        </w:rPr>
        <w:t>behaviors.</w:t>
      </w:r>
      <w:r>
        <w:rPr>
          <w:spacing w:val="-4"/>
          <w:sz w:val="22"/>
        </w:rPr>
        <w:t> </w:t>
      </w:r>
      <w:r>
        <w:rPr>
          <w:sz w:val="22"/>
        </w:rPr>
        <w:t>Opportunities</w:t>
      </w:r>
      <w:r>
        <w:rPr>
          <w:spacing w:val="-4"/>
          <w:sz w:val="22"/>
        </w:rPr>
        <w:t> </w:t>
      </w:r>
      <w:r>
        <w:rPr>
          <w:sz w:val="22"/>
        </w:rPr>
        <w:t>include</w:t>
      </w:r>
      <w:r>
        <w:rPr>
          <w:spacing w:val="-5"/>
          <w:sz w:val="22"/>
        </w:rPr>
        <w:t> </w:t>
      </w:r>
      <w:r>
        <w:rPr>
          <w:sz w:val="22"/>
        </w:rPr>
        <w:t>the</w:t>
      </w:r>
      <w:r>
        <w:rPr>
          <w:spacing w:val="-5"/>
          <w:sz w:val="22"/>
        </w:rPr>
        <w:t> </w:t>
      </w:r>
      <w:r>
        <w:rPr>
          <w:sz w:val="22"/>
        </w:rPr>
        <w:t>potential</w:t>
      </w:r>
      <w:r>
        <w:rPr>
          <w:spacing w:val="-4"/>
          <w:sz w:val="22"/>
        </w:rPr>
        <w:t> </w:t>
      </w:r>
      <w:r>
        <w:rPr>
          <w:sz w:val="22"/>
        </w:rPr>
        <w:t>for new alliances (e.g., with sports organizations and individual athletes) and expanded access to prevention, treatment, and recovery services (e.g., through online platforms).</w:t>
      </w:r>
    </w:p>
    <w:p>
      <w:pPr>
        <w:pStyle w:val="BodyText"/>
        <w:spacing w:before="8"/>
        <w:rPr>
          <w:sz w:val="23"/>
        </w:rPr>
      </w:pPr>
    </w:p>
    <w:p>
      <w:pPr>
        <w:pStyle w:val="Heading3"/>
      </w:pPr>
      <w:bookmarkStart w:name="Major Impact Areas" w:id="30"/>
      <w:bookmarkEnd w:id="30"/>
      <w:r>
        <w:rPr/>
      </w:r>
      <w:bookmarkStart w:name="_bookmark15" w:id="31"/>
      <w:bookmarkEnd w:id="31"/>
      <w:r>
        <w:rPr/>
      </w:r>
      <w:r>
        <w:rPr>
          <w:color w:val="032D52"/>
        </w:rPr>
        <w:t>MAJOR</w:t>
      </w:r>
      <w:r>
        <w:rPr>
          <w:color w:val="032D52"/>
          <w:spacing w:val="36"/>
        </w:rPr>
        <w:t> </w:t>
      </w:r>
      <w:r>
        <w:rPr>
          <w:color w:val="032D52"/>
        </w:rPr>
        <w:t>IMPACT</w:t>
      </w:r>
      <w:r>
        <w:rPr>
          <w:color w:val="032D52"/>
          <w:spacing w:val="38"/>
        </w:rPr>
        <w:t> </w:t>
      </w:r>
      <w:r>
        <w:rPr>
          <w:color w:val="032D52"/>
          <w:spacing w:val="-2"/>
        </w:rPr>
        <w:t>AREAS</w:t>
      </w:r>
    </w:p>
    <w:p>
      <w:pPr>
        <w:pStyle w:val="BodyText"/>
        <w:spacing w:line="249" w:lineRule="exact"/>
        <w:ind w:left="480"/>
      </w:pPr>
      <w:r>
        <w:rPr/>
        <w:t>In</w:t>
      </w:r>
      <w:r>
        <w:rPr>
          <w:spacing w:val="-10"/>
        </w:rPr>
        <w:t> </w:t>
      </w:r>
      <w:r>
        <w:rPr/>
        <w:t>identifying</w:t>
      </w:r>
      <w:r>
        <w:rPr>
          <w:spacing w:val="-7"/>
        </w:rPr>
        <w:t> </w:t>
      </w:r>
      <w:r>
        <w:rPr/>
        <w:t>priorities</w:t>
      </w:r>
      <w:r>
        <w:rPr>
          <w:spacing w:val="-8"/>
        </w:rPr>
        <w:t> </w:t>
      </w:r>
      <w:r>
        <w:rPr/>
        <w:t>for</w:t>
      </w:r>
      <w:r>
        <w:rPr>
          <w:spacing w:val="-8"/>
        </w:rPr>
        <w:t> </w:t>
      </w:r>
      <w:r>
        <w:rPr/>
        <w:t>2022-2026,</w:t>
      </w:r>
      <w:r>
        <w:rPr>
          <w:spacing w:val="-7"/>
        </w:rPr>
        <w:t> </w:t>
      </w:r>
      <w:r>
        <w:rPr/>
        <w:t>OPGS</w:t>
      </w:r>
      <w:r>
        <w:rPr>
          <w:spacing w:val="-9"/>
        </w:rPr>
        <w:t> </w:t>
      </w:r>
      <w:r>
        <w:rPr/>
        <w:t>took</w:t>
      </w:r>
      <w:r>
        <w:rPr>
          <w:spacing w:val="-9"/>
        </w:rPr>
        <w:t> </w:t>
      </w:r>
      <w:r>
        <w:rPr/>
        <w:t>the</w:t>
      </w:r>
      <w:r>
        <w:rPr>
          <w:spacing w:val="-9"/>
        </w:rPr>
        <w:t> </w:t>
      </w:r>
      <w:r>
        <w:rPr/>
        <w:t>following</w:t>
      </w:r>
      <w:r>
        <w:rPr>
          <w:spacing w:val="-8"/>
        </w:rPr>
        <w:t> </w:t>
      </w:r>
      <w:r>
        <w:rPr/>
        <w:t>into</w:t>
      </w:r>
      <w:r>
        <w:rPr>
          <w:spacing w:val="-8"/>
        </w:rPr>
        <w:t> </w:t>
      </w:r>
      <w:r>
        <w:rPr>
          <w:spacing w:val="-2"/>
        </w:rPr>
        <w:t>account:</w:t>
      </w:r>
    </w:p>
    <w:p>
      <w:pPr>
        <w:pStyle w:val="ListParagraph"/>
        <w:numPr>
          <w:ilvl w:val="0"/>
          <w:numId w:val="2"/>
        </w:numPr>
        <w:tabs>
          <w:tab w:pos="1199" w:val="left" w:leader="none"/>
          <w:tab w:pos="1200" w:val="left" w:leader="none"/>
        </w:tabs>
        <w:spacing w:line="240" w:lineRule="auto" w:before="181" w:after="0"/>
        <w:ind w:left="1199" w:right="0" w:hanging="361"/>
        <w:jc w:val="left"/>
        <w:rPr>
          <w:rFonts w:ascii="Symbol" w:hAnsi="Symbol"/>
          <w:sz w:val="22"/>
        </w:rPr>
      </w:pPr>
      <w:r>
        <w:rPr>
          <w:sz w:val="22"/>
        </w:rPr>
        <w:t>Input</w:t>
      </w:r>
      <w:r>
        <w:rPr>
          <w:spacing w:val="-8"/>
          <w:sz w:val="22"/>
        </w:rPr>
        <w:t> </w:t>
      </w:r>
      <w:r>
        <w:rPr>
          <w:sz w:val="22"/>
        </w:rPr>
        <w:t>and</w:t>
      </w:r>
      <w:r>
        <w:rPr>
          <w:spacing w:val="-6"/>
          <w:sz w:val="22"/>
        </w:rPr>
        <w:t> </w:t>
      </w:r>
      <w:r>
        <w:rPr>
          <w:sz w:val="22"/>
        </w:rPr>
        <w:t>feedback</w:t>
      </w:r>
      <w:r>
        <w:rPr>
          <w:spacing w:val="-6"/>
          <w:sz w:val="22"/>
        </w:rPr>
        <w:t> </w:t>
      </w:r>
      <w:r>
        <w:rPr>
          <w:sz w:val="22"/>
        </w:rPr>
        <w:t>from</w:t>
      </w:r>
      <w:r>
        <w:rPr>
          <w:spacing w:val="-6"/>
          <w:sz w:val="22"/>
        </w:rPr>
        <w:t> </w:t>
      </w:r>
      <w:r>
        <w:rPr>
          <w:sz w:val="22"/>
        </w:rPr>
        <w:t>stakeholders,</w:t>
      </w:r>
      <w:r>
        <w:rPr>
          <w:spacing w:val="-6"/>
          <w:sz w:val="22"/>
        </w:rPr>
        <w:t> </w:t>
      </w:r>
      <w:r>
        <w:rPr>
          <w:sz w:val="22"/>
        </w:rPr>
        <w:t>with</w:t>
      </w:r>
      <w:r>
        <w:rPr>
          <w:spacing w:val="-6"/>
          <w:sz w:val="22"/>
        </w:rPr>
        <w:t> </w:t>
      </w:r>
      <w:r>
        <w:rPr>
          <w:sz w:val="22"/>
        </w:rPr>
        <w:t>a</w:t>
      </w:r>
      <w:r>
        <w:rPr>
          <w:spacing w:val="-7"/>
          <w:sz w:val="22"/>
        </w:rPr>
        <w:t> </w:t>
      </w:r>
      <w:r>
        <w:rPr>
          <w:sz w:val="22"/>
        </w:rPr>
        <w:t>particular</w:t>
      </w:r>
      <w:r>
        <w:rPr>
          <w:spacing w:val="-7"/>
          <w:sz w:val="22"/>
        </w:rPr>
        <w:t> </w:t>
      </w:r>
      <w:r>
        <w:rPr>
          <w:sz w:val="22"/>
        </w:rPr>
        <w:t>focus</w:t>
      </w:r>
      <w:r>
        <w:rPr>
          <w:spacing w:val="-6"/>
          <w:sz w:val="22"/>
        </w:rPr>
        <w:t> </w:t>
      </w:r>
      <w:r>
        <w:rPr>
          <w:sz w:val="22"/>
        </w:rPr>
        <w:t>on</w:t>
      </w:r>
      <w:r>
        <w:rPr>
          <w:spacing w:val="-7"/>
          <w:sz w:val="22"/>
        </w:rPr>
        <w:t> </w:t>
      </w:r>
      <w:r>
        <w:rPr>
          <w:sz w:val="22"/>
        </w:rPr>
        <w:t>the</w:t>
      </w:r>
      <w:r>
        <w:rPr>
          <w:spacing w:val="-7"/>
          <w:sz w:val="22"/>
        </w:rPr>
        <w:t> </w:t>
      </w:r>
      <w:r>
        <w:rPr>
          <w:sz w:val="22"/>
        </w:rPr>
        <w:t>voice</w:t>
      </w:r>
      <w:r>
        <w:rPr>
          <w:spacing w:val="-8"/>
          <w:sz w:val="22"/>
        </w:rPr>
        <w:t> </w:t>
      </w:r>
      <w:r>
        <w:rPr>
          <w:sz w:val="22"/>
        </w:rPr>
        <w:t>of</w:t>
      </w:r>
      <w:r>
        <w:rPr>
          <w:spacing w:val="-6"/>
          <w:sz w:val="22"/>
        </w:rPr>
        <w:t> </w:t>
      </w:r>
      <w:r>
        <w:rPr>
          <w:sz w:val="22"/>
        </w:rPr>
        <w:t>the</w:t>
      </w:r>
      <w:r>
        <w:rPr>
          <w:spacing w:val="-7"/>
          <w:sz w:val="22"/>
        </w:rPr>
        <w:t> </w:t>
      </w:r>
      <w:r>
        <w:rPr>
          <w:spacing w:val="-2"/>
          <w:sz w:val="22"/>
        </w:rPr>
        <w:t>community</w:t>
      </w:r>
    </w:p>
    <w:p>
      <w:pPr>
        <w:pStyle w:val="ListParagraph"/>
        <w:numPr>
          <w:ilvl w:val="0"/>
          <w:numId w:val="2"/>
        </w:numPr>
        <w:tabs>
          <w:tab w:pos="1199" w:val="left" w:leader="none"/>
          <w:tab w:pos="1200" w:val="left" w:leader="none"/>
        </w:tabs>
        <w:spacing w:line="240" w:lineRule="auto" w:before="19" w:after="0"/>
        <w:ind w:left="1199" w:right="0" w:hanging="361"/>
        <w:jc w:val="left"/>
        <w:rPr>
          <w:rFonts w:ascii="Symbol" w:hAnsi="Symbol"/>
          <w:sz w:val="22"/>
        </w:rPr>
      </w:pPr>
      <w:r>
        <w:rPr>
          <w:sz w:val="22"/>
        </w:rPr>
        <w:t>Strategic</w:t>
      </w:r>
      <w:r>
        <w:rPr>
          <w:spacing w:val="-8"/>
          <w:sz w:val="22"/>
        </w:rPr>
        <w:t> </w:t>
      </w:r>
      <w:r>
        <w:rPr>
          <w:sz w:val="22"/>
        </w:rPr>
        <w:t>priorities</w:t>
      </w:r>
      <w:r>
        <w:rPr>
          <w:spacing w:val="-7"/>
          <w:sz w:val="22"/>
        </w:rPr>
        <w:t> </w:t>
      </w:r>
      <w:r>
        <w:rPr>
          <w:sz w:val="22"/>
        </w:rPr>
        <w:t>of</w:t>
      </w:r>
      <w:r>
        <w:rPr>
          <w:spacing w:val="-7"/>
          <w:sz w:val="22"/>
        </w:rPr>
        <w:t> </w:t>
      </w:r>
      <w:r>
        <w:rPr>
          <w:sz w:val="22"/>
        </w:rPr>
        <w:t>DPH</w:t>
      </w:r>
      <w:r>
        <w:rPr>
          <w:spacing w:val="-6"/>
          <w:sz w:val="22"/>
        </w:rPr>
        <w:t> </w:t>
      </w:r>
      <w:r>
        <w:rPr>
          <w:sz w:val="22"/>
        </w:rPr>
        <w:t>and</w:t>
      </w:r>
      <w:r>
        <w:rPr>
          <w:spacing w:val="-7"/>
          <w:sz w:val="22"/>
        </w:rPr>
        <w:t> </w:t>
      </w:r>
      <w:r>
        <w:rPr>
          <w:spacing w:val="-2"/>
          <w:sz w:val="22"/>
        </w:rPr>
        <w:t>EOHHS</w:t>
      </w:r>
    </w:p>
    <w:p>
      <w:pPr>
        <w:pStyle w:val="ListParagraph"/>
        <w:numPr>
          <w:ilvl w:val="0"/>
          <w:numId w:val="2"/>
        </w:numPr>
        <w:tabs>
          <w:tab w:pos="1199" w:val="left" w:leader="none"/>
          <w:tab w:pos="1200" w:val="left" w:leader="none"/>
        </w:tabs>
        <w:spacing w:line="240" w:lineRule="auto" w:before="18" w:after="0"/>
        <w:ind w:left="1199" w:right="0" w:hanging="361"/>
        <w:jc w:val="left"/>
        <w:rPr>
          <w:rFonts w:ascii="Symbol" w:hAnsi="Symbol"/>
          <w:sz w:val="22"/>
        </w:rPr>
      </w:pPr>
      <w:r>
        <w:rPr>
          <w:sz w:val="22"/>
        </w:rPr>
        <w:t>Lessons</w:t>
      </w:r>
      <w:r>
        <w:rPr>
          <w:spacing w:val="-11"/>
          <w:sz w:val="22"/>
        </w:rPr>
        <w:t> </w:t>
      </w:r>
      <w:r>
        <w:rPr>
          <w:sz w:val="22"/>
        </w:rPr>
        <w:t>learned</w:t>
      </w:r>
      <w:r>
        <w:rPr>
          <w:spacing w:val="-10"/>
          <w:sz w:val="22"/>
        </w:rPr>
        <w:t> </w:t>
      </w:r>
      <w:r>
        <w:rPr>
          <w:sz w:val="22"/>
        </w:rPr>
        <w:t>from</w:t>
      </w:r>
      <w:r>
        <w:rPr>
          <w:spacing w:val="-10"/>
          <w:sz w:val="22"/>
        </w:rPr>
        <w:t> </w:t>
      </w:r>
      <w:r>
        <w:rPr>
          <w:sz w:val="22"/>
        </w:rPr>
        <w:t>implementing</w:t>
      </w:r>
      <w:r>
        <w:rPr>
          <w:spacing w:val="-10"/>
          <w:sz w:val="22"/>
        </w:rPr>
        <w:t> </w:t>
      </w:r>
      <w:r>
        <w:rPr>
          <w:sz w:val="22"/>
        </w:rPr>
        <w:t>the</w:t>
      </w:r>
      <w:r>
        <w:rPr>
          <w:spacing w:val="-11"/>
          <w:sz w:val="22"/>
        </w:rPr>
        <w:t> </w:t>
      </w:r>
      <w:r>
        <w:rPr>
          <w:sz w:val="22"/>
        </w:rPr>
        <w:t>2016-2021</w:t>
      </w:r>
      <w:r>
        <w:rPr>
          <w:spacing w:val="-11"/>
          <w:sz w:val="22"/>
        </w:rPr>
        <w:t> </w:t>
      </w:r>
      <w:r>
        <w:rPr>
          <w:sz w:val="22"/>
        </w:rPr>
        <w:t>strategic</w:t>
      </w:r>
      <w:r>
        <w:rPr>
          <w:spacing w:val="-9"/>
          <w:sz w:val="22"/>
        </w:rPr>
        <w:t> </w:t>
      </w:r>
      <w:r>
        <w:rPr>
          <w:spacing w:val="-4"/>
          <w:sz w:val="22"/>
        </w:rPr>
        <w:t>plan</w:t>
      </w:r>
    </w:p>
    <w:p>
      <w:pPr>
        <w:spacing w:after="0" w:line="240" w:lineRule="auto"/>
        <w:jc w:val="left"/>
        <w:rPr>
          <w:rFonts w:ascii="Symbol" w:hAnsi="Symbol"/>
          <w:sz w:val="22"/>
        </w:rPr>
        <w:sectPr>
          <w:pgSz w:w="12240" w:h="15840"/>
          <w:pgMar w:header="438" w:footer="444" w:top="1320" w:bottom="640" w:left="960" w:right="1320"/>
        </w:sectPr>
      </w:pPr>
    </w:p>
    <w:p>
      <w:pPr>
        <w:pStyle w:val="BodyText"/>
        <w:spacing w:line="259" w:lineRule="auto" w:before="102"/>
        <w:ind w:left="480" w:right="218"/>
      </w:pPr>
      <w:r>
        <w:rPr/>
        <w:t>Two</w:t>
      </w:r>
      <w:r>
        <w:rPr>
          <w:spacing w:val="-3"/>
        </w:rPr>
        <w:t> </w:t>
      </w:r>
      <w:r>
        <w:rPr/>
        <w:t>major</w:t>
      </w:r>
      <w:r>
        <w:rPr>
          <w:spacing w:val="-4"/>
        </w:rPr>
        <w:t> </w:t>
      </w:r>
      <w:r>
        <w:rPr/>
        <w:t>aspects</w:t>
      </w:r>
      <w:r>
        <w:rPr>
          <w:spacing w:val="-3"/>
        </w:rPr>
        <w:t> </w:t>
      </w:r>
      <w:r>
        <w:rPr/>
        <w:t>that</w:t>
      </w:r>
      <w:r>
        <w:rPr>
          <w:spacing w:val="-4"/>
        </w:rPr>
        <w:t> </w:t>
      </w:r>
      <w:r>
        <w:rPr/>
        <w:t>are</w:t>
      </w:r>
      <w:r>
        <w:rPr>
          <w:spacing w:val="-4"/>
        </w:rPr>
        <w:t> </w:t>
      </w:r>
      <w:r>
        <w:rPr/>
        <w:t>central</w:t>
      </w:r>
      <w:r>
        <w:rPr>
          <w:spacing w:val="-2"/>
        </w:rPr>
        <w:t> </w:t>
      </w:r>
      <w:r>
        <w:rPr/>
        <w:t>to</w:t>
      </w:r>
      <w:r>
        <w:rPr>
          <w:spacing w:val="-3"/>
        </w:rPr>
        <w:t> </w:t>
      </w:r>
      <w:r>
        <w:rPr/>
        <w:t>impact</w:t>
      </w:r>
      <w:r>
        <w:rPr>
          <w:spacing w:val="-4"/>
        </w:rPr>
        <w:t> </w:t>
      </w:r>
      <w:r>
        <w:rPr/>
        <w:t>emerged</w:t>
      </w:r>
      <w:r>
        <w:rPr>
          <w:spacing w:val="-3"/>
        </w:rPr>
        <w:t> </w:t>
      </w:r>
      <w:r>
        <w:rPr/>
        <w:t>from</w:t>
      </w:r>
      <w:r>
        <w:rPr>
          <w:spacing w:val="-3"/>
        </w:rPr>
        <w:t> </w:t>
      </w:r>
      <w:r>
        <w:rPr/>
        <w:t>this</w:t>
      </w:r>
      <w:r>
        <w:rPr>
          <w:spacing w:val="-2"/>
        </w:rPr>
        <w:t> </w:t>
      </w:r>
      <w:r>
        <w:rPr/>
        <w:t>work,</w:t>
      </w:r>
      <w:r>
        <w:rPr>
          <w:spacing w:val="-3"/>
        </w:rPr>
        <w:t> </w:t>
      </w:r>
      <w:r>
        <w:rPr/>
        <w:t>including</w:t>
      </w:r>
      <w:r>
        <w:rPr>
          <w:spacing w:val="-3"/>
        </w:rPr>
        <w:t> </w:t>
      </w:r>
      <w:r>
        <w:rPr/>
        <w:t>goals,</w:t>
      </w:r>
      <w:r>
        <w:rPr>
          <w:spacing w:val="-3"/>
        </w:rPr>
        <w:t> </w:t>
      </w:r>
      <w:r>
        <w:rPr/>
        <w:t>strategies, and performance measures. These areas are as follows:</w:t>
      </w:r>
    </w:p>
    <w:p>
      <w:pPr>
        <w:pStyle w:val="ListParagraph"/>
        <w:numPr>
          <w:ilvl w:val="0"/>
          <w:numId w:val="2"/>
        </w:numPr>
        <w:tabs>
          <w:tab w:pos="1559" w:val="left" w:leader="none"/>
          <w:tab w:pos="1560" w:val="left" w:leader="none"/>
        </w:tabs>
        <w:spacing w:line="240" w:lineRule="auto" w:before="161" w:after="0"/>
        <w:ind w:left="1560" w:right="0" w:hanging="720"/>
        <w:jc w:val="left"/>
        <w:rPr>
          <w:rFonts w:ascii="Symbol" w:hAnsi="Symbol"/>
          <w:sz w:val="22"/>
        </w:rPr>
      </w:pPr>
      <w:r>
        <w:rPr>
          <w:sz w:val="22"/>
        </w:rPr>
        <w:t>Expand</w:t>
      </w:r>
      <w:r>
        <w:rPr>
          <w:spacing w:val="-8"/>
          <w:sz w:val="22"/>
        </w:rPr>
        <w:t> </w:t>
      </w:r>
      <w:r>
        <w:rPr>
          <w:spacing w:val="-2"/>
          <w:sz w:val="22"/>
        </w:rPr>
        <w:t>Reach</w:t>
      </w:r>
    </w:p>
    <w:p>
      <w:pPr>
        <w:pStyle w:val="ListParagraph"/>
        <w:numPr>
          <w:ilvl w:val="0"/>
          <w:numId w:val="2"/>
        </w:numPr>
        <w:tabs>
          <w:tab w:pos="1559" w:val="left" w:leader="none"/>
          <w:tab w:pos="1560" w:val="left" w:leader="none"/>
        </w:tabs>
        <w:spacing w:line="240" w:lineRule="auto" w:before="18" w:after="0"/>
        <w:ind w:left="1560" w:right="0" w:hanging="720"/>
        <w:jc w:val="left"/>
        <w:rPr>
          <w:rFonts w:ascii="Symbol" w:hAnsi="Symbol"/>
          <w:sz w:val="22"/>
        </w:rPr>
      </w:pPr>
      <w:r>
        <w:rPr>
          <w:sz w:val="22"/>
        </w:rPr>
        <w:t>Enhance</w:t>
      </w:r>
      <w:r>
        <w:rPr>
          <w:spacing w:val="-11"/>
          <w:sz w:val="22"/>
        </w:rPr>
        <w:t> </w:t>
      </w:r>
      <w:r>
        <w:rPr>
          <w:spacing w:val="-2"/>
          <w:sz w:val="22"/>
        </w:rPr>
        <w:t>Effectiveness</w:t>
      </w:r>
    </w:p>
    <w:p>
      <w:pPr>
        <w:pStyle w:val="BodyText"/>
        <w:spacing w:line="259" w:lineRule="auto" w:before="180"/>
        <w:ind w:left="480" w:right="164"/>
      </w:pPr>
      <w:r>
        <w:rPr/>
        <w:t>Our</w:t>
      </w:r>
      <w:r>
        <w:rPr>
          <w:spacing w:val="-4"/>
        </w:rPr>
        <w:t> </w:t>
      </w:r>
      <w:r>
        <w:rPr/>
        <w:t>goals</w:t>
      </w:r>
      <w:r>
        <w:rPr>
          <w:spacing w:val="-3"/>
        </w:rPr>
        <w:t> </w:t>
      </w:r>
      <w:r>
        <w:rPr/>
        <w:t>are</w:t>
      </w:r>
      <w:r>
        <w:rPr>
          <w:spacing w:val="-4"/>
        </w:rPr>
        <w:t> </w:t>
      </w:r>
      <w:r>
        <w:rPr/>
        <w:t>outlined</w:t>
      </w:r>
      <w:r>
        <w:rPr>
          <w:spacing w:val="-3"/>
        </w:rPr>
        <w:t> </w:t>
      </w:r>
      <w:r>
        <w:rPr/>
        <w:t>below.</w:t>
      </w:r>
      <w:r>
        <w:rPr>
          <w:spacing w:val="-3"/>
        </w:rPr>
        <w:t> </w:t>
      </w:r>
      <w:r>
        <w:rPr/>
        <w:t>The</w:t>
      </w:r>
      <w:r>
        <w:rPr>
          <w:spacing w:val="-4"/>
        </w:rPr>
        <w:t> </w:t>
      </w:r>
      <w:r>
        <w:rPr/>
        <w:t>tables</w:t>
      </w:r>
      <w:r>
        <w:rPr>
          <w:spacing w:val="-3"/>
        </w:rPr>
        <w:t> </w:t>
      </w:r>
      <w:r>
        <w:rPr/>
        <w:t>on</w:t>
      </w:r>
      <w:r>
        <w:rPr>
          <w:spacing w:val="-4"/>
        </w:rPr>
        <w:t> </w:t>
      </w:r>
      <w:r>
        <w:rPr/>
        <w:t>the</w:t>
      </w:r>
      <w:r>
        <w:rPr>
          <w:spacing w:val="-4"/>
        </w:rPr>
        <w:t> </w:t>
      </w:r>
      <w:r>
        <w:rPr/>
        <w:t>following</w:t>
      </w:r>
      <w:r>
        <w:rPr>
          <w:spacing w:val="-3"/>
        </w:rPr>
        <w:t> </w:t>
      </w:r>
      <w:r>
        <w:rPr/>
        <w:t>pages</w:t>
      </w:r>
      <w:r>
        <w:rPr>
          <w:spacing w:val="-2"/>
        </w:rPr>
        <w:t> </w:t>
      </w:r>
      <w:r>
        <w:rPr/>
        <w:t>break</w:t>
      </w:r>
      <w:r>
        <w:rPr>
          <w:spacing w:val="-3"/>
        </w:rPr>
        <w:t> </w:t>
      </w:r>
      <w:r>
        <w:rPr/>
        <w:t>down</w:t>
      </w:r>
      <w:r>
        <w:rPr>
          <w:spacing w:val="-2"/>
        </w:rPr>
        <w:t> </w:t>
      </w:r>
      <w:r>
        <w:rPr/>
        <w:t>each</w:t>
      </w:r>
      <w:r>
        <w:rPr>
          <w:spacing w:val="-3"/>
        </w:rPr>
        <w:t> </w:t>
      </w:r>
      <w:r>
        <w:rPr/>
        <w:t>goal</w:t>
      </w:r>
      <w:r>
        <w:rPr>
          <w:spacing w:val="-3"/>
        </w:rPr>
        <w:t> </w:t>
      </w:r>
      <w:r>
        <w:rPr/>
        <w:t>explicitly, including relevant strategies and performance measures.</w:t>
      </w:r>
    </w:p>
    <w:p>
      <w:pPr>
        <w:pStyle w:val="BodyText"/>
        <w:spacing w:before="158"/>
        <w:ind w:left="480"/>
      </w:pPr>
      <w:r>
        <w:rPr>
          <w:color w:val="1D4193"/>
        </w:rPr>
        <w:t>Impact</w:t>
      </w:r>
      <w:r>
        <w:rPr>
          <w:color w:val="1D4193"/>
          <w:spacing w:val="-8"/>
        </w:rPr>
        <w:t> </w:t>
      </w:r>
      <w:r>
        <w:rPr>
          <w:color w:val="1D4193"/>
        </w:rPr>
        <w:t>Area:</w:t>
      </w:r>
      <w:r>
        <w:rPr>
          <w:color w:val="1D4193"/>
          <w:spacing w:val="-7"/>
        </w:rPr>
        <w:t> </w:t>
      </w:r>
      <w:r>
        <w:rPr>
          <w:color w:val="1D4193"/>
        </w:rPr>
        <w:t>Expand</w:t>
      </w:r>
      <w:r>
        <w:rPr>
          <w:color w:val="1D4193"/>
          <w:spacing w:val="-6"/>
        </w:rPr>
        <w:t> </w:t>
      </w:r>
      <w:r>
        <w:rPr>
          <w:color w:val="1D4193"/>
          <w:spacing w:val="-4"/>
        </w:rPr>
        <w:t>Reach</w:t>
      </w:r>
    </w:p>
    <w:p>
      <w:pPr>
        <w:pStyle w:val="ListParagraph"/>
        <w:numPr>
          <w:ilvl w:val="0"/>
          <w:numId w:val="2"/>
        </w:numPr>
        <w:tabs>
          <w:tab w:pos="1199" w:val="left" w:leader="none"/>
          <w:tab w:pos="1200" w:val="left" w:leader="none"/>
        </w:tabs>
        <w:spacing w:line="256" w:lineRule="auto" w:before="181" w:after="0"/>
        <w:ind w:left="1200" w:right="196" w:hanging="360"/>
        <w:jc w:val="left"/>
        <w:rPr>
          <w:rFonts w:ascii="Symbol" w:hAnsi="Symbol"/>
          <w:sz w:val="22"/>
        </w:rPr>
      </w:pPr>
      <w:r>
        <w:rPr>
          <w:sz w:val="22"/>
        </w:rPr>
        <w:t>Goal</w:t>
      </w:r>
      <w:r>
        <w:rPr>
          <w:spacing w:val="-3"/>
          <w:sz w:val="22"/>
        </w:rPr>
        <w:t> </w:t>
      </w:r>
      <w:r>
        <w:rPr>
          <w:sz w:val="22"/>
        </w:rPr>
        <w:t>#1:</w:t>
      </w:r>
      <w:r>
        <w:rPr>
          <w:spacing w:val="-3"/>
          <w:sz w:val="22"/>
        </w:rPr>
        <w:t> </w:t>
      </w:r>
      <w:r>
        <w:rPr>
          <w:sz w:val="22"/>
        </w:rPr>
        <w:t>Expand</w:t>
      </w:r>
      <w:r>
        <w:rPr>
          <w:spacing w:val="-4"/>
          <w:sz w:val="22"/>
        </w:rPr>
        <w:t> </w:t>
      </w:r>
      <w:r>
        <w:rPr>
          <w:sz w:val="22"/>
        </w:rPr>
        <w:t>and</w:t>
      </w:r>
      <w:r>
        <w:rPr>
          <w:spacing w:val="-4"/>
          <w:sz w:val="22"/>
        </w:rPr>
        <w:t> </w:t>
      </w:r>
      <w:r>
        <w:rPr>
          <w:sz w:val="22"/>
        </w:rPr>
        <w:t>increase</w:t>
      </w:r>
      <w:r>
        <w:rPr>
          <w:spacing w:val="-5"/>
          <w:sz w:val="22"/>
        </w:rPr>
        <w:t> </w:t>
      </w:r>
      <w:r>
        <w:rPr>
          <w:sz w:val="22"/>
        </w:rPr>
        <w:t>awareness</w:t>
      </w:r>
      <w:r>
        <w:rPr>
          <w:spacing w:val="-4"/>
          <w:sz w:val="22"/>
        </w:rPr>
        <w:t> </w:t>
      </w:r>
      <w:r>
        <w:rPr>
          <w:sz w:val="22"/>
        </w:rPr>
        <w:t>of</w:t>
      </w:r>
      <w:r>
        <w:rPr>
          <w:spacing w:val="-4"/>
          <w:sz w:val="22"/>
        </w:rPr>
        <w:t> </w:t>
      </w:r>
      <w:r>
        <w:rPr>
          <w:sz w:val="22"/>
        </w:rPr>
        <w:t>the</w:t>
      </w:r>
      <w:r>
        <w:rPr>
          <w:spacing w:val="-5"/>
          <w:sz w:val="22"/>
        </w:rPr>
        <w:t> </w:t>
      </w:r>
      <w:r>
        <w:rPr>
          <w:sz w:val="22"/>
        </w:rPr>
        <w:t>risks</w:t>
      </w:r>
      <w:r>
        <w:rPr>
          <w:spacing w:val="-4"/>
          <w:sz w:val="22"/>
        </w:rPr>
        <w:t> </w:t>
      </w:r>
      <w:r>
        <w:rPr>
          <w:sz w:val="22"/>
        </w:rPr>
        <w:t>associated</w:t>
      </w:r>
      <w:r>
        <w:rPr>
          <w:spacing w:val="-4"/>
          <w:sz w:val="22"/>
        </w:rPr>
        <w:t> </w:t>
      </w:r>
      <w:r>
        <w:rPr>
          <w:sz w:val="22"/>
        </w:rPr>
        <w:t>with</w:t>
      </w:r>
      <w:r>
        <w:rPr>
          <w:spacing w:val="-4"/>
          <w:sz w:val="22"/>
        </w:rPr>
        <w:t> </w:t>
      </w:r>
      <w:r>
        <w:rPr>
          <w:sz w:val="22"/>
        </w:rPr>
        <w:t>problem</w:t>
      </w:r>
      <w:r>
        <w:rPr>
          <w:spacing w:val="-4"/>
          <w:sz w:val="22"/>
        </w:rPr>
        <w:t> </w:t>
      </w:r>
      <w:r>
        <w:rPr>
          <w:sz w:val="22"/>
        </w:rPr>
        <w:t>gambling</w:t>
      </w:r>
      <w:r>
        <w:rPr>
          <w:spacing w:val="-3"/>
          <w:sz w:val="22"/>
        </w:rPr>
        <w:t> </w:t>
      </w:r>
      <w:r>
        <w:rPr>
          <w:sz w:val="22"/>
        </w:rPr>
        <w:t>and available treatment services, with a focus on intersectionality with other aspects of mental and behavioral health as well as structural inequities and social determinants of health.</w:t>
      </w:r>
    </w:p>
    <w:p>
      <w:pPr>
        <w:pStyle w:val="ListParagraph"/>
        <w:numPr>
          <w:ilvl w:val="0"/>
          <w:numId w:val="2"/>
        </w:numPr>
        <w:tabs>
          <w:tab w:pos="1199" w:val="left" w:leader="none"/>
          <w:tab w:pos="1200" w:val="left" w:leader="none"/>
        </w:tabs>
        <w:spacing w:line="256" w:lineRule="auto" w:before="5" w:after="0"/>
        <w:ind w:left="1200" w:right="120" w:hanging="361"/>
        <w:jc w:val="left"/>
        <w:rPr>
          <w:rFonts w:ascii="Symbol" w:hAnsi="Symbol"/>
          <w:sz w:val="22"/>
        </w:rPr>
      </w:pPr>
      <w:r>
        <w:rPr>
          <w:sz w:val="22"/>
        </w:rPr>
        <w:t>Goal #2: Lift up community voice across the Commonwealth, building on foundations established</w:t>
      </w:r>
      <w:r>
        <w:rPr>
          <w:spacing w:val="-5"/>
          <w:sz w:val="22"/>
        </w:rPr>
        <w:t> </w:t>
      </w:r>
      <w:r>
        <w:rPr>
          <w:sz w:val="22"/>
        </w:rPr>
        <w:t>through</w:t>
      </w:r>
      <w:r>
        <w:rPr>
          <w:spacing w:val="-5"/>
          <w:sz w:val="22"/>
        </w:rPr>
        <w:t> </w:t>
      </w:r>
      <w:r>
        <w:rPr>
          <w:sz w:val="22"/>
        </w:rPr>
        <w:t>equity-focused</w:t>
      </w:r>
      <w:r>
        <w:rPr>
          <w:spacing w:val="-5"/>
          <w:sz w:val="22"/>
        </w:rPr>
        <w:t> </w:t>
      </w:r>
      <w:r>
        <w:rPr>
          <w:sz w:val="22"/>
        </w:rPr>
        <w:t>engagement</w:t>
      </w:r>
      <w:r>
        <w:rPr>
          <w:spacing w:val="-5"/>
          <w:sz w:val="22"/>
        </w:rPr>
        <w:t> </w:t>
      </w:r>
      <w:r>
        <w:rPr>
          <w:sz w:val="22"/>
        </w:rPr>
        <w:t>with</w:t>
      </w:r>
      <w:r>
        <w:rPr>
          <w:spacing w:val="-5"/>
          <w:sz w:val="22"/>
        </w:rPr>
        <w:t> </w:t>
      </w:r>
      <w:r>
        <w:rPr>
          <w:sz w:val="22"/>
        </w:rPr>
        <w:t>casino-host</w:t>
      </w:r>
      <w:r>
        <w:rPr>
          <w:spacing w:val="-5"/>
          <w:sz w:val="22"/>
        </w:rPr>
        <w:t> </w:t>
      </w:r>
      <w:r>
        <w:rPr>
          <w:sz w:val="22"/>
        </w:rPr>
        <w:t>communities</w:t>
      </w:r>
      <w:r>
        <w:rPr>
          <w:spacing w:val="-5"/>
          <w:sz w:val="22"/>
        </w:rPr>
        <w:t> </w:t>
      </w:r>
      <w:r>
        <w:rPr>
          <w:sz w:val="22"/>
        </w:rPr>
        <w:t>of</w:t>
      </w:r>
      <w:r>
        <w:rPr>
          <w:spacing w:val="-5"/>
          <w:sz w:val="22"/>
        </w:rPr>
        <w:t> </w:t>
      </w:r>
      <w:r>
        <w:rPr>
          <w:sz w:val="22"/>
        </w:rPr>
        <w:t>Everett</w:t>
      </w:r>
      <w:r>
        <w:rPr>
          <w:spacing w:val="-4"/>
          <w:sz w:val="22"/>
        </w:rPr>
        <w:t> </w:t>
      </w:r>
      <w:r>
        <w:rPr>
          <w:sz w:val="22"/>
        </w:rPr>
        <w:t>and </w:t>
      </w:r>
      <w:r>
        <w:rPr>
          <w:spacing w:val="-2"/>
          <w:sz w:val="22"/>
        </w:rPr>
        <w:t>Springfield.</w:t>
      </w:r>
    </w:p>
    <w:p>
      <w:pPr>
        <w:pStyle w:val="ListParagraph"/>
        <w:numPr>
          <w:ilvl w:val="0"/>
          <w:numId w:val="2"/>
        </w:numPr>
        <w:tabs>
          <w:tab w:pos="1199" w:val="left" w:leader="none"/>
          <w:tab w:pos="1200" w:val="left" w:leader="none"/>
        </w:tabs>
        <w:spacing w:line="256" w:lineRule="auto" w:before="6" w:after="0"/>
        <w:ind w:left="1199" w:right="185" w:hanging="360"/>
        <w:jc w:val="left"/>
        <w:rPr>
          <w:rFonts w:ascii="Symbol" w:hAnsi="Symbol"/>
          <w:sz w:val="22"/>
        </w:rPr>
      </w:pPr>
      <w:r>
        <w:rPr>
          <w:sz w:val="22"/>
        </w:rPr>
        <w:t>Goal</w:t>
      </w:r>
      <w:r>
        <w:rPr>
          <w:spacing w:val="-3"/>
          <w:sz w:val="22"/>
        </w:rPr>
        <w:t> </w:t>
      </w:r>
      <w:r>
        <w:rPr>
          <w:sz w:val="22"/>
        </w:rPr>
        <w:t>#3:</w:t>
      </w:r>
      <w:r>
        <w:rPr>
          <w:spacing w:val="-3"/>
          <w:sz w:val="22"/>
        </w:rPr>
        <w:t> </w:t>
      </w:r>
      <w:r>
        <w:rPr>
          <w:sz w:val="22"/>
        </w:rPr>
        <w:t>Inject</w:t>
      </w:r>
      <w:r>
        <w:rPr>
          <w:spacing w:val="-5"/>
          <w:sz w:val="22"/>
        </w:rPr>
        <w:t> </w:t>
      </w:r>
      <w:r>
        <w:rPr>
          <w:sz w:val="22"/>
        </w:rPr>
        <w:t>equity-centered</w:t>
      </w:r>
      <w:r>
        <w:rPr>
          <w:spacing w:val="-4"/>
          <w:sz w:val="22"/>
        </w:rPr>
        <w:t> </w:t>
      </w:r>
      <w:r>
        <w:rPr>
          <w:sz w:val="22"/>
        </w:rPr>
        <w:t>mitigation</w:t>
      </w:r>
      <w:r>
        <w:rPr>
          <w:spacing w:val="-4"/>
          <w:sz w:val="22"/>
        </w:rPr>
        <w:t> </w:t>
      </w:r>
      <w:r>
        <w:rPr>
          <w:sz w:val="22"/>
        </w:rPr>
        <w:t>of</w:t>
      </w:r>
      <w:r>
        <w:rPr>
          <w:spacing w:val="-4"/>
          <w:sz w:val="22"/>
        </w:rPr>
        <w:t> </w:t>
      </w:r>
      <w:r>
        <w:rPr>
          <w:sz w:val="22"/>
        </w:rPr>
        <w:t>negative</w:t>
      </w:r>
      <w:r>
        <w:rPr>
          <w:spacing w:val="-5"/>
          <w:sz w:val="22"/>
        </w:rPr>
        <w:t> </w:t>
      </w:r>
      <w:r>
        <w:rPr>
          <w:sz w:val="22"/>
        </w:rPr>
        <w:t>effects</w:t>
      </w:r>
      <w:r>
        <w:rPr>
          <w:spacing w:val="-4"/>
          <w:sz w:val="22"/>
        </w:rPr>
        <w:t> </w:t>
      </w:r>
      <w:r>
        <w:rPr>
          <w:sz w:val="22"/>
        </w:rPr>
        <w:t>from</w:t>
      </w:r>
      <w:r>
        <w:rPr>
          <w:spacing w:val="-4"/>
          <w:sz w:val="22"/>
        </w:rPr>
        <w:t> </w:t>
      </w:r>
      <w:r>
        <w:rPr>
          <w:sz w:val="22"/>
        </w:rPr>
        <w:t>problem</w:t>
      </w:r>
      <w:r>
        <w:rPr>
          <w:spacing w:val="-4"/>
          <w:sz w:val="22"/>
        </w:rPr>
        <w:t> </w:t>
      </w:r>
      <w:r>
        <w:rPr>
          <w:sz w:val="22"/>
        </w:rPr>
        <w:t>gambling</w:t>
      </w:r>
      <w:r>
        <w:rPr>
          <w:spacing w:val="-4"/>
          <w:sz w:val="22"/>
        </w:rPr>
        <w:t> </w:t>
      </w:r>
      <w:r>
        <w:rPr>
          <w:sz w:val="22"/>
        </w:rPr>
        <w:t>into</w:t>
      </w:r>
      <w:r>
        <w:rPr>
          <w:spacing w:val="-3"/>
          <w:sz w:val="22"/>
        </w:rPr>
        <w:t> </w:t>
      </w:r>
      <w:r>
        <w:rPr>
          <w:sz w:val="22"/>
        </w:rPr>
        <w:t>the existing behavioral and mental health prevention and treatment infrastructure.</w:t>
      </w:r>
    </w:p>
    <w:p>
      <w:pPr>
        <w:pStyle w:val="ListParagraph"/>
        <w:numPr>
          <w:ilvl w:val="0"/>
          <w:numId w:val="2"/>
        </w:numPr>
        <w:tabs>
          <w:tab w:pos="1199" w:val="left" w:leader="none"/>
          <w:tab w:pos="1200" w:val="left" w:leader="none"/>
        </w:tabs>
        <w:spacing w:line="240" w:lineRule="auto" w:before="3" w:after="0"/>
        <w:ind w:left="1200" w:right="0" w:hanging="360"/>
        <w:jc w:val="left"/>
        <w:rPr>
          <w:rFonts w:ascii="Symbol" w:hAnsi="Symbol"/>
          <w:sz w:val="22"/>
        </w:rPr>
      </w:pPr>
      <w:r>
        <w:rPr>
          <w:sz w:val="22"/>
        </w:rPr>
        <w:t>Goal</w:t>
      </w:r>
      <w:r>
        <w:rPr>
          <w:spacing w:val="-9"/>
          <w:sz w:val="22"/>
        </w:rPr>
        <w:t> </w:t>
      </w:r>
      <w:r>
        <w:rPr>
          <w:sz w:val="22"/>
        </w:rPr>
        <w:t>#4:</w:t>
      </w:r>
      <w:r>
        <w:rPr>
          <w:spacing w:val="-8"/>
          <w:sz w:val="22"/>
        </w:rPr>
        <w:t> </w:t>
      </w:r>
      <w:r>
        <w:rPr>
          <w:sz w:val="22"/>
        </w:rPr>
        <w:t>Strengthen</w:t>
      </w:r>
      <w:r>
        <w:rPr>
          <w:spacing w:val="-10"/>
          <w:sz w:val="22"/>
        </w:rPr>
        <w:t> </w:t>
      </w:r>
      <w:r>
        <w:rPr>
          <w:sz w:val="22"/>
        </w:rPr>
        <w:t>priority</w:t>
      </w:r>
      <w:r>
        <w:rPr>
          <w:spacing w:val="-9"/>
          <w:sz w:val="22"/>
        </w:rPr>
        <w:t> </w:t>
      </w:r>
      <w:r>
        <w:rPr>
          <w:sz w:val="22"/>
        </w:rPr>
        <w:t>populations’</w:t>
      </w:r>
      <w:r>
        <w:rPr>
          <w:spacing w:val="-9"/>
          <w:sz w:val="22"/>
        </w:rPr>
        <w:t> </w:t>
      </w:r>
      <w:r>
        <w:rPr>
          <w:sz w:val="22"/>
        </w:rPr>
        <w:t>access</w:t>
      </w:r>
      <w:r>
        <w:rPr>
          <w:spacing w:val="-10"/>
          <w:sz w:val="22"/>
        </w:rPr>
        <w:t> </w:t>
      </w:r>
      <w:r>
        <w:rPr>
          <w:sz w:val="22"/>
        </w:rPr>
        <w:t>to</w:t>
      </w:r>
      <w:r>
        <w:rPr>
          <w:spacing w:val="-8"/>
          <w:sz w:val="22"/>
        </w:rPr>
        <w:t> </w:t>
      </w:r>
      <w:r>
        <w:rPr>
          <w:sz w:val="22"/>
        </w:rPr>
        <w:t>existing</w:t>
      </w:r>
      <w:r>
        <w:rPr>
          <w:spacing w:val="-9"/>
          <w:sz w:val="22"/>
        </w:rPr>
        <w:t> </w:t>
      </w:r>
      <w:r>
        <w:rPr>
          <w:sz w:val="22"/>
        </w:rPr>
        <w:t>treatment</w:t>
      </w:r>
      <w:r>
        <w:rPr>
          <w:spacing w:val="-8"/>
          <w:sz w:val="22"/>
        </w:rPr>
        <w:t> </w:t>
      </w:r>
      <w:r>
        <w:rPr>
          <w:spacing w:val="-2"/>
          <w:sz w:val="22"/>
        </w:rPr>
        <w:t>resources.</w:t>
      </w:r>
    </w:p>
    <w:p>
      <w:pPr>
        <w:pStyle w:val="BodyText"/>
        <w:rPr>
          <w:sz w:val="26"/>
        </w:rPr>
      </w:pPr>
    </w:p>
    <w:p>
      <w:pPr>
        <w:pStyle w:val="BodyText"/>
        <w:spacing w:before="1"/>
        <w:rPr>
          <w:sz w:val="37"/>
        </w:rPr>
      </w:pPr>
    </w:p>
    <w:p>
      <w:pPr>
        <w:pStyle w:val="BodyText"/>
        <w:ind w:left="480"/>
      </w:pPr>
      <w:r>
        <w:rPr>
          <w:color w:val="1D4193"/>
        </w:rPr>
        <w:t>Impact</w:t>
      </w:r>
      <w:r>
        <w:rPr>
          <w:color w:val="1D4193"/>
          <w:spacing w:val="-8"/>
        </w:rPr>
        <w:t> </w:t>
      </w:r>
      <w:r>
        <w:rPr>
          <w:color w:val="1D4193"/>
        </w:rPr>
        <w:t>Area:</w:t>
      </w:r>
      <w:r>
        <w:rPr>
          <w:color w:val="1D4193"/>
          <w:spacing w:val="-8"/>
        </w:rPr>
        <w:t> </w:t>
      </w:r>
      <w:r>
        <w:rPr>
          <w:color w:val="1D4193"/>
        </w:rPr>
        <w:t>Enhance</w:t>
      </w:r>
      <w:r>
        <w:rPr>
          <w:color w:val="1D4193"/>
          <w:spacing w:val="-8"/>
        </w:rPr>
        <w:t> </w:t>
      </w:r>
      <w:r>
        <w:rPr>
          <w:color w:val="1D4193"/>
          <w:spacing w:val="-2"/>
        </w:rPr>
        <w:t>Effectiveness</w:t>
      </w:r>
    </w:p>
    <w:p>
      <w:pPr>
        <w:pStyle w:val="ListParagraph"/>
        <w:numPr>
          <w:ilvl w:val="0"/>
          <w:numId w:val="2"/>
        </w:numPr>
        <w:tabs>
          <w:tab w:pos="1199" w:val="left" w:leader="none"/>
          <w:tab w:pos="1200" w:val="left" w:leader="none"/>
        </w:tabs>
        <w:spacing w:line="256" w:lineRule="auto" w:before="181" w:after="0"/>
        <w:ind w:left="1200" w:right="783" w:hanging="360"/>
        <w:jc w:val="left"/>
        <w:rPr>
          <w:rFonts w:ascii="Symbol" w:hAnsi="Symbol"/>
          <w:sz w:val="22"/>
        </w:rPr>
      </w:pPr>
      <w:r>
        <w:rPr>
          <w:sz w:val="22"/>
        </w:rPr>
        <w:t>Goal</w:t>
      </w:r>
      <w:r>
        <w:rPr>
          <w:spacing w:val="-3"/>
          <w:sz w:val="22"/>
        </w:rPr>
        <w:t> </w:t>
      </w:r>
      <w:r>
        <w:rPr>
          <w:sz w:val="22"/>
        </w:rPr>
        <w:t>#5:</w:t>
      </w:r>
      <w:r>
        <w:rPr>
          <w:spacing w:val="-3"/>
          <w:sz w:val="22"/>
        </w:rPr>
        <w:t> </w:t>
      </w:r>
      <w:r>
        <w:rPr>
          <w:sz w:val="22"/>
        </w:rPr>
        <w:t>Strengthen</w:t>
      </w:r>
      <w:r>
        <w:rPr>
          <w:spacing w:val="-5"/>
          <w:sz w:val="22"/>
        </w:rPr>
        <w:t> </w:t>
      </w:r>
      <w:r>
        <w:rPr>
          <w:sz w:val="22"/>
        </w:rPr>
        <w:t>the</w:t>
      </w:r>
      <w:r>
        <w:rPr>
          <w:spacing w:val="-5"/>
          <w:sz w:val="22"/>
        </w:rPr>
        <w:t> </w:t>
      </w:r>
      <w:r>
        <w:rPr>
          <w:sz w:val="22"/>
        </w:rPr>
        <w:t>number</w:t>
      </w:r>
      <w:r>
        <w:rPr>
          <w:spacing w:val="-5"/>
          <w:sz w:val="22"/>
        </w:rPr>
        <w:t> </w:t>
      </w:r>
      <w:r>
        <w:rPr>
          <w:sz w:val="22"/>
        </w:rPr>
        <w:t>and</w:t>
      </w:r>
      <w:r>
        <w:rPr>
          <w:spacing w:val="-4"/>
          <w:sz w:val="22"/>
        </w:rPr>
        <w:t> </w:t>
      </w:r>
      <w:r>
        <w:rPr>
          <w:sz w:val="22"/>
        </w:rPr>
        <w:t>capacity</w:t>
      </w:r>
      <w:r>
        <w:rPr>
          <w:spacing w:val="-4"/>
          <w:sz w:val="22"/>
        </w:rPr>
        <w:t> </w:t>
      </w:r>
      <w:r>
        <w:rPr>
          <w:sz w:val="22"/>
        </w:rPr>
        <w:t>of</w:t>
      </w:r>
      <w:r>
        <w:rPr>
          <w:spacing w:val="-4"/>
          <w:sz w:val="22"/>
        </w:rPr>
        <w:t> </w:t>
      </w:r>
      <w:r>
        <w:rPr>
          <w:sz w:val="22"/>
        </w:rPr>
        <w:t>providers,</w:t>
      </w:r>
      <w:r>
        <w:rPr>
          <w:spacing w:val="-3"/>
          <w:sz w:val="22"/>
        </w:rPr>
        <w:t> </w:t>
      </w:r>
      <w:r>
        <w:rPr>
          <w:sz w:val="22"/>
        </w:rPr>
        <w:t>vendors,</w:t>
      </w:r>
      <w:r>
        <w:rPr>
          <w:spacing w:val="-4"/>
          <w:sz w:val="22"/>
        </w:rPr>
        <w:t> </w:t>
      </w:r>
      <w:r>
        <w:rPr>
          <w:sz w:val="22"/>
        </w:rPr>
        <w:t>and</w:t>
      </w:r>
      <w:r>
        <w:rPr>
          <w:spacing w:val="-4"/>
          <w:sz w:val="22"/>
        </w:rPr>
        <w:t> </w:t>
      </w:r>
      <w:r>
        <w:rPr>
          <w:sz w:val="22"/>
        </w:rPr>
        <w:t>partners</w:t>
      </w:r>
      <w:r>
        <w:rPr>
          <w:spacing w:val="-4"/>
          <w:sz w:val="22"/>
        </w:rPr>
        <w:t> </w:t>
      </w:r>
      <w:r>
        <w:rPr>
          <w:sz w:val="22"/>
        </w:rPr>
        <w:t>with knowledge of and connection to priority populations.</w:t>
      </w:r>
    </w:p>
    <w:p>
      <w:pPr>
        <w:pStyle w:val="ListParagraph"/>
        <w:numPr>
          <w:ilvl w:val="0"/>
          <w:numId w:val="2"/>
        </w:numPr>
        <w:tabs>
          <w:tab w:pos="1199" w:val="left" w:leader="none"/>
          <w:tab w:pos="1200" w:val="left" w:leader="none"/>
        </w:tabs>
        <w:spacing w:line="256" w:lineRule="auto" w:before="3" w:after="0"/>
        <w:ind w:left="1200" w:right="429" w:hanging="360"/>
        <w:jc w:val="left"/>
        <w:rPr>
          <w:rFonts w:ascii="Symbol" w:hAnsi="Symbol"/>
          <w:sz w:val="22"/>
        </w:rPr>
      </w:pPr>
      <w:r>
        <w:rPr>
          <w:sz w:val="22"/>
        </w:rPr>
        <w:t>Goal</w:t>
      </w:r>
      <w:r>
        <w:rPr>
          <w:spacing w:val="-3"/>
          <w:sz w:val="22"/>
        </w:rPr>
        <w:t> </w:t>
      </w:r>
      <w:r>
        <w:rPr>
          <w:sz w:val="22"/>
        </w:rPr>
        <w:t>#6:</w:t>
      </w:r>
      <w:r>
        <w:rPr>
          <w:spacing w:val="-3"/>
          <w:sz w:val="22"/>
        </w:rPr>
        <w:t> </w:t>
      </w:r>
      <w:r>
        <w:rPr>
          <w:sz w:val="22"/>
        </w:rPr>
        <w:t>Strengthen</w:t>
      </w:r>
      <w:r>
        <w:rPr>
          <w:spacing w:val="-5"/>
          <w:sz w:val="22"/>
        </w:rPr>
        <w:t> </w:t>
      </w:r>
      <w:r>
        <w:rPr>
          <w:sz w:val="22"/>
        </w:rPr>
        <w:t>and</w:t>
      </w:r>
      <w:r>
        <w:rPr>
          <w:spacing w:val="-4"/>
          <w:sz w:val="22"/>
        </w:rPr>
        <w:t> </w:t>
      </w:r>
      <w:r>
        <w:rPr>
          <w:sz w:val="22"/>
        </w:rPr>
        <w:t>enhance</w:t>
      </w:r>
      <w:r>
        <w:rPr>
          <w:spacing w:val="-3"/>
          <w:sz w:val="22"/>
        </w:rPr>
        <w:t> </w:t>
      </w:r>
      <w:r>
        <w:rPr>
          <w:sz w:val="22"/>
        </w:rPr>
        <w:t>OPGS’</w:t>
      </w:r>
      <w:r>
        <w:rPr>
          <w:spacing w:val="-4"/>
          <w:sz w:val="22"/>
        </w:rPr>
        <w:t> </w:t>
      </w:r>
      <w:r>
        <w:rPr>
          <w:sz w:val="22"/>
        </w:rPr>
        <w:t>capacity</w:t>
      </w:r>
      <w:r>
        <w:rPr>
          <w:spacing w:val="-4"/>
          <w:sz w:val="22"/>
        </w:rPr>
        <w:t> </w:t>
      </w:r>
      <w:r>
        <w:rPr>
          <w:sz w:val="22"/>
        </w:rPr>
        <w:t>to</w:t>
      </w:r>
      <w:r>
        <w:rPr>
          <w:spacing w:val="-4"/>
          <w:sz w:val="22"/>
        </w:rPr>
        <w:t> </w:t>
      </w:r>
      <w:r>
        <w:rPr>
          <w:sz w:val="22"/>
        </w:rPr>
        <w:t>conduct</w:t>
      </w:r>
      <w:r>
        <w:rPr>
          <w:spacing w:val="-5"/>
          <w:sz w:val="22"/>
        </w:rPr>
        <w:t> </w:t>
      </w:r>
      <w:r>
        <w:rPr>
          <w:sz w:val="22"/>
        </w:rPr>
        <w:t>data</w:t>
      </w:r>
      <w:r>
        <w:rPr>
          <w:spacing w:val="-4"/>
          <w:sz w:val="22"/>
        </w:rPr>
        <w:t> </w:t>
      </w:r>
      <w:r>
        <w:rPr>
          <w:sz w:val="22"/>
        </w:rPr>
        <w:t>collection,</w:t>
      </w:r>
      <w:r>
        <w:rPr>
          <w:spacing w:val="-3"/>
          <w:sz w:val="22"/>
        </w:rPr>
        <w:t> </w:t>
      </w:r>
      <w:r>
        <w:rPr>
          <w:sz w:val="22"/>
        </w:rPr>
        <w:t>surveillance, and evaluation to analyze, and inform policy, programs, and impact of services.</w:t>
      </w:r>
    </w:p>
    <w:p>
      <w:pPr>
        <w:pStyle w:val="ListParagraph"/>
        <w:numPr>
          <w:ilvl w:val="0"/>
          <w:numId w:val="2"/>
        </w:numPr>
        <w:tabs>
          <w:tab w:pos="1199" w:val="left" w:leader="none"/>
          <w:tab w:pos="1200" w:val="left" w:leader="none"/>
        </w:tabs>
        <w:spacing w:line="256" w:lineRule="auto" w:before="3" w:after="0"/>
        <w:ind w:left="1199" w:right="178" w:hanging="360"/>
        <w:jc w:val="left"/>
        <w:rPr>
          <w:rFonts w:ascii="Symbol" w:hAnsi="Symbol"/>
          <w:sz w:val="22"/>
        </w:rPr>
      </w:pPr>
      <w:r>
        <w:rPr>
          <w:sz w:val="22"/>
        </w:rPr>
        <w:t>Goal</w:t>
      </w:r>
      <w:r>
        <w:rPr>
          <w:spacing w:val="-2"/>
          <w:sz w:val="22"/>
        </w:rPr>
        <w:t> </w:t>
      </w:r>
      <w:r>
        <w:rPr>
          <w:sz w:val="22"/>
        </w:rPr>
        <w:t>#7:</w:t>
      </w:r>
      <w:r>
        <w:rPr>
          <w:spacing w:val="-2"/>
          <w:sz w:val="22"/>
        </w:rPr>
        <w:t> </w:t>
      </w:r>
      <w:r>
        <w:rPr>
          <w:sz w:val="22"/>
        </w:rPr>
        <w:t>Continuously</w:t>
      </w:r>
      <w:r>
        <w:rPr>
          <w:spacing w:val="-3"/>
          <w:sz w:val="22"/>
        </w:rPr>
        <w:t> </w:t>
      </w:r>
      <w:r>
        <w:rPr>
          <w:sz w:val="22"/>
        </w:rPr>
        <w:t>improve</w:t>
      </w:r>
      <w:r>
        <w:rPr>
          <w:spacing w:val="-4"/>
          <w:sz w:val="22"/>
        </w:rPr>
        <w:t> </w:t>
      </w:r>
      <w:r>
        <w:rPr>
          <w:sz w:val="22"/>
        </w:rPr>
        <w:t>the</w:t>
      </w:r>
      <w:r>
        <w:rPr>
          <w:spacing w:val="-4"/>
          <w:sz w:val="22"/>
        </w:rPr>
        <w:t> </w:t>
      </w:r>
      <w:r>
        <w:rPr>
          <w:sz w:val="22"/>
        </w:rPr>
        <w:t>array</w:t>
      </w:r>
      <w:r>
        <w:rPr>
          <w:spacing w:val="-3"/>
          <w:sz w:val="22"/>
        </w:rPr>
        <w:t> </w:t>
      </w:r>
      <w:r>
        <w:rPr>
          <w:sz w:val="22"/>
        </w:rPr>
        <w:t>of</w:t>
      </w:r>
      <w:r>
        <w:rPr>
          <w:spacing w:val="-3"/>
          <w:sz w:val="22"/>
        </w:rPr>
        <w:t> </w:t>
      </w:r>
      <w:r>
        <w:rPr>
          <w:sz w:val="22"/>
        </w:rPr>
        <w:t>services</w:t>
      </w:r>
      <w:r>
        <w:rPr>
          <w:spacing w:val="-2"/>
          <w:sz w:val="22"/>
        </w:rPr>
        <w:t> </w:t>
      </w:r>
      <w:r>
        <w:rPr>
          <w:sz w:val="22"/>
        </w:rPr>
        <w:t>funded</w:t>
      </w:r>
      <w:r>
        <w:rPr>
          <w:spacing w:val="-3"/>
          <w:sz w:val="22"/>
        </w:rPr>
        <w:t> </w:t>
      </w:r>
      <w:r>
        <w:rPr>
          <w:sz w:val="22"/>
        </w:rPr>
        <w:t>by</w:t>
      </w:r>
      <w:r>
        <w:rPr>
          <w:spacing w:val="-2"/>
          <w:sz w:val="22"/>
        </w:rPr>
        <w:t> </w:t>
      </w:r>
      <w:r>
        <w:rPr>
          <w:sz w:val="22"/>
        </w:rPr>
        <w:t>OPGS,</w:t>
      </w:r>
      <w:r>
        <w:rPr>
          <w:spacing w:val="-3"/>
          <w:sz w:val="22"/>
        </w:rPr>
        <w:t> </w:t>
      </w:r>
      <w:r>
        <w:rPr>
          <w:sz w:val="22"/>
        </w:rPr>
        <w:t>centered</w:t>
      </w:r>
      <w:r>
        <w:rPr>
          <w:spacing w:val="-3"/>
          <w:sz w:val="22"/>
        </w:rPr>
        <w:t> </w:t>
      </w:r>
      <w:r>
        <w:rPr>
          <w:sz w:val="22"/>
        </w:rPr>
        <w:t>on</w:t>
      </w:r>
      <w:r>
        <w:rPr>
          <w:spacing w:val="-3"/>
          <w:sz w:val="22"/>
        </w:rPr>
        <w:t> </w:t>
      </w:r>
      <w:r>
        <w:rPr>
          <w:sz w:val="22"/>
        </w:rPr>
        <w:t>equity</w:t>
      </w:r>
      <w:r>
        <w:rPr>
          <w:spacing w:val="-2"/>
          <w:sz w:val="22"/>
        </w:rPr>
        <w:t> </w:t>
      </w:r>
      <w:r>
        <w:rPr>
          <w:sz w:val="22"/>
        </w:rPr>
        <w:t>and based on data, surveillance, and engagement of the community.</w:t>
      </w:r>
    </w:p>
    <w:p>
      <w:pPr>
        <w:pStyle w:val="BodyText"/>
        <w:spacing w:line="259" w:lineRule="auto" w:before="161"/>
        <w:ind w:left="480" w:right="164"/>
      </w:pPr>
      <w:r>
        <w:rPr/>
        <w:t>The following narrative details the strategies OPGS plans to pursue to expand reach and enhance effectiveness</w:t>
      </w:r>
      <w:r>
        <w:rPr>
          <w:spacing w:val="-2"/>
        </w:rPr>
        <w:t> </w:t>
      </w:r>
      <w:r>
        <w:rPr/>
        <w:t>to</w:t>
      </w:r>
      <w:r>
        <w:rPr>
          <w:spacing w:val="-3"/>
        </w:rPr>
        <w:t> </w:t>
      </w:r>
      <w:r>
        <w:rPr/>
        <w:t>ensure</w:t>
      </w:r>
      <w:r>
        <w:rPr>
          <w:spacing w:val="-4"/>
        </w:rPr>
        <w:t> </w:t>
      </w:r>
      <w:r>
        <w:rPr/>
        <w:t>health</w:t>
      </w:r>
      <w:r>
        <w:rPr>
          <w:spacing w:val="-3"/>
        </w:rPr>
        <w:t> </w:t>
      </w:r>
      <w:r>
        <w:rPr/>
        <w:t>and</w:t>
      </w:r>
      <w:r>
        <w:rPr>
          <w:spacing w:val="-3"/>
        </w:rPr>
        <w:t> </w:t>
      </w:r>
      <w:r>
        <w:rPr/>
        <w:t>wellness</w:t>
      </w:r>
      <w:r>
        <w:rPr>
          <w:spacing w:val="-3"/>
        </w:rPr>
        <w:t> </w:t>
      </w:r>
      <w:r>
        <w:rPr/>
        <w:t>for</w:t>
      </w:r>
      <w:r>
        <w:rPr>
          <w:spacing w:val="-3"/>
        </w:rPr>
        <w:t> </w:t>
      </w:r>
      <w:r>
        <w:rPr/>
        <w:t>ALL</w:t>
      </w:r>
      <w:r>
        <w:rPr>
          <w:spacing w:val="-2"/>
        </w:rPr>
        <w:t> </w:t>
      </w:r>
      <w:r>
        <w:rPr/>
        <w:t>people</w:t>
      </w:r>
      <w:r>
        <w:rPr>
          <w:spacing w:val="-4"/>
        </w:rPr>
        <w:t> </w:t>
      </w:r>
      <w:r>
        <w:rPr/>
        <w:t>in</w:t>
      </w:r>
      <w:r>
        <w:rPr>
          <w:spacing w:val="-4"/>
        </w:rPr>
        <w:t> </w:t>
      </w:r>
      <w:r>
        <w:rPr/>
        <w:t>Massachusetts</w:t>
      </w:r>
      <w:r>
        <w:rPr>
          <w:spacing w:val="-3"/>
        </w:rPr>
        <w:t> </w:t>
      </w:r>
      <w:r>
        <w:rPr/>
        <w:t>negatively</w:t>
      </w:r>
      <w:r>
        <w:rPr>
          <w:spacing w:val="-2"/>
        </w:rPr>
        <w:t> </w:t>
      </w:r>
      <w:r>
        <w:rPr/>
        <w:t>affected</w:t>
      </w:r>
      <w:r>
        <w:rPr>
          <w:spacing w:val="-3"/>
        </w:rPr>
        <w:t> </w:t>
      </w:r>
      <w:r>
        <w:rPr/>
        <w:t>by problem gambling. Included are performance measures OPGS and its partners plan to use to track implementation and impact of their work, adjusting specific activities and priorities as needed.</w:t>
      </w:r>
    </w:p>
    <w:p>
      <w:pPr>
        <w:spacing w:after="0" w:line="259" w:lineRule="auto"/>
        <w:sectPr>
          <w:pgSz w:w="12240" w:h="15840"/>
          <w:pgMar w:header="438" w:footer="444" w:top="1320" w:bottom="640" w:left="960" w:right="1320"/>
        </w:sectPr>
      </w:pPr>
    </w:p>
    <w:p>
      <w:pPr>
        <w:pStyle w:val="Heading2"/>
        <w:rPr>
          <w:i/>
        </w:rPr>
      </w:pPr>
      <w:bookmarkStart w:name="Expand Reach" w:id="32"/>
      <w:bookmarkEnd w:id="32"/>
      <w:r>
        <w:rPr>
          <w:i w:val="0"/>
        </w:rPr>
      </w:r>
      <w:bookmarkStart w:name="_bookmark16" w:id="33"/>
      <w:bookmarkEnd w:id="33"/>
      <w:r>
        <w:rPr>
          <w:i w:val="0"/>
        </w:rPr>
      </w:r>
      <w:r>
        <w:rPr>
          <w:i/>
          <w:color w:val="072858"/>
        </w:rPr>
        <w:t>Expand</w:t>
      </w:r>
      <w:r>
        <w:rPr>
          <w:i/>
          <w:color w:val="072858"/>
          <w:spacing w:val="-12"/>
        </w:rPr>
        <w:t> </w:t>
      </w:r>
      <w:r>
        <w:rPr>
          <w:i/>
          <w:color w:val="072858"/>
          <w:spacing w:val="-4"/>
        </w:rPr>
        <w:t>Reach</w:t>
      </w:r>
    </w:p>
    <w:p>
      <w:pPr>
        <w:pStyle w:val="BodyText"/>
        <w:spacing w:line="259" w:lineRule="auto" w:before="118"/>
        <w:ind w:left="480" w:right="237"/>
      </w:pPr>
      <w:r>
        <w:rPr/>
        <w:t>In efforts to expand the reach of its work, OPGS will enhance data collection, surveillance, and community</w:t>
      </w:r>
      <w:r>
        <w:rPr>
          <w:spacing w:val="-3"/>
        </w:rPr>
        <w:t> </w:t>
      </w:r>
      <w:r>
        <w:rPr/>
        <w:t>engagement</w:t>
      </w:r>
      <w:r>
        <w:rPr>
          <w:spacing w:val="-5"/>
        </w:rPr>
        <w:t> </w:t>
      </w:r>
      <w:r>
        <w:rPr/>
        <w:t>to</w:t>
      </w:r>
      <w:r>
        <w:rPr>
          <w:spacing w:val="-4"/>
        </w:rPr>
        <w:t> </w:t>
      </w:r>
      <w:r>
        <w:rPr/>
        <w:t>promote</w:t>
      </w:r>
      <w:r>
        <w:rPr>
          <w:spacing w:val="-5"/>
        </w:rPr>
        <w:t> </w:t>
      </w:r>
      <w:r>
        <w:rPr/>
        <w:t>equity,</w:t>
      </w:r>
      <w:r>
        <w:rPr>
          <w:spacing w:val="-4"/>
        </w:rPr>
        <w:t> </w:t>
      </w:r>
      <w:r>
        <w:rPr/>
        <w:t>lift</w:t>
      </w:r>
      <w:r>
        <w:rPr>
          <w:spacing w:val="-5"/>
        </w:rPr>
        <w:t> </w:t>
      </w:r>
      <w:r>
        <w:rPr/>
        <w:t>up</w:t>
      </w:r>
      <w:r>
        <w:rPr>
          <w:spacing w:val="-3"/>
        </w:rPr>
        <w:t> </w:t>
      </w:r>
      <w:r>
        <w:rPr/>
        <w:t>community</w:t>
      </w:r>
      <w:r>
        <w:rPr>
          <w:spacing w:val="-3"/>
        </w:rPr>
        <w:t> </w:t>
      </w:r>
      <w:r>
        <w:rPr/>
        <w:t>voice,</w:t>
      </w:r>
      <w:r>
        <w:rPr>
          <w:spacing w:val="-4"/>
        </w:rPr>
        <w:t> </w:t>
      </w:r>
      <w:r>
        <w:rPr/>
        <w:t>and</w:t>
      </w:r>
      <w:r>
        <w:rPr>
          <w:spacing w:val="-4"/>
        </w:rPr>
        <w:t> </w:t>
      </w:r>
      <w:r>
        <w:rPr/>
        <w:t>meet</w:t>
      </w:r>
      <w:r>
        <w:rPr>
          <w:spacing w:val="-5"/>
        </w:rPr>
        <w:t> </w:t>
      </w:r>
      <w:r>
        <w:rPr/>
        <w:t>community</w:t>
      </w:r>
      <w:r>
        <w:rPr>
          <w:spacing w:val="-4"/>
        </w:rPr>
        <w:t> </w:t>
      </w:r>
      <w:r>
        <w:rPr/>
        <w:t>needs, with a particular focus on historically underserved and marginalized communities.</w:t>
      </w:r>
    </w:p>
    <w:p>
      <w:pPr>
        <w:pStyle w:val="BodyText"/>
        <w:spacing w:before="3"/>
        <w:rPr>
          <w:sz w:val="19"/>
        </w:rPr>
      </w:pPr>
    </w:p>
    <w:tbl>
      <w:tblPr>
        <w:tblW w:w="0" w:type="auto"/>
        <w:jc w:val="left"/>
        <w:tblCellSpacing w:w="30" w:type="dxa"/>
        <w:tblInd w:w="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40"/>
      </w:tblGrid>
      <w:tr>
        <w:trPr>
          <w:trHeight w:val="376" w:hRule="atLeast"/>
        </w:trPr>
        <w:tc>
          <w:tcPr>
            <w:tcW w:w="9240" w:type="dxa"/>
            <w:tcBorders>
              <w:bottom w:val="nil"/>
            </w:tcBorders>
            <w:shd w:val="clear" w:color="auto" w:fill="055893"/>
          </w:tcPr>
          <w:p>
            <w:pPr>
              <w:pStyle w:val="TableParagraph"/>
              <w:spacing w:before="43"/>
              <w:ind w:left="4203" w:right="4203"/>
              <w:jc w:val="center"/>
              <w:rPr>
                <w:sz w:val="24"/>
              </w:rPr>
            </w:pPr>
            <w:r>
              <w:rPr>
                <w:color w:val="FFFFFF"/>
                <w:sz w:val="24"/>
              </w:rPr>
              <w:t>Goal </w:t>
            </w:r>
            <w:r>
              <w:rPr>
                <w:color w:val="FFFFFF"/>
                <w:spacing w:val="-5"/>
                <w:sz w:val="24"/>
              </w:rPr>
              <w:t>#1</w:t>
            </w:r>
          </w:p>
        </w:tc>
      </w:tr>
      <w:tr>
        <w:trPr>
          <w:trHeight w:val="967" w:hRule="atLeast"/>
        </w:trPr>
        <w:tc>
          <w:tcPr>
            <w:tcW w:w="9240" w:type="dxa"/>
            <w:tcBorders>
              <w:top w:val="nil"/>
              <w:bottom w:val="nil"/>
            </w:tcBorders>
            <w:shd w:val="clear" w:color="auto" w:fill="F1F1F1"/>
          </w:tcPr>
          <w:p>
            <w:pPr>
              <w:pStyle w:val="TableParagraph"/>
              <w:spacing w:line="259" w:lineRule="auto"/>
              <w:ind w:left="78"/>
              <w:rPr>
                <w:i/>
                <w:sz w:val="22"/>
              </w:rPr>
            </w:pPr>
            <w:r>
              <w:rPr>
                <w:i/>
                <w:sz w:val="22"/>
              </w:rPr>
              <w:t>Expand and increase awareness of the risks associated with problem gambling and available</w:t>
            </w:r>
            <w:r>
              <w:rPr>
                <w:i/>
                <w:sz w:val="22"/>
              </w:rPr>
              <w:t> treatment</w:t>
            </w:r>
            <w:r>
              <w:rPr>
                <w:i/>
                <w:spacing w:val="-3"/>
                <w:sz w:val="22"/>
              </w:rPr>
              <w:t> </w:t>
            </w:r>
            <w:r>
              <w:rPr>
                <w:i/>
                <w:sz w:val="22"/>
              </w:rPr>
              <w:t>services,</w:t>
            </w:r>
            <w:r>
              <w:rPr>
                <w:i/>
                <w:spacing w:val="-2"/>
                <w:sz w:val="22"/>
              </w:rPr>
              <w:t> </w:t>
            </w:r>
            <w:r>
              <w:rPr>
                <w:i/>
                <w:sz w:val="22"/>
              </w:rPr>
              <w:t>with</w:t>
            </w:r>
            <w:r>
              <w:rPr>
                <w:i/>
                <w:spacing w:val="-3"/>
                <w:sz w:val="22"/>
              </w:rPr>
              <w:t> </w:t>
            </w:r>
            <w:r>
              <w:rPr>
                <w:i/>
                <w:sz w:val="22"/>
              </w:rPr>
              <w:t>a</w:t>
            </w:r>
            <w:r>
              <w:rPr>
                <w:i/>
                <w:spacing w:val="-2"/>
                <w:sz w:val="22"/>
              </w:rPr>
              <w:t> </w:t>
            </w:r>
            <w:r>
              <w:rPr>
                <w:i/>
                <w:sz w:val="22"/>
              </w:rPr>
              <w:t>focus</w:t>
            </w:r>
            <w:r>
              <w:rPr>
                <w:i/>
                <w:spacing w:val="-4"/>
                <w:sz w:val="22"/>
              </w:rPr>
              <w:t> </w:t>
            </w:r>
            <w:r>
              <w:rPr>
                <w:i/>
                <w:sz w:val="22"/>
              </w:rPr>
              <w:t>on</w:t>
            </w:r>
            <w:r>
              <w:rPr>
                <w:i/>
                <w:spacing w:val="-4"/>
                <w:sz w:val="22"/>
              </w:rPr>
              <w:t> </w:t>
            </w:r>
            <w:r>
              <w:rPr>
                <w:i/>
                <w:sz w:val="22"/>
              </w:rPr>
              <w:t>intersectionality</w:t>
            </w:r>
            <w:r>
              <w:rPr>
                <w:i/>
                <w:spacing w:val="-3"/>
                <w:sz w:val="22"/>
              </w:rPr>
              <w:t> </w:t>
            </w:r>
            <w:r>
              <w:rPr>
                <w:i/>
                <w:sz w:val="22"/>
              </w:rPr>
              <w:t>with</w:t>
            </w:r>
            <w:r>
              <w:rPr>
                <w:i/>
                <w:spacing w:val="-3"/>
                <w:sz w:val="22"/>
              </w:rPr>
              <w:t> </w:t>
            </w:r>
            <w:r>
              <w:rPr>
                <w:i/>
                <w:sz w:val="22"/>
              </w:rPr>
              <w:t>other</w:t>
            </w:r>
            <w:r>
              <w:rPr>
                <w:i/>
                <w:spacing w:val="-2"/>
                <w:sz w:val="22"/>
              </w:rPr>
              <w:t> </w:t>
            </w:r>
            <w:r>
              <w:rPr>
                <w:i/>
                <w:sz w:val="22"/>
              </w:rPr>
              <w:t>aspects</w:t>
            </w:r>
            <w:r>
              <w:rPr>
                <w:i/>
                <w:spacing w:val="-4"/>
                <w:sz w:val="22"/>
              </w:rPr>
              <w:t> </w:t>
            </w:r>
            <w:r>
              <w:rPr>
                <w:i/>
                <w:sz w:val="22"/>
              </w:rPr>
              <w:t>of</w:t>
            </w:r>
            <w:r>
              <w:rPr>
                <w:i/>
                <w:spacing w:val="-3"/>
                <w:sz w:val="22"/>
              </w:rPr>
              <w:t> </w:t>
            </w:r>
            <w:r>
              <w:rPr>
                <w:i/>
                <w:sz w:val="22"/>
              </w:rPr>
              <w:t>mental</w:t>
            </w:r>
            <w:r>
              <w:rPr>
                <w:i/>
                <w:spacing w:val="-3"/>
                <w:sz w:val="22"/>
              </w:rPr>
              <w:t> </w:t>
            </w:r>
            <w:r>
              <w:rPr>
                <w:i/>
                <w:sz w:val="22"/>
              </w:rPr>
              <w:t>and</w:t>
            </w:r>
            <w:r>
              <w:rPr>
                <w:i/>
                <w:spacing w:val="-4"/>
                <w:sz w:val="22"/>
              </w:rPr>
              <w:t> </w:t>
            </w:r>
            <w:r>
              <w:rPr>
                <w:i/>
                <w:sz w:val="22"/>
              </w:rPr>
              <w:t>behavioral health as well as structural inequities and social determinants of health.</w:t>
            </w:r>
          </w:p>
        </w:tc>
      </w:tr>
      <w:tr>
        <w:trPr>
          <w:trHeight w:val="4358" w:hRule="atLeast"/>
        </w:trPr>
        <w:tc>
          <w:tcPr>
            <w:tcW w:w="9240" w:type="dxa"/>
            <w:tcBorders>
              <w:top w:val="nil"/>
              <w:bottom w:val="nil"/>
            </w:tcBorders>
            <w:shd w:val="clear" w:color="auto" w:fill="D9D9D9"/>
          </w:tcPr>
          <w:p>
            <w:pPr>
              <w:pStyle w:val="TableParagraph"/>
              <w:ind w:left="78"/>
              <w:rPr>
                <w:sz w:val="22"/>
              </w:rPr>
            </w:pPr>
            <w:r>
              <w:rPr>
                <w:spacing w:val="-2"/>
                <w:sz w:val="22"/>
              </w:rPr>
              <w:t>Strategies:</w:t>
            </w:r>
          </w:p>
          <w:p>
            <w:pPr>
              <w:pStyle w:val="TableParagraph"/>
              <w:numPr>
                <w:ilvl w:val="0"/>
                <w:numId w:val="3"/>
              </w:numPr>
              <w:tabs>
                <w:tab w:pos="798" w:val="left" w:leader="none"/>
              </w:tabs>
              <w:spacing w:line="259" w:lineRule="auto" w:before="180" w:after="0"/>
              <w:ind w:left="798" w:right="921" w:hanging="360"/>
              <w:jc w:val="left"/>
              <w:rPr>
                <w:sz w:val="22"/>
              </w:rPr>
            </w:pPr>
            <w:r>
              <w:rPr>
                <w:sz w:val="22"/>
              </w:rPr>
              <w:t>Integrate</w:t>
            </w:r>
            <w:r>
              <w:rPr>
                <w:spacing w:val="-6"/>
                <w:sz w:val="22"/>
              </w:rPr>
              <w:t> </w:t>
            </w:r>
            <w:r>
              <w:rPr>
                <w:sz w:val="22"/>
              </w:rPr>
              <w:t>and</w:t>
            </w:r>
            <w:r>
              <w:rPr>
                <w:spacing w:val="-6"/>
                <w:sz w:val="22"/>
              </w:rPr>
              <w:t> </w:t>
            </w:r>
            <w:r>
              <w:rPr>
                <w:sz w:val="22"/>
              </w:rPr>
              <w:t>share</w:t>
            </w:r>
            <w:r>
              <w:rPr>
                <w:spacing w:val="-6"/>
                <w:sz w:val="22"/>
              </w:rPr>
              <w:t> </w:t>
            </w:r>
            <w:r>
              <w:rPr>
                <w:sz w:val="22"/>
              </w:rPr>
              <w:t>communication</w:t>
            </w:r>
            <w:r>
              <w:rPr>
                <w:spacing w:val="-5"/>
                <w:sz w:val="22"/>
              </w:rPr>
              <w:t> </w:t>
            </w:r>
            <w:r>
              <w:rPr>
                <w:sz w:val="22"/>
              </w:rPr>
              <w:t>campaigns</w:t>
            </w:r>
            <w:r>
              <w:rPr>
                <w:spacing w:val="-6"/>
                <w:sz w:val="22"/>
              </w:rPr>
              <w:t> </w:t>
            </w:r>
            <w:r>
              <w:rPr>
                <w:sz w:val="22"/>
              </w:rPr>
              <w:t>and</w:t>
            </w:r>
            <w:r>
              <w:rPr>
                <w:spacing w:val="-6"/>
                <w:sz w:val="22"/>
              </w:rPr>
              <w:t> </w:t>
            </w:r>
            <w:r>
              <w:rPr>
                <w:sz w:val="22"/>
              </w:rPr>
              <w:t>resources</w:t>
            </w:r>
            <w:r>
              <w:rPr>
                <w:spacing w:val="-5"/>
                <w:sz w:val="22"/>
              </w:rPr>
              <w:t> </w:t>
            </w:r>
            <w:r>
              <w:rPr>
                <w:sz w:val="22"/>
              </w:rPr>
              <w:t>across</w:t>
            </w:r>
            <w:r>
              <w:rPr>
                <w:spacing w:val="-6"/>
                <w:sz w:val="22"/>
              </w:rPr>
              <w:t> </w:t>
            </w:r>
            <w:r>
              <w:rPr>
                <w:sz w:val="22"/>
              </w:rPr>
              <w:t>prevention, treatment, and recovery support services to maximize reach and promote equity.</w:t>
            </w:r>
          </w:p>
          <w:p>
            <w:pPr>
              <w:pStyle w:val="TableParagraph"/>
              <w:numPr>
                <w:ilvl w:val="0"/>
                <w:numId w:val="3"/>
              </w:numPr>
              <w:tabs>
                <w:tab w:pos="798" w:val="left" w:leader="none"/>
              </w:tabs>
              <w:spacing w:line="259" w:lineRule="auto" w:before="0" w:after="0"/>
              <w:ind w:left="798" w:right="124" w:hanging="360"/>
              <w:jc w:val="left"/>
              <w:rPr>
                <w:sz w:val="22"/>
              </w:rPr>
            </w:pPr>
            <w:r>
              <w:rPr>
                <w:sz w:val="22"/>
              </w:rPr>
              <w:t>Conduct targeted outreach to people and organizations positioned to strengthen priority population</w:t>
            </w:r>
            <w:r>
              <w:rPr>
                <w:spacing w:val="-5"/>
                <w:sz w:val="22"/>
              </w:rPr>
              <w:t> </w:t>
            </w:r>
            <w:r>
              <w:rPr>
                <w:sz w:val="22"/>
              </w:rPr>
              <w:t>members’</w:t>
            </w:r>
            <w:r>
              <w:rPr>
                <w:spacing w:val="-4"/>
                <w:sz w:val="22"/>
              </w:rPr>
              <w:t> </w:t>
            </w:r>
            <w:r>
              <w:rPr>
                <w:sz w:val="22"/>
              </w:rPr>
              <w:t>awareness</w:t>
            </w:r>
            <w:r>
              <w:rPr>
                <w:spacing w:val="-4"/>
                <w:sz w:val="22"/>
              </w:rPr>
              <w:t> </w:t>
            </w:r>
            <w:r>
              <w:rPr>
                <w:sz w:val="22"/>
              </w:rPr>
              <w:t>of</w:t>
            </w:r>
            <w:r>
              <w:rPr>
                <w:spacing w:val="-4"/>
                <w:sz w:val="22"/>
              </w:rPr>
              <w:t> </w:t>
            </w:r>
            <w:r>
              <w:rPr>
                <w:sz w:val="22"/>
              </w:rPr>
              <w:t>treatment</w:t>
            </w:r>
            <w:r>
              <w:rPr>
                <w:spacing w:val="-5"/>
                <w:sz w:val="22"/>
              </w:rPr>
              <w:t> </w:t>
            </w:r>
            <w:r>
              <w:rPr>
                <w:sz w:val="22"/>
              </w:rPr>
              <w:t>resources</w:t>
            </w:r>
            <w:r>
              <w:rPr>
                <w:spacing w:val="-4"/>
                <w:sz w:val="22"/>
              </w:rPr>
              <w:t> </w:t>
            </w:r>
            <w:r>
              <w:rPr>
                <w:sz w:val="22"/>
              </w:rPr>
              <w:t>that</w:t>
            </w:r>
            <w:r>
              <w:rPr>
                <w:spacing w:val="-5"/>
                <w:sz w:val="22"/>
              </w:rPr>
              <w:t> </w:t>
            </w:r>
            <w:r>
              <w:rPr>
                <w:sz w:val="22"/>
              </w:rPr>
              <w:t>are</w:t>
            </w:r>
            <w:r>
              <w:rPr>
                <w:spacing w:val="-5"/>
                <w:sz w:val="22"/>
              </w:rPr>
              <w:t> </w:t>
            </w:r>
            <w:r>
              <w:rPr>
                <w:sz w:val="22"/>
              </w:rPr>
              <w:t>right</w:t>
            </w:r>
            <w:r>
              <w:rPr>
                <w:spacing w:val="-5"/>
                <w:sz w:val="22"/>
              </w:rPr>
              <w:t> </w:t>
            </w:r>
            <w:r>
              <w:rPr>
                <w:sz w:val="22"/>
              </w:rPr>
              <w:t>for</w:t>
            </w:r>
            <w:r>
              <w:rPr>
                <w:spacing w:val="-5"/>
                <w:sz w:val="22"/>
              </w:rPr>
              <w:t> </w:t>
            </w:r>
            <w:r>
              <w:rPr>
                <w:sz w:val="22"/>
              </w:rPr>
              <w:t>them.</w:t>
            </w:r>
            <w:r>
              <w:rPr>
                <w:spacing w:val="-4"/>
                <w:sz w:val="22"/>
              </w:rPr>
              <w:t> </w:t>
            </w:r>
            <w:r>
              <w:rPr>
                <w:sz w:val="22"/>
              </w:rPr>
              <w:t>Examples may include but not be limited to community-based organizations, faith-based organizations, primary health care providers, and urgent health care providers.</w:t>
            </w:r>
          </w:p>
          <w:p>
            <w:pPr>
              <w:pStyle w:val="TableParagraph"/>
              <w:numPr>
                <w:ilvl w:val="0"/>
                <w:numId w:val="3"/>
              </w:numPr>
              <w:tabs>
                <w:tab w:pos="799" w:val="left" w:leader="none"/>
              </w:tabs>
              <w:spacing w:line="259" w:lineRule="auto" w:before="0" w:after="0"/>
              <w:ind w:left="798" w:right="579" w:hanging="360"/>
              <w:jc w:val="left"/>
              <w:rPr>
                <w:sz w:val="22"/>
              </w:rPr>
            </w:pPr>
            <w:r>
              <w:rPr>
                <w:sz w:val="22"/>
              </w:rPr>
              <w:t>Leverage</w:t>
            </w:r>
            <w:r>
              <w:rPr>
                <w:spacing w:val="-5"/>
                <w:sz w:val="22"/>
              </w:rPr>
              <w:t> </w:t>
            </w:r>
            <w:r>
              <w:rPr>
                <w:sz w:val="22"/>
              </w:rPr>
              <w:t>existing</w:t>
            </w:r>
            <w:r>
              <w:rPr>
                <w:spacing w:val="-4"/>
                <w:sz w:val="22"/>
              </w:rPr>
              <w:t> </w:t>
            </w:r>
            <w:r>
              <w:rPr>
                <w:sz w:val="22"/>
              </w:rPr>
              <w:t>vendors</w:t>
            </w:r>
            <w:r>
              <w:rPr>
                <w:spacing w:val="-4"/>
                <w:sz w:val="22"/>
              </w:rPr>
              <w:t> </w:t>
            </w:r>
            <w:r>
              <w:rPr>
                <w:sz w:val="22"/>
              </w:rPr>
              <w:t>and</w:t>
            </w:r>
            <w:r>
              <w:rPr>
                <w:spacing w:val="-4"/>
                <w:sz w:val="22"/>
              </w:rPr>
              <w:t> </w:t>
            </w:r>
            <w:r>
              <w:rPr>
                <w:sz w:val="22"/>
              </w:rPr>
              <w:t>partner</w:t>
            </w:r>
            <w:r>
              <w:rPr>
                <w:spacing w:val="-5"/>
                <w:sz w:val="22"/>
              </w:rPr>
              <w:t> </w:t>
            </w:r>
            <w:r>
              <w:rPr>
                <w:sz w:val="22"/>
              </w:rPr>
              <w:t>networks</w:t>
            </w:r>
            <w:r>
              <w:rPr>
                <w:spacing w:val="-4"/>
                <w:sz w:val="22"/>
              </w:rPr>
              <w:t> </w:t>
            </w:r>
            <w:r>
              <w:rPr>
                <w:sz w:val="22"/>
              </w:rPr>
              <w:t>to</w:t>
            </w:r>
            <w:r>
              <w:rPr>
                <w:spacing w:val="-3"/>
                <w:sz w:val="22"/>
              </w:rPr>
              <w:t> </w:t>
            </w:r>
            <w:r>
              <w:rPr>
                <w:sz w:val="22"/>
              </w:rPr>
              <w:t>support,</w:t>
            </w:r>
            <w:r>
              <w:rPr>
                <w:spacing w:val="-4"/>
                <w:sz w:val="22"/>
              </w:rPr>
              <w:t> </w:t>
            </w:r>
            <w:r>
              <w:rPr>
                <w:sz w:val="22"/>
              </w:rPr>
              <w:t>share,</w:t>
            </w:r>
            <w:r>
              <w:rPr>
                <w:spacing w:val="-4"/>
                <w:sz w:val="22"/>
              </w:rPr>
              <w:t> </w:t>
            </w:r>
            <w:r>
              <w:rPr>
                <w:sz w:val="22"/>
              </w:rPr>
              <w:t>and</w:t>
            </w:r>
            <w:r>
              <w:rPr>
                <w:spacing w:val="-4"/>
                <w:sz w:val="22"/>
              </w:rPr>
              <w:t> </w:t>
            </w:r>
            <w:r>
              <w:rPr>
                <w:sz w:val="22"/>
              </w:rPr>
              <w:t>display</w:t>
            </w:r>
            <w:r>
              <w:rPr>
                <w:spacing w:val="-4"/>
                <w:sz w:val="22"/>
              </w:rPr>
              <w:t> </w:t>
            </w:r>
            <w:r>
              <w:rPr>
                <w:sz w:val="22"/>
              </w:rPr>
              <w:t>public awareness campaigns and treatment resources at the community level.</w:t>
            </w:r>
          </w:p>
          <w:p>
            <w:pPr>
              <w:pStyle w:val="TableParagraph"/>
              <w:numPr>
                <w:ilvl w:val="0"/>
                <w:numId w:val="3"/>
              </w:numPr>
              <w:tabs>
                <w:tab w:pos="798" w:val="left" w:leader="none"/>
              </w:tabs>
              <w:spacing w:line="259" w:lineRule="auto" w:before="0" w:after="0"/>
              <w:ind w:left="798" w:right="358" w:hanging="360"/>
              <w:jc w:val="left"/>
              <w:rPr>
                <w:sz w:val="22"/>
              </w:rPr>
            </w:pPr>
            <w:r>
              <w:rPr>
                <w:sz w:val="22"/>
              </w:rPr>
              <w:t>Leverage</w:t>
            </w:r>
            <w:r>
              <w:rPr>
                <w:spacing w:val="-5"/>
                <w:sz w:val="22"/>
              </w:rPr>
              <w:t> </w:t>
            </w:r>
            <w:r>
              <w:rPr>
                <w:sz w:val="22"/>
              </w:rPr>
              <w:t>the</w:t>
            </w:r>
            <w:r>
              <w:rPr>
                <w:spacing w:val="-3"/>
                <w:sz w:val="22"/>
              </w:rPr>
              <w:t> </w:t>
            </w:r>
            <w:r>
              <w:rPr>
                <w:sz w:val="22"/>
              </w:rPr>
              <w:t>community</w:t>
            </w:r>
            <w:r>
              <w:rPr>
                <w:spacing w:val="-3"/>
                <w:sz w:val="22"/>
              </w:rPr>
              <w:t> </w:t>
            </w:r>
            <w:r>
              <w:rPr>
                <w:sz w:val="22"/>
              </w:rPr>
              <w:t>voice</w:t>
            </w:r>
            <w:r>
              <w:rPr>
                <w:spacing w:val="-5"/>
                <w:sz w:val="22"/>
              </w:rPr>
              <w:t> </w:t>
            </w:r>
            <w:r>
              <w:rPr>
                <w:sz w:val="22"/>
              </w:rPr>
              <w:t>to</w:t>
            </w:r>
            <w:r>
              <w:rPr>
                <w:spacing w:val="-4"/>
                <w:sz w:val="22"/>
              </w:rPr>
              <w:t> </w:t>
            </w:r>
            <w:r>
              <w:rPr>
                <w:sz w:val="22"/>
              </w:rPr>
              <w:t>target</w:t>
            </w:r>
            <w:r>
              <w:rPr>
                <w:spacing w:val="-5"/>
                <w:sz w:val="22"/>
              </w:rPr>
              <w:t> </w:t>
            </w:r>
            <w:r>
              <w:rPr>
                <w:sz w:val="22"/>
              </w:rPr>
              <w:t>the</w:t>
            </w:r>
            <w:r>
              <w:rPr>
                <w:spacing w:val="-5"/>
                <w:sz w:val="22"/>
              </w:rPr>
              <w:t> </w:t>
            </w:r>
            <w:r>
              <w:rPr>
                <w:sz w:val="22"/>
              </w:rPr>
              <w:t>focus,</w:t>
            </w:r>
            <w:r>
              <w:rPr>
                <w:spacing w:val="-3"/>
                <w:sz w:val="22"/>
              </w:rPr>
              <w:t> </w:t>
            </w:r>
            <w:r>
              <w:rPr>
                <w:sz w:val="22"/>
              </w:rPr>
              <w:t>language,</w:t>
            </w:r>
            <w:r>
              <w:rPr>
                <w:spacing w:val="-4"/>
                <w:sz w:val="22"/>
              </w:rPr>
              <w:t> </w:t>
            </w:r>
            <w:r>
              <w:rPr>
                <w:sz w:val="22"/>
              </w:rPr>
              <w:t>and</w:t>
            </w:r>
            <w:r>
              <w:rPr>
                <w:spacing w:val="-4"/>
                <w:sz w:val="22"/>
              </w:rPr>
              <w:t> </w:t>
            </w:r>
            <w:r>
              <w:rPr>
                <w:sz w:val="22"/>
              </w:rPr>
              <w:t>outreach</w:t>
            </w:r>
            <w:r>
              <w:rPr>
                <w:spacing w:val="-4"/>
                <w:sz w:val="22"/>
              </w:rPr>
              <w:t> </w:t>
            </w:r>
            <w:r>
              <w:rPr>
                <w:sz w:val="22"/>
              </w:rPr>
              <w:t>strategies</w:t>
            </w:r>
            <w:r>
              <w:rPr>
                <w:spacing w:val="-4"/>
                <w:sz w:val="22"/>
              </w:rPr>
              <w:t> </w:t>
            </w:r>
            <w:r>
              <w:rPr>
                <w:sz w:val="22"/>
              </w:rPr>
              <w:t>of public awareness campaigns.</w:t>
            </w:r>
          </w:p>
          <w:p>
            <w:pPr>
              <w:pStyle w:val="TableParagraph"/>
              <w:numPr>
                <w:ilvl w:val="0"/>
                <w:numId w:val="3"/>
              </w:numPr>
              <w:tabs>
                <w:tab w:pos="799" w:val="left" w:leader="none"/>
              </w:tabs>
              <w:spacing w:line="259" w:lineRule="auto" w:before="0" w:after="0"/>
              <w:ind w:left="798" w:right="724" w:hanging="360"/>
              <w:jc w:val="left"/>
              <w:rPr>
                <w:sz w:val="22"/>
              </w:rPr>
            </w:pPr>
            <w:r>
              <w:rPr>
                <w:sz w:val="22"/>
              </w:rPr>
              <w:t>Promote</w:t>
            </w:r>
            <w:r>
              <w:rPr>
                <w:spacing w:val="-4"/>
                <w:sz w:val="22"/>
              </w:rPr>
              <w:t> </w:t>
            </w:r>
            <w:r>
              <w:rPr>
                <w:sz w:val="22"/>
              </w:rPr>
              <w:t>community-based</w:t>
            </w:r>
            <w:r>
              <w:rPr>
                <w:spacing w:val="-5"/>
                <w:sz w:val="22"/>
              </w:rPr>
              <w:t> </w:t>
            </w:r>
            <w:r>
              <w:rPr>
                <w:sz w:val="22"/>
              </w:rPr>
              <w:t>trainings</w:t>
            </w:r>
            <w:r>
              <w:rPr>
                <w:spacing w:val="-5"/>
                <w:sz w:val="22"/>
              </w:rPr>
              <w:t> </w:t>
            </w:r>
            <w:r>
              <w:rPr>
                <w:sz w:val="22"/>
              </w:rPr>
              <w:t>to</w:t>
            </w:r>
            <w:r>
              <w:rPr>
                <w:spacing w:val="-5"/>
                <w:sz w:val="22"/>
              </w:rPr>
              <w:t> </w:t>
            </w:r>
            <w:r>
              <w:rPr>
                <w:sz w:val="22"/>
              </w:rPr>
              <w:t>increase</w:t>
            </w:r>
            <w:r>
              <w:rPr>
                <w:spacing w:val="-6"/>
                <w:sz w:val="22"/>
              </w:rPr>
              <w:t> </w:t>
            </w:r>
            <w:r>
              <w:rPr>
                <w:sz w:val="22"/>
              </w:rPr>
              <w:t>awareness</w:t>
            </w:r>
            <w:r>
              <w:rPr>
                <w:spacing w:val="-5"/>
                <w:sz w:val="22"/>
              </w:rPr>
              <w:t> </w:t>
            </w:r>
            <w:r>
              <w:rPr>
                <w:sz w:val="22"/>
              </w:rPr>
              <w:t>of</w:t>
            </w:r>
            <w:r>
              <w:rPr>
                <w:spacing w:val="-4"/>
                <w:sz w:val="22"/>
              </w:rPr>
              <w:t> </w:t>
            </w:r>
            <w:r>
              <w:rPr>
                <w:sz w:val="22"/>
              </w:rPr>
              <w:t>risks</w:t>
            </w:r>
            <w:r>
              <w:rPr>
                <w:spacing w:val="-5"/>
                <w:sz w:val="22"/>
              </w:rPr>
              <w:t> </w:t>
            </w:r>
            <w:r>
              <w:rPr>
                <w:sz w:val="22"/>
              </w:rPr>
              <w:t>associated</w:t>
            </w:r>
            <w:r>
              <w:rPr>
                <w:spacing w:val="-5"/>
                <w:sz w:val="22"/>
              </w:rPr>
              <w:t> </w:t>
            </w:r>
            <w:r>
              <w:rPr>
                <w:sz w:val="22"/>
              </w:rPr>
              <w:t>with problem gambling.</w:t>
            </w:r>
          </w:p>
          <w:p>
            <w:pPr>
              <w:pStyle w:val="TableParagraph"/>
              <w:numPr>
                <w:ilvl w:val="0"/>
                <w:numId w:val="3"/>
              </w:numPr>
              <w:tabs>
                <w:tab w:pos="799" w:val="left" w:leader="none"/>
              </w:tabs>
              <w:spacing w:line="259" w:lineRule="auto" w:before="0" w:after="0"/>
              <w:ind w:left="798" w:right="660" w:hanging="360"/>
              <w:jc w:val="left"/>
              <w:rPr>
                <w:sz w:val="22"/>
              </w:rPr>
            </w:pPr>
            <w:r>
              <w:rPr>
                <w:sz w:val="22"/>
              </w:rPr>
              <w:t>Integrate</w:t>
            </w:r>
            <w:r>
              <w:rPr>
                <w:spacing w:val="-6"/>
                <w:sz w:val="22"/>
              </w:rPr>
              <w:t> </w:t>
            </w:r>
            <w:r>
              <w:rPr>
                <w:sz w:val="22"/>
              </w:rPr>
              <w:t>problem</w:t>
            </w:r>
            <w:r>
              <w:rPr>
                <w:spacing w:val="-5"/>
                <w:sz w:val="22"/>
              </w:rPr>
              <w:t> </w:t>
            </w:r>
            <w:r>
              <w:rPr>
                <w:sz w:val="22"/>
              </w:rPr>
              <w:t>gambling</w:t>
            </w:r>
            <w:r>
              <w:rPr>
                <w:spacing w:val="-5"/>
                <w:sz w:val="22"/>
              </w:rPr>
              <w:t> </w:t>
            </w:r>
            <w:r>
              <w:rPr>
                <w:sz w:val="22"/>
              </w:rPr>
              <w:t>awareness</w:t>
            </w:r>
            <w:r>
              <w:rPr>
                <w:spacing w:val="-5"/>
                <w:sz w:val="22"/>
              </w:rPr>
              <w:t> </w:t>
            </w:r>
            <w:r>
              <w:rPr>
                <w:sz w:val="22"/>
              </w:rPr>
              <w:t>raising</w:t>
            </w:r>
            <w:r>
              <w:rPr>
                <w:spacing w:val="-5"/>
                <w:sz w:val="22"/>
              </w:rPr>
              <w:t> </w:t>
            </w:r>
            <w:r>
              <w:rPr>
                <w:sz w:val="22"/>
              </w:rPr>
              <w:t>into</w:t>
            </w:r>
            <w:r>
              <w:rPr>
                <w:spacing w:val="-4"/>
                <w:sz w:val="22"/>
              </w:rPr>
              <w:t> </w:t>
            </w:r>
            <w:r>
              <w:rPr>
                <w:sz w:val="22"/>
              </w:rPr>
              <w:t>broader</w:t>
            </w:r>
            <w:r>
              <w:rPr>
                <w:spacing w:val="-6"/>
                <w:sz w:val="22"/>
              </w:rPr>
              <w:t> </w:t>
            </w:r>
            <w:r>
              <w:rPr>
                <w:sz w:val="22"/>
              </w:rPr>
              <w:t>public</w:t>
            </w:r>
            <w:r>
              <w:rPr>
                <w:spacing w:val="-6"/>
                <w:sz w:val="22"/>
              </w:rPr>
              <w:t> </w:t>
            </w:r>
            <w:r>
              <w:rPr>
                <w:sz w:val="22"/>
              </w:rPr>
              <w:t>health</w:t>
            </w:r>
            <w:r>
              <w:rPr>
                <w:spacing w:val="-5"/>
                <w:sz w:val="22"/>
              </w:rPr>
              <w:t> </w:t>
            </w:r>
            <w:r>
              <w:rPr>
                <w:sz w:val="22"/>
              </w:rPr>
              <w:t>prevention efforts (e.g., substance abuse, suicide, violence prevention, mental health).</w:t>
            </w:r>
          </w:p>
        </w:tc>
      </w:tr>
      <w:tr>
        <w:trPr>
          <w:trHeight w:val="1954" w:hRule="atLeast"/>
        </w:trPr>
        <w:tc>
          <w:tcPr>
            <w:tcW w:w="9240" w:type="dxa"/>
            <w:tcBorders>
              <w:top w:val="nil"/>
            </w:tcBorders>
            <w:shd w:val="clear" w:color="auto" w:fill="BEBEBE"/>
          </w:tcPr>
          <w:p>
            <w:pPr>
              <w:pStyle w:val="TableParagraph"/>
              <w:ind w:left="78"/>
              <w:rPr>
                <w:sz w:val="22"/>
              </w:rPr>
            </w:pPr>
            <w:r>
              <w:rPr>
                <w:spacing w:val="-2"/>
                <w:sz w:val="22"/>
              </w:rPr>
              <w:t>Measures:</w:t>
            </w:r>
          </w:p>
          <w:p>
            <w:pPr>
              <w:pStyle w:val="TableParagraph"/>
              <w:numPr>
                <w:ilvl w:val="0"/>
                <w:numId w:val="4"/>
              </w:numPr>
              <w:tabs>
                <w:tab w:pos="797" w:val="left" w:leader="none"/>
                <w:tab w:pos="798" w:val="left" w:leader="none"/>
              </w:tabs>
              <w:spacing w:line="240" w:lineRule="auto" w:before="179" w:after="0"/>
              <w:ind w:left="797" w:right="0" w:hanging="360"/>
              <w:jc w:val="left"/>
              <w:rPr>
                <w:sz w:val="22"/>
              </w:rPr>
            </w:pPr>
            <w:r>
              <w:rPr>
                <w:sz w:val="22"/>
              </w:rPr>
              <w:t>Community</w:t>
            </w:r>
            <w:r>
              <w:rPr>
                <w:spacing w:val="-14"/>
                <w:sz w:val="22"/>
              </w:rPr>
              <w:t> </w:t>
            </w:r>
            <w:r>
              <w:rPr>
                <w:sz w:val="22"/>
              </w:rPr>
              <w:t>member</w:t>
            </w:r>
            <w:r>
              <w:rPr>
                <w:spacing w:val="-13"/>
                <w:sz w:val="22"/>
              </w:rPr>
              <w:t> </w:t>
            </w:r>
            <w:r>
              <w:rPr>
                <w:sz w:val="22"/>
              </w:rPr>
              <w:t>awareness,</w:t>
            </w:r>
            <w:r>
              <w:rPr>
                <w:spacing w:val="-14"/>
                <w:sz w:val="22"/>
              </w:rPr>
              <w:t> </w:t>
            </w:r>
            <w:r>
              <w:rPr>
                <w:sz w:val="22"/>
              </w:rPr>
              <w:t>ascertained</w:t>
            </w:r>
            <w:r>
              <w:rPr>
                <w:spacing w:val="-13"/>
                <w:sz w:val="22"/>
              </w:rPr>
              <w:t> </w:t>
            </w:r>
            <w:r>
              <w:rPr>
                <w:spacing w:val="-2"/>
                <w:sz w:val="22"/>
              </w:rPr>
              <w:t>through:</w:t>
            </w:r>
          </w:p>
          <w:p>
            <w:pPr>
              <w:pStyle w:val="TableParagraph"/>
              <w:numPr>
                <w:ilvl w:val="1"/>
                <w:numId w:val="4"/>
              </w:numPr>
              <w:tabs>
                <w:tab w:pos="1518" w:val="left" w:leader="none"/>
              </w:tabs>
              <w:spacing w:line="240" w:lineRule="auto" w:before="19" w:after="0"/>
              <w:ind w:left="1517" w:right="0" w:hanging="360"/>
              <w:jc w:val="left"/>
              <w:rPr>
                <w:sz w:val="22"/>
              </w:rPr>
            </w:pPr>
            <w:r>
              <w:rPr>
                <w:sz w:val="22"/>
              </w:rPr>
              <w:t>Responses</w:t>
            </w:r>
            <w:r>
              <w:rPr>
                <w:spacing w:val="-8"/>
                <w:sz w:val="22"/>
              </w:rPr>
              <w:t> </w:t>
            </w:r>
            <w:r>
              <w:rPr>
                <w:sz w:val="22"/>
              </w:rPr>
              <w:t>to</w:t>
            </w:r>
            <w:r>
              <w:rPr>
                <w:spacing w:val="-8"/>
                <w:sz w:val="22"/>
              </w:rPr>
              <w:t> </w:t>
            </w:r>
            <w:r>
              <w:rPr>
                <w:sz w:val="22"/>
              </w:rPr>
              <w:t>surveys</w:t>
            </w:r>
            <w:r>
              <w:rPr>
                <w:spacing w:val="-8"/>
                <w:sz w:val="22"/>
              </w:rPr>
              <w:t> </w:t>
            </w:r>
            <w:r>
              <w:rPr>
                <w:sz w:val="22"/>
              </w:rPr>
              <w:t>and</w:t>
            </w:r>
            <w:r>
              <w:rPr>
                <w:spacing w:val="-8"/>
                <w:sz w:val="22"/>
              </w:rPr>
              <w:t> </w:t>
            </w:r>
            <w:r>
              <w:rPr>
                <w:sz w:val="22"/>
              </w:rPr>
              <w:t>notes</w:t>
            </w:r>
            <w:r>
              <w:rPr>
                <w:spacing w:val="-8"/>
                <w:sz w:val="22"/>
              </w:rPr>
              <w:t> </w:t>
            </w:r>
            <w:r>
              <w:rPr>
                <w:sz w:val="22"/>
              </w:rPr>
              <w:t>from</w:t>
            </w:r>
            <w:r>
              <w:rPr>
                <w:spacing w:val="-7"/>
                <w:sz w:val="22"/>
              </w:rPr>
              <w:t> </w:t>
            </w:r>
            <w:r>
              <w:rPr>
                <w:sz w:val="22"/>
              </w:rPr>
              <w:t>listening</w:t>
            </w:r>
            <w:r>
              <w:rPr>
                <w:spacing w:val="-7"/>
                <w:sz w:val="22"/>
              </w:rPr>
              <w:t> </w:t>
            </w:r>
            <w:r>
              <w:rPr>
                <w:spacing w:val="-2"/>
                <w:sz w:val="22"/>
              </w:rPr>
              <w:t>sessions</w:t>
            </w:r>
          </w:p>
          <w:p>
            <w:pPr>
              <w:pStyle w:val="TableParagraph"/>
              <w:numPr>
                <w:ilvl w:val="1"/>
                <w:numId w:val="4"/>
              </w:numPr>
              <w:tabs>
                <w:tab w:pos="1518" w:val="left" w:leader="none"/>
              </w:tabs>
              <w:spacing w:line="240" w:lineRule="auto" w:before="1" w:after="0"/>
              <w:ind w:left="1517" w:right="0" w:hanging="360"/>
              <w:jc w:val="left"/>
              <w:rPr>
                <w:sz w:val="22"/>
              </w:rPr>
            </w:pPr>
            <w:r>
              <w:rPr>
                <w:sz w:val="22"/>
              </w:rPr>
              <w:t>Data</w:t>
            </w:r>
            <w:r>
              <w:rPr>
                <w:spacing w:val="-8"/>
                <w:sz w:val="22"/>
              </w:rPr>
              <w:t> </w:t>
            </w:r>
            <w:r>
              <w:rPr>
                <w:sz w:val="22"/>
              </w:rPr>
              <w:t>and</w:t>
            </w:r>
            <w:r>
              <w:rPr>
                <w:spacing w:val="-7"/>
                <w:sz w:val="22"/>
              </w:rPr>
              <w:t> </w:t>
            </w:r>
            <w:r>
              <w:rPr>
                <w:sz w:val="22"/>
              </w:rPr>
              <w:t>feedback</w:t>
            </w:r>
            <w:r>
              <w:rPr>
                <w:spacing w:val="-8"/>
                <w:sz w:val="22"/>
              </w:rPr>
              <w:t> </w:t>
            </w:r>
            <w:r>
              <w:rPr>
                <w:sz w:val="22"/>
              </w:rPr>
              <w:t>from</w:t>
            </w:r>
            <w:r>
              <w:rPr>
                <w:spacing w:val="-7"/>
                <w:sz w:val="22"/>
              </w:rPr>
              <w:t> </w:t>
            </w:r>
            <w:r>
              <w:rPr>
                <w:sz w:val="22"/>
              </w:rPr>
              <w:t>vendors</w:t>
            </w:r>
            <w:r>
              <w:rPr>
                <w:spacing w:val="-8"/>
                <w:sz w:val="22"/>
              </w:rPr>
              <w:t> </w:t>
            </w:r>
            <w:r>
              <w:rPr>
                <w:sz w:val="22"/>
              </w:rPr>
              <w:t>and</w:t>
            </w:r>
            <w:r>
              <w:rPr>
                <w:spacing w:val="-7"/>
                <w:sz w:val="22"/>
              </w:rPr>
              <w:t> </w:t>
            </w:r>
            <w:r>
              <w:rPr>
                <w:spacing w:val="-2"/>
                <w:sz w:val="22"/>
              </w:rPr>
              <w:t>partners</w:t>
            </w:r>
          </w:p>
          <w:p>
            <w:pPr>
              <w:pStyle w:val="TableParagraph"/>
              <w:numPr>
                <w:ilvl w:val="1"/>
                <w:numId w:val="4"/>
              </w:numPr>
              <w:tabs>
                <w:tab w:pos="1518" w:val="left" w:leader="none"/>
              </w:tabs>
              <w:spacing w:line="240" w:lineRule="auto" w:before="3" w:after="0"/>
              <w:ind w:left="1518" w:right="951" w:hanging="360"/>
              <w:jc w:val="left"/>
              <w:rPr>
                <w:sz w:val="22"/>
              </w:rPr>
            </w:pPr>
            <w:r>
              <w:rPr>
                <w:sz w:val="22"/>
              </w:rPr>
              <w:t>Data,</w:t>
            </w:r>
            <w:r>
              <w:rPr>
                <w:spacing w:val="-5"/>
                <w:sz w:val="22"/>
              </w:rPr>
              <w:t> </w:t>
            </w:r>
            <w:r>
              <w:rPr>
                <w:sz w:val="22"/>
              </w:rPr>
              <w:t>metrics,</w:t>
            </w:r>
            <w:r>
              <w:rPr>
                <w:spacing w:val="-5"/>
                <w:sz w:val="22"/>
              </w:rPr>
              <w:t> </w:t>
            </w:r>
            <w:r>
              <w:rPr>
                <w:sz w:val="22"/>
              </w:rPr>
              <w:t>and</w:t>
            </w:r>
            <w:r>
              <w:rPr>
                <w:spacing w:val="-5"/>
                <w:sz w:val="22"/>
              </w:rPr>
              <w:t> </w:t>
            </w:r>
            <w:r>
              <w:rPr>
                <w:sz w:val="22"/>
              </w:rPr>
              <w:t>media</w:t>
            </w:r>
            <w:r>
              <w:rPr>
                <w:spacing w:val="-5"/>
                <w:sz w:val="22"/>
              </w:rPr>
              <w:t> </w:t>
            </w:r>
            <w:r>
              <w:rPr>
                <w:sz w:val="22"/>
              </w:rPr>
              <w:t>testing</w:t>
            </w:r>
            <w:r>
              <w:rPr>
                <w:spacing w:val="-5"/>
                <w:sz w:val="22"/>
              </w:rPr>
              <w:t> </w:t>
            </w:r>
            <w:r>
              <w:rPr>
                <w:sz w:val="22"/>
              </w:rPr>
              <w:t>and</w:t>
            </w:r>
            <w:r>
              <w:rPr>
                <w:spacing w:val="-5"/>
                <w:sz w:val="22"/>
              </w:rPr>
              <w:t> </w:t>
            </w:r>
            <w:r>
              <w:rPr>
                <w:sz w:val="22"/>
              </w:rPr>
              <w:t>impressions</w:t>
            </w:r>
            <w:r>
              <w:rPr>
                <w:spacing w:val="-5"/>
                <w:sz w:val="22"/>
              </w:rPr>
              <w:t> </w:t>
            </w:r>
            <w:r>
              <w:rPr>
                <w:sz w:val="22"/>
              </w:rPr>
              <w:t>from</w:t>
            </w:r>
            <w:r>
              <w:rPr>
                <w:spacing w:val="-5"/>
                <w:sz w:val="22"/>
              </w:rPr>
              <w:t> </w:t>
            </w:r>
            <w:r>
              <w:rPr>
                <w:sz w:val="22"/>
              </w:rPr>
              <w:t>public</w:t>
            </w:r>
            <w:r>
              <w:rPr>
                <w:spacing w:val="-6"/>
                <w:sz w:val="22"/>
              </w:rPr>
              <w:t> </w:t>
            </w:r>
            <w:r>
              <w:rPr>
                <w:sz w:val="22"/>
              </w:rPr>
              <w:t>awareness </w:t>
            </w:r>
            <w:r>
              <w:rPr>
                <w:spacing w:val="-2"/>
                <w:sz w:val="22"/>
              </w:rPr>
              <w:t>campaigns</w:t>
            </w:r>
          </w:p>
        </w:tc>
      </w:tr>
    </w:tbl>
    <w:p>
      <w:pPr>
        <w:pStyle w:val="BodyText"/>
        <w:rPr>
          <w:sz w:val="20"/>
        </w:rPr>
      </w:pPr>
    </w:p>
    <w:p>
      <w:pPr>
        <w:pStyle w:val="BodyText"/>
        <w:spacing w:before="4"/>
        <w:rPr>
          <w:sz w:val="12"/>
        </w:rPr>
      </w:pPr>
    </w:p>
    <w:tbl>
      <w:tblPr>
        <w:tblW w:w="0" w:type="auto"/>
        <w:jc w:val="left"/>
        <w:tblCellSpacing w:w="30" w:type="dxa"/>
        <w:tblInd w:w="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40"/>
      </w:tblGrid>
      <w:tr>
        <w:trPr>
          <w:trHeight w:val="376" w:hRule="atLeast"/>
        </w:trPr>
        <w:tc>
          <w:tcPr>
            <w:tcW w:w="9240" w:type="dxa"/>
            <w:tcBorders>
              <w:bottom w:val="nil"/>
            </w:tcBorders>
            <w:shd w:val="clear" w:color="auto" w:fill="055893"/>
          </w:tcPr>
          <w:p>
            <w:pPr>
              <w:pStyle w:val="TableParagraph"/>
              <w:spacing w:before="41"/>
              <w:ind w:left="4203" w:right="4203"/>
              <w:jc w:val="center"/>
              <w:rPr>
                <w:sz w:val="24"/>
              </w:rPr>
            </w:pPr>
            <w:r>
              <w:rPr>
                <w:color w:val="FFFFFF"/>
                <w:sz w:val="24"/>
              </w:rPr>
              <w:t>Goal </w:t>
            </w:r>
            <w:r>
              <w:rPr>
                <w:color w:val="FFFFFF"/>
                <w:spacing w:val="-5"/>
                <w:sz w:val="24"/>
              </w:rPr>
              <w:t>#2</w:t>
            </w:r>
          </w:p>
        </w:tc>
      </w:tr>
      <w:tr>
        <w:trPr>
          <w:trHeight w:val="698" w:hRule="atLeast"/>
        </w:trPr>
        <w:tc>
          <w:tcPr>
            <w:tcW w:w="9240" w:type="dxa"/>
            <w:tcBorders>
              <w:top w:val="nil"/>
              <w:bottom w:val="nil"/>
            </w:tcBorders>
            <w:shd w:val="clear" w:color="auto" w:fill="F1F1F1"/>
          </w:tcPr>
          <w:p>
            <w:pPr>
              <w:pStyle w:val="TableParagraph"/>
              <w:spacing w:line="259" w:lineRule="auto"/>
              <w:ind w:left="78" w:right="203"/>
              <w:rPr>
                <w:i/>
                <w:sz w:val="22"/>
              </w:rPr>
            </w:pPr>
            <w:r>
              <w:rPr>
                <w:i/>
                <w:sz w:val="22"/>
              </w:rPr>
              <w:t>Lift</w:t>
            </w:r>
            <w:r>
              <w:rPr>
                <w:i/>
                <w:spacing w:val="-4"/>
                <w:sz w:val="22"/>
              </w:rPr>
              <w:t> </w:t>
            </w:r>
            <w:r>
              <w:rPr>
                <w:i/>
                <w:sz w:val="22"/>
              </w:rPr>
              <w:t>up</w:t>
            </w:r>
            <w:r>
              <w:rPr>
                <w:i/>
                <w:spacing w:val="-5"/>
                <w:sz w:val="22"/>
              </w:rPr>
              <w:t> </w:t>
            </w:r>
            <w:r>
              <w:rPr>
                <w:i/>
                <w:sz w:val="22"/>
              </w:rPr>
              <w:t>community</w:t>
            </w:r>
            <w:r>
              <w:rPr>
                <w:i/>
                <w:spacing w:val="-4"/>
                <w:sz w:val="22"/>
              </w:rPr>
              <w:t> </w:t>
            </w:r>
            <w:r>
              <w:rPr>
                <w:i/>
                <w:sz w:val="22"/>
              </w:rPr>
              <w:t>voice</w:t>
            </w:r>
            <w:r>
              <w:rPr>
                <w:i/>
                <w:spacing w:val="-5"/>
                <w:sz w:val="22"/>
              </w:rPr>
              <w:t> </w:t>
            </w:r>
            <w:r>
              <w:rPr>
                <w:i/>
                <w:sz w:val="22"/>
              </w:rPr>
              <w:t>across</w:t>
            </w:r>
            <w:r>
              <w:rPr>
                <w:i/>
                <w:spacing w:val="-5"/>
                <w:sz w:val="22"/>
              </w:rPr>
              <w:t> </w:t>
            </w:r>
            <w:r>
              <w:rPr>
                <w:i/>
                <w:sz w:val="22"/>
              </w:rPr>
              <w:t>the</w:t>
            </w:r>
            <w:r>
              <w:rPr>
                <w:i/>
                <w:spacing w:val="-5"/>
                <w:sz w:val="22"/>
              </w:rPr>
              <w:t> </w:t>
            </w:r>
            <w:r>
              <w:rPr>
                <w:i/>
                <w:sz w:val="22"/>
              </w:rPr>
              <w:t>Commonwealth,</w:t>
            </w:r>
            <w:r>
              <w:rPr>
                <w:i/>
                <w:spacing w:val="-4"/>
                <w:sz w:val="22"/>
              </w:rPr>
              <w:t> </w:t>
            </w:r>
            <w:r>
              <w:rPr>
                <w:i/>
                <w:sz w:val="22"/>
              </w:rPr>
              <w:t>building</w:t>
            </w:r>
            <w:r>
              <w:rPr>
                <w:i/>
                <w:spacing w:val="-5"/>
                <w:sz w:val="22"/>
              </w:rPr>
              <w:t> </w:t>
            </w:r>
            <w:r>
              <w:rPr>
                <w:i/>
                <w:sz w:val="22"/>
              </w:rPr>
              <w:t>on</w:t>
            </w:r>
            <w:r>
              <w:rPr>
                <w:i/>
                <w:spacing w:val="-3"/>
                <w:sz w:val="22"/>
              </w:rPr>
              <w:t> </w:t>
            </w:r>
            <w:r>
              <w:rPr>
                <w:i/>
                <w:sz w:val="22"/>
              </w:rPr>
              <w:t>foundations</w:t>
            </w:r>
            <w:r>
              <w:rPr>
                <w:i/>
                <w:spacing w:val="-4"/>
                <w:sz w:val="22"/>
              </w:rPr>
              <w:t> </w:t>
            </w:r>
            <w:r>
              <w:rPr>
                <w:i/>
                <w:sz w:val="22"/>
              </w:rPr>
              <w:t>established</w:t>
            </w:r>
            <w:r>
              <w:rPr>
                <w:i/>
                <w:spacing w:val="-5"/>
                <w:sz w:val="22"/>
              </w:rPr>
              <w:t> </w:t>
            </w:r>
            <w:r>
              <w:rPr>
                <w:i/>
                <w:sz w:val="22"/>
              </w:rPr>
              <w:t>through</w:t>
            </w:r>
            <w:r>
              <w:rPr>
                <w:i/>
                <w:sz w:val="22"/>
              </w:rPr>
              <w:t> equity-focused engagement with casino-host communities of Everett and Springfield.</w:t>
            </w:r>
          </w:p>
        </w:tc>
      </w:tr>
      <w:tr>
        <w:trPr>
          <w:trHeight w:val="1830" w:hRule="atLeast"/>
        </w:trPr>
        <w:tc>
          <w:tcPr>
            <w:tcW w:w="9240" w:type="dxa"/>
            <w:tcBorders>
              <w:top w:val="nil"/>
            </w:tcBorders>
            <w:shd w:val="clear" w:color="auto" w:fill="D9D9D9"/>
          </w:tcPr>
          <w:p>
            <w:pPr>
              <w:pStyle w:val="TableParagraph"/>
              <w:ind w:left="78"/>
              <w:rPr>
                <w:sz w:val="22"/>
              </w:rPr>
            </w:pPr>
            <w:r>
              <w:rPr>
                <w:spacing w:val="-2"/>
                <w:sz w:val="22"/>
              </w:rPr>
              <w:t>Strategies:</w:t>
            </w:r>
          </w:p>
          <w:p>
            <w:pPr>
              <w:pStyle w:val="TableParagraph"/>
              <w:numPr>
                <w:ilvl w:val="0"/>
                <w:numId w:val="5"/>
              </w:numPr>
              <w:tabs>
                <w:tab w:pos="798" w:val="left" w:leader="none"/>
              </w:tabs>
              <w:spacing w:line="259" w:lineRule="auto" w:before="179" w:after="0"/>
              <w:ind w:left="798" w:right="878" w:hanging="360"/>
              <w:jc w:val="left"/>
              <w:rPr>
                <w:sz w:val="22"/>
              </w:rPr>
            </w:pPr>
            <w:r>
              <w:rPr>
                <w:sz w:val="22"/>
              </w:rPr>
              <w:t>Conduct</w:t>
            </w:r>
            <w:r>
              <w:rPr>
                <w:spacing w:val="-6"/>
                <w:sz w:val="22"/>
              </w:rPr>
              <w:t> </w:t>
            </w:r>
            <w:r>
              <w:rPr>
                <w:sz w:val="22"/>
              </w:rPr>
              <w:t>annual</w:t>
            </w:r>
            <w:r>
              <w:rPr>
                <w:spacing w:val="-5"/>
                <w:sz w:val="22"/>
              </w:rPr>
              <w:t> </w:t>
            </w:r>
            <w:r>
              <w:rPr>
                <w:sz w:val="22"/>
              </w:rPr>
              <w:t>Stakeholder</w:t>
            </w:r>
            <w:r>
              <w:rPr>
                <w:spacing w:val="-6"/>
                <w:sz w:val="22"/>
              </w:rPr>
              <w:t> </w:t>
            </w:r>
            <w:r>
              <w:rPr>
                <w:sz w:val="22"/>
              </w:rPr>
              <w:t>Listening</w:t>
            </w:r>
            <w:r>
              <w:rPr>
                <w:spacing w:val="-4"/>
                <w:sz w:val="22"/>
              </w:rPr>
              <w:t> </w:t>
            </w:r>
            <w:r>
              <w:rPr>
                <w:sz w:val="22"/>
              </w:rPr>
              <w:t>Sessions,</w:t>
            </w:r>
            <w:r>
              <w:rPr>
                <w:spacing w:val="-4"/>
                <w:sz w:val="22"/>
              </w:rPr>
              <w:t> </w:t>
            </w:r>
            <w:r>
              <w:rPr>
                <w:sz w:val="22"/>
              </w:rPr>
              <w:t>building</w:t>
            </w:r>
            <w:r>
              <w:rPr>
                <w:spacing w:val="-5"/>
                <w:sz w:val="22"/>
              </w:rPr>
              <w:t> </w:t>
            </w:r>
            <w:r>
              <w:rPr>
                <w:sz w:val="22"/>
              </w:rPr>
              <w:t>on</w:t>
            </w:r>
            <w:r>
              <w:rPr>
                <w:spacing w:val="-6"/>
                <w:sz w:val="22"/>
              </w:rPr>
              <w:t> </w:t>
            </w:r>
            <w:r>
              <w:rPr>
                <w:sz w:val="22"/>
              </w:rPr>
              <w:t>lessons</w:t>
            </w:r>
            <w:r>
              <w:rPr>
                <w:spacing w:val="-5"/>
                <w:sz w:val="22"/>
              </w:rPr>
              <w:t> </w:t>
            </w:r>
            <w:r>
              <w:rPr>
                <w:sz w:val="22"/>
              </w:rPr>
              <w:t>learned</w:t>
            </w:r>
            <w:r>
              <w:rPr>
                <w:spacing w:val="-4"/>
                <w:sz w:val="22"/>
              </w:rPr>
              <w:t> </w:t>
            </w:r>
            <w:r>
              <w:rPr>
                <w:sz w:val="22"/>
              </w:rPr>
              <w:t>from previous engagements.</w:t>
            </w:r>
          </w:p>
          <w:p>
            <w:pPr>
              <w:pStyle w:val="TableParagraph"/>
              <w:numPr>
                <w:ilvl w:val="0"/>
                <w:numId w:val="5"/>
              </w:numPr>
              <w:tabs>
                <w:tab w:pos="798" w:val="left" w:leader="none"/>
              </w:tabs>
              <w:spacing w:line="259" w:lineRule="auto" w:before="0" w:after="0"/>
              <w:ind w:left="798" w:right="394" w:hanging="360"/>
              <w:jc w:val="left"/>
              <w:rPr>
                <w:sz w:val="22"/>
              </w:rPr>
            </w:pPr>
            <w:r>
              <w:rPr>
                <w:sz w:val="22"/>
              </w:rPr>
              <w:t>Work</w:t>
            </w:r>
            <w:r>
              <w:rPr>
                <w:spacing w:val="-4"/>
                <w:sz w:val="22"/>
              </w:rPr>
              <w:t> </w:t>
            </w:r>
            <w:r>
              <w:rPr>
                <w:sz w:val="22"/>
              </w:rPr>
              <w:t>in</w:t>
            </w:r>
            <w:r>
              <w:rPr>
                <w:spacing w:val="-5"/>
                <w:sz w:val="22"/>
              </w:rPr>
              <w:t> </w:t>
            </w:r>
            <w:r>
              <w:rPr>
                <w:sz w:val="22"/>
              </w:rPr>
              <w:t>partnership</w:t>
            </w:r>
            <w:r>
              <w:rPr>
                <w:spacing w:val="-4"/>
                <w:sz w:val="22"/>
              </w:rPr>
              <w:t> </w:t>
            </w:r>
            <w:r>
              <w:rPr>
                <w:sz w:val="22"/>
              </w:rPr>
              <w:t>with</w:t>
            </w:r>
            <w:r>
              <w:rPr>
                <w:spacing w:val="-3"/>
                <w:sz w:val="22"/>
              </w:rPr>
              <w:t> </w:t>
            </w:r>
            <w:r>
              <w:rPr>
                <w:sz w:val="22"/>
              </w:rPr>
              <w:t>colleagues</w:t>
            </w:r>
            <w:r>
              <w:rPr>
                <w:spacing w:val="-4"/>
                <w:sz w:val="22"/>
              </w:rPr>
              <w:t> </w:t>
            </w:r>
            <w:r>
              <w:rPr>
                <w:sz w:val="22"/>
              </w:rPr>
              <w:t>across</w:t>
            </w:r>
            <w:r>
              <w:rPr>
                <w:spacing w:val="-3"/>
                <w:sz w:val="22"/>
              </w:rPr>
              <w:t> </w:t>
            </w:r>
            <w:r>
              <w:rPr>
                <w:sz w:val="22"/>
              </w:rPr>
              <w:t>DPH</w:t>
            </w:r>
            <w:r>
              <w:rPr>
                <w:spacing w:val="-4"/>
                <w:sz w:val="22"/>
              </w:rPr>
              <w:t> </w:t>
            </w:r>
            <w:r>
              <w:rPr>
                <w:sz w:val="22"/>
              </w:rPr>
              <w:t>to</w:t>
            </w:r>
            <w:r>
              <w:rPr>
                <w:spacing w:val="-3"/>
                <w:sz w:val="22"/>
              </w:rPr>
              <w:t> </w:t>
            </w:r>
            <w:r>
              <w:rPr>
                <w:sz w:val="22"/>
              </w:rPr>
              <w:t>conduct</w:t>
            </w:r>
            <w:r>
              <w:rPr>
                <w:spacing w:val="-5"/>
                <w:sz w:val="22"/>
              </w:rPr>
              <w:t> </w:t>
            </w:r>
            <w:r>
              <w:rPr>
                <w:sz w:val="22"/>
              </w:rPr>
              <w:t>and</w:t>
            </w:r>
            <w:r>
              <w:rPr>
                <w:spacing w:val="-3"/>
                <w:sz w:val="22"/>
              </w:rPr>
              <w:t> </w:t>
            </w:r>
            <w:r>
              <w:rPr>
                <w:sz w:val="22"/>
              </w:rPr>
              <w:t>analyze</w:t>
            </w:r>
            <w:r>
              <w:rPr>
                <w:spacing w:val="-5"/>
                <w:sz w:val="22"/>
              </w:rPr>
              <w:t> </w:t>
            </w:r>
            <w:r>
              <w:rPr>
                <w:sz w:val="22"/>
              </w:rPr>
              <w:t>equity-focused engagement with communities of color to align and optimize reach.</w:t>
            </w:r>
          </w:p>
        </w:tc>
      </w:tr>
    </w:tbl>
    <w:p>
      <w:pPr>
        <w:spacing w:after="0" w:line="259" w:lineRule="auto"/>
        <w:jc w:val="left"/>
        <w:rPr>
          <w:sz w:val="22"/>
        </w:rPr>
        <w:sectPr>
          <w:pgSz w:w="12240" w:h="15840"/>
          <w:pgMar w:header="438" w:footer="444" w:top="1320" w:bottom="640" w:left="960" w:right="1320"/>
        </w:sectPr>
      </w:pPr>
    </w:p>
    <w:p>
      <w:pPr>
        <w:pStyle w:val="BodyText"/>
        <w:spacing w:before="4"/>
        <w:rPr>
          <w:sz w:val="14"/>
        </w:rPr>
      </w:pPr>
    </w:p>
    <w:tbl>
      <w:tblPr>
        <w:tblW w:w="0" w:type="auto"/>
        <w:jc w:val="left"/>
        <w:tblInd w:w="5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40"/>
      </w:tblGrid>
      <w:tr>
        <w:trPr>
          <w:trHeight w:val="1455" w:hRule="atLeast"/>
        </w:trPr>
        <w:tc>
          <w:tcPr>
            <w:tcW w:w="9240" w:type="dxa"/>
            <w:shd w:val="clear" w:color="auto" w:fill="BEBEBE"/>
          </w:tcPr>
          <w:p>
            <w:pPr>
              <w:pStyle w:val="TableParagraph"/>
              <w:ind w:left="78"/>
              <w:rPr>
                <w:sz w:val="22"/>
              </w:rPr>
            </w:pPr>
            <w:r>
              <w:rPr>
                <w:spacing w:val="-2"/>
                <w:sz w:val="22"/>
              </w:rPr>
              <w:t>Measures:</w:t>
            </w:r>
          </w:p>
          <w:p>
            <w:pPr>
              <w:pStyle w:val="TableParagraph"/>
              <w:numPr>
                <w:ilvl w:val="0"/>
                <w:numId w:val="6"/>
              </w:numPr>
              <w:tabs>
                <w:tab w:pos="797" w:val="left" w:leader="none"/>
                <w:tab w:pos="798" w:val="left" w:leader="none"/>
              </w:tabs>
              <w:spacing w:line="240" w:lineRule="auto" w:before="181" w:after="0"/>
              <w:ind w:left="797" w:right="0" w:hanging="360"/>
              <w:jc w:val="left"/>
              <w:rPr>
                <w:sz w:val="22"/>
              </w:rPr>
            </w:pPr>
            <w:r>
              <w:rPr>
                <w:sz w:val="22"/>
              </w:rPr>
              <w:t>Numbers</w:t>
            </w:r>
            <w:r>
              <w:rPr>
                <w:spacing w:val="-9"/>
                <w:sz w:val="22"/>
              </w:rPr>
              <w:t> </w:t>
            </w:r>
            <w:r>
              <w:rPr>
                <w:sz w:val="22"/>
              </w:rPr>
              <w:t>of</w:t>
            </w:r>
            <w:r>
              <w:rPr>
                <w:spacing w:val="-8"/>
                <w:sz w:val="22"/>
              </w:rPr>
              <w:t> </w:t>
            </w:r>
            <w:r>
              <w:rPr>
                <w:sz w:val="22"/>
              </w:rPr>
              <w:t>sessions</w:t>
            </w:r>
            <w:r>
              <w:rPr>
                <w:spacing w:val="-9"/>
                <w:sz w:val="22"/>
              </w:rPr>
              <w:t> </w:t>
            </w:r>
            <w:r>
              <w:rPr>
                <w:spacing w:val="-2"/>
                <w:sz w:val="22"/>
              </w:rPr>
              <w:t>conducted</w:t>
            </w:r>
          </w:p>
          <w:p>
            <w:pPr>
              <w:pStyle w:val="TableParagraph"/>
              <w:numPr>
                <w:ilvl w:val="0"/>
                <w:numId w:val="6"/>
              </w:numPr>
              <w:tabs>
                <w:tab w:pos="797" w:val="left" w:leader="none"/>
                <w:tab w:pos="798" w:val="left" w:leader="none"/>
              </w:tabs>
              <w:spacing w:line="240" w:lineRule="auto" w:before="18" w:after="0"/>
              <w:ind w:left="797" w:right="0" w:hanging="360"/>
              <w:jc w:val="left"/>
              <w:rPr>
                <w:sz w:val="22"/>
              </w:rPr>
            </w:pPr>
            <w:r>
              <w:rPr>
                <w:sz w:val="22"/>
              </w:rPr>
              <w:t>Communities</w:t>
            </w:r>
            <w:r>
              <w:rPr>
                <w:spacing w:val="-13"/>
                <w:sz w:val="22"/>
              </w:rPr>
              <w:t> </w:t>
            </w:r>
            <w:r>
              <w:rPr>
                <w:sz w:val="22"/>
              </w:rPr>
              <w:t>engaged</w:t>
            </w:r>
            <w:r>
              <w:rPr>
                <w:spacing w:val="-14"/>
                <w:sz w:val="22"/>
              </w:rPr>
              <w:t> </w:t>
            </w:r>
            <w:r>
              <w:rPr>
                <w:sz w:val="22"/>
              </w:rPr>
              <w:t>through</w:t>
            </w:r>
            <w:r>
              <w:rPr>
                <w:spacing w:val="-13"/>
                <w:sz w:val="22"/>
              </w:rPr>
              <w:t> </w:t>
            </w:r>
            <w:r>
              <w:rPr>
                <w:sz w:val="22"/>
              </w:rPr>
              <w:t>listening</w:t>
            </w:r>
            <w:r>
              <w:rPr>
                <w:spacing w:val="-14"/>
                <w:sz w:val="22"/>
              </w:rPr>
              <w:t> </w:t>
            </w:r>
            <w:r>
              <w:rPr>
                <w:spacing w:val="-2"/>
                <w:sz w:val="22"/>
              </w:rPr>
              <w:t>sessions</w:t>
            </w:r>
          </w:p>
          <w:p>
            <w:pPr>
              <w:pStyle w:val="TableParagraph"/>
              <w:numPr>
                <w:ilvl w:val="0"/>
                <w:numId w:val="6"/>
              </w:numPr>
              <w:tabs>
                <w:tab w:pos="797" w:val="left" w:leader="none"/>
                <w:tab w:pos="798" w:val="left" w:leader="none"/>
              </w:tabs>
              <w:spacing w:line="240" w:lineRule="auto" w:before="19" w:after="0"/>
              <w:ind w:left="797" w:right="0" w:hanging="360"/>
              <w:jc w:val="left"/>
              <w:rPr>
                <w:sz w:val="22"/>
              </w:rPr>
            </w:pPr>
            <w:r>
              <w:rPr>
                <w:sz w:val="22"/>
              </w:rPr>
              <w:t>Numbers</w:t>
            </w:r>
            <w:r>
              <w:rPr>
                <w:spacing w:val="-11"/>
                <w:sz w:val="22"/>
              </w:rPr>
              <w:t> </w:t>
            </w:r>
            <w:r>
              <w:rPr>
                <w:sz w:val="22"/>
              </w:rPr>
              <w:t>of</w:t>
            </w:r>
            <w:r>
              <w:rPr>
                <w:spacing w:val="-10"/>
                <w:sz w:val="22"/>
              </w:rPr>
              <w:t> </w:t>
            </w:r>
            <w:r>
              <w:rPr>
                <w:sz w:val="22"/>
              </w:rPr>
              <w:t>community</w:t>
            </w:r>
            <w:r>
              <w:rPr>
                <w:spacing w:val="-9"/>
                <w:sz w:val="22"/>
              </w:rPr>
              <w:t> </w:t>
            </w:r>
            <w:r>
              <w:rPr>
                <w:sz w:val="22"/>
              </w:rPr>
              <w:t>members</w:t>
            </w:r>
            <w:r>
              <w:rPr>
                <w:spacing w:val="-11"/>
                <w:sz w:val="22"/>
              </w:rPr>
              <w:t> </w:t>
            </w:r>
            <w:r>
              <w:rPr>
                <w:spacing w:val="-2"/>
                <w:sz w:val="22"/>
              </w:rPr>
              <w:t>engaged</w:t>
            </w:r>
          </w:p>
        </w:tc>
      </w:tr>
      <w:tr>
        <w:trPr>
          <w:trHeight w:val="548" w:hRule="atLeast"/>
        </w:trPr>
        <w:tc>
          <w:tcPr>
            <w:tcW w:w="9240" w:type="dxa"/>
          </w:tcPr>
          <w:p>
            <w:pPr>
              <w:pStyle w:val="TableParagraph"/>
              <w:ind w:left="0"/>
              <w:rPr>
                <w:rFonts w:ascii="Times New Roman"/>
                <w:sz w:val="20"/>
              </w:rPr>
            </w:pPr>
          </w:p>
        </w:tc>
      </w:tr>
      <w:tr>
        <w:trPr>
          <w:trHeight w:val="377" w:hRule="atLeast"/>
        </w:trPr>
        <w:tc>
          <w:tcPr>
            <w:tcW w:w="9240" w:type="dxa"/>
            <w:tcBorders>
              <w:bottom w:val="single" w:sz="24" w:space="0" w:color="FFFFFF"/>
            </w:tcBorders>
            <w:shd w:val="clear" w:color="auto" w:fill="055893"/>
          </w:tcPr>
          <w:p>
            <w:pPr>
              <w:pStyle w:val="TableParagraph"/>
              <w:spacing w:before="43"/>
              <w:ind w:left="4203" w:right="4203"/>
              <w:jc w:val="center"/>
              <w:rPr>
                <w:sz w:val="24"/>
              </w:rPr>
            </w:pPr>
            <w:r>
              <w:rPr>
                <w:color w:val="FFFFFF"/>
                <w:sz w:val="24"/>
              </w:rPr>
              <w:t>Goal </w:t>
            </w:r>
            <w:r>
              <w:rPr>
                <w:color w:val="FFFFFF"/>
                <w:spacing w:val="-5"/>
                <w:sz w:val="24"/>
              </w:rPr>
              <w:t>#3</w:t>
            </w:r>
          </w:p>
        </w:tc>
      </w:tr>
      <w:tr>
        <w:trPr>
          <w:trHeight w:val="698" w:hRule="atLeast"/>
        </w:trPr>
        <w:tc>
          <w:tcPr>
            <w:tcW w:w="9240" w:type="dxa"/>
            <w:tcBorders>
              <w:top w:val="single" w:sz="24" w:space="0" w:color="FFFFFF"/>
              <w:bottom w:val="single" w:sz="24" w:space="0" w:color="FFFFFF"/>
            </w:tcBorders>
            <w:shd w:val="clear" w:color="auto" w:fill="F1F1F1"/>
          </w:tcPr>
          <w:p>
            <w:pPr>
              <w:pStyle w:val="TableParagraph"/>
              <w:spacing w:line="259" w:lineRule="auto"/>
              <w:ind w:left="78"/>
              <w:rPr>
                <w:i/>
                <w:sz w:val="22"/>
              </w:rPr>
            </w:pPr>
            <w:r>
              <w:rPr>
                <w:i/>
                <w:sz w:val="22"/>
              </w:rPr>
              <w:t>Integrate</w:t>
            </w:r>
            <w:r>
              <w:rPr>
                <w:i/>
                <w:spacing w:val="-5"/>
                <w:sz w:val="22"/>
              </w:rPr>
              <w:t> </w:t>
            </w:r>
            <w:r>
              <w:rPr>
                <w:i/>
                <w:sz w:val="22"/>
              </w:rPr>
              <w:t>equity-centered</w:t>
            </w:r>
            <w:r>
              <w:rPr>
                <w:i/>
                <w:spacing w:val="-4"/>
                <w:sz w:val="22"/>
              </w:rPr>
              <w:t> </w:t>
            </w:r>
            <w:r>
              <w:rPr>
                <w:i/>
                <w:sz w:val="22"/>
              </w:rPr>
              <w:t>mitigation</w:t>
            </w:r>
            <w:r>
              <w:rPr>
                <w:i/>
                <w:spacing w:val="-3"/>
                <w:sz w:val="22"/>
              </w:rPr>
              <w:t> </w:t>
            </w:r>
            <w:r>
              <w:rPr>
                <w:i/>
                <w:sz w:val="22"/>
              </w:rPr>
              <w:t>of</w:t>
            </w:r>
            <w:r>
              <w:rPr>
                <w:i/>
                <w:spacing w:val="-3"/>
                <w:sz w:val="22"/>
              </w:rPr>
              <w:t> </w:t>
            </w:r>
            <w:r>
              <w:rPr>
                <w:i/>
                <w:sz w:val="22"/>
              </w:rPr>
              <w:t>negative</w:t>
            </w:r>
            <w:r>
              <w:rPr>
                <w:i/>
                <w:spacing w:val="-5"/>
                <w:sz w:val="22"/>
              </w:rPr>
              <w:t> </w:t>
            </w:r>
            <w:r>
              <w:rPr>
                <w:i/>
                <w:sz w:val="22"/>
              </w:rPr>
              <w:t>effects</w:t>
            </w:r>
            <w:r>
              <w:rPr>
                <w:i/>
                <w:spacing w:val="-5"/>
                <w:sz w:val="22"/>
              </w:rPr>
              <w:t> </w:t>
            </w:r>
            <w:r>
              <w:rPr>
                <w:i/>
                <w:sz w:val="22"/>
              </w:rPr>
              <w:t>from</w:t>
            </w:r>
            <w:r>
              <w:rPr>
                <w:i/>
                <w:spacing w:val="-4"/>
                <w:sz w:val="22"/>
              </w:rPr>
              <w:t> </w:t>
            </w:r>
            <w:r>
              <w:rPr>
                <w:i/>
                <w:sz w:val="22"/>
              </w:rPr>
              <w:t>problem</w:t>
            </w:r>
            <w:r>
              <w:rPr>
                <w:i/>
                <w:spacing w:val="-4"/>
                <w:sz w:val="22"/>
              </w:rPr>
              <w:t> </w:t>
            </w:r>
            <w:r>
              <w:rPr>
                <w:i/>
                <w:sz w:val="22"/>
              </w:rPr>
              <w:t>gambling</w:t>
            </w:r>
            <w:r>
              <w:rPr>
                <w:i/>
                <w:spacing w:val="-5"/>
                <w:sz w:val="22"/>
              </w:rPr>
              <w:t> </w:t>
            </w:r>
            <w:r>
              <w:rPr>
                <w:i/>
                <w:sz w:val="22"/>
              </w:rPr>
              <w:t>into</w:t>
            </w:r>
            <w:r>
              <w:rPr>
                <w:i/>
                <w:spacing w:val="-5"/>
                <w:sz w:val="22"/>
              </w:rPr>
              <w:t> </w:t>
            </w:r>
            <w:r>
              <w:rPr>
                <w:i/>
                <w:sz w:val="22"/>
              </w:rPr>
              <w:t>the</w:t>
            </w:r>
            <w:r>
              <w:rPr>
                <w:i/>
                <w:spacing w:val="-5"/>
                <w:sz w:val="22"/>
              </w:rPr>
              <w:t> </w:t>
            </w:r>
            <w:r>
              <w:rPr>
                <w:i/>
                <w:sz w:val="22"/>
              </w:rPr>
              <w:t>existing</w:t>
            </w:r>
            <w:r>
              <w:rPr>
                <w:i/>
                <w:sz w:val="22"/>
              </w:rPr>
              <w:t> behavioral and mental health prevention and treatment infrastructure.</w:t>
            </w:r>
          </w:p>
        </w:tc>
      </w:tr>
      <w:tr>
        <w:trPr>
          <w:trHeight w:val="1578" w:hRule="atLeast"/>
        </w:trPr>
        <w:tc>
          <w:tcPr>
            <w:tcW w:w="9240" w:type="dxa"/>
            <w:tcBorders>
              <w:top w:val="single" w:sz="24" w:space="0" w:color="FFFFFF"/>
              <w:bottom w:val="single" w:sz="24" w:space="0" w:color="FFFFFF"/>
            </w:tcBorders>
            <w:shd w:val="clear" w:color="auto" w:fill="D9D9D9"/>
          </w:tcPr>
          <w:p>
            <w:pPr>
              <w:pStyle w:val="TableParagraph"/>
              <w:ind w:left="78"/>
              <w:rPr>
                <w:sz w:val="22"/>
              </w:rPr>
            </w:pPr>
            <w:r>
              <w:rPr>
                <w:spacing w:val="-2"/>
                <w:sz w:val="22"/>
              </w:rPr>
              <w:t>Strategies:</w:t>
            </w:r>
          </w:p>
          <w:p>
            <w:pPr>
              <w:pStyle w:val="TableParagraph"/>
              <w:numPr>
                <w:ilvl w:val="0"/>
                <w:numId w:val="7"/>
              </w:numPr>
              <w:tabs>
                <w:tab w:pos="798" w:val="left" w:leader="none"/>
              </w:tabs>
              <w:spacing w:line="259" w:lineRule="auto" w:before="179" w:after="0"/>
              <w:ind w:left="798" w:right="192" w:hanging="360"/>
              <w:jc w:val="left"/>
              <w:rPr>
                <w:sz w:val="22"/>
              </w:rPr>
            </w:pPr>
            <w:r>
              <w:rPr>
                <w:sz w:val="22"/>
              </w:rPr>
              <w:t>Add</w:t>
            </w:r>
            <w:r>
              <w:rPr>
                <w:spacing w:val="-4"/>
                <w:sz w:val="22"/>
              </w:rPr>
              <w:t> </w:t>
            </w:r>
            <w:r>
              <w:rPr>
                <w:sz w:val="22"/>
              </w:rPr>
              <w:t>and</w:t>
            </w:r>
            <w:r>
              <w:rPr>
                <w:spacing w:val="-4"/>
                <w:sz w:val="22"/>
              </w:rPr>
              <w:t> </w:t>
            </w:r>
            <w:r>
              <w:rPr>
                <w:sz w:val="22"/>
              </w:rPr>
              <w:t>build</w:t>
            </w:r>
            <w:r>
              <w:rPr>
                <w:spacing w:val="-4"/>
                <w:sz w:val="22"/>
              </w:rPr>
              <w:t> </w:t>
            </w:r>
            <w:r>
              <w:rPr>
                <w:sz w:val="22"/>
              </w:rPr>
              <w:t>capacity</w:t>
            </w:r>
            <w:r>
              <w:rPr>
                <w:spacing w:val="-4"/>
                <w:sz w:val="22"/>
              </w:rPr>
              <w:t> </w:t>
            </w:r>
            <w:r>
              <w:rPr>
                <w:sz w:val="22"/>
              </w:rPr>
              <w:t>of</w:t>
            </w:r>
            <w:r>
              <w:rPr>
                <w:spacing w:val="-3"/>
                <w:sz w:val="22"/>
              </w:rPr>
              <w:t> </w:t>
            </w:r>
            <w:r>
              <w:rPr>
                <w:sz w:val="22"/>
              </w:rPr>
              <w:t>service</w:t>
            </w:r>
            <w:r>
              <w:rPr>
                <w:spacing w:val="-5"/>
                <w:sz w:val="22"/>
              </w:rPr>
              <w:t> </w:t>
            </w:r>
            <w:r>
              <w:rPr>
                <w:sz w:val="22"/>
              </w:rPr>
              <w:t>providers</w:t>
            </w:r>
            <w:r>
              <w:rPr>
                <w:spacing w:val="-4"/>
                <w:sz w:val="22"/>
              </w:rPr>
              <w:t> </w:t>
            </w:r>
            <w:r>
              <w:rPr>
                <w:sz w:val="22"/>
              </w:rPr>
              <w:t>for</w:t>
            </w:r>
            <w:r>
              <w:rPr>
                <w:spacing w:val="-5"/>
                <w:sz w:val="22"/>
              </w:rPr>
              <w:t> </w:t>
            </w:r>
            <w:r>
              <w:rPr>
                <w:sz w:val="22"/>
              </w:rPr>
              <w:t>problem</w:t>
            </w:r>
            <w:r>
              <w:rPr>
                <w:spacing w:val="-4"/>
                <w:sz w:val="22"/>
              </w:rPr>
              <w:t> </w:t>
            </w:r>
            <w:r>
              <w:rPr>
                <w:sz w:val="22"/>
              </w:rPr>
              <w:t>gambling</w:t>
            </w:r>
            <w:r>
              <w:rPr>
                <w:spacing w:val="-4"/>
                <w:sz w:val="22"/>
              </w:rPr>
              <w:t> </w:t>
            </w:r>
            <w:r>
              <w:rPr>
                <w:sz w:val="22"/>
              </w:rPr>
              <w:t>by</w:t>
            </w:r>
            <w:r>
              <w:rPr>
                <w:spacing w:val="-4"/>
                <w:sz w:val="22"/>
              </w:rPr>
              <w:t> </w:t>
            </w:r>
            <w:r>
              <w:rPr>
                <w:sz w:val="22"/>
              </w:rPr>
              <w:t>integrating</w:t>
            </w:r>
            <w:r>
              <w:rPr>
                <w:spacing w:val="-4"/>
                <w:sz w:val="22"/>
              </w:rPr>
              <w:t> </w:t>
            </w:r>
            <w:r>
              <w:rPr>
                <w:sz w:val="22"/>
              </w:rPr>
              <w:t>evidence- based screening tools routinely used at points of behavioral and mental health intake.</w:t>
            </w:r>
          </w:p>
          <w:p>
            <w:pPr>
              <w:pStyle w:val="TableParagraph"/>
              <w:numPr>
                <w:ilvl w:val="0"/>
                <w:numId w:val="7"/>
              </w:numPr>
              <w:tabs>
                <w:tab w:pos="798" w:val="left" w:leader="none"/>
              </w:tabs>
              <w:spacing w:line="259" w:lineRule="auto" w:before="0" w:after="0"/>
              <w:ind w:left="798" w:right="157" w:hanging="360"/>
              <w:jc w:val="left"/>
              <w:rPr>
                <w:sz w:val="22"/>
              </w:rPr>
            </w:pPr>
            <w:r>
              <w:rPr>
                <w:sz w:val="22"/>
              </w:rPr>
              <w:t>Provide</w:t>
            </w:r>
            <w:r>
              <w:rPr>
                <w:spacing w:val="-6"/>
                <w:sz w:val="22"/>
              </w:rPr>
              <w:t> </w:t>
            </w:r>
            <w:r>
              <w:rPr>
                <w:sz w:val="22"/>
              </w:rPr>
              <w:t>problem</w:t>
            </w:r>
            <w:r>
              <w:rPr>
                <w:spacing w:val="-5"/>
                <w:sz w:val="22"/>
              </w:rPr>
              <w:t> </w:t>
            </w:r>
            <w:r>
              <w:rPr>
                <w:sz w:val="22"/>
              </w:rPr>
              <w:t>gambling-related</w:t>
            </w:r>
            <w:r>
              <w:rPr>
                <w:spacing w:val="-5"/>
                <w:sz w:val="22"/>
              </w:rPr>
              <w:t> </w:t>
            </w:r>
            <w:r>
              <w:rPr>
                <w:sz w:val="22"/>
              </w:rPr>
              <w:t>trainings</w:t>
            </w:r>
            <w:r>
              <w:rPr>
                <w:spacing w:val="-5"/>
                <w:sz w:val="22"/>
              </w:rPr>
              <w:t> </w:t>
            </w:r>
            <w:r>
              <w:rPr>
                <w:sz w:val="22"/>
              </w:rPr>
              <w:t>to</w:t>
            </w:r>
            <w:r>
              <w:rPr>
                <w:spacing w:val="-5"/>
                <w:sz w:val="22"/>
              </w:rPr>
              <w:t> </w:t>
            </w:r>
            <w:r>
              <w:rPr>
                <w:sz w:val="22"/>
              </w:rPr>
              <w:t>behavioral</w:t>
            </w:r>
            <w:r>
              <w:rPr>
                <w:spacing w:val="-5"/>
                <w:sz w:val="22"/>
              </w:rPr>
              <w:t> </w:t>
            </w:r>
            <w:r>
              <w:rPr>
                <w:sz w:val="22"/>
              </w:rPr>
              <w:t>and</w:t>
            </w:r>
            <w:r>
              <w:rPr>
                <w:spacing w:val="-5"/>
                <w:sz w:val="22"/>
              </w:rPr>
              <w:t> </w:t>
            </w:r>
            <w:r>
              <w:rPr>
                <w:sz w:val="22"/>
              </w:rPr>
              <w:t>mental</w:t>
            </w:r>
            <w:r>
              <w:rPr>
                <w:spacing w:val="-5"/>
                <w:sz w:val="22"/>
              </w:rPr>
              <w:t> </w:t>
            </w:r>
            <w:r>
              <w:rPr>
                <w:sz w:val="22"/>
              </w:rPr>
              <w:t>health</w:t>
            </w:r>
            <w:r>
              <w:rPr>
                <w:spacing w:val="-4"/>
                <w:sz w:val="22"/>
              </w:rPr>
              <w:t> </w:t>
            </w:r>
            <w:r>
              <w:rPr>
                <w:sz w:val="22"/>
              </w:rPr>
              <w:t>workers,</w:t>
            </w:r>
            <w:r>
              <w:rPr>
                <w:spacing w:val="-5"/>
                <w:sz w:val="22"/>
              </w:rPr>
              <w:t> </w:t>
            </w:r>
            <w:r>
              <w:rPr>
                <w:sz w:val="22"/>
              </w:rPr>
              <w:t>with a particular focus on those serving priority populations.</w:t>
            </w:r>
          </w:p>
        </w:tc>
      </w:tr>
      <w:tr>
        <w:trPr>
          <w:trHeight w:val="2012" w:hRule="atLeast"/>
        </w:trPr>
        <w:tc>
          <w:tcPr>
            <w:tcW w:w="9240" w:type="dxa"/>
            <w:tcBorders>
              <w:top w:val="single" w:sz="24" w:space="0" w:color="FFFFFF"/>
            </w:tcBorders>
            <w:shd w:val="clear" w:color="auto" w:fill="BEBEBE"/>
          </w:tcPr>
          <w:p>
            <w:pPr>
              <w:pStyle w:val="TableParagraph"/>
              <w:ind w:left="78"/>
              <w:rPr>
                <w:sz w:val="22"/>
              </w:rPr>
            </w:pPr>
            <w:r>
              <w:rPr>
                <w:spacing w:val="-2"/>
                <w:sz w:val="22"/>
              </w:rPr>
              <w:t>Measures:</w:t>
            </w:r>
          </w:p>
          <w:p>
            <w:pPr>
              <w:pStyle w:val="TableParagraph"/>
              <w:numPr>
                <w:ilvl w:val="0"/>
                <w:numId w:val="8"/>
              </w:numPr>
              <w:tabs>
                <w:tab w:pos="797" w:val="left" w:leader="none"/>
                <w:tab w:pos="798" w:val="left" w:leader="none"/>
              </w:tabs>
              <w:spacing w:line="240" w:lineRule="auto" w:before="179" w:after="0"/>
              <w:ind w:left="797" w:right="0" w:hanging="360"/>
              <w:jc w:val="left"/>
              <w:rPr>
                <w:sz w:val="22"/>
              </w:rPr>
            </w:pPr>
            <w:r>
              <w:rPr>
                <w:sz w:val="22"/>
              </w:rPr>
              <w:t>Numbers</w:t>
            </w:r>
            <w:r>
              <w:rPr>
                <w:spacing w:val="-8"/>
                <w:sz w:val="22"/>
              </w:rPr>
              <w:t> </w:t>
            </w:r>
            <w:r>
              <w:rPr>
                <w:sz w:val="22"/>
              </w:rPr>
              <w:t>of</w:t>
            </w:r>
            <w:r>
              <w:rPr>
                <w:spacing w:val="-7"/>
                <w:sz w:val="22"/>
              </w:rPr>
              <w:t> </w:t>
            </w:r>
            <w:r>
              <w:rPr>
                <w:sz w:val="22"/>
              </w:rPr>
              <w:t>people</w:t>
            </w:r>
            <w:r>
              <w:rPr>
                <w:spacing w:val="-9"/>
                <w:sz w:val="22"/>
              </w:rPr>
              <w:t> </w:t>
            </w:r>
            <w:r>
              <w:rPr>
                <w:spacing w:val="-2"/>
                <w:sz w:val="22"/>
              </w:rPr>
              <w:t>trained</w:t>
            </w:r>
          </w:p>
          <w:p>
            <w:pPr>
              <w:pStyle w:val="TableParagraph"/>
              <w:numPr>
                <w:ilvl w:val="0"/>
                <w:numId w:val="8"/>
              </w:numPr>
              <w:tabs>
                <w:tab w:pos="797" w:val="left" w:leader="none"/>
                <w:tab w:pos="798" w:val="left" w:leader="none"/>
              </w:tabs>
              <w:spacing w:line="240" w:lineRule="auto" w:before="20" w:after="0"/>
              <w:ind w:left="797" w:right="0" w:hanging="360"/>
              <w:jc w:val="left"/>
              <w:rPr>
                <w:sz w:val="22"/>
              </w:rPr>
            </w:pPr>
            <w:r>
              <w:rPr>
                <w:sz w:val="22"/>
              </w:rPr>
              <w:t>Pre/Post</w:t>
            </w:r>
            <w:r>
              <w:rPr>
                <w:spacing w:val="-12"/>
                <w:sz w:val="22"/>
              </w:rPr>
              <w:t> </w:t>
            </w:r>
            <w:r>
              <w:rPr>
                <w:sz w:val="22"/>
              </w:rPr>
              <w:t>evaluation</w:t>
            </w:r>
            <w:r>
              <w:rPr>
                <w:spacing w:val="-11"/>
                <w:sz w:val="22"/>
              </w:rPr>
              <w:t> </w:t>
            </w:r>
            <w:r>
              <w:rPr>
                <w:sz w:val="22"/>
              </w:rPr>
              <w:t>from</w:t>
            </w:r>
            <w:r>
              <w:rPr>
                <w:spacing w:val="-10"/>
                <w:sz w:val="22"/>
              </w:rPr>
              <w:t> </w:t>
            </w:r>
            <w:r>
              <w:rPr>
                <w:sz w:val="22"/>
              </w:rPr>
              <w:t>people</w:t>
            </w:r>
            <w:r>
              <w:rPr>
                <w:spacing w:val="-11"/>
                <w:sz w:val="22"/>
              </w:rPr>
              <w:t> </w:t>
            </w:r>
            <w:r>
              <w:rPr>
                <w:spacing w:val="-2"/>
                <w:sz w:val="22"/>
              </w:rPr>
              <w:t>trained</w:t>
            </w:r>
          </w:p>
          <w:p>
            <w:pPr>
              <w:pStyle w:val="TableParagraph"/>
              <w:numPr>
                <w:ilvl w:val="0"/>
                <w:numId w:val="8"/>
              </w:numPr>
              <w:tabs>
                <w:tab w:pos="797" w:val="left" w:leader="none"/>
                <w:tab w:pos="798" w:val="left" w:leader="none"/>
              </w:tabs>
              <w:spacing w:line="256" w:lineRule="auto" w:before="19" w:after="0"/>
              <w:ind w:left="798" w:right="875" w:hanging="360"/>
              <w:jc w:val="left"/>
              <w:rPr>
                <w:sz w:val="22"/>
              </w:rPr>
            </w:pPr>
            <w:r>
              <w:rPr>
                <w:sz w:val="22"/>
              </w:rPr>
              <w:t>Numbers</w:t>
            </w:r>
            <w:r>
              <w:rPr>
                <w:spacing w:val="-4"/>
                <w:sz w:val="22"/>
              </w:rPr>
              <w:t> </w:t>
            </w:r>
            <w:r>
              <w:rPr>
                <w:sz w:val="22"/>
              </w:rPr>
              <w:t>and</w:t>
            </w:r>
            <w:r>
              <w:rPr>
                <w:spacing w:val="-4"/>
                <w:sz w:val="22"/>
              </w:rPr>
              <w:t> </w:t>
            </w:r>
            <w:r>
              <w:rPr>
                <w:sz w:val="22"/>
              </w:rPr>
              <w:t>community</w:t>
            </w:r>
            <w:r>
              <w:rPr>
                <w:spacing w:val="-3"/>
                <w:sz w:val="22"/>
              </w:rPr>
              <w:t> </w:t>
            </w:r>
            <w:r>
              <w:rPr>
                <w:sz w:val="22"/>
              </w:rPr>
              <w:t>reach</w:t>
            </w:r>
            <w:r>
              <w:rPr>
                <w:spacing w:val="-4"/>
                <w:sz w:val="22"/>
              </w:rPr>
              <w:t> </w:t>
            </w:r>
            <w:r>
              <w:rPr>
                <w:sz w:val="22"/>
              </w:rPr>
              <w:t>of</w:t>
            </w:r>
            <w:r>
              <w:rPr>
                <w:spacing w:val="-4"/>
                <w:sz w:val="22"/>
              </w:rPr>
              <w:t> </w:t>
            </w:r>
            <w:r>
              <w:rPr>
                <w:sz w:val="22"/>
              </w:rPr>
              <w:t>behavioral</w:t>
            </w:r>
            <w:r>
              <w:rPr>
                <w:spacing w:val="-4"/>
                <w:sz w:val="22"/>
              </w:rPr>
              <w:t> </w:t>
            </w:r>
            <w:r>
              <w:rPr>
                <w:sz w:val="22"/>
              </w:rPr>
              <w:t>and</w:t>
            </w:r>
            <w:r>
              <w:rPr>
                <w:spacing w:val="-3"/>
                <w:sz w:val="22"/>
              </w:rPr>
              <w:t> </w:t>
            </w:r>
            <w:r>
              <w:rPr>
                <w:sz w:val="22"/>
              </w:rPr>
              <w:t>mental</w:t>
            </w:r>
            <w:r>
              <w:rPr>
                <w:spacing w:val="-4"/>
                <w:sz w:val="22"/>
              </w:rPr>
              <w:t> </w:t>
            </w:r>
            <w:r>
              <w:rPr>
                <w:sz w:val="22"/>
              </w:rPr>
              <w:t>health</w:t>
            </w:r>
            <w:r>
              <w:rPr>
                <w:spacing w:val="-4"/>
                <w:sz w:val="22"/>
              </w:rPr>
              <w:t> </w:t>
            </w:r>
            <w:r>
              <w:rPr>
                <w:sz w:val="22"/>
              </w:rPr>
              <w:t>tools</w:t>
            </w:r>
            <w:r>
              <w:rPr>
                <w:spacing w:val="-4"/>
                <w:sz w:val="22"/>
              </w:rPr>
              <w:t> </w:t>
            </w:r>
            <w:r>
              <w:rPr>
                <w:sz w:val="22"/>
              </w:rPr>
              <w:t>and</w:t>
            </w:r>
            <w:r>
              <w:rPr>
                <w:spacing w:val="-4"/>
                <w:sz w:val="22"/>
              </w:rPr>
              <w:t> </w:t>
            </w:r>
            <w:r>
              <w:rPr>
                <w:sz w:val="22"/>
              </w:rPr>
              <w:t>venues positively impacted</w:t>
            </w:r>
          </w:p>
          <w:p>
            <w:pPr>
              <w:pStyle w:val="TableParagraph"/>
              <w:numPr>
                <w:ilvl w:val="0"/>
                <w:numId w:val="8"/>
              </w:numPr>
              <w:tabs>
                <w:tab w:pos="797" w:val="left" w:leader="none"/>
                <w:tab w:pos="798" w:val="left" w:leader="none"/>
              </w:tabs>
              <w:spacing w:line="240" w:lineRule="auto" w:before="1" w:after="0"/>
              <w:ind w:left="797" w:right="0" w:hanging="360"/>
              <w:jc w:val="left"/>
              <w:rPr>
                <w:sz w:val="22"/>
              </w:rPr>
            </w:pPr>
            <w:r>
              <w:rPr>
                <w:sz w:val="22"/>
              </w:rPr>
              <w:t>Data</w:t>
            </w:r>
            <w:r>
              <w:rPr>
                <w:spacing w:val="-7"/>
                <w:sz w:val="22"/>
              </w:rPr>
              <w:t> </w:t>
            </w:r>
            <w:r>
              <w:rPr>
                <w:sz w:val="22"/>
              </w:rPr>
              <w:t>and</w:t>
            </w:r>
            <w:r>
              <w:rPr>
                <w:spacing w:val="-8"/>
                <w:sz w:val="22"/>
              </w:rPr>
              <w:t> </w:t>
            </w:r>
            <w:r>
              <w:rPr>
                <w:sz w:val="22"/>
              </w:rPr>
              <w:t>evaluation</w:t>
            </w:r>
            <w:r>
              <w:rPr>
                <w:spacing w:val="-7"/>
                <w:sz w:val="22"/>
              </w:rPr>
              <w:t> </w:t>
            </w:r>
            <w:r>
              <w:rPr>
                <w:sz w:val="22"/>
              </w:rPr>
              <w:t>from</w:t>
            </w:r>
            <w:r>
              <w:rPr>
                <w:spacing w:val="-7"/>
                <w:sz w:val="22"/>
              </w:rPr>
              <w:t> </w:t>
            </w:r>
            <w:r>
              <w:rPr>
                <w:sz w:val="22"/>
              </w:rPr>
              <w:t>vendors</w:t>
            </w:r>
            <w:r>
              <w:rPr>
                <w:spacing w:val="-7"/>
                <w:sz w:val="22"/>
              </w:rPr>
              <w:t> </w:t>
            </w:r>
            <w:r>
              <w:rPr>
                <w:sz w:val="22"/>
              </w:rPr>
              <w:t>and</w:t>
            </w:r>
            <w:r>
              <w:rPr>
                <w:spacing w:val="-7"/>
                <w:sz w:val="22"/>
              </w:rPr>
              <w:t> </w:t>
            </w:r>
            <w:r>
              <w:rPr>
                <w:spacing w:val="-2"/>
                <w:sz w:val="22"/>
              </w:rPr>
              <w:t>partners</w:t>
            </w:r>
          </w:p>
        </w:tc>
      </w:tr>
    </w:tbl>
    <w:p>
      <w:pPr>
        <w:pStyle w:val="BodyText"/>
        <w:rPr>
          <w:sz w:val="20"/>
        </w:rPr>
      </w:pPr>
    </w:p>
    <w:p>
      <w:pPr>
        <w:pStyle w:val="BodyText"/>
        <w:spacing w:before="4"/>
        <w:rPr>
          <w:sz w:val="12"/>
        </w:rPr>
      </w:pPr>
    </w:p>
    <w:tbl>
      <w:tblPr>
        <w:tblW w:w="0" w:type="auto"/>
        <w:jc w:val="left"/>
        <w:tblCellSpacing w:w="30" w:type="dxa"/>
        <w:tblInd w:w="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40"/>
      </w:tblGrid>
      <w:tr>
        <w:trPr>
          <w:trHeight w:val="376" w:hRule="atLeast"/>
        </w:trPr>
        <w:tc>
          <w:tcPr>
            <w:tcW w:w="9240" w:type="dxa"/>
            <w:tcBorders>
              <w:bottom w:val="nil"/>
            </w:tcBorders>
            <w:shd w:val="clear" w:color="auto" w:fill="055893"/>
          </w:tcPr>
          <w:p>
            <w:pPr>
              <w:pStyle w:val="TableParagraph"/>
              <w:spacing w:before="43"/>
              <w:ind w:left="4203" w:right="4203"/>
              <w:jc w:val="center"/>
              <w:rPr>
                <w:sz w:val="24"/>
              </w:rPr>
            </w:pPr>
            <w:r>
              <w:rPr>
                <w:color w:val="FFFFFF"/>
                <w:sz w:val="24"/>
              </w:rPr>
              <w:t>Goal </w:t>
            </w:r>
            <w:r>
              <w:rPr>
                <w:color w:val="FFFFFF"/>
                <w:spacing w:val="-5"/>
                <w:sz w:val="24"/>
              </w:rPr>
              <w:t>#4</w:t>
            </w:r>
          </w:p>
        </w:tc>
      </w:tr>
      <w:tr>
        <w:trPr>
          <w:trHeight w:val="429" w:hRule="atLeast"/>
        </w:trPr>
        <w:tc>
          <w:tcPr>
            <w:tcW w:w="9240" w:type="dxa"/>
            <w:tcBorders>
              <w:top w:val="nil"/>
              <w:bottom w:val="nil"/>
            </w:tcBorders>
            <w:shd w:val="clear" w:color="auto" w:fill="F1F1F1"/>
          </w:tcPr>
          <w:p>
            <w:pPr>
              <w:pStyle w:val="TableParagraph"/>
              <w:ind w:left="78"/>
              <w:rPr>
                <w:i/>
                <w:sz w:val="22"/>
              </w:rPr>
            </w:pPr>
            <w:r>
              <w:rPr>
                <w:i/>
                <w:sz w:val="22"/>
              </w:rPr>
              <w:t>Strengthen</w:t>
            </w:r>
            <w:r>
              <w:rPr>
                <w:i/>
                <w:spacing w:val="-12"/>
                <w:sz w:val="22"/>
              </w:rPr>
              <w:t> </w:t>
            </w:r>
            <w:r>
              <w:rPr>
                <w:i/>
                <w:sz w:val="22"/>
              </w:rPr>
              <w:t>priority</w:t>
            </w:r>
            <w:r>
              <w:rPr>
                <w:i/>
                <w:spacing w:val="-10"/>
                <w:sz w:val="22"/>
              </w:rPr>
              <w:t> </w:t>
            </w:r>
            <w:r>
              <w:rPr>
                <w:i/>
                <w:sz w:val="22"/>
              </w:rPr>
              <w:t>populations’</w:t>
            </w:r>
            <w:r>
              <w:rPr>
                <w:i/>
                <w:spacing w:val="-11"/>
                <w:sz w:val="22"/>
              </w:rPr>
              <w:t> </w:t>
            </w:r>
            <w:r>
              <w:rPr>
                <w:i/>
                <w:sz w:val="22"/>
              </w:rPr>
              <w:t>access</w:t>
            </w:r>
            <w:r>
              <w:rPr>
                <w:i/>
                <w:spacing w:val="-10"/>
                <w:sz w:val="22"/>
              </w:rPr>
              <w:t> </w:t>
            </w:r>
            <w:r>
              <w:rPr>
                <w:i/>
                <w:sz w:val="22"/>
              </w:rPr>
              <w:t>to</w:t>
            </w:r>
            <w:r>
              <w:rPr>
                <w:i/>
                <w:spacing w:val="-12"/>
                <w:sz w:val="22"/>
              </w:rPr>
              <w:t> </w:t>
            </w:r>
            <w:r>
              <w:rPr>
                <w:i/>
                <w:sz w:val="22"/>
              </w:rPr>
              <w:t>existing</w:t>
            </w:r>
            <w:r>
              <w:rPr>
                <w:i/>
                <w:spacing w:val="-11"/>
                <w:sz w:val="22"/>
              </w:rPr>
              <w:t> </w:t>
            </w:r>
            <w:r>
              <w:rPr>
                <w:i/>
                <w:sz w:val="22"/>
              </w:rPr>
              <w:t>treatment</w:t>
            </w:r>
            <w:r>
              <w:rPr>
                <w:i/>
                <w:spacing w:val="-10"/>
                <w:sz w:val="22"/>
              </w:rPr>
              <w:t> </w:t>
            </w:r>
            <w:r>
              <w:rPr>
                <w:i/>
                <w:spacing w:val="-2"/>
                <w:sz w:val="22"/>
              </w:rPr>
              <w:t>resources.</w:t>
            </w:r>
          </w:p>
        </w:tc>
      </w:tr>
      <w:tr>
        <w:trPr>
          <w:trHeight w:val="3550" w:hRule="atLeast"/>
        </w:trPr>
        <w:tc>
          <w:tcPr>
            <w:tcW w:w="9240" w:type="dxa"/>
            <w:tcBorders>
              <w:top w:val="nil"/>
              <w:bottom w:val="nil"/>
            </w:tcBorders>
            <w:shd w:val="clear" w:color="auto" w:fill="D9D9D9"/>
          </w:tcPr>
          <w:p>
            <w:pPr>
              <w:pStyle w:val="TableParagraph"/>
              <w:ind w:left="78"/>
              <w:rPr>
                <w:sz w:val="22"/>
              </w:rPr>
            </w:pPr>
            <w:r>
              <w:rPr>
                <w:spacing w:val="-2"/>
                <w:sz w:val="22"/>
              </w:rPr>
              <w:t>Strategies:</w:t>
            </w:r>
          </w:p>
          <w:p>
            <w:pPr>
              <w:pStyle w:val="TableParagraph"/>
              <w:numPr>
                <w:ilvl w:val="0"/>
                <w:numId w:val="9"/>
              </w:numPr>
              <w:tabs>
                <w:tab w:pos="798" w:val="left" w:leader="none"/>
              </w:tabs>
              <w:spacing w:line="259" w:lineRule="auto" w:before="180" w:after="0"/>
              <w:ind w:left="798" w:right="285" w:hanging="360"/>
              <w:jc w:val="left"/>
              <w:rPr>
                <w:sz w:val="22"/>
              </w:rPr>
            </w:pPr>
            <w:r>
              <w:rPr>
                <w:sz w:val="22"/>
              </w:rPr>
              <w:t>Build capacity of problem gambling and non-problem gambling support helplines by aligning</w:t>
            </w:r>
            <w:r>
              <w:rPr>
                <w:spacing w:val="-4"/>
                <w:sz w:val="22"/>
              </w:rPr>
              <w:t> </w:t>
            </w:r>
            <w:r>
              <w:rPr>
                <w:sz w:val="22"/>
              </w:rPr>
              <w:t>resources</w:t>
            </w:r>
            <w:r>
              <w:rPr>
                <w:spacing w:val="-4"/>
                <w:sz w:val="22"/>
              </w:rPr>
              <w:t> </w:t>
            </w:r>
            <w:r>
              <w:rPr>
                <w:sz w:val="22"/>
              </w:rPr>
              <w:t>and</w:t>
            </w:r>
            <w:r>
              <w:rPr>
                <w:spacing w:val="-4"/>
                <w:sz w:val="22"/>
              </w:rPr>
              <w:t> </w:t>
            </w:r>
            <w:r>
              <w:rPr>
                <w:sz w:val="22"/>
              </w:rPr>
              <w:t>integrating</w:t>
            </w:r>
            <w:r>
              <w:rPr>
                <w:spacing w:val="-4"/>
                <w:sz w:val="22"/>
              </w:rPr>
              <w:t> </w:t>
            </w:r>
            <w:r>
              <w:rPr>
                <w:sz w:val="22"/>
              </w:rPr>
              <w:t>problem</w:t>
            </w:r>
            <w:r>
              <w:rPr>
                <w:spacing w:val="-4"/>
                <w:sz w:val="22"/>
              </w:rPr>
              <w:t> </w:t>
            </w:r>
            <w:r>
              <w:rPr>
                <w:sz w:val="22"/>
              </w:rPr>
              <w:t>gambling</w:t>
            </w:r>
            <w:r>
              <w:rPr>
                <w:spacing w:val="-4"/>
                <w:sz w:val="22"/>
              </w:rPr>
              <w:t> </w:t>
            </w:r>
            <w:r>
              <w:rPr>
                <w:sz w:val="22"/>
              </w:rPr>
              <w:t>within</w:t>
            </w:r>
            <w:r>
              <w:rPr>
                <w:spacing w:val="-5"/>
                <w:sz w:val="22"/>
              </w:rPr>
              <w:t> </w:t>
            </w:r>
            <w:r>
              <w:rPr>
                <w:sz w:val="22"/>
              </w:rPr>
              <w:t>other</w:t>
            </w:r>
            <w:r>
              <w:rPr>
                <w:spacing w:val="-5"/>
                <w:sz w:val="22"/>
              </w:rPr>
              <w:t> </w:t>
            </w:r>
            <w:r>
              <w:rPr>
                <w:sz w:val="22"/>
              </w:rPr>
              <w:t>areas</w:t>
            </w:r>
            <w:r>
              <w:rPr>
                <w:spacing w:val="-3"/>
                <w:sz w:val="22"/>
              </w:rPr>
              <w:t> </w:t>
            </w:r>
            <w:r>
              <w:rPr>
                <w:sz w:val="22"/>
              </w:rPr>
              <w:t>of</w:t>
            </w:r>
            <w:r>
              <w:rPr>
                <w:spacing w:val="-4"/>
                <w:sz w:val="22"/>
              </w:rPr>
              <w:t> </w:t>
            </w:r>
            <w:r>
              <w:rPr>
                <w:sz w:val="22"/>
              </w:rPr>
              <w:t>service</w:t>
            </w:r>
            <w:r>
              <w:rPr>
                <w:spacing w:val="-5"/>
                <w:sz w:val="22"/>
              </w:rPr>
              <w:t> </w:t>
            </w:r>
            <w:r>
              <w:rPr>
                <w:sz w:val="22"/>
              </w:rPr>
              <w:t>within </w:t>
            </w:r>
            <w:r>
              <w:rPr>
                <w:spacing w:val="-2"/>
                <w:sz w:val="22"/>
              </w:rPr>
              <w:t>Massachusetts.</w:t>
            </w:r>
          </w:p>
          <w:p>
            <w:pPr>
              <w:pStyle w:val="TableParagraph"/>
              <w:numPr>
                <w:ilvl w:val="0"/>
                <w:numId w:val="9"/>
              </w:numPr>
              <w:tabs>
                <w:tab w:pos="798" w:val="left" w:leader="none"/>
              </w:tabs>
              <w:spacing w:line="259" w:lineRule="auto" w:before="0" w:after="0"/>
              <w:ind w:left="798" w:right="565" w:hanging="360"/>
              <w:jc w:val="left"/>
              <w:rPr>
                <w:sz w:val="22"/>
              </w:rPr>
            </w:pPr>
            <w:r>
              <w:rPr>
                <w:sz w:val="22"/>
              </w:rPr>
              <w:t>Integrate</w:t>
            </w:r>
            <w:r>
              <w:rPr>
                <w:spacing w:val="-6"/>
                <w:sz w:val="22"/>
              </w:rPr>
              <w:t> </w:t>
            </w:r>
            <w:r>
              <w:rPr>
                <w:sz w:val="22"/>
              </w:rPr>
              <w:t>problem</w:t>
            </w:r>
            <w:r>
              <w:rPr>
                <w:spacing w:val="-5"/>
                <w:sz w:val="22"/>
              </w:rPr>
              <w:t> </w:t>
            </w:r>
            <w:r>
              <w:rPr>
                <w:sz w:val="22"/>
              </w:rPr>
              <w:t>gambling</w:t>
            </w:r>
            <w:r>
              <w:rPr>
                <w:spacing w:val="-5"/>
                <w:sz w:val="22"/>
              </w:rPr>
              <w:t> </w:t>
            </w:r>
            <w:r>
              <w:rPr>
                <w:sz w:val="22"/>
              </w:rPr>
              <w:t>screenings</w:t>
            </w:r>
            <w:r>
              <w:rPr>
                <w:spacing w:val="-5"/>
                <w:sz w:val="22"/>
              </w:rPr>
              <w:t> </w:t>
            </w:r>
            <w:r>
              <w:rPr>
                <w:sz w:val="22"/>
              </w:rPr>
              <w:t>across</w:t>
            </w:r>
            <w:r>
              <w:rPr>
                <w:spacing w:val="-5"/>
                <w:sz w:val="22"/>
              </w:rPr>
              <w:t> </w:t>
            </w:r>
            <w:r>
              <w:rPr>
                <w:sz w:val="22"/>
              </w:rPr>
              <w:t>various</w:t>
            </w:r>
            <w:r>
              <w:rPr>
                <w:spacing w:val="-5"/>
                <w:sz w:val="22"/>
              </w:rPr>
              <w:t> </w:t>
            </w:r>
            <w:r>
              <w:rPr>
                <w:sz w:val="22"/>
              </w:rPr>
              <w:t>public,</w:t>
            </w:r>
            <w:r>
              <w:rPr>
                <w:spacing w:val="-5"/>
                <w:sz w:val="22"/>
              </w:rPr>
              <w:t> </w:t>
            </w:r>
            <w:r>
              <w:rPr>
                <w:sz w:val="22"/>
              </w:rPr>
              <w:t>mental,</w:t>
            </w:r>
            <w:r>
              <w:rPr>
                <w:spacing w:val="-5"/>
                <w:sz w:val="22"/>
              </w:rPr>
              <w:t> </w:t>
            </w:r>
            <w:r>
              <w:rPr>
                <w:sz w:val="22"/>
              </w:rPr>
              <w:t>and</w:t>
            </w:r>
            <w:r>
              <w:rPr>
                <w:spacing w:val="-5"/>
                <w:sz w:val="22"/>
              </w:rPr>
              <w:t> </w:t>
            </w:r>
            <w:r>
              <w:rPr>
                <w:sz w:val="22"/>
              </w:rPr>
              <w:t>behavioral health sectors (e.g., drug courts, community mental health centers.)</w:t>
            </w:r>
          </w:p>
          <w:p>
            <w:pPr>
              <w:pStyle w:val="TableParagraph"/>
              <w:numPr>
                <w:ilvl w:val="0"/>
                <w:numId w:val="9"/>
              </w:numPr>
              <w:tabs>
                <w:tab w:pos="799" w:val="left" w:leader="none"/>
              </w:tabs>
              <w:spacing w:line="259" w:lineRule="auto" w:before="0" w:after="0"/>
              <w:ind w:left="798" w:right="678" w:hanging="360"/>
              <w:jc w:val="left"/>
              <w:rPr>
                <w:sz w:val="22"/>
              </w:rPr>
            </w:pPr>
            <w:r>
              <w:rPr>
                <w:sz w:val="22"/>
              </w:rPr>
              <w:t>Increase</w:t>
            </w:r>
            <w:r>
              <w:rPr>
                <w:spacing w:val="-6"/>
                <w:sz w:val="22"/>
              </w:rPr>
              <w:t> </w:t>
            </w:r>
            <w:r>
              <w:rPr>
                <w:sz w:val="22"/>
              </w:rPr>
              <w:t>the</w:t>
            </w:r>
            <w:r>
              <w:rPr>
                <w:spacing w:val="-4"/>
                <w:sz w:val="22"/>
              </w:rPr>
              <w:t> </w:t>
            </w:r>
            <w:r>
              <w:rPr>
                <w:sz w:val="22"/>
              </w:rPr>
              <w:t>distribution</w:t>
            </w:r>
            <w:r>
              <w:rPr>
                <w:spacing w:val="-6"/>
                <w:sz w:val="22"/>
              </w:rPr>
              <w:t> </w:t>
            </w:r>
            <w:r>
              <w:rPr>
                <w:sz w:val="22"/>
              </w:rPr>
              <w:t>of</w:t>
            </w:r>
            <w:r>
              <w:rPr>
                <w:spacing w:val="-5"/>
                <w:sz w:val="22"/>
              </w:rPr>
              <w:t> </w:t>
            </w:r>
            <w:r>
              <w:rPr>
                <w:sz w:val="22"/>
              </w:rPr>
              <w:t>problem</w:t>
            </w:r>
            <w:r>
              <w:rPr>
                <w:spacing w:val="-5"/>
                <w:sz w:val="22"/>
              </w:rPr>
              <w:t> </w:t>
            </w:r>
            <w:r>
              <w:rPr>
                <w:sz w:val="22"/>
              </w:rPr>
              <w:t>gambling</w:t>
            </w:r>
            <w:r>
              <w:rPr>
                <w:spacing w:val="-4"/>
                <w:sz w:val="22"/>
              </w:rPr>
              <w:t> </w:t>
            </w:r>
            <w:r>
              <w:rPr>
                <w:sz w:val="22"/>
              </w:rPr>
              <w:t>tools</w:t>
            </w:r>
            <w:r>
              <w:rPr>
                <w:spacing w:val="-4"/>
                <w:sz w:val="22"/>
              </w:rPr>
              <w:t> </w:t>
            </w:r>
            <w:r>
              <w:rPr>
                <w:sz w:val="22"/>
              </w:rPr>
              <w:t>including</w:t>
            </w:r>
            <w:r>
              <w:rPr>
                <w:spacing w:val="-4"/>
                <w:sz w:val="22"/>
              </w:rPr>
              <w:t> </w:t>
            </w:r>
            <w:r>
              <w:rPr>
                <w:sz w:val="22"/>
              </w:rPr>
              <w:t>Practice</w:t>
            </w:r>
            <w:r>
              <w:rPr>
                <w:spacing w:val="-6"/>
                <w:sz w:val="22"/>
              </w:rPr>
              <w:t> </w:t>
            </w:r>
            <w:r>
              <w:rPr>
                <w:sz w:val="22"/>
              </w:rPr>
              <w:t>Guidelines</w:t>
            </w:r>
            <w:r>
              <w:rPr>
                <w:spacing w:val="-5"/>
                <w:sz w:val="22"/>
              </w:rPr>
              <w:t> </w:t>
            </w:r>
            <w:r>
              <w:rPr>
                <w:sz w:val="22"/>
              </w:rPr>
              <w:t>for Treating Gambling-Related Problems to strengthen priority populations’ access to evidence-based problem gambling treatment resources.</w:t>
            </w:r>
          </w:p>
          <w:p>
            <w:pPr>
              <w:pStyle w:val="TableParagraph"/>
              <w:numPr>
                <w:ilvl w:val="0"/>
                <w:numId w:val="9"/>
              </w:numPr>
              <w:tabs>
                <w:tab w:pos="798" w:val="left" w:leader="none"/>
              </w:tabs>
              <w:spacing w:line="249" w:lineRule="exact" w:before="0" w:after="0"/>
              <w:ind w:left="797" w:right="0" w:hanging="360"/>
              <w:jc w:val="left"/>
              <w:rPr>
                <w:sz w:val="22"/>
              </w:rPr>
            </w:pPr>
            <w:r>
              <w:rPr>
                <w:sz w:val="22"/>
              </w:rPr>
              <w:t>Provide</w:t>
            </w:r>
            <w:r>
              <w:rPr>
                <w:spacing w:val="-10"/>
                <w:sz w:val="22"/>
              </w:rPr>
              <w:t> </w:t>
            </w:r>
            <w:r>
              <w:rPr>
                <w:sz w:val="22"/>
              </w:rPr>
              <w:t>grants</w:t>
            </w:r>
            <w:r>
              <w:rPr>
                <w:spacing w:val="-8"/>
                <w:sz w:val="22"/>
              </w:rPr>
              <w:t> </w:t>
            </w:r>
            <w:r>
              <w:rPr>
                <w:sz w:val="22"/>
              </w:rPr>
              <w:t>to</w:t>
            </w:r>
            <w:r>
              <w:rPr>
                <w:spacing w:val="-8"/>
                <w:sz w:val="22"/>
              </w:rPr>
              <w:t> </w:t>
            </w:r>
            <w:r>
              <w:rPr>
                <w:sz w:val="22"/>
              </w:rPr>
              <w:t>build</w:t>
            </w:r>
            <w:r>
              <w:rPr>
                <w:spacing w:val="-8"/>
                <w:sz w:val="22"/>
              </w:rPr>
              <w:t> </w:t>
            </w:r>
            <w:r>
              <w:rPr>
                <w:sz w:val="22"/>
              </w:rPr>
              <w:t>capacity</w:t>
            </w:r>
            <w:r>
              <w:rPr>
                <w:spacing w:val="-8"/>
                <w:sz w:val="22"/>
              </w:rPr>
              <w:t> </w:t>
            </w:r>
            <w:r>
              <w:rPr>
                <w:sz w:val="22"/>
              </w:rPr>
              <w:t>of</w:t>
            </w:r>
            <w:r>
              <w:rPr>
                <w:spacing w:val="-8"/>
                <w:sz w:val="22"/>
              </w:rPr>
              <w:t> </w:t>
            </w:r>
            <w:r>
              <w:rPr>
                <w:sz w:val="22"/>
              </w:rPr>
              <w:t>problem</w:t>
            </w:r>
            <w:r>
              <w:rPr>
                <w:spacing w:val="-9"/>
                <w:sz w:val="22"/>
              </w:rPr>
              <w:t> </w:t>
            </w:r>
            <w:r>
              <w:rPr>
                <w:sz w:val="22"/>
              </w:rPr>
              <w:t>gambling</w:t>
            </w:r>
            <w:r>
              <w:rPr>
                <w:spacing w:val="-8"/>
                <w:sz w:val="22"/>
              </w:rPr>
              <w:t> </w:t>
            </w:r>
            <w:r>
              <w:rPr>
                <w:sz w:val="22"/>
              </w:rPr>
              <w:t>treatment</w:t>
            </w:r>
            <w:r>
              <w:rPr>
                <w:spacing w:val="-8"/>
                <w:sz w:val="22"/>
              </w:rPr>
              <w:t> </w:t>
            </w:r>
            <w:r>
              <w:rPr>
                <w:sz w:val="22"/>
              </w:rPr>
              <w:t>service</w:t>
            </w:r>
            <w:r>
              <w:rPr>
                <w:spacing w:val="-9"/>
                <w:sz w:val="22"/>
              </w:rPr>
              <w:t> </w:t>
            </w:r>
            <w:r>
              <w:rPr>
                <w:spacing w:val="-2"/>
                <w:sz w:val="22"/>
              </w:rPr>
              <w:t>providers.</w:t>
            </w:r>
          </w:p>
          <w:p>
            <w:pPr>
              <w:pStyle w:val="TableParagraph"/>
              <w:numPr>
                <w:ilvl w:val="0"/>
                <w:numId w:val="9"/>
              </w:numPr>
              <w:tabs>
                <w:tab w:pos="799" w:val="left" w:leader="none"/>
              </w:tabs>
              <w:spacing w:line="259" w:lineRule="auto" w:before="19" w:after="0"/>
              <w:ind w:left="798" w:right="373" w:hanging="360"/>
              <w:jc w:val="left"/>
              <w:rPr>
                <w:sz w:val="22"/>
              </w:rPr>
            </w:pPr>
            <w:r>
              <w:rPr>
                <w:sz w:val="22"/>
              </w:rPr>
              <w:t>Promote</w:t>
            </w:r>
            <w:r>
              <w:rPr>
                <w:spacing w:val="-3"/>
                <w:sz w:val="22"/>
              </w:rPr>
              <w:t> </w:t>
            </w:r>
            <w:r>
              <w:rPr>
                <w:sz w:val="22"/>
              </w:rPr>
              <w:t>training</w:t>
            </w:r>
            <w:r>
              <w:rPr>
                <w:spacing w:val="-4"/>
                <w:sz w:val="22"/>
              </w:rPr>
              <w:t> </w:t>
            </w:r>
            <w:r>
              <w:rPr>
                <w:sz w:val="22"/>
              </w:rPr>
              <w:t>and</w:t>
            </w:r>
            <w:r>
              <w:rPr>
                <w:spacing w:val="-4"/>
                <w:sz w:val="22"/>
              </w:rPr>
              <w:t> </w:t>
            </w:r>
            <w:r>
              <w:rPr>
                <w:sz w:val="22"/>
              </w:rPr>
              <w:t>workforce</w:t>
            </w:r>
            <w:r>
              <w:rPr>
                <w:spacing w:val="-5"/>
                <w:sz w:val="22"/>
              </w:rPr>
              <w:t> </w:t>
            </w:r>
            <w:r>
              <w:rPr>
                <w:sz w:val="22"/>
              </w:rPr>
              <w:t>opportunities</w:t>
            </w:r>
            <w:r>
              <w:rPr>
                <w:spacing w:val="-4"/>
                <w:sz w:val="22"/>
              </w:rPr>
              <w:t> </w:t>
            </w:r>
            <w:r>
              <w:rPr>
                <w:sz w:val="22"/>
              </w:rPr>
              <w:t>to</w:t>
            </w:r>
            <w:r>
              <w:rPr>
                <w:spacing w:val="-4"/>
                <w:sz w:val="22"/>
              </w:rPr>
              <w:t> </w:t>
            </w:r>
            <w:r>
              <w:rPr>
                <w:sz w:val="22"/>
              </w:rPr>
              <w:t>increase</w:t>
            </w:r>
            <w:r>
              <w:rPr>
                <w:spacing w:val="-5"/>
                <w:sz w:val="22"/>
              </w:rPr>
              <w:t> </w:t>
            </w:r>
            <w:r>
              <w:rPr>
                <w:sz w:val="22"/>
              </w:rPr>
              <w:t>mental</w:t>
            </w:r>
            <w:r>
              <w:rPr>
                <w:spacing w:val="-4"/>
                <w:sz w:val="22"/>
              </w:rPr>
              <w:t> </w:t>
            </w:r>
            <w:r>
              <w:rPr>
                <w:sz w:val="22"/>
              </w:rPr>
              <w:t>and</w:t>
            </w:r>
            <w:r>
              <w:rPr>
                <w:spacing w:val="-4"/>
                <w:sz w:val="22"/>
              </w:rPr>
              <w:t> </w:t>
            </w:r>
            <w:r>
              <w:rPr>
                <w:sz w:val="22"/>
              </w:rPr>
              <w:t>behavioral</w:t>
            </w:r>
            <w:r>
              <w:rPr>
                <w:spacing w:val="-4"/>
                <w:sz w:val="22"/>
              </w:rPr>
              <w:t> </w:t>
            </w:r>
            <w:r>
              <w:rPr>
                <w:sz w:val="22"/>
              </w:rPr>
              <w:t>health providers’ knowledge of and capacity to treat problem gambling-related problems.</w:t>
            </w:r>
          </w:p>
        </w:tc>
      </w:tr>
      <w:tr>
        <w:trPr>
          <w:trHeight w:val="877" w:hRule="atLeast"/>
        </w:trPr>
        <w:tc>
          <w:tcPr>
            <w:tcW w:w="9240" w:type="dxa"/>
            <w:tcBorders>
              <w:top w:val="nil"/>
            </w:tcBorders>
            <w:shd w:val="clear" w:color="auto" w:fill="BEBEBE"/>
          </w:tcPr>
          <w:p>
            <w:pPr>
              <w:pStyle w:val="TableParagraph"/>
              <w:ind w:left="78"/>
              <w:rPr>
                <w:sz w:val="22"/>
              </w:rPr>
            </w:pPr>
            <w:r>
              <w:rPr>
                <w:spacing w:val="-2"/>
                <w:sz w:val="22"/>
              </w:rPr>
              <w:t>Measures:</w:t>
            </w:r>
          </w:p>
          <w:p>
            <w:pPr>
              <w:pStyle w:val="TableParagraph"/>
              <w:numPr>
                <w:ilvl w:val="0"/>
                <w:numId w:val="10"/>
              </w:numPr>
              <w:tabs>
                <w:tab w:pos="797" w:val="left" w:leader="none"/>
                <w:tab w:pos="798" w:val="left" w:leader="none"/>
              </w:tabs>
              <w:spacing w:line="240" w:lineRule="auto" w:before="178" w:after="0"/>
              <w:ind w:left="797" w:right="0" w:hanging="360"/>
              <w:jc w:val="left"/>
              <w:rPr>
                <w:sz w:val="22"/>
              </w:rPr>
            </w:pPr>
            <w:r>
              <w:rPr>
                <w:sz w:val="22"/>
              </w:rPr>
              <w:t>Partner</w:t>
            </w:r>
            <w:r>
              <w:rPr>
                <w:spacing w:val="-9"/>
                <w:sz w:val="22"/>
              </w:rPr>
              <w:t> </w:t>
            </w:r>
            <w:r>
              <w:rPr>
                <w:sz w:val="22"/>
              </w:rPr>
              <w:t>data</w:t>
            </w:r>
            <w:r>
              <w:rPr>
                <w:spacing w:val="-6"/>
                <w:sz w:val="22"/>
              </w:rPr>
              <w:t> </w:t>
            </w:r>
            <w:r>
              <w:rPr>
                <w:sz w:val="22"/>
              </w:rPr>
              <w:t>tracking</w:t>
            </w:r>
            <w:r>
              <w:rPr>
                <w:spacing w:val="-6"/>
                <w:sz w:val="22"/>
              </w:rPr>
              <w:t> </w:t>
            </w:r>
            <w:r>
              <w:rPr>
                <w:sz w:val="22"/>
              </w:rPr>
              <w:t>usage</w:t>
            </w:r>
            <w:r>
              <w:rPr>
                <w:spacing w:val="-9"/>
                <w:sz w:val="22"/>
              </w:rPr>
              <w:t> </w:t>
            </w:r>
            <w:r>
              <w:rPr>
                <w:sz w:val="22"/>
              </w:rPr>
              <w:t>by</w:t>
            </w:r>
            <w:r>
              <w:rPr>
                <w:spacing w:val="-7"/>
                <w:sz w:val="22"/>
              </w:rPr>
              <w:t> </w:t>
            </w:r>
            <w:r>
              <w:rPr>
                <w:sz w:val="22"/>
              </w:rPr>
              <w:t>members</w:t>
            </w:r>
            <w:r>
              <w:rPr>
                <w:spacing w:val="-7"/>
                <w:sz w:val="22"/>
              </w:rPr>
              <w:t> </w:t>
            </w:r>
            <w:r>
              <w:rPr>
                <w:sz w:val="22"/>
              </w:rPr>
              <w:t>of</w:t>
            </w:r>
            <w:r>
              <w:rPr>
                <w:spacing w:val="-7"/>
                <w:sz w:val="22"/>
              </w:rPr>
              <w:t> </w:t>
            </w:r>
            <w:r>
              <w:rPr>
                <w:sz w:val="22"/>
              </w:rPr>
              <w:t>OPGS</w:t>
            </w:r>
            <w:r>
              <w:rPr>
                <w:spacing w:val="-7"/>
                <w:sz w:val="22"/>
              </w:rPr>
              <w:t> </w:t>
            </w:r>
            <w:r>
              <w:rPr>
                <w:sz w:val="22"/>
              </w:rPr>
              <w:t>priority</w:t>
            </w:r>
            <w:r>
              <w:rPr>
                <w:spacing w:val="-7"/>
                <w:sz w:val="22"/>
              </w:rPr>
              <w:t> </w:t>
            </w:r>
            <w:r>
              <w:rPr>
                <w:spacing w:val="-2"/>
                <w:sz w:val="22"/>
              </w:rPr>
              <w:t>populations</w:t>
            </w:r>
          </w:p>
        </w:tc>
      </w:tr>
    </w:tbl>
    <w:p>
      <w:pPr>
        <w:spacing w:after="0" w:line="240" w:lineRule="auto"/>
        <w:jc w:val="left"/>
        <w:rPr>
          <w:sz w:val="22"/>
        </w:rPr>
        <w:sectPr>
          <w:pgSz w:w="12240" w:h="15840"/>
          <w:pgMar w:header="438" w:footer="444" w:top="1320" w:bottom="640" w:left="960" w:right="1320"/>
        </w:sectPr>
      </w:pPr>
    </w:p>
    <w:p>
      <w:pPr>
        <w:pStyle w:val="BodyText"/>
        <w:rPr>
          <w:sz w:val="20"/>
        </w:rPr>
      </w:pPr>
    </w:p>
    <w:p>
      <w:pPr>
        <w:pStyle w:val="BodyText"/>
        <w:rPr>
          <w:sz w:val="20"/>
        </w:rPr>
      </w:pPr>
    </w:p>
    <w:p>
      <w:pPr>
        <w:pStyle w:val="Heading2"/>
        <w:spacing w:before="220"/>
        <w:rPr>
          <w:i/>
        </w:rPr>
      </w:pPr>
      <w:bookmarkStart w:name="Enhance Effectiveness" w:id="34"/>
      <w:bookmarkEnd w:id="34"/>
      <w:r>
        <w:rPr>
          <w:i w:val="0"/>
        </w:rPr>
      </w:r>
      <w:bookmarkStart w:name="_bookmark17" w:id="35"/>
      <w:bookmarkEnd w:id="35"/>
      <w:r>
        <w:rPr>
          <w:i w:val="0"/>
        </w:rPr>
      </w:r>
      <w:r>
        <w:rPr>
          <w:i/>
          <w:color w:val="072858"/>
        </w:rPr>
        <w:t>Enhance</w:t>
      </w:r>
      <w:r>
        <w:rPr>
          <w:i/>
          <w:color w:val="072858"/>
          <w:spacing w:val="-15"/>
        </w:rPr>
        <w:t> </w:t>
      </w:r>
      <w:r>
        <w:rPr>
          <w:i/>
          <w:color w:val="072858"/>
          <w:spacing w:val="-2"/>
        </w:rPr>
        <w:t>Effectiveness</w:t>
      </w:r>
    </w:p>
    <w:p>
      <w:pPr>
        <w:pStyle w:val="BodyText"/>
        <w:spacing w:line="259" w:lineRule="auto" w:before="118"/>
        <w:ind w:left="480" w:right="164"/>
      </w:pPr>
      <w:r>
        <w:rPr/>
        <w:t>To enhance the effectiveness of its work, OPGS will place equity central to data collection, surveillance,</w:t>
      </w:r>
      <w:r>
        <w:rPr>
          <w:spacing w:val="-3"/>
        </w:rPr>
        <w:t> </w:t>
      </w:r>
      <w:r>
        <w:rPr/>
        <w:t>evaluation,</w:t>
      </w:r>
      <w:r>
        <w:rPr>
          <w:spacing w:val="-4"/>
        </w:rPr>
        <w:t> </w:t>
      </w:r>
      <w:r>
        <w:rPr/>
        <w:t>and</w:t>
      </w:r>
      <w:r>
        <w:rPr>
          <w:spacing w:val="-4"/>
        </w:rPr>
        <w:t> </w:t>
      </w:r>
      <w:r>
        <w:rPr/>
        <w:t>targeting</w:t>
      </w:r>
      <w:r>
        <w:rPr>
          <w:spacing w:val="-3"/>
        </w:rPr>
        <w:t> </w:t>
      </w:r>
      <w:r>
        <w:rPr/>
        <w:t>of</w:t>
      </w:r>
      <w:r>
        <w:rPr>
          <w:spacing w:val="-4"/>
        </w:rPr>
        <w:t> </w:t>
      </w:r>
      <w:r>
        <w:rPr/>
        <w:t>services</w:t>
      </w:r>
      <w:r>
        <w:rPr>
          <w:spacing w:val="-4"/>
        </w:rPr>
        <w:t> </w:t>
      </w:r>
      <w:r>
        <w:rPr/>
        <w:t>and</w:t>
      </w:r>
      <w:r>
        <w:rPr>
          <w:spacing w:val="-4"/>
        </w:rPr>
        <w:t> </w:t>
      </w:r>
      <w:r>
        <w:rPr/>
        <w:t>supports</w:t>
      </w:r>
      <w:r>
        <w:rPr>
          <w:spacing w:val="-4"/>
        </w:rPr>
        <w:t> </w:t>
      </w:r>
      <w:r>
        <w:rPr/>
        <w:t>to</w:t>
      </w:r>
      <w:r>
        <w:rPr>
          <w:spacing w:val="-4"/>
        </w:rPr>
        <w:t> </w:t>
      </w:r>
      <w:r>
        <w:rPr/>
        <w:t>optimize</w:t>
      </w:r>
      <w:r>
        <w:rPr>
          <w:spacing w:val="-5"/>
        </w:rPr>
        <w:t> </w:t>
      </w:r>
      <w:r>
        <w:rPr/>
        <w:t>effectiveness</w:t>
      </w:r>
      <w:r>
        <w:rPr>
          <w:spacing w:val="-4"/>
        </w:rPr>
        <w:t> </w:t>
      </w:r>
      <w:r>
        <w:rPr/>
        <w:t>and</w:t>
      </w:r>
      <w:r>
        <w:rPr>
          <w:spacing w:val="-4"/>
        </w:rPr>
        <w:t> </w:t>
      </w:r>
      <w:r>
        <w:rPr/>
        <w:t>overall </w:t>
      </w:r>
      <w:r>
        <w:rPr>
          <w:spacing w:val="-2"/>
        </w:rPr>
        <w:t>impact.</w:t>
      </w:r>
    </w:p>
    <w:p>
      <w:pPr>
        <w:pStyle w:val="BodyText"/>
        <w:spacing w:before="3"/>
        <w:rPr>
          <w:sz w:val="19"/>
        </w:rPr>
      </w:pPr>
    </w:p>
    <w:tbl>
      <w:tblPr>
        <w:tblW w:w="0" w:type="auto"/>
        <w:jc w:val="left"/>
        <w:tblCellSpacing w:w="30" w:type="dxa"/>
        <w:tblInd w:w="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40"/>
      </w:tblGrid>
      <w:tr>
        <w:trPr>
          <w:trHeight w:val="376" w:hRule="atLeast"/>
        </w:trPr>
        <w:tc>
          <w:tcPr>
            <w:tcW w:w="9240" w:type="dxa"/>
            <w:tcBorders>
              <w:bottom w:val="nil"/>
            </w:tcBorders>
            <w:shd w:val="clear" w:color="auto" w:fill="055893"/>
          </w:tcPr>
          <w:p>
            <w:pPr>
              <w:pStyle w:val="TableParagraph"/>
              <w:spacing w:before="43"/>
              <w:ind w:left="4203" w:right="4203"/>
              <w:jc w:val="center"/>
              <w:rPr>
                <w:sz w:val="24"/>
              </w:rPr>
            </w:pPr>
            <w:r>
              <w:rPr>
                <w:color w:val="FFFFFF"/>
                <w:sz w:val="24"/>
              </w:rPr>
              <w:t>Goal </w:t>
            </w:r>
            <w:r>
              <w:rPr>
                <w:color w:val="FFFFFF"/>
                <w:spacing w:val="-5"/>
                <w:sz w:val="24"/>
              </w:rPr>
              <w:t>#5</w:t>
            </w:r>
          </w:p>
        </w:tc>
      </w:tr>
      <w:tr>
        <w:trPr>
          <w:trHeight w:val="698" w:hRule="atLeast"/>
        </w:trPr>
        <w:tc>
          <w:tcPr>
            <w:tcW w:w="9240" w:type="dxa"/>
            <w:tcBorders>
              <w:top w:val="nil"/>
              <w:bottom w:val="nil"/>
            </w:tcBorders>
            <w:shd w:val="clear" w:color="auto" w:fill="F1F1F1"/>
          </w:tcPr>
          <w:p>
            <w:pPr>
              <w:pStyle w:val="TableParagraph"/>
              <w:spacing w:line="259" w:lineRule="auto"/>
              <w:ind w:left="78"/>
              <w:rPr>
                <w:i/>
                <w:sz w:val="22"/>
              </w:rPr>
            </w:pPr>
            <w:r>
              <w:rPr>
                <w:i/>
                <w:sz w:val="22"/>
              </w:rPr>
              <w:t>Strengthen</w:t>
            </w:r>
            <w:r>
              <w:rPr>
                <w:i/>
                <w:spacing w:val="-4"/>
                <w:sz w:val="22"/>
              </w:rPr>
              <w:t> </w:t>
            </w:r>
            <w:r>
              <w:rPr>
                <w:i/>
                <w:sz w:val="22"/>
              </w:rPr>
              <w:t>the</w:t>
            </w:r>
            <w:r>
              <w:rPr>
                <w:i/>
                <w:spacing w:val="-4"/>
                <w:sz w:val="22"/>
              </w:rPr>
              <w:t> </w:t>
            </w:r>
            <w:r>
              <w:rPr>
                <w:i/>
                <w:sz w:val="22"/>
              </w:rPr>
              <w:t>number</w:t>
            </w:r>
            <w:r>
              <w:rPr>
                <w:i/>
                <w:spacing w:val="-3"/>
                <w:sz w:val="22"/>
              </w:rPr>
              <w:t> </w:t>
            </w:r>
            <w:r>
              <w:rPr>
                <w:i/>
                <w:sz w:val="22"/>
              </w:rPr>
              <w:t>and</w:t>
            </w:r>
            <w:r>
              <w:rPr>
                <w:i/>
                <w:spacing w:val="-4"/>
                <w:sz w:val="22"/>
              </w:rPr>
              <w:t> </w:t>
            </w:r>
            <w:r>
              <w:rPr>
                <w:i/>
                <w:sz w:val="22"/>
              </w:rPr>
              <w:t>capacity</w:t>
            </w:r>
            <w:r>
              <w:rPr>
                <w:i/>
                <w:spacing w:val="-2"/>
                <w:sz w:val="22"/>
              </w:rPr>
              <w:t> </w:t>
            </w:r>
            <w:r>
              <w:rPr>
                <w:i/>
                <w:sz w:val="22"/>
              </w:rPr>
              <w:t>of</w:t>
            </w:r>
            <w:r>
              <w:rPr>
                <w:i/>
                <w:spacing w:val="-3"/>
                <w:sz w:val="22"/>
              </w:rPr>
              <w:t> </w:t>
            </w:r>
            <w:r>
              <w:rPr>
                <w:i/>
                <w:sz w:val="22"/>
              </w:rPr>
              <w:t>providers,</w:t>
            </w:r>
            <w:r>
              <w:rPr>
                <w:i/>
                <w:spacing w:val="-2"/>
                <w:sz w:val="22"/>
              </w:rPr>
              <w:t> </w:t>
            </w:r>
            <w:r>
              <w:rPr>
                <w:i/>
                <w:sz w:val="22"/>
              </w:rPr>
              <w:t>vendors,</w:t>
            </w:r>
            <w:r>
              <w:rPr>
                <w:i/>
                <w:spacing w:val="-3"/>
                <w:sz w:val="22"/>
              </w:rPr>
              <w:t> </w:t>
            </w:r>
            <w:r>
              <w:rPr>
                <w:i/>
                <w:sz w:val="22"/>
              </w:rPr>
              <w:t>and</w:t>
            </w:r>
            <w:r>
              <w:rPr>
                <w:i/>
                <w:spacing w:val="-3"/>
                <w:sz w:val="22"/>
              </w:rPr>
              <w:t> </w:t>
            </w:r>
            <w:r>
              <w:rPr>
                <w:i/>
                <w:sz w:val="22"/>
              </w:rPr>
              <w:t>partners</w:t>
            </w:r>
            <w:r>
              <w:rPr>
                <w:i/>
                <w:spacing w:val="-4"/>
                <w:sz w:val="22"/>
              </w:rPr>
              <w:t> </w:t>
            </w:r>
            <w:r>
              <w:rPr>
                <w:i/>
                <w:sz w:val="22"/>
              </w:rPr>
              <w:t>with</w:t>
            </w:r>
            <w:r>
              <w:rPr>
                <w:i/>
                <w:spacing w:val="-3"/>
                <w:sz w:val="22"/>
              </w:rPr>
              <w:t> </w:t>
            </w:r>
            <w:r>
              <w:rPr>
                <w:i/>
                <w:sz w:val="22"/>
              </w:rPr>
              <w:t>knowledge</w:t>
            </w:r>
            <w:r>
              <w:rPr>
                <w:i/>
                <w:spacing w:val="-2"/>
                <w:sz w:val="22"/>
              </w:rPr>
              <w:t> </w:t>
            </w:r>
            <w:r>
              <w:rPr>
                <w:i/>
                <w:sz w:val="22"/>
              </w:rPr>
              <w:t>of</w:t>
            </w:r>
            <w:r>
              <w:rPr>
                <w:i/>
                <w:spacing w:val="-3"/>
                <w:sz w:val="22"/>
              </w:rPr>
              <w:t> </w:t>
            </w:r>
            <w:r>
              <w:rPr>
                <w:i/>
                <w:sz w:val="22"/>
              </w:rPr>
              <w:t>and</w:t>
            </w:r>
            <w:r>
              <w:rPr>
                <w:i/>
                <w:sz w:val="22"/>
              </w:rPr>
              <w:t> connection to priority populations.</w:t>
            </w:r>
          </w:p>
        </w:tc>
      </w:tr>
      <w:tr>
        <w:trPr>
          <w:trHeight w:val="1665" w:hRule="atLeast"/>
        </w:trPr>
        <w:tc>
          <w:tcPr>
            <w:tcW w:w="9240" w:type="dxa"/>
            <w:tcBorders>
              <w:top w:val="nil"/>
              <w:bottom w:val="nil"/>
            </w:tcBorders>
            <w:shd w:val="clear" w:color="auto" w:fill="D9D9D9"/>
          </w:tcPr>
          <w:p>
            <w:pPr>
              <w:pStyle w:val="TableParagraph"/>
              <w:ind w:left="78"/>
              <w:rPr>
                <w:sz w:val="22"/>
              </w:rPr>
            </w:pPr>
            <w:r>
              <w:rPr>
                <w:spacing w:val="-2"/>
                <w:sz w:val="22"/>
              </w:rPr>
              <w:t>Strategies:</w:t>
            </w:r>
          </w:p>
          <w:p>
            <w:pPr>
              <w:pStyle w:val="TableParagraph"/>
              <w:numPr>
                <w:ilvl w:val="0"/>
                <w:numId w:val="11"/>
              </w:numPr>
              <w:tabs>
                <w:tab w:pos="798" w:val="left" w:leader="none"/>
              </w:tabs>
              <w:spacing w:line="259" w:lineRule="auto" w:before="180" w:after="0"/>
              <w:ind w:left="798" w:right="426" w:hanging="360"/>
              <w:jc w:val="left"/>
              <w:rPr>
                <w:sz w:val="22"/>
              </w:rPr>
            </w:pPr>
            <w:r>
              <w:rPr>
                <w:sz w:val="22"/>
              </w:rPr>
              <w:t>Build</w:t>
            </w:r>
            <w:r>
              <w:rPr>
                <w:spacing w:val="-4"/>
                <w:sz w:val="22"/>
              </w:rPr>
              <w:t> </w:t>
            </w:r>
            <w:r>
              <w:rPr>
                <w:sz w:val="22"/>
              </w:rPr>
              <w:t>capacity</w:t>
            </w:r>
            <w:r>
              <w:rPr>
                <w:spacing w:val="-4"/>
                <w:sz w:val="22"/>
              </w:rPr>
              <w:t> </w:t>
            </w:r>
            <w:r>
              <w:rPr>
                <w:sz w:val="22"/>
              </w:rPr>
              <w:t>of</w:t>
            </w:r>
            <w:r>
              <w:rPr>
                <w:spacing w:val="-4"/>
                <w:sz w:val="22"/>
              </w:rPr>
              <w:t> </w:t>
            </w:r>
            <w:r>
              <w:rPr>
                <w:sz w:val="22"/>
              </w:rPr>
              <w:t>community</w:t>
            </w:r>
            <w:r>
              <w:rPr>
                <w:spacing w:val="-4"/>
                <w:sz w:val="22"/>
              </w:rPr>
              <w:t> </w:t>
            </w:r>
            <w:r>
              <w:rPr>
                <w:sz w:val="22"/>
              </w:rPr>
              <w:t>and</w:t>
            </w:r>
            <w:r>
              <w:rPr>
                <w:spacing w:val="-4"/>
                <w:sz w:val="22"/>
              </w:rPr>
              <w:t> </w:t>
            </w:r>
            <w:r>
              <w:rPr>
                <w:sz w:val="22"/>
              </w:rPr>
              <w:t>faith-based</w:t>
            </w:r>
            <w:r>
              <w:rPr>
                <w:spacing w:val="-4"/>
                <w:sz w:val="22"/>
              </w:rPr>
              <w:t> </w:t>
            </w:r>
            <w:r>
              <w:rPr>
                <w:sz w:val="22"/>
              </w:rPr>
              <w:t>organizations</w:t>
            </w:r>
            <w:r>
              <w:rPr>
                <w:spacing w:val="-4"/>
                <w:sz w:val="22"/>
              </w:rPr>
              <w:t> </w:t>
            </w:r>
            <w:r>
              <w:rPr>
                <w:sz w:val="22"/>
              </w:rPr>
              <w:t>anchored</w:t>
            </w:r>
            <w:r>
              <w:rPr>
                <w:spacing w:val="-4"/>
                <w:sz w:val="22"/>
              </w:rPr>
              <w:t> </w:t>
            </w:r>
            <w:r>
              <w:rPr>
                <w:sz w:val="22"/>
              </w:rPr>
              <w:t>at</w:t>
            </w:r>
            <w:r>
              <w:rPr>
                <w:spacing w:val="-5"/>
                <w:sz w:val="22"/>
              </w:rPr>
              <w:t> </w:t>
            </w:r>
            <w:r>
              <w:rPr>
                <w:sz w:val="22"/>
              </w:rPr>
              <w:t>the</w:t>
            </w:r>
            <w:r>
              <w:rPr>
                <w:spacing w:val="-5"/>
                <w:sz w:val="22"/>
              </w:rPr>
              <w:t> </w:t>
            </w:r>
            <w:r>
              <w:rPr>
                <w:sz w:val="22"/>
              </w:rPr>
              <w:t>community </w:t>
            </w:r>
            <w:r>
              <w:rPr>
                <w:spacing w:val="-2"/>
                <w:sz w:val="22"/>
              </w:rPr>
              <w:t>level.</w:t>
            </w:r>
          </w:p>
          <w:p>
            <w:pPr>
              <w:pStyle w:val="TableParagraph"/>
              <w:numPr>
                <w:ilvl w:val="0"/>
                <w:numId w:val="11"/>
              </w:numPr>
              <w:tabs>
                <w:tab w:pos="798" w:val="left" w:leader="none"/>
              </w:tabs>
              <w:spacing w:line="259" w:lineRule="auto" w:before="0" w:after="0"/>
              <w:ind w:left="798" w:right="368" w:hanging="360"/>
              <w:jc w:val="left"/>
              <w:rPr>
                <w:sz w:val="22"/>
              </w:rPr>
            </w:pPr>
            <w:r>
              <w:rPr>
                <w:sz w:val="22"/>
              </w:rPr>
              <w:t>Increase</w:t>
            </w:r>
            <w:r>
              <w:rPr>
                <w:spacing w:val="-5"/>
                <w:sz w:val="22"/>
              </w:rPr>
              <w:t> </w:t>
            </w:r>
            <w:r>
              <w:rPr>
                <w:sz w:val="22"/>
              </w:rPr>
              <w:t>access</w:t>
            </w:r>
            <w:r>
              <w:rPr>
                <w:spacing w:val="-4"/>
                <w:sz w:val="22"/>
              </w:rPr>
              <w:t> </w:t>
            </w:r>
            <w:r>
              <w:rPr>
                <w:sz w:val="22"/>
              </w:rPr>
              <w:t>to</w:t>
            </w:r>
            <w:r>
              <w:rPr>
                <w:spacing w:val="-4"/>
                <w:sz w:val="22"/>
              </w:rPr>
              <w:t> </w:t>
            </w:r>
            <w:r>
              <w:rPr>
                <w:sz w:val="22"/>
              </w:rPr>
              <w:t>OPGS</w:t>
            </w:r>
            <w:r>
              <w:rPr>
                <w:spacing w:val="-3"/>
                <w:sz w:val="22"/>
              </w:rPr>
              <w:t> </w:t>
            </w:r>
            <w:r>
              <w:rPr>
                <w:sz w:val="22"/>
              </w:rPr>
              <w:t>vendor</w:t>
            </w:r>
            <w:r>
              <w:rPr>
                <w:spacing w:val="-5"/>
                <w:sz w:val="22"/>
              </w:rPr>
              <w:t> </w:t>
            </w:r>
            <w:r>
              <w:rPr>
                <w:sz w:val="22"/>
              </w:rPr>
              <w:t>procurement</w:t>
            </w:r>
            <w:r>
              <w:rPr>
                <w:spacing w:val="-5"/>
                <w:sz w:val="22"/>
              </w:rPr>
              <w:t> </w:t>
            </w:r>
            <w:r>
              <w:rPr>
                <w:sz w:val="22"/>
              </w:rPr>
              <w:t>processes</w:t>
            </w:r>
            <w:r>
              <w:rPr>
                <w:spacing w:val="-4"/>
                <w:sz w:val="22"/>
              </w:rPr>
              <w:t> </w:t>
            </w:r>
            <w:r>
              <w:rPr>
                <w:sz w:val="22"/>
              </w:rPr>
              <w:t>to</w:t>
            </w:r>
            <w:r>
              <w:rPr>
                <w:spacing w:val="-3"/>
                <w:sz w:val="22"/>
              </w:rPr>
              <w:t> </w:t>
            </w:r>
            <w:r>
              <w:rPr>
                <w:sz w:val="22"/>
              </w:rPr>
              <w:t>community</w:t>
            </w:r>
            <w:r>
              <w:rPr>
                <w:spacing w:val="-4"/>
                <w:sz w:val="22"/>
              </w:rPr>
              <w:t> </w:t>
            </w:r>
            <w:r>
              <w:rPr>
                <w:sz w:val="22"/>
              </w:rPr>
              <w:t>and</w:t>
            </w:r>
            <w:r>
              <w:rPr>
                <w:spacing w:val="-4"/>
                <w:sz w:val="22"/>
              </w:rPr>
              <w:t> </w:t>
            </w:r>
            <w:r>
              <w:rPr>
                <w:sz w:val="22"/>
              </w:rPr>
              <w:t>faith-based organizations anchored at the community level.</w:t>
            </w:r>
          </w:p>
        </w:tc>
      </w:tr>
      <w:tr>
        <w:trPr>
          <w:trHeight w:val="1299" w:hRule="atLeast"/>
        </w:trPr>
        <w:tc>
          <w:tcPr>
            <w:tcW w:w="9240" w:type="dxa"/>
            <w:tcBorders>
              <w:top w:val="nil"/>
            </w:tcBorders>
            <w:shd w:val="clear" w:color="auto" w:fill="BEBEBE"/>
          </w:tcPr>
          <w:p>
            <w:pPr>
              <w:pStyle w:val="TableParagraph"/>
              <w:ind w:left="78"/>
              <w:rPr>
                <w:sz w:val="22"/>
              </w:rPr>
            </w:pPr>
            <w:r>
              <w:rPr>
                <w:spacing w:val="-2"/>
                <w:sz w:val="22"/>
              </w:rPr>
              <w:t>Measures:</w:t>
            </w:r>
          </w:p>
          <w:p>
            <w:pPr>
              <w:pStyle w:val="TableParagraph"/>
              <w:numPr>
                <w:ilvl w:val="0"/>
                <w:numId w:val="12"/>
              </w:numPr>
              <w:tabs>
                <w:tab w:pos="797" w:val="left" w:leader="none"/>
                <w:tab w:pos="798" w:val="left" w:leader="none"/>
              </w:tabs>
              <w:spacing w:line="240" w:lineRule="auto" w:before="181" w:after="0"/>
              <w:ind w:left="797" w:right="0" w:hanging="360"/>
              <w:jc w:val="left"/>
              <w:rPr>
                <w:sz w:val="22"/>
              </w:rPr>
            </w:pPr>
            <w:r>
              <w:rPr>
                <w:sz w:val="22"/>
              </w:rPr>
              <w:t>Number</w:t>
            </w:r>
            <w:r>
              <w:rPr>
                <w:spacing w:val="-10"/>
                <w:sz w:val="22"/>
              </w:rPr>
              <w:t> </w:t>
            </w:r>
            <w:r>
              <w:rPr>
                <w:sz w:val="22"/>
              </w:rPr>
              <w:t>of</w:t>
            </w:r>
            <w:r>
              <w:rPr>
                <w:spacing w:val="-8"/>
                <w:sz w:val="22"/>
              </w:rPr>
              <w:t> </w:t>
            </w:r>
            <w:r>
              <w:rPr>
                <w:sz w:val="22"/>
              </w:rPr>
              <w:t>people</w:t>
            </w:r>
            <w:r>
              <w:rPr>
                <w:spacing w:val="-9"/>
                <w:sz w:val="22"/>
              </w:rPr>
              <w:t> </w:t>
            </w:r>
            <w:r>
              <w:rPr>
                <w:sz w:val="22"/>
              </w:rPr>
              <w:t>and</w:t>
            </w:r>
            <w:r>
              <w:rPr>
                <w:spacing w:val="-9"/>
                <w:sz w:val="22"/>
              </w:rPr>
              <w:t> </w:t>
            </w:r>
            <w:r>
              <w:rPr>
                <w:sz w:val="22"/>
              </w:rPr>
              <w:t>organizations</w:t>
            </w:r>
            <w:r>
              <w:rPr>
                <w:spacing w:val="-8"/>
                <w:sz w:val="22"/>
              </w:rPr>
              <w:t> </w:t>
            </w:r>
            <w:r>
              <w:rPr>
                <w:spacing w:val="-2"/>
                <w:sz w:val="22"/>
              </w:rPr>
              <w:t>trained</w:t>
            </w:r>
          </w:p>
          <w:p>
            <w:pPr>
              <w:pStyle w:val="TableParagraph"/>
              <w:numPr>
                <w:ilvl w:val="0"/>
                <w:numId w:val="12"/>
              </w:numPr>
              <w:tabs>
                <w:tab w:pos="797" w:val="left" w:leader="none"/>
                <w:tab w:pos="798" w:val="left" w:leader="none"/>
              </w:tabs>
              <w:spacing w:line="240" w:lineRule="auto" w:before="17" w:after="0"/>
              <w:ind w:left="797" w:right="0" w:hanging="360"/>
              <w:jc w:val="left"/>
              <w:rPr>
                <w:sz w:val="22"/>
              </w:rPr>
            </w:pPr>
            <w:r>
              <w:rPr>
                <w:sz w:val="22"/>
              </w:rPr>
              <w:t>Number</w:t>
            </w:r>
            <w:r>
              <w:rPr>
                <w:spacing w:val="-12"/>
                <w:sz w:val="22"/>
              </w:rPr>
              <w:t> </w:t>
            </w:r>
            <w:r>
              <w:rPr>
                <w:sz w:val="22"/>
              </w:rPr>
              <w:t>of</w:t>
            </w:r>
            <w:r>
              <w:rPr>
                <w:spacing w:val="-10"/>
                <w:sz w:val="22"/>
              </w:rPr>
              <w:t> </w:t>
            </w:r>
            <w:r>
              <w:rPr>
                <w:sz w:val="22"/>
              </w:rPr>
              <w:t>organizational</w:t>
            </w:r>
            <w:r>
              <w:rPr>
                <w:spacing w:val="-9"/>
                <w:sz w:val="22"/>
              </w:rPr>
              <w:t> </w:t>
            </w:r>
            <w:r>
              <w:rPr>
                <w:sz w:val="22"/>
              </w:rPr>
              <w:t>partnerships</w:t>
            </w:r>
            <w:r>
              <w:rPr>
                <w:spacing w:val="-10"/>
                <w:sz w:val="22"/>
              </w:rPr>
              <w:t> </w:t>
            </w:r>
            <w:r>
              <w:rPr>
                <w:sz w:val="22"/>
              </w:rPr>
              <w:t>established</w:t>
            </w:r>
            <w:r>
              <w:rPr>
                <w:spacing w:val="-10"/>
                <w:sz w:val="22"/>
              </w:rPr>
              <w:t> </w:t>
            </w:r>
            <w:r>
              <w:rPr>
                <w:sz w:val="22"/>
              </w:rPr>
              <w:t>by</w:t>
            </w:r>
            <w:r>
              <w:rPr>
                <w:spacing w:val="-10"/>
                <w:sz w:val="22"/>
              </w:rPr>
              <w:t> </w:t>
            </w:r>
            <w:r>
              <w:rPr>
                <w:spacing w:val="-4"/>
                <w:sz w:val="22"/>
              </w:rPr>
              <w:t>OPGS</w:t>
            </w:r>
          </w:p>
        </w:tc>
      </w:tr>
    </w:tbl>
    <w:p>
      <w:pPr>
        <w:pStyle w:val="BodyText"/>
        <w:rPr>
          <w:sz w:val="20"/>
        </w:rPr>
      </w:pPr>
    </w:p>
    <w:p>
      <w:pPr>
        <w:pStyle w:val="BodyText"/>
        <w:spacing w:before="4"/>
        <w:rPr>
          <w:sz w:val="12"/>
        </w:rPr>
      </w:pPr>
    </w:p>
    <w:tbl>
      <w:tblPr>
        <w:tblW w:w="0" w:type="auto"/>
        <w:jc w:val="left"/>
        <w:tblCellSpacing w:w="30" w:type="dxa"/>
        <w:tblInd w:w="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40"/>
      </w:tblGrid>
      <w:tr>
        <w:trPr>
          <w:trHeight w:val="376" w:hRule="atLeast"/>
        </w:trPr>
        <w:tc>
          <w:tcPr>
            <w:tcW w:w="9240" w:type="dxa"/>
            <w:tcBorders>
              <w:bottom w:val="nil"/>
            </w:tcBorders>
            <w:shd w:val="clear" w:color="auto" w:fill="055893"/>
          </w:tcPr>
          <w:p>
            <w:pPr>
              <w:pStyle w:val="TableParagraph"/>
              <w:spacing w:before="41"/>
              <w:ind w:left="4203" w:right="4203"/>
              <w:jc w:val="center"/>
              <w:rPr>
                <w:sz w:val="24"/>
              </w:rPr>
            </w:pPr>
            <w:r>
              <w:rPr>
                <w:color w:val="FFFFFF"/>
                <w:sz w:val="24"/>
              </w:rPr>
              <w:t>Goal </w:t>
            </w:r>
            <w:r>
              <w:rPr>
                <w:color w:val="FFFFFF"/>
                <w:spacing w:val="-5"/>
                <w:sz w:val="24"/>
              </w:rPr>
              <w:t>#6</w:t>
            </w:r>
          </w:p>
        </w:tc>
      </w:tr>
      <w:tr>
        <w:trPr>
          <w:trHeight w:val="698" w:hRule="atLeast"/>
        </w:trPr>
        <w:tc>
          <w:tcPr>
            <w:tcW w:w="9240" w:type="dxa"/>
            <w:tcBorders>
              <w:top w:val="nil"/>
              <w:bottom w:val="nil"/>
            </w:tcBorders>
            <w:shd w:val="clear" w:color="auto" w:fill="F1F1F1"/>
          </w:tcPr>
          <w:p>
            <w:pPr>
              <w:pStyle w:val="TableParagraph"/>
              <w:spacing w:line="259" w:lineRule="auto"/>
              <w:ind w:left="78" w:right="79"/>
              <w:rPr>
                <w:i/>
                <w:sz w:val="22"/>
              </w:rPr>
            </w:pPr>
            <w:r>
              <w:rPr>
                <w:i/>
                <w:sz w:val="22"/>
              </w:rPr>
              <w:t>Strengthen</w:t>
            </w:r>
            <w:r>
              <w:rPr>
                <w:i/>
                <w:spacing w:val="-5"/>
                <w:sz w:val="22"/>
              </w:rPr>
              <w:t> </w:t>
            </w:r>
            <w:r>
              <w:rPr>
                <w:i/>
                <w:sz w:val="22"/>
              </w:rPr>
              <w:t>and</w:t>
            </w:r>
            <w:r>
              <w:rPr>
                <w:i/>
                <w:spacing w:val="-5"/>
                <w:sz w:val="22"/>
              </w:rPr>
              <w:t> </w:t>
            </w:r>
            <w:r>
              <w:rPr>
                <w:i/>
                <w:sz w:val="22"/>
              </w:rPr>
              <w:t>enhance</w:t>
            </w:r>
            <w:r>
              <w:rPr>
                <w:i/>
                <w:spacing w:val="-3"/>
                <w:sz w:val="22"/>
              </w:rPr>
              <w:t> </w:t>
            </w:r>
            <w:r>
              <w:rPr>
                <w:i/>
                <w:sz w:val="22"/>
              </w:rPr>
              <w:t>OPGS’</w:t>
            </w:r>
            <w:r>
              <w:rPr>
                <w:i/>
                <w:spacing w:val="-4"/>
                <w:sz w:val="22"/>
              </w:rPr>
              <w:t> </w:t>
            </w:r>
            <w:r>
              <w:rPr>
                <w:i/>
                <w:sz w:val="22"/>
              </w:rPr>
              <w:t>capacity</w:t>
            </w:r>
            <w:r>
              <w:rPr>
                <w:i/>
                <w:spacing w:val="-4"/>
                <w:sz w:val="22"/>
              </w:rPr>
              <w:t> </w:t>
            </w:r>
            <w:r>
              <w:rPr>
                <w:i/>
                <w:sz w:val="22"/>
              </w:rPr>
              <w:t>to</w:t>
            </w:r>
            <w:r>
              <w:rPr>
                <w:i/>
                <w:spacing w:val="-5"/>
                <w:sz w:val="22"/>
              </w:rPr>
              <w:t> </w:t>
            </w:r>
            <w:r>
              <w:rPr>
                <w:i/>
                <w:sz w:val="22"/>
              </w:rPr>
              <w:t>conduct</w:t>
            </w:r>
            <w:r>
              <w:rPr>
                <w:i/>
                <w:spacing w:val="-4"/>
                <w:sz w:val="22"/>
              </w:rPr>
              <w:t> </w:t>
            </w:r>
            <w:r>
              <w:rPr>
                <w:i/>
                <w:sz w:val="22"/>
              </w:rPr>
              <w:t>data</w:t>
            </w:r>
            <w:r>
              <w:rPr>
                <w:i/>
                <w:spacing w:val="-4"/>
                <w:sz w:val="22"/>
              </w:rPr>
              <w:t> </w:t>
            </w:r>
            <w:r>
              <w:rPr>
                <w:i/>
                <w:sz w:val="22"/>
              </w:rPr>
              <w:t>collection,</w:t>
            </w:r>
            <w:r>
              <w:rPr>
                <w:i/>
                <w:spacing w:val="-4"/>
                <w:sz w:val="22"/>
              </w:rPr>
              <w:t> </w:t>
            </w:r>
            <w:r>
              <w:rPr>
                <w:i/>
                <w:sz w:val="22"/>
              </w:rPr>
              <w:t>surveillance,</w:t>
            </w:r>
            <w:r>
              <w:rPr>
                <w:i/>
                <w:spacing w:val="-4"/>
                <w:sz w:val="22"/>
              </w:rPr>
              <w:t> </w:t>
            </w:r>
            <w:r>
              <w:rPr>
                <w:i/>
                <w:sz w:val="22"/>
              </w:rPr>
              <w:t>and</w:t>
            </w:r>
            <w:r>
              <w:rPr>
                <w:i/>
                <w:spacing w:val="-4"/>
                <w:sz w:val="22"/>
              </w:rPr>
              <w:t> </w:t>
            </w:r>
            <w:r>
              <w:rPr>
                <w:i/>
                <w:sz w:val="22"/>
              </w:rPr>
              <w:t>evaluation</w:t>
            </w:r>
            <w:r>
              <w:rPr>
                <w:i/>
                <w:sz w:val="22"/>
              </w:rPr>
              <w:t> to analyze, and inform policy, programs, and impact of services.</w:t>
            </w:r>
          </w:p>
        </w:tc>
      </w:tr>
      <w:tr>
        <w:trPr>
          <w:trHeight w:val="2792" w:hRule="atLeast"/>
        </w:trPr>
        <w:tc>
          <w:tcPr>
            <w:tcW w:w="9240" w:type="dxa"/>
            <w:tcBorders>
              <w:top w:val="nil"/>
              <w:bottom w:val="nil"/>
            </w:tcBorders>
            <w:shd w:val="clear" w:color="auto" w:fill="D9D9D9"/>
          </w:tcPr>
          <w:p>
            <w:pPr>
              <w:pStyle w:val="TableParagraph"/>
              <w:ind w:left="78"/>
              <w:rPr>
                <w:sz w:val="22"/>
              </w:rPr>
            </w:pPr>
            <w:r>
              <w:rPr>
                <w:spacing w:val="-2"/>
                <w:sz w:val="22"/>
              </w:rPr>
              <w:t>Strategies:</w:t>
            </w:r>
          </w:p>
          <w:p>
            <w:pPr>
              <w:pStyle w:val="TableParagraph"/>
              <w:numPr>
                <w:ilvl w:val="0"/>
                <w:numId w:val="13"/>
              </w:numPr>
              <w:tabs>
                <w:tab w:pos="798" w:val="left" w:leader="none"/>
              </w:tabs>
              <w:spacing w:line="240" w:lineRule="auto" w:before="179" w:after="0"/>
              <w:ind w:left="797" w:right="0" w:hanging="360"/>
              <w:jc w:val="left"/>
              <w:rPr>
                <w:sz w:val="22"/>
              </w:rPr>
            </w:pPr>
            <w:r>
              <w:rPr>
                <w:sz w:val="22"/>
              </w:rPr>
              <w:t>Strengthen</w:t>
            </w:r>
            <w:r>
              <w:rPr>
                <w:spacing w:val="-9"/>
                <w:sz w:val="22"/>
              </w:rPr>
              <w:t> </w:t>
            </w:r>
            <w:r>
              <w:rPr>
                <w:sz w:val="22"/>
              </w:rPr>
              <w:t>OPGS</w:t>
            </w:r>
            <w:r>
              <w:rPr>
                <w:spacing w:val="-9"/>
                <w:sz w:val="22"/>
              </w:rPr>
              <w:t> </w:t>
            </w:r>
            <w:r>
              <w:rPr>
                <w:sz w:val="22"/>
              </w:rPr>
              <w:t>capacity</w:t>
            </w:r>
            <w:r>
              <w:rPr>
                <w:spacing w:val="-9"/>
                <w:sz w:val="22"/>
              </w:rPr>
              <w:t> </w:t>
            </w:r>
            <w:r>
              <w:rPr>
                <w:sz w:val="22"/>
              </w:rPr>
              <w:t>to</w:t>
            </w:r>
            <w:r>
              <w:rPr>
                <w:spacing w:val="-9"/>
                <w:sz w:val="22"/>
              </w:rPr>
              <w:t> </w:t>
            </w:r>
            <w:r>
              <w:rPr>
                <w:sz w:val="22"/>
              </w:rPr>
              <w:t>coordinate</w:t>
            </w:r>
            <w:r>
              <w:rPr>
                <w:spacing w:val="-11"/>
                <w:sz w:val="22"/>
              </w:rPr>
              <w:t> </w:t>
            </w:r>
            <w:r>
              <w:rPr>
                <w:sz w:val="22"/>
              </w:rPr>
              <w:t>data,</w:t>
            </w:r>
            <w:r>
              <w:rPr>
                <w:spacing w:val="-9"/>
                <w:sz w:val="22"/>
              </w:rPr>
              <w:t> </w:t>
            </w:r>
            <w:r>
              <w:rPr>
                <w:sz w:val="22"/>
              </w:rPr>
              <w:t>surveillance,</w:t>
            </w:r>
            <w:r>
              <w:rPr>
                <w:spacing w:val="-10"/>
                <w:sz w:val="22"/>
              </w:rPr>
              <w:t> </w:t>
            </w:r>
            <w:r>
              <w:rPr>
                <w:sz w:val="22"/>
              </w:rPr>
              <w:t>and</w:t>
            </w:r>
            <w:r>
              <w:rPr>
                <w:spacing w:val="-9"/>
                <w:sz w:val="22"/>
              </w:rPr>
              <w:t> </w:t>
            </w:r>
            <w:r>
              <w:rPr>
                <w:spacing w:val="-2"/>
                <w:sz w:val="22"/>
              </w:rPr>
              <w:t>evaluation.</w:t>
            </w:r>
          </w:p>
          <w:p>
            <w:pPr>
              <w:pStyle w:val="TableParagraph"/>
              <w:numPr>
                <w:ilvl w:val="0"/>
                <w:numId w:val="13"/>
              </w:numPr>
              <w:tabs>
                <w:tab w:pos="798" w:val="left" w:leader="none"/>
              </w:tabs>
              <w:spacing w:line="240" w:lineRule="auto" w:before="20" w:after="0"/>
              <w:ind w:left="797" w:right="0" w:hanging="360"/>
              <w:jc w:val="left"/>
              <w:rPr>
                <w:sz w:val="22"/>
              </w:rPr>
            </w:pPr>
            <w:r>
              <w:rPr>
                <w:sz w:val="22"/>
              </w:rPr>
              <w:t>Establish</w:t>
            </w:r>
            <w:r>
              <w:rPr>
                <w:spacing w:val="-8"/>
                <w:sz w:val="22"/>
              </w:rPr>
              <w:t> </w:t>
            </w:r>
            <w:r>
              <w:rPr>
                <w:sz w:val="22"/>
              </w:rPr>
              <w:t>the</w:t>
            </w:r>
            <w:r>
              <w:rPr>
                <w:spacing w:val="-6"/>
                <w:sz w:val="22"/>
              </w:rPr>
              <w:t> </w:t>
            </w:r>
            <w:r>
              <w:rPr>
                <w:sz w:val="22"/>
              </w:rPr>
              <w:t>Data</w:t>
            </w:r>
            <w:r>
              <w:rPr>
                <w:spacing w:val="-7"/>
                <w:sz w:val="22"/>
              </w:rPr>
              <w:t> </w:t>
            </w:r>
            <w:r>
              <w:rPr>
                <w:sz w:val="22"/>
              </w:rPr>
              <w:t>to</w:t>
            </w:r>
            <w:r>
              <w:rPr>
                <w:spacing w:val="-7"/>
                <w:sz w:val="22"/>
              </w:rPr>
              <w:t> </w:t>
            </w:r>
            <w:r>
              <w:rPr>
                <w:sz w:val="22"/>
              </w:rPr>
              <w:t>Action</w:t>
            </w:r>
            <w:r>
              <w:rPr>
                <w:spacing w:val="-8"/>
                <w:sz w:val="22"/>
              </w:rPr>
              <w:t> </w:t>
            </w:r>
            <w:r>
              <w:rPr>
                <w:sz w:val="22"/>
              </w:rPr>
              <w:t>Framework</w:t>
            </w:r>
            <w:r>
              <w:rPr>
                <w:spacing w:val="-7"/>
                <w:sz w:val="22"/>
              </w:rPr>
              <w:t> </w:t>
            </w:r>
            <w:r>
              <w:rPr>
                <w:sz w:val="22"/>
              </w:rPr>
              <w:t>to</w:t>
            </w:r>
            <w:r>
              <w:rPr>
                <w:spacing w:val="-7"/>
                <w:sz w:val="22"/>
              </w:rPr>
              <w:t> </w:t>
            </w:r>
            <w:r>
              <w:rPr>
                <w:sz w:val="22"/>
              </w:rPr>
              <w:t>inform</w:t>
            </w:r>
            <w:r>
              <w:rPr>
                <w:spacing w:val="-7"/>
                <w:sz w:val="22"/>
              </w:rPr>
              <w:t> </w:t>
            </w:r>
            <w:r>
              <w:rPr>
                <w:sz w:val="22"/>
              </w:rPr>
              <w:t>policy</w:t>
            </w:r>
            <w:r>
              <w:rPr>
                <w:spacing w:val="-5"/>
                <w:sz w:val="22"/>
              </w:rPr>
              <w:t> </w:t>
            </w:r>
            <w:r>
              <w:rPr>
                <w:sz w:val="22"/>
              </w:rPr>
              <w:t>and</w:t>
            </w:r>
            <w:r>
              <w:rPr>
                <w:spacing w:val="-7"/>
                <w:sz w:val="22"/>
              </w:rPr>
              <w:t> </w:t>
            </w:r>
            <w:r>
              <w:rPr>
                <w:spacing w:val="-2"/>
                <w:sz w:val="22"/>
              </w:rPr>
              <w:t>practice.</w:t>
            </w:r>
          </w:p>
          <w:p>
            <w:pPr>
              <w:pStyle w:val="TableParagraph"/>
              <w:numPr>
                <w:ilvl w:val="0"/>
                <w:numId w:val="13"/>
              </w:numPr>
              <w:tabs>
                <w:tab w:pos="799" w:val="left" w:leader="none"/>
              </w:tabs>
              <w:spacing w:line="259" w:lineRule="auto" w:before="20" w:after="0"/>
              <w:ind w:left="798" w:right="431" w:hanging="360"/>
              <w:jc w:val="left"/>
              <w:rPr>
                <w:sz w:val="22"/>
              </w:rPr>
            </w:pPr>
            <w:r>
              <w:rPr>
                <w:sz w:val="22"/>
              </w:rPr>
              <w:t>Establish</w:t>
            </w:r>
            <w:r>
              <w:rPr>
                <w:spacing w:val="-4"/>
                <w:sz w:val="22"/>
              </w:rPr>
              <w:t> </w:t>
            </w:r>
            <w:r>
              <w:rPr>
                <w:sz w:val="22"/>
              </w:rPr>
              <w:t>routinized</w:t>
            </w:r>
            <w:r>
              <w:rPr>
                <w:spacing w:val="-4"/>
                <w:sz w:val="22"/>
              </w:rPr>
              <w:t> </w:t>
            </w:r>
            <w:r>
              <w:rPr>
                <w:sz w:val="22"/>
              </w:rPr>
              <w:t>mechanisms</w:t>
            </w:r>
            <w:r>
              <w:rPr>
                <w:spacing w:val="-4"/>
                <w:sz w:val="22"/>
              </w:rPr>
              <w:t> </w:t>
            </w:r>
            <w:r>
              <w:rPr>
                <w:sz w:val="22"/>
              </w:rPr>
              <w:t>to</w:t>
            </w:r>
            <w:r>
              <w:rPr>
                <w:spacing w:val="-4"/>
                <w:sz w:val="22"/>
              </w:rPr>
              <w:t> </w:t>
            </w:r>
            <w:r>
              <w:rPr>
                <w:sz w:val="22"/>
              </w:rPr>
              <w:t>evaluate</w:t>
            </w:r>
            <w:r>
              <w:rPr>
                <w:spacing w:val="-5"/>
                <w:sz w:val="22"/>
              </w:rPr>
              <w:t> </w:t>
            </w:r>
            <w:r>
              <w:rPr>
                <w:sz w:val="22"/>
              </w:rPr>
              <w:t>implementation</w:t>
            </w:r>
            <w:r>
              <w:rPr>
                <w:spacing w:val="-5"/>
                <w:sz w:val="22"/>
              </w:rPr>
              <w:t> </w:t>
            </w:r>
            <w:r>
              <w:rPr>
                <w:sz w:val="22"/>
              </w:rPr>
              <w:t>and</w:t>
            </w:r>
            <w:r>
              <w:rPr>
                <w:spacing w:val="-4"/>
                <w:sz w:val="22"/>
              </w:rPr>
              <w:t> </w:t>
            </w:r>
            <w:r>
              <w:rPr>
                <w:sz w:val="22"/>
              </w:rPr>
              <w:t>impact</w:t>
            </w:r>
            <w:r>
              <w:rPr>
                <w:spacing w:val="-5"/>
                <w:sz w:val="22"/>
              </w:rPr>
              <w:t> </w:t>
            </w:r>
            <w:r>
              <w:rPr>
                <w:sz w:val="22"/>
              </w:rPr>
              <w:t>of</w:t>
            </w:r>
            <w:r>
              <w:rPr>
                <w:spacing w:val="-3"/>
                <w:sz w:val="22"/>
              </w:rPr>
              <w:t> </w:t>
            </w:r>
            <w:r>
              <w:rPr>
                <w:sz w:val="22"/>
              </w:rPr>
              <w:t>key</w:t>
            </w:r>
            <w:r>
              <w:rPr>
                <w:spacing w:val="-4"/>
                <w:sz w:val="22"/>
              </w:rPr>
              <w:t> </w:t>
            </w:r>
            <w:r>
              <w:rPr>
                <w:sz w:val="22"/>
              </w:rPr>
              <w:t>OPGS- supported services.</w:t>
            </w:r>
          </w:p>
          <w:p>
            <w:pPr>
              <w:pStyle w:val="TableParagraph"/>
              <w:numPr>
                <w:ilvl w:val="0"/>
                <w:numId w:val="13"/>
              </w:numPr>
              <w:tabs>
                <w:tab w:pos="798" w:val="left" w:leader="none"/>
              </w:tabs>
              <w:spacing w:line="240" w:lineRule="auto" w:before="0" w:after="0"/>
              <w:ind w:left="797" w:right="0" w:hanging="360"/>
              <w:jc w:val="left"/>
              <w:rPr>
                <w:sz w:val="22"/>
              </w:rPr>
            </w:pPr>
            <w:r>
              <w:rPr>
                <w:sz w:val="22"/>
              </w:rPr>
              <w:t>Leverage</w:t>
            </w:r>
            <w:r>
              <w:rPr>
                <w:spacing w:val="-9"/>
                <w:sz w:val="22"/>
              </w:rPr>
              <w:t> </w:t>
            </w:r>
            <w:r>
              <w:rPr>
                <w:sz w:val="22"/>
              </w:rPr>
              <w:t>data</w:t>
            </w:r>
            <w:r>
              <w:rPr>
                <w:spacing w:val="-8"/>
                <w:sz w:val="22"/>
              </w:rPr>
              <w:t> </w:t>
            </w:r>
            <w:r>
              <w:rPr>
                <w:sz w:val="22"/>
              </w:rPr>
              <w:t>and</w:t>
            </w:r>
            <w:r>
              <w:rPr>
                <w:spacing w:val="-8"/>
                <w:sz w:val="22"/>
              </w:rPr>
              <w:t> </w:t>
            </w:r>
            <w:r>
              <w:rPr>
                <w:sz w:val="22"/>
              </w:rPr>
              <w:t>surveillance</w:t>
            </w:r>
            <w:r>
              <w:rPr>
                <w:spacing w:val="-7"/>
                <w:sz w:val="22"/>
              </w:rPr>
              <w:t> </w:t>
            </w:r>
            <w:r>
              <w:rPr>
                <w:sz w:val="22"/>
              </w:rPr>
              <w:t>to</w:t>
            </w:r>
            <w:r>
              <w:rPr>
                <w:spacing w:val="-8"/>
                <w:sz w:val="22"/>
              </w:rPr>
              <w:t> </w:t>
            </w:r>
            <w:r>
              <w:rPr>
                <w:sz w:val="22"/>
              </w:rPr>
              <w:t>identify</w:t>
            </w:r>
            <w:r>
              <w:rPr>
                <w:spacing w:val="-8"/>
                <w:sz w:val="22"/>
              </w:rPr>
              <w:t> </w:t>
            </w:r>
            <w:r>
              <w:rPr>
                <w:spacing w:val="-2"/>
                <w:sz w:val="22"/>
              </w:rPr>
              <w:t>trends:</w:t>
            </w:r>
          </w:p>
          <w:p>
            <w:pPr>
              <w:pStyle w:val="TableParagraph"/>
              <w:numPr>
                <w:ilvl w:val="1"/>
                <w:numId w:val="13"/>
              </w:numPr>
              <w:tabs>
                <w:tab w:pos="1517" w:val="left" w:leader="none"/>
                <w:tab w:pos="1518" w:val="left" w:leader="none"/>
              </w:tabs>
              <w:spacing w:line="240" w:lineRule="auto" w:before="19" w:after="0"/>
              <w:ind w:left="1517" w:right="0" w:hanging="466"/>
              <w:jc w:val="left"/>
              <w:rPr>
                <w:sz w:val="22"/>
              </w:rPr>
            </w:pPr>
            <w:r>
              <w:rPr>
                <w:sz w:val="22"/>
              </w:rPr>
              <w:t>Priority</w:t>
            </w:r>
            <w:r>
              <w:rPr>
                <w:spacing w:val="-13"/>
                <w:sz w:val="22"/>
              </w:rPr>
              <w:t> </w:t>
            </w:r>
            <w:r>
              <w:rPr>
                <w:spacing w:val="-2"/>
                <w:sz w:val="22"/>
              </w:rPr>
              <w:t>populations</w:t>
            </w:r>
          </w:p>
          <w:p>
            <w:pPr>
              <w:pStyle w:val="TableParagraph"/>
              <w:numPr>
                <w:ilvl w:val="1"/>
                <w:numId w:val="13"/>
              </w:numPr>
              <w:tabs>
                <w:tab w:pos="1517" w:val="left" w:leader="none"/>
                <w:tab w:pos="1518" w:val="left" w:leader="none"/>
              </w:tabs>
              <w:spacing w:line="240" w:lineRule="auto" w:before="19" w:after="0"/>
              <w:ind w:left="1517" w:right="0" w:hanging="517"/>
              <w:jc w:val="left"/>
              <w:rPr>
                <w:sz w:val="22"/>
              </w:rPr>
            </w:pPr>
            <w:r>
              <w:rPr>
                <w:sz w:val="22"/>
              </w:rPr>
              <w:t>Implementation</w:t>
            </w:r>
            <w:r>
              <w:rPr>
                <w:spacing w:val="-10"/>
                <w:sz w:val="22"/>
              </w:rPr>
              <w:t> </w:t>
            </w:r>
            <w:r>
              <w:rPr>
                <w:sz w:val="22"/>
              </w:rPr>
              <w:t>and</w:t>
            </w:r>
            <w:r>
              <w:rPr>
                <w:spacing w:val="-8"/>
                <w:sz w:val="22"/>
              </w:rPr>
              <w:t> </w:t>
            </w:r>
            <w:r>
              <w:rPr>
                <w:sz w:val="22"/>
              </w:rPr>
              <w:t>impact</w:t>
            </w:r>
            <w:r>
              <w:rPr>
                <w:spacing w:val="-9"/>
                <w:sz w:val="22"/>
              </w:rPr>
              <w:t> </w:t>
            </w:r>
            <w:r>
              <w:rPr>
                <w:sz w:val="22"/>
              </w:rPr>
              <w:t>of</w:t>
            </w:r>
            <w:r>
              <w:rPr>
                <w:spacing w:val="-9"/>
                <w:sz w:val="22"/>
              </w:rPr>
              <w:t> </w:t>
            </w:r>
            <w:r>
              <w:rPr>
                <w:sz w:val="22"/>
              </w:rPr>
              <w:t>service</w:t>
            </w:r>
            <w:r>
              <w:rPr>
                <w:spacing w:val="-7"/>
                <w:sz w:val="22"/>
              </w:rPr>
              <w:t> </w:t>
            </w:r>
            <w:r>
              <w:rPr>
                <w:spacing w:val="-4"/>
                <w:sz w:val="22"/>
              </w:rPr>
              <w:t>array</w:t>
            </w:r>
          </w:p>
          <w:p>
            <w:pPr>
              <w:pStyle w:val="TableParagraph"/>
              <w:numPr>
                <w:ilvl w:val="1"/>
                <w:numId w:val="13"/>
              </w:numPr>
              <w:tabs>
                <w:tab w:pos="1517" w:val="left" w:leader="none"/>
                <w:tab w:pos="1518" w:val="left" w:leader="none"/>
              </w:tabs>
              <w:spacing w:line="240" w:lineRule="auto" w:before="21" w:after="0"/>
              <w:ind w:left="1517" w:right="0" w:hanging="567"/>
              <w:jc w:val="left"/>
              <w:rPr>
                <w:sz w:val="22"/>
              </w:rPr>
            </w:pPr>
            <w:r>
              <w:rPr>
                <w:sz w:val="22"/>
              </w:rPr>
              <w:t>Continuous</w:t>
            </w:r>
            <w:r>
              <w:rPr>
                <w:spacing w:val="-12"/>
                <w:sz w:val="22"/>
              </w:rPr>
              <w:t> </w:t>
            </w:r>
            <w:r>
              <w:rPr>
                <w:sz w:val="22"/>
              </w:rPr>
              <w:t>process</w:t>
            </w:r>
            <w:r>
              <w:rPr>
                <w:spacing w:val="-12"/>
                <w:sz w:val="22"/>
              </w:rPr>
              <w:t> </w:t>
            </w:r>
            <w:r>
              <w:rPr>
                <w:sz w:val="22"/>
              </w:rPr>
              <w:t>and</w:t>
            </w:r>
            <w:r>
              <w:rPr>
                <w:spacing w:val="-12"/>
                <w:sz w:val="22"/>
              </w:rPr>
              <w:t> </w:t>
            </w:r>
            <w:r>
              <w:rPr>
                <w:sz w:val="22"/>
              </w:rPr>
              <w:t>capacity</w:t>
            </w:r>
            <w:r>
              <w:rPr>
                <w:spacing w:val="-12"/>
                <w:sz w:val="22"/>
              </w:rPr>
              <w:t> </w:t>
            </w:r>
            <w:r>
              <w:rPr>
                <w:sz w:val="22"/>
              </w:rPr>
              <w:t>improvement</w:t>
            </w:r>
            <w:r>
              <w:rPr>
                <w:spacing w:val="-13"/>
                <w:sz w:val="22"/>
              </w:rPr>
              <w:t> </w:t>
            </w:r>
            <w:r>
              <w:rPr>
                <w:spacing w:val="-2"/>
                <w:sz w:val="22"/>
              </w:rPr>
              <w:t>priorities</w:t>
            </w:r>
          </w:p>
        </w:tc>
      </w:tr>
      <w:tr>
        <w:trPr>
          <w:trHeight w:val="1147" w:hRule="atLeast"/>
        </w:trPr>
        <w:tc>
          <w:tcPr>
            <w:tcW w:w="9240" w:type="dxa"/>
            <w:tcBorders>
              <w:top w:val="nil"/>
            </w:tcBorders>
            <w:shd w:val="clear" w:color="auto" w:fill="BEBEBE"/>
          </w:tcPr>
          <w:p>
            <w:pPr>
              <w:pStyle w:val="TableParagraph"/>
              <w:ind w:left="78"/>
              <w:rPr>
                <w:sz w:val="22"/>
              </w:rPr>
            </w:pPr>
            <w:r>
              <w:rPr>
                <w:spacing w:val="-2"/>
                <w:sz w:val="22"/>
              </w:rPr>
              <w:t>Measures:</w:t>
            </w:r>
          </w:p>
          <w:p>
            <w:pPr>
              <w:pStyle w:val="TableParagraph"/>
              <w:numPr>
                <w:ilvl w:val="0"/>
                <w:numId w:val="14"/>
              </w:numPr>
              <w:tabs>
                <w:tab w:pos="797" w:val="left" w:leader="none"/>
                <w:tab w:pos="798" w:val="left" w:leader="none"/>
              </w:tabs>
              <w:spacing w:line="256" w:lineRule="auto" w:before="181" w:after="0"/>
              <w:ind w:left="798" w:right="285" w:hanging="360"/>
              <w:jc w:val="left"/>
              <w:rPr>
                <w:sz w:val="22"/>
              </w:rPr>
            </w:pPr>
            <w:r>
              <w:rPr>
                <w:sz w:val="22"/>
              </w:rPr>
              <w:t>Year-over-year</w:t>
            </w:r>
            <w:r>
              <w:rPr>
                <w:spacing w:val="-5"/>
                <w:sz w:val="22"/>
              </w:rPr>
              <w:t> </w:t>
            </w:r>
            <w:r>
              <w:rPr>
                <w:sz w:val="22"/>
              </w:rPr>
              <w:t>service</w:t>
            </w:r>
            <w:r>
              <w:rPr>
                <w:spacing w:val="-5"/>
                <w:sz w:val="22"/>
              </w:rPr>
              <w:t> </w:t>
            </w:r>
            <w:r>
              <w:rPr>
                <w:sz w:val="22"/>
              </w:rPr>
              <w:t>trends,</w:t>
            </w:r>
            <w:r>
              <w:rPr>
                <w:spacing w:val="-4"/>
                <w:sz w:val="22"/>
              </w:rPr>
              <w:t> </w:t>
            </w:r>
            <w:r>
              <w:rPr>
                <w:sz w:val="22"/>
              </w:rPr>
              <w:t>including</w:t>
            </w:r>
            <w:r>
              <w:rPr>
                <w:spacing w:val="-4"/>
                <w:sz w:val="22"/>
              </w:rPr>
              <w:t> </w:t>
            </w:r>
            <w:r>
              <w:rPr>
                <w:sz w:val="22"/>
              </w:rPr>
              <w:t>numbers</w:t>
            </w:r>
            <w:r>
              <w:rPr>
                <w:spacing w:val="-4"/>
                <w:sz w:val="22"/>
              </w:rPr>
              <w:t> </w:t>
            </w:r>
            <w:r>
              <w:rPr>
                <w:sz w:val="22"/>
              </w:rPr>
              <w:t>of</w:t>
            </w:r>
            <w:r>
              <w:rPr>
                <w:spacing w:val="-4"/>
                <w:sz w:val="22"/>
              </w:rPr>
              <w:t> </w:t>
            </w:r>
            <w:r>
              <w:rPr>
                <w:sz w:val="22"/>
              </w:rPr>
              <w:t>people</w:t>
            </w:r>
            <w:r>
              <w:rPr>
                <w:spacing w:val="-5"/>
                <w:sz w:val="22"/>
              </w:rPr>
              <w:t> </w:t>
            </w:r>
            <w:r>
              <w:rPr>
                <w:sz w:val="22"/>
              </w:rPr>
              <w:t>from</w:t>
            </w:r>
            <w:r>
              <w:rPr>
                <w:spacing w:val="-4"/>
                <w:sz w:val="22"/>
              </w:rPr>
              <w:t> </w:t>
            </w:r>
            <w:r>
              <w:rPr>
                <w:sz w:val="22"/>
              </w:rPr>
              <w:t>priority</w:t>
            </w:r>
            <w:r>
              <w:rPr>
                <w:spacing w:val="-4"/>
                <w:sz w:val="22"/>
              </w:rPr>
              <w:t> </w:t>
            </w:r>
            <w:r>
              <w:rPr>
                <w:sz w:val="22"/>
              </w:rPr>
              <w:t>populations</w:t>
            </w:r>
            <w:r>
              <w:rPr>
                <w:spacing w:val="-4"/>
                <w:sz w:val="22"/>
              </w:rPr>
              <w:t> </w:t>
            </w:r>
            <w:r>
              <w:rPr>
                <w:sz w:val="22"/>
              </w:rPr>
              <w:t>and geographies served and types of services provided</w:t>
            </w:r>
          </w:p>
        </w:tc>
      </w:tr>
    </w:tbl>
    <w:p>
      <w:pPr>
        <w:spacing w:after="0" w:line="256" w:lineRule="auto"/>
        <w:jc w:val="left"/>
        <w:rPr>
          <w:sz w:val="22"/>
        </w:rPr>
        <w:sectPr>
          <w:pgSz w:w="12240" w:h="15840"/>
          <w:pgMar w:header="438" w:footer="444" w:top="1320" w:bottom="640" w:left="960" w:right="1320"/>
        </w:sectPr>
      </w:pPr>
    </w:p>
    <w:p>
      <w:pPr>
        <w:pStyle w:val="BodyText"/>
        <w:rPr>
          <w:sz w:val="20"/>
        </w:rPr>
      </w:pPr>
    </w:p>
    <w:p>
      <w:pPr>
        <w:pStyle w:val="BodyText"/>
        <w:spacing w:before="4"/>
        <w:rPr>
          <w:sz w:val="14"/>
        </w:rPr>
      </w:pPr>
    </w:p>
    <w:tbl>
      <w:tblPr>
        <w:tblW w:w="0" w:type="auto"/>
        <w:jc w:val="left"/>
        <w:tblCellSpacing w:w="30" w:type="dxa"/>
        <w:tblInd w:w="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40"/>
      </w:tblGrid>
      <w:tr>
        <w:trPr>
          <w:trHeight w:val="376" w:hRule="atLeast"/>
        </w:trPr>
        <w:tc>
          <w:tcPr>
            <w:tcW w:w="9240" w:type="dxa"/>
            <w:tcBorders>
              <w:bottom w:val="nil"/>
            </w:tcBorders>
            <w:shd w:val="clear" w:color="auto" w:fill="055893"/>
          </w:tcPr>
          <w:p>
            <w:pPr>
              <w:pStyle w:val="TableParagraph"/>
              <w:spacing w:before="43"/>
              <w:ind w:left="4203" w:right="4203"/>
              <w:jc w:val="center"/>
              <w:rPr>
                <w:sz w:val="24"/>
              </w:rPr>
            </w:pPr>
            <w:r>
              <w:rPr>
                <w:color w:val="FFFFFF"/>
                <w:sz w:val="24"/>
              </w:rPr>
              <w:t>Goal </w:t>
            </w:r>
            <w:r>
              <w:rPr>
                <w:color w:val="FFFFFF"/>
                <w:spacing w:val="-5"/>
                <w:sz w:val="24"/>
              </w:rPr>
              <w:t>#7</w:t>
            </w:r>
          </w:p>
        </w:tc>
      </w:tr>
      <w:tr>
        <w:trPr>
          <w:trHeight w:val="698" w:hRule="atLeast"/>
        </w:trPr>
        <w:tc>
          <w:tcPr>
            <w:tcW w:w="9240" w:type="dxa"/>
            <w:tcBorders>
              <w:top w:val="nil"/>
              <w:bottom w:val="nil"/>
            </w:tcBorders>
            <w:shd w:val="clear" w:color="auto" w:fill="F1F1F1"/>
          </w:tcPr>
          <w:p>
            <w:pPr>
              <w:pStyle w:val="TableParagraph"/>
              <w:spacing w:line="259" w:lineRule="auto"/>
              <w:ind w:left="78" w:right="203"/>
              <w:rPr>
                <w:i/>
                <w:sz w:val="22"/>
              </w:rPr>
            </w:pPr>
            <w:r>
              <w:rPr>
                <w:i/>
                <w:sz w:val="22"/>
              </w:rPr>
              <w:t>Continuously</w:t>
            </w:r>
            <w:r>
              <w:rPr>
                <w:i/>
                <w:spacing w:val="-2"/>
                <w:sz w:val="22"/>
              </w:rPr>
              <w:t> </w:t>
            </w:r>
            <w:r>
              <w:rPr>
                <w:i/>
                <w:sz w:val="22"/>
              </w:rPr>
              <w:t>improve</w:t>
            </w:r>
            <w:r>
              <w:rPr>
                <w:i/>
                <w:spacing w:val="-4"/>
                <w:sz w:val="22"/>
              </w:rPr>
              <w:t> </w:t>
            </w:r>
            <w:r>
              <w:rPr>
                <w:i/>
                <w:sz w:val="22"/>
              </w:rPr>
              <w:t>the</w:t>
            </w:r>
            <w:r>
              <w:rPr>
                <w:i/>
                <w:spacing w:val="-2"/>
                <w:sz w:val="22"/>
              </w:rPr>
              <w:t> </w:t>
            </w:r>
            <w:r>
              <w:rPr>
                <w:i/>
                <w:sz w:val="22"/>
              </w:rPr>
              <w:t>array</w:t>
            </w:r>
            <w:r>
              <w:rPr>
                <w:i/>
                <w:spacing w:val="-3"/>
                <w:sz w:val="22"/>
              </w:rPr>
              <w:t> </w:t>
            </w:r>
            <w:r>
              <w:rPr>
                <w:i/>
                <w:sz w:val="22"/>
              </w:rPr>
              <w:t>of</w:t>
            </w:r>
            <w:r>
              <w:rPr>
                <w:i/>
                <w:spacing w:val="-3"/>
                <w:sz w:val="22"/>
              </w:rPr>
              <w:t> </w:t>
            </w:r>
            <w:r>
              <w:rPr>
                <w:i/>
                <w:sz w:val="22"/>
              </w:rPr>
              <w:t>services</w:t>
            </w:r>
            <w:r>
              <w:rPr>
                <w:i/>
                <w:spacing w:val="-4"/>
                <w:sz w:val="22"/>
              </w:rPr>
              <w:t> </w:t>
            </w:r>
            <w:r>
              <w:rPr>
                <w:i/>
                <w:sz w:val="22"/>
              </w:rPr>
              <w:t>funded</w:t>
            </w:r>
            <w:r>
              <w:rPr>
                <w:i/>
                <w:spacing w:val="-4"/>
                <w:sz w:val="22"/>
              </w:rPr>
              <w:t> </w:t>
            </w:r>
            <w:r>
              <w:rPr>
                <w:i/>
                <w:sz w:val="22"/>
              </w:rPr>
              <w:t>by</w:t>
            </w:r>
            <w:r>
              <w:rPr>
                <w:i/>
                <w:spacing w:val="-3"/>
                <w:sz w:val="22"/>
              </w:rPr>
              <w:t> </w:t>
            </w:r>
            <w:r>
              <w:rPr>
                <w:i/>
                <w:sz w:val="22"/>
              </w:rPr>
              <w:t>OPGS,</w:t>
            </w:r>
            <w:r>
              <w:rPr>
                <w:i/>
                <w:spacing w:val="-2"/>
                <w:sz w:val="22"/>
              </w:rPr>
              <w:t> </w:t>
            </w:r>
            <w:r>
              <w:rPr>
                <w:i/>
                <w:sz w:val="22"/>
              </w:rPr>
              <w:t>centered</w:t>
            </w:r>
            <w:r>
              <w:rPr>
                <w:i/>
                <w:spacing w:val="-3"/>
                <w:sz w:val="22"/>
              </w:rPr>
              <w:t> </w:t>
            </w:r>
            <w:r>
              <w:rPr>
                <w:i/>
                <w:sz w:val="22"/>
              </w:rPr>
              <w:t>on</w:t>
            </w:r>
            <w:r>
              <w:rPr>
                <w:i/>
                <w:spacing w:val="-4"/>
                <w:sz w:val="22"/>
              </w:rPr>
              <w:t> </w:t>
            </w:r>
            <w:r>
              <w:rPr>
                <w:i/>
                <w:sz w:val="22"/>
              </w:rPr>
              <w:t>equity</w:t>
            </w:r>
            <w:r>
              <w:rPr>
                <w:i/>
                <w:spacing w:val="-3"/>
                <w:sz w:val="22"/>
              </w:rPr>
              <w:t> </w:t>
            </w:r>
            <w:r>
              <w:rPr>
                <w:i/>
                <w:sz w:val="22"/>
              </w:rPr>
              <w:t>and</w:t>
            </w:r>
            <w:r>
              <w:rPr>
                <w:i/>
                <w:spacing w:val="-4"/>
                <w:sz w:val="22"/>
              </w:rPr>
              <w:t> </w:t>
            </w:r>
            <w:r>
              <w:rPr>
                <w:i/>
                <w:sz w:val="22"/>
              </w:rPr>
              <w:t>based</w:t>
            </w:r>
            <w:r>
              <w:rPr>
                <w:i/>
                <w:spacing w:val="-3"/>
                <w:sz w:val="22"/>
              </w:rPr>
              <w:t> </w:t>
            </w:r>
            <w:r>
              <w:rPr>
                <w:i/>
                <w:sz w:val="22"/>
              </w:rPr>
              <w:t>on</w:t>
            </w:r>
            <w:r>
              <w:rPr>
                <w:i/>
                <w:sz w:val="22"/>
              </w:rPr>
              <w:t> data, surveillance, and engagement of the community.</w:t>
            </w:r>
          </w:p>
        </w:tc>
      </w:tr>
      <w:tr>
        <w:trPr>
          <w:trHeight w:val="2289" w:hRule="atLeast"/>
        </w:trPr>
        <w:tc>
          <w:tcPr>
            <w:tcW w:w="9240" w:type="dxa"/>
            <w:tcBorders>
              <w:top w:val="nil"/>
              <w:bottom w:val="nil"/>
            </w:tcBorders>
            <w:shd w:val="clear" w:color="auto" w:fill="D9D9D9"/>
          </w:tcPr>
          <w:p>
            <w:pPr>
              <w:pStyle w:val="TableParagraph"/>
              <w:ind w:left="78"/>
              <w:rPr>
                <w:sz w:val="22"/>
              </w:rPr>
            </w:pPr>
            <w:r>
              <w:rPr>
                <w:spacing w:val="-2"/>
                <w:sz w:val="22"/>
              </w:rPr>
              <w:t>Strategies:</w:t>
            </w:r>
          </w:p>
          <w:p>
            <w:pPr>
              <w:pStyle w:val="TableParagraph"/>
              <w:numPr>
                <w:ilvl w:val="0"/>
                <w:numId w:val="15"/>
              </w:numPr>
              <w:tabs>
                <w:tab w:pos="798" w:val="left" w:leader="none"/>
              </w:tabs>
              <w:spacing w:line="240" w:lineRule="auto" w:before="180" w:after="0"/>
              <w:ind w:left="797" w:right="0" w:hanging="360"/>
              <w:jc w:val="both"/>
              <w:rPr>
                <w:sz w:val="22"/>
              </w:rPr>
            </w:pPr>
            <w:r>
              <w:rPr>
                <w:sz w:val="22"/>
              </w:rPr>
              <w:t>Produce</w:t>
            </w:r>
            <w:r>
              <w:rPr>
                <w:spacing w:val="-9"/>
                <w:sz w:val="22"/>
              </w:rPr>
              <w:t> </w:t>
            </w:r>
            <w:r>
              <w:rPr>
                <w:sz w:val="22"/>
              </w:rPr>
              <w:t>and</w:t>
            </w:r>
            <w:r>
              <w:rPr>
                <w:spacing w:val="-6"/>
                <w:sz w:val="22"/>
              </w:rPr>
              <w:t> </w:t>
            </w:r>
            <w:r>
              <w:rPr>
                <w:sz w:val="22"/>
              </w:rPr>
              <w:t>publish</w:t>
            </w:r>
            <w:r>
              <w:rPr>
                <w:spacing w:val="-8"/>
                <w:sz w:val="22"/>
              </w:rPr>
              <w:t> </w:t>
            </w:r>
            <w:r>
              <w:rPr>
                <w:sz w:val="22"/>
              </w:rPr>
              <w:t>an</w:t>
            </w:r>
            <w:r>
              <w:rPr>
                <w:spacing w:val="-8"/>
                <w:sz w:val="22"/>
              </w:rPr>
              <w:t> </w:t>
            </w:r>
            <w:r>
              <w:rPr>
                <w:sz w:val="22"/>
              </w:rPr>
              <w:t>annual</w:t>
            </w:r>
            <w:r>
              <w:rPr>
                <w:spacing w:val="-8"/>
                <w:sz w:val="22"/>
              </w:rPr>
              <w:t> </w:t>
            </w:r>
            <w:r>
              <w:rPr>
                <w:sz w:val="22"/>
              </w:rPr>
              <w:t>report</w:t>
            </w:r>
            <w:r>
              <w:rPr>
                <w:spacing w:val="-6"/>
                <w:sz w:val="22"/>
              </w:rPr>
              <w:t> </w:t>
            </w:r>
            <w:r>
              <w:rPr>
                <w:sz w:val="22"/>
              </w:rPr>
              <w:t>that</w:t>
            </w:r>
            <w:r>
              <w:rPr>
                <w:spacing w:val="-8"/>
                <w:sz w:val="22"/>
              </w:rPr>
              <w:t> </w:t>
            </w:r>
            <w:r>
              <w:rPr>
                <w:sz w:val="22"/>
              </w:rPr>
              <w:t>summarizes</w:t>
            </w:r>
            <w:r>
              <w:rPr>
                <w:spacing w:val="-8"/>
                <w:sz w:val="22"/>
              </w:rPr>
              <w:t> </w:t>
            </w:r>
            <w:r>
              <w:rPr>
                <w:sz w:val="22"/>
              </w:rPr>
              <w:t>OPGS</w:t>
            </w:r>
            <w:r>
              <w:rPr>
                <w:spacing w:val="-8"/>
                <w:sz w:val="22"/>
              </w:rPr>
              <w:t> </w:t>
            </w:r>
            <w:r>
              <w:rPr>
                <w:sz w:val="22"/>
              </w:rPr>
              <w:t>access</w:t>
            </w:r>
            <w:r>
              <w:rPr>
                <w:spacing w:val="-8"/>
                <w:sz w:val="22"/>
              </w:rPr>
              <w:t> </w:t>
            </w:r>
            <w:r>
              <w:rPr>
                <w:sz w:val="22"/>
              </w:rPr>
              <w:t>and</w:t>
            </w:r>
            <w:r>
              <w:rPr>
                <w:spacing w:val="-7"/>
                <w:sz w:val="22"/>
              </w:rPr>
              <w:t> </w:t>
            </w:r>
            <w:r>
              <w:rPr>
                <w:spacing w:val="-2"/>
                <w:sz w:val="22"/>
              </w:rPr>
              <w:t>impact.</w:t>
            </w:r>
          </w:p>
          <w:p>
            <w:pPr>
              <w:pStyle w:val="TableParagraph"/>
              <w:numPr>
                <w:ilvl w:val="0"/>
                <w:numId w:val="15"/>
              </w:numPr>
              <w:tabs>
                <w:tab w:pos="798" w:val="left" w:leader="none"/>
              </w:tabs>
              <w:spacing w:line="259" w:lineRule="auto" w:before="19" w:after="0"/>
              <w:ind w:left="798" w:right="1163" w:hanging="360"/>
              <w:jc w:val="both"/>
              <w:rPr>
                <w:sz w:val="22"/>
              </w:rPr>
            </w:pPr>
            <w:r>
              <w:rPr>
                <w:sz w:val="22"/>
              </w:rPr>
              <w:t>Conduct</w:t>
            </w:r>
            <w:r>
              <w:rPr>
                <w:spacing w:val="-2"/>
                <w:sz w:val="22"/>
              </w:rPr>
              <w:t> </w:t>
            </w:r>
            <w:r>
              <w:rPr>
                <w:sz w:val="22"/>
              </w:rPr>
              <w:t>annual</w:t>
            </w:r>
            <w:r>
              <w:rPr>
                <w:spacing w:val="-1"/>
                <w:sz w:val="22"/>
              </w:rPr>
              <w:t> </w:t>
            </w:r>
            <w:r>
              <w:rPr>
                <w:sz w:val="22"/>
              </w:rPr>
              <w:t>Stakeholder</w:t>
            </w:r>
            <w:r>
              <w:rPr>
                <w:spacing w:val="-2"/>
                <w:sz w:val="22"/>
              </w:rPr>
              <w:t> </w:t>
            </w:r>
            <w:r>
              <w:rPr>
                <w:sz w:val="22"/>
              </w:rPr>
              <w:t>Listening Sessions that</w:t>
            </w:r>
            <w:r>
              <w:rPr>
                <w:spacing w:val="-2"/>
                <w:sz w:val="22"/>
              </w:rPr>
              <w:t> </w:t>
            </w:r>
            <w:r>
              <w:rPr>
                <w:sz w:val="22"/>
              </w:rPr>
              <w:t>include</w:t>
            </w:r>
            <w:r>
              <w:rPr>
                <w:spacing w:val="-2"/>
                <w:sz w:val="22"/>
              </w:rPr>
              <w:t> </w:t>
            </w:r>
            <w:r>
              <w:rPr>
                <w:sz w:val="22"/>
              </w:rPr>
              <w:t>reports</w:t>
            </w:r>
            <w:r>
              <w:rPr>
                <w:spacing w:val="-1"/>
                <w:sz w:val="22"/>
              </w:rPr>
              <w:t> </w:t>
            </w:r>
            <w:r>
              <w:rPr>
                <w:sz w:val="22"/>
              </w:rPr>
              <w:t>out</w:t>
            </w:r>
            <w:r>
              <w:rPr>
                <w:spacing w:val="-2"/>
                <w:sz w:val="22"/>
              </w:rPr>
              <w:t> </w:t>
            </w:r>
            <w:r>
              <w:rPr>
                <w:sz w:val="22"/>
              </w:rPr>
              <w:t>to</w:t>
            </w:r>
            <w:r>
              <w:rPr>
                <w:spacing w:val="-1"/>
                <w:sz w:val="22"/>
              </w:rPr>
              <w:t> </w:t>
            </w:r>
            <w:r>
              <w:rPr>
                <w:sz w:val="22"/>
              </w:rPr>
              <w:t>the community,</w:t>
            </w:r>
            <w:r>
              <w:rPr>
                <w:spacing w:val="-4"/>
                <w:sz w:val="22"/>
              </w:rPr>
              <w:t> </w:t>
            </w:r>
            <w:r>
              <w:rPr>
                <w:sz w:val="22"/>
              </w:rPr>
              <w:t>listening</w:t>
            </w:r>
            <w:r>
              <w:rPr>
                <w:spacing w:val="-5"/>
                <w:sz w:val="22"/>
              </w:rPr>
              <w:t> </w:t>
            </w:r>
            <w:r>
              <w:rPr>
                <w:sz w:val="22"/>
              </w:rPr>
              <w:t>to</w:t>
            </w:r>
            <w:r>
              <w:rPr>
                <w:spacing w:val="-5"/>
                <w:sz w:val="22"/>
              </w:rPr>
              <w:t> </w:t>
            </w:r>
            <w:r>
              <w:rPr>
                <w:sz w:val="22"/>
              </w:rPr>
              <w:t>the</w:t>
            </w:r>
            <w:r>
              <w:rPr>
                <w:spacing w:val="-5"/>
                <w:sz w:val="22"/>
              </w:rPr>
              <w:t> </w:t>
            </w:r>
            <w:r>
              <w:rPr>
                <w:sz w:val="22"/>
              </w:rPr>
              <w:t>community</w:t>
            </w:r>
            <w:r>
              <w:rPr>
                <w:spacing w:val="-4"/>
                <w:sz w:val="22"/>
              </w:rPr>
              <w:t> </w:t>
            </w:r>
            <w:r>
              <w:rPr>
                <w:sz w:val="22"/>
              </w:rPr>
              <w:t>voice,</w:t>
            </w:r>
            <w:r>
              <w:rPr>
                <w:spacing w:val="-5"/>
                <w:sz w:val="22"/>
              </w:rPr>
              <w:t> </w:t>
            </w:r>
            <w:r>
              <w:rPr>
                <w:sz w:val="22"/>
              </w:rPr>
              <w:t>and</w:t>
            </w:r>
            <w:r>
              <w:rPr>
                <w:spacing w:val="-5"/>
                <w:sz w:val="22"/>
              </w:rPr>
              <w:t> </w:t>
            </w:r>
            <w:r>
              <w:rPr>
                <w:sz w:val="22"/>
              </w:rPr>
              <w:t>publishing</w:t>
            </w:r>
            <w:r>
              <w:rPr>
                <w:spacing w:val="-5"/>
                <w:sz w:val="22"/>
              </w:rPr>
              <w:t> </w:t>
            </w:r>
            <w:r>
              <w:rPr>
                <w:sz w:val="22"/>
              </w:rPr>
              <w:t>summaries</w:t>
            </w:r>
            <w:r>
              <w:rPr>
                <w:spacing w:val="-5"/>
                <w:sz w:val="22"/>
              </w:rPr>
              <w:t> </w:t>
            </w:r>
            <w:r>
              <w:rPr>
                <w:sz w:val="22"/>
              </w:rPr>
              <w:t>of</w:t>
            </w:r>
            <w:r>
              <w:rPr>
                <w:spacing w:val="-3"/>
                <w:sz w:val="22"/>
              </w:rPr>
              <w:t> </w:t>
            </w:r>
            <w:r>
              <w:rPr>
                <w:sz w:val="22"/>
              </w:rPr>
              <w:t>the community’s input and feedback.</w:t>
            </w:r>
          </w:p>
          <w:p>
            <w:pPr>
              <w:pStyle w:val="TableParagraph"/>
              <w:numPr>
                <w:ilvl w:val="0"/>
                <w:numId w:val="15"/>
              </w:numPr>
              <w:tabs>
                <w:tab w:pos="798" w:val="left" w:leader="none"/>
              </w:tabs>
              <w:spacing w:line="249" w:lineRule="exact" w:before="0" w:after="0"/>
              <w:ind w:left="798" w:right="0" w:hanging="360"/>
              <w:jc w:val="both"/>
              <w:rPr>
                <w:rFonts w:ascii="Arial"/>
                <w:sz w:val="20"/>
              </w:rPr>
            </w:pPr>
            <w:r>
              <w:rPr>
                <w:sz w:val="22"/>
              </w:rPr>
              <w:t>Conduct</w:t>
            </w:r>
            <w:r>
              <w:rPr>
                <w:spacing w:val="-11"/>
                <w:sz w:val="22"/>
              </w:rPr>
              <w:t> </w:t>
            </w:r>
            <w:r>
              <w:rPr>
                <w:sz w:val="22"/>
              </w:rPr>
              <w:t>evaluations</w:t>
            </w:r>
            <w:r>
              <w:rPr>
                <w:spacing w:val="-11"/>
                <w:sz w:val="22"/>
              </w:rPr>
              <w:t> </w:t>
            </w:r>
            <w:r>
              <w:rPr>
                <w:sz w:val="22"/>
              </w:rPr>
              <w:t>of</w:t>
            </w:r>
            <w:r>
              <w:rPr>
                <w:spacing w:val="-10"/>
                <w:sz w:val="22"/>
              </w:rPr>
              <w:t> </w:t>
            </w:r>
            <w:r>
              <w:rPr>
                <w:sz w:val="22"/>
              </w:rPr>
              <w:t>programs</w:t>
            </w:r>
            <w:r>
              <w:rPr>
                <w:spacing w:val="-10"/>
                <w:sz w:val="22"/>
              </w:rPr>
              <w:t> </w:t>
            </w:r>
            <w:r>
              <w:rPr>
                <w:sz w:val="22"/>
              </w:rPr>
              <w:t>and</w:t>
            </w:r>
            <w:r>
              <w:rPr>
                <w:spacing w:val="-9"/>
                <w:sz w:val="22"/>
              </w:rPr>
              <w:t> </w:t>
            </w:r>
            <w:r>
              <w:rPr>
                <w:sz w:val="22"/>
              </w:rPr>
              <w:t>publish</w:t>
            </w:r>
            <w:r>
              <w:rPr>
                <w:spacing w:val="-10"/>
                <w:sz w:val="22"/>
              </w:rPr>
              <w:t> </w:t>
            </w:r>
            <w:r>
              <w:rPr>
                <w:sz w:val="22"/>
              </w:rPr>
              <w:t>evaluation</w:t>
            </w:r>
            <w:r>
              <w:rPr>
                <w:spacing w:val="-9"/>
                <w:sz w:val="22"/>
              </w:rPr>
              <w:t> </w:t>
            </w:r>
            <w:r>
              <w:rPr>
                <w:spacing w:val="-2"/>
                <w:sz w:val="22"/>
              </w:rPr>
              <w:t>reports.</w:t>
            </w:r>
          </w:p>
          <w:p>
            <w:pPr>
              <w:pStyle w:val="TableParagraph"/>
              <w:numPr>
                <w:ilvl w:val="0"/>
                <w:numId w:val="15"/>
              </w:numPr>
              <w:tabs>
                <w:tab w:pos="798" w:val="left" w:leader="none"/>
              </w:tabs>
              <w:spacing w:line="240" w:lineRule="auto" w:before="20" w:after="0"/>
              <w:ind w:left="797" w:right="0" w:hanging="360"/>
              <w:jc w:val="both"/>
              <w:rPr>
                <w:sz w:val="22"/>
              </w:rPr>
            </w:pPr>
            <w:r>
              <w:rPr>
                <w:sz w:val="22"/>
              </w:rPr>
              <w:t>Conduct</w:t>
            </w:r>
            <w:r>
              <w:rPr>
                <w:spacing w:val="-10"/>
                <w:sz w:val="22"/>
              </w:rPr>
              <w:t> </w:t>
            </w:r>
            <w:r>
              <w:rPr>
                <w:sz w:val="22"/>
              </w:rPr>
              <w:t>needs</w:t>
            </w:r>
            <w:r>
              <w:rPr>
                <w:spacing w:val="-9"/>
                <w:sz w:val="22"/>
              </w:rPr>
              <w:t> </w:t>
            </w:r>
            <w:r>
              <w:rPr>
                <w:sz w:val="22"/>
              </w:rPr>
              <w:t>assessments</w:t>
            </w:r>
            <w:r>
              <w:rPr>
                <w:spacing w:val="-8"/>
                <w:sz w:val="22"/>
              </w:rPr>
              <w:t> </w:t>
            </w:r>
            <w:r>
              <w:rPr>
                <w:sz w:val="22"/>
              </w:rPr>
              <w:t>and</w:t>
            </w:r>
            <w:r>
              <w:rPr>
                <w:spacing w:val="-9"/>
                <w:sz w:val="22"/>
              </w:rPr>
              <w:t> </w:t>
            </w:r>
            <w:r>
              <w:rPr>
                <w:sz w:val="22"/>
              </w:rPr>
              <w:t>pilot</w:t>
            </w:r>
            <w:r>
              <w:rPr>
                <w:spacing w:val="-8"/>
                <w:sz w:val="22"/>
              </w:rPr>
              <w:t> </w:t>
            </w:r>
            <w:r>
              <w:rPr>
                <w:spacing w:val="-2"/>
                <w:sz w:val="22"/>
              </w:rPr>
              <w:t>programs.</w:t>
            </w:r>
          </w:p>
        </w:tc>
      </w:tr>
      <w:tr>
        <w:trPr>
          <w:trHeight w:val="1147" w:hRule="atLeast"/>
        </w:trPr>
        <w:tc>
          <w:tcPr>
            <w:tcW w:w="9240" w:type="dxa"/>
            <w:tcBorders>
              <w:top w:val="nil"/>
            </w:tcBorders>
            <w:shd w:val="clear" w:color="auto" w:fill="BEBEBE"/>
          </w:tcPr>
          <w:p>
            <w:pPr>
              <w:pStyle w:val="TableParagraph"/>
              <w:ind w:left="78"/>
              <w:rPr>
                <w:sz w:val="22"/>
              </w:rPr>
            </w:pPr>
            <w:r>
              <w:rPr>
                <w:spacing w:val="-2"/>
                <w:sz w:val="22"/>
              </w:rPr>
              <w:t>Measures:</w:t>
            </w:r>
          </w:p>
          <w:p>
            <w:pPr>
              <w:pStyle w:val="TableParagraph"/>
              <w:numPr>
                <w:ilvl w:val="0"/>
                <w:numId w:val="16"/>
              </w:numPr>
              <w:tabs>
                <w:tab w:pos="797" w:val="left" w:leader="none"/>
                <w:tab w:pos="798" w:val="left" w:leader="none"/>
              </w:tabs>
              <w:spacing w:line="256" w:lineRule="auto" w:before="179" w:after="0"/>
              <w:ind w:left="798" w:right="355" w:hanging="360"/>
              <w:jc w:val="left"/>
              <w:rPr>
                <w:sz w:val="22"/>
              </w:rPr>
            </w:pPr>
            <w:r>
              <w:rPr>
                <w:sz w:val="22"/>
              </w:rPr>
              <w:t>Year-over-year</w:t>
            </w:r>
            <w:r>
              <w:rPr>
                <w:spacing w:val="-4"/>
                <w:sz w:val="22"/>
              </w:rPr>
              <w:t> </w:t>
            </w:r>
            <w:r>
              <w:rPr>
                <w:sz w:val="22"/>
              </w:rPr>
              <w:t>adjustments</w:t>
            </w:r>
            <w:r>
              <w:rPr>
                <w:spacing w:val="-4"/>
                <w:sz w:val="22"/>
              </w:rPr>
              <w:t> </w:t>
            </w:r>
            <w:r>
              <w:rPr>
                <w:sz w:val="22"/>
              </w:rPr>
              <w:t>to</w:t>
            </w:r>
            <w:r>
              <w:rPr>
                <w:spacing w:val="-4"/>
                <w:sz w:val="22"/>
              </w:rPr>
              <w:t> </w:t>
            </w:r>
            <w:r>
              <w:rPr>
                <w:sz w:val="22"/>
              </w:rPr>
              <w:t>the</w:t>
            </w:r>
            <w:r>
              <w:rPr>
                <w:spacing w:val="-5"/>
                <w:sz w:val="22"/>
              </w:rPr>
              <w:t> </w:t>
            </w:r>
            <w:r>
              <w:rPr>
                <w:sz w:val="22"/>
              </w:rPr>
              <w:t>array</w:t>
            </w:r>
            <w:r>
              <w:rPr>
                <w:spacing w:val="-4"/>
                <w:sz w:val="22"/>
              </w:rPr>
              <w:t> </w:t>
            </w:r>
            <w:r>
              <w:rPr>
                <w:sz w:val="22"/>
              </w:rPr>
              <w:t>of</w:t>
            </w:r>
            <w:r>
              <w:rPr>
                <w:spacing w:val="-4"/>
                <w:sz w:val="22"/>
              </w:rPr>
              <w:t> </w:t>
            </w:r>
            <w:r>
              <w:rPr>
                <w:sz w:val="22"/>
              </w:rPr>
              <w:t>services</w:t>
            </w:r>
            <w:r>
              <w:rPr>
                <w:spacing w:val="-4"/>
                <w:sz w:val="22"/>
              </w:rPr>
              <w:t> </w:t>
            </w:r>
            <w:r>
              <w:rPr>
                <w:sz w:val="22"/>
              </w:rPr>
              <w:t>funded</w:t>
            </w:r>
            <w:r>
              <w:rPr>
                <w:spacing w:val="-4"/>
                <w:sz w:val="22"/>
              </w:rPr>
              <w:t> </w:t>
            </w:r>
            <w:r>
              <w:rPr>
                <w:sz w:val="22"/>
              </w:rPr>
              <w:t>by</w:t>
            </w:r>
            <w:r>
              <w:rPr>
                <w:spacing w:val="-3"/>
                <w:sz w:val="22"/>
              </w:rPr>
              <w:t> </w:t>
            </w:r>
            <w:r>
              <w:rPr>
                <w:sz w:val="22"/>
              </w:rPr>
              <w:t>OPGS,</w:t>
            </w:r>
            <w:r>
              <w:rPr>
                <w:spacing w:val="-4"/>
                <w:sz w:val="22"/>
              </w:rPr>
              <w:t> </w:t>
            </w:r>
            <w:r>
              <w:rPr>
                <w:sz w:val="22"/>
              </w:rPr>
              <w:t>including</w:t>
            </w:r>
            <w:r>
              <w:rPr>
                <w:spacing w:val="-4"/>
                <w:sz w:val="22"/>
              </w:rPr>
              <w:t> </w:t>
            </w:r>
            <w:r>
              <w:rPr>
                <w:sz w:val="22"/>
              </w:rPr>
              <w:t>numbers and demographics of people served and services provided</w:t>
            </w:r>
          </w:p>
        </w:tc>
      </w:tr>
    </w:tbl>
    <w:p>
      <w:pPr>
        <w:pStyle w:val="BodyText"/>
        <w:rPr>
          <w:sz w:val="20"/>
        </w:rPr>
      </w:pPr>
    </w:p>
    <w:p>
      <w:pPr>
        <w:pStyle w:val="BodyText"/>
        <w:spacing w:before="2"/>
        <w:rPr>
          <w:sz w:val="21"/>
        </w:rPr>
      </w:pPr>
    </w:p>
    <w:p>
      <w:pPr>
        <w:pStyle w:val="Heading3"/>
      </w:pPr>
      <w:bookmarkStart w:name="Conclusion" w:id="36"/>
      <w:bookmarkEnd w:id="36"/>
      <w:r>
        <w:rPr/>
      </w:r>
      <w:bookmarkStart w:name="_bookmark18" w:id="37"/>
      <w:bookmarkEnd w:id="37"/>
      <w:r>
        <w:rPr/>
      </w:r>
      <w:r>
        <w:rPr>
          <w:color w:val="032D52"/>
          <w:spacing w:val="-2"/>
        </w:rPr>
        <w:t>CONCLUSION</w:t>
      </w:r>
    </w:p>
    <w:p>
      <w:pPr>
        <w:pStyle w:val="BodyText"/>
        <w:spacing w:line="259" w:lineRule="auto"/>
        <w:ind w:left="479" w:right="164"/>
      </w:pPr>
      <w:r>
        <w:rPr/>
        <w:t>Over the period 2022-2026, OPGS will build on the lessons learned, and on feedback from community voices that are central to the strong foundation established in implementing the prior strategic plan by expanding reach and enhancing effectiveness to ensure health and wellness for</w:t>
      </w:r>
      <w:r>
        <w:rPr/>
        <w:t> ALL people in Massachusetts affected by problem gambling. OPGS will continue to take its primary inspiration</w:t>
      </w:r>
      <w:r>
        <w:rPr>
          <w:spacing w:val="-4"/>
        </w:rPr>
        <w:t> </w:t>
      </w:r>
      <w:r>
        <w:rPr/>
        <w:t>and</w:t>
      </w:r>
      <w:r>
        <w:rPr>
          <w:spacing w:val="-3"/>
        </w:rPr>
        <w:t> </w:t>
      </w:r>
      <w:r>
        <w:rPr/>
        <w:t>direction</w:t>
      </w:r>
      <w:r>
        <w:rPr>
          <w:spacing w:val="-4"/>
        </w:rPr>
        <w:t> </w:t>
      </w:r>
      <w:r>
        <w:rPr/>
        <w:t>from</w:t>
      </w:r>
      <w:r>
        <w:rPr>
          <w:spacing w:val="-3"/>
        </w:rPr>
        <w:t> </w:t>
      </w:r>
      <w:r>
        <w:rPr/>
        <w:t>the</w:t>
      </w:r>
      <w:r>
        <w:rPr>
          <w:spacing w:val="-4"/>
        </w:rPr>
        <w:t> </w:t>
      </w:r>
      <w:r>
        <w:rPr/>
        <w:t>voice</w:t>
      </w:r>
      <w:r>
        <w:rPr>
          <w:spacing w:val="-4"/>
        </w:rPr>
        <w:t> </w:t>
      </w:r>
      <w:r>
        <w:rPr/>
        <w:t>of</w:t>
      </w:r>
      <w:r>
        <w:rPr>
          <w:spacing w:val="-3"/>
        </w:rPr>
        <w:t> </w:t>
      </w:r>
      <w:r>
        <w:rPr/>
        <w:t>the</w:t>
      </w:r>
      <w:r>
        <w:rPr>
          <w:spacing w:val="-4"/>
        </w:rPr>
        <w:t> </w:t>
      </w:r>
      <w:r>
        <w:rPr/>
        <w:t>community,</w:t>
      </w:r>
      <w:r>
        <w:rPr>
          <w:spacing w:val="-3"/>
        </w:rPr>
        <w:t> </w:t>
      </w:r>
      <w:r>
        <w:rPr/>
        <w:t>supported</w:t>
      </w:r>
      <w:r>
        <w:rPr>
          <w:spacing w:val="-3"/>
        </w:rPr>
        <w:t> </w:t>
      </w:r>
      <w:r>
        <w:rPr/>
        <w:t>and</w:t>
      </w:r>
      <w:r>
        <w:rPr>
          <w:spacing w:val="-3"/>
        </w:rPr>
        <w:t> </w:t>
      </w:r>
      <w:r>
        <w:rPr/>
        <w:t>further</w:t>
      </w:r>
      <w:r>
        <w:rPr>
          <w:spacing w:val="-4"/>
        </w:rPr>
        <w:t> </w:t>
      </w:r>
      <w:r>
        <w:rPr/>
        <w:t>informed</w:t>
      </w:r>
      <w:r>
        <w:rPr>
          <w:spacing w:val="-3"/>
        </w:rPr>
        <w:t> </w:t>
      </w:r>
      <w:r>
        <w:rPr/>
        <w:t>by</w:t>
      </w:r>
      <w:r>
        <w:rPr>
          <w:spacing w:val="-3"/>
        </w:rPr>
        <w:t> </w:t>
      </w:r>
      <w:r>
        <w:rPr/>
        <w:t>data</w:t>
      </w:r>
      <w:r>
        <w:rPr>
          <w:spacing w:val="-3"/>
        </w:rPr>
        <w:t> </w:t>
      </w:r>
      <w:r>
        <w:rPr/>
        <w:t>to promote equity at the community level. OPGS will work closely with partners to combat health inequities, preventing harm from problem gambling where possible, and maximizing equitable access to treatment and recovery services.</w:t>
      </w:r>
    </w:p>
    <w:sectPr>
      <w:pgSz w:w="12240" w:h="15840"/>
      <w:pgMar w:header="438" w:footer="444" w:top="1320" w:bottom="640" w:left="960" w:right="13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Franklin Gothic Book">
    <w:altName w:val="Franklin Gothic Book"/>
    <w:charset w:val="0"/>
    <w:family w:val="swiss"/>
    <w:pitch w:val="variable"/>
  </w:font>
  <w:font w:name="Symbol">
    <w:altName w:val="Symbol"/>
    <w:charset w:val="2"/>
    <w:family w:val="roman"/>
    <w:pitch w:val="variable"/>
  </w:font>
  <w:font w:name="Courier New">
    <w:altName w:val="Courier New"/>
    <w:charset w:val="0"/>
    <w:family w:val="modern"/>
    <w:pitch w:val="fixed"/>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34.5pt;margin-top:759.780029pt;width:538.501pt;height:.48pt;mso-position-horizontal-relative:page;mso-position-vertical-relative:page;z-index:-16089600" id="docshape3" filled="true" fillcolor="#a6a6a6" stroked="false">
          <v:fill type="solid"/>
          <w10:wrap type="none"/>
        </v:rect>
      </w:pict>
    </w:r>
    <w:r>
      <w:rPr/>
      <w:pict>
        <v:shape style="position:absolute;margin-left:35pt;margin-top:760.495911pt;width:143.7pt;height:10.95pt;mso-position-horizontal-relative:page;mso-position-vertical-relative:page;z-index:-16089088" type="#_x0000_t202" id="docshape4" filled="false" stroked="false">
          <v:textbox inset="0,0,0,0">
            <w:txbxContent>
              <w:p>
                <w:pPr>
                  <w:spacing w:before="14"/>
                  <w:ind w:left="20" w:right="0" w:firstLine="0"/>
                  <w:jc w:val="left"/>
                  <w:rPr>
                    <w:rFonts w:ascii="Arial"/>
                    <w:sz w:val="16"/>
                  </w:rPr>
                </w:pPr>
                <w:r>
                  <w:rPr>
                    <w:rFonts w:ascii="Arial"/>
                    <w:color w:val="888888"/>
                    <w:sz w:val="16"/>
                  </w:rPr>
                  <w:t>Office</w:t>
                </w:r>
                <w:r>
                  <w:rPr>
                    <w:rFonts w:ascii="Arial"/>
                    <w:color w:val="888888"/>
                    <w:spacing w:val="35"/>
                    <w:sz w:val="16"/>
                  </w:rPr>
                  <w:t> </w:t>
                </w:r>
                <w:r>
                  <w:rPr>
                    <w:rFonts w:ascii="Arial"/>
                    <w:color w:val="888888"/>
                    <w:sz w:val="16"/>
                  </w:rPr>
                  <w:t>of</w:t>
                </w:r>
                <w:r>
                  <w:rPr>
                    <w:rFonts w:ascii="Arial"/>
                    <w:color w:val="888888"/>
                    <w:spacing w:val="35"/>
                    <w:sz w:val="16"/>
                  </w:rPr>
                  <w:t> </w:t>
                </w:r>
                <w:r>
                  <w:rPr>
                    <w:rFonts w:ascii="Arial"/>
                    <w:color w:val="888888"/>
                    <w:sz w:val="16"/>
                  </w:rPr>
                  <w:t>Problem</w:t>
                </w:r>
                <w:r>
                  <w:rPr>
                    <w:rFonts w:ascii="Arial"/>
                    <w:color w:val="888888"/>
                    <w:spacing w:val="36"/>
                    <w:sz w:val="16"/>
                  </w:rPr>
                  <w:t> </w:t>
                </w:r>
                <w:r>
                  <w:rPr>
                    <w:rFonts w:ascii="Arial"/>
                    <w:color w:val="888888"/>
                    <w:sz w:val="16"/>
                  </w:rPr>
                  <w:t>Gambling</w:t>
                </w:r>
                <w:r>
                  <w:rPr>
                    <w:rFonts w:ascii="Arial"/>
                    <w:color w:val="888888"/>
                    <w:spacing w:val="35"/>
                    <w:sz w:val="16"/>
                  </w:rPr>
                  <w:t> </w:t>
                </w:r>
                <w:r>
                  <w:rPr>
                    <w:rFonts w:ascii="Arial"/>
                    <w:color w:val="888888"/>
                    <w:spacing w:val="-2"/>
                    <w:sz w:val="16"/>
                  </w:rPr>
                  <w:t>Services</w:t>
                </w:r>
              </w:p>
            </w:txbxContent>
          </v:textbox>
          <w10:wrap type="none"/>
        </v:shape>
      </w:pict>
    </w:r>
    <w:r>
      <w:rPr/>
      <w:pict>
        <v:shape style="position:absolute;margin-left:555.003723pt;margin-top:760.495911pt;width:16.5pt;height:10.95pt;mso-position-horizontal-relative:page;mso-position-vertical-relative:page;z-index:-16088576" type="#_x0000_t202" id="docshape5" filled="false" stroked="false">
          <v:textbox inset="0,0,0,0">
            <w:txbxContent>
              <w:p>
                <w:pPr>
                  <w:spacing w:before="14"/>
                  <w:ind w:left="60" w:right="0" w:firstLine="0"/>
                  <w:jc w:val="left"/>
                  <w:rPr>
                    <w:rFonts w:ascii="Arial"/>
                    <w:sz w:val="16"/>
                  </w:rPr>
                </w:pPr>
                <w:r>
                  <w:rPr>
                    <w:rFonts w:ascii="Arial"/>
                    <w:color w:val="888888"/>
                    <w:spacing w:val="-5"/>
                    <w:sz w:val="16"/>
                  </w:rPr>
                  <w:fldChar w:fldCharType="begin"/>
                </w:r>
                <w:r>
                  <w:rPr>
                    <w:rFonts w:ascii="Arial"/>
                    <w:color w:val="888888"/>
                    <w:spacing w:val="-5"/>
                    <w:sz w:val="16"/>
                  </w:rPr>
                  <w:instrText> PAGE </w:instrText>
                </w:r>
                <w:r>
                  <w:rPr>
                    <w:rFonts w:ascii="Arial"/>
                    <w:color w:val="888888"/>
                    <w:spacing w:val="-5"/>
                    <w:sz w:val="16"/>
                  </w:rPr>
                  <w:fldChar w:fldCharType="separate"/>
                </w:r>
                <w:r>
                  <w:rPr>
                    <w:rFonts w:ascii="Arial"/>
                    <w:color w:val="888888"/>
                    <w:spacing w:val="-5"/>
                    <w:sz w:val="16"/>
                  </w:rPr>
                  <w:t>10</w:t>
                </w:r>
                <w:r>
                  <w:rPr>
                    <w:rFonts w:ascii="Arial"/>
                    <w:color w:val="888888"/>
                    <w:spacing w:val="-5"/>
                    <w:sz w:val="16"/>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43.5pt;margin-top:50.159pt;width:529.501pt;height:.481pt;mso-position-horizontal-relative:page;mso-position-vertical-relative:page;z-index:-16090624" id="docshape1" filled="true" fillcolor="#a6a6a6" stroked="false">
          <v:fill type="solid"/>
          <w10:wrap type="none"/>
        </v:rect>
      </w:pict>
    </w:r>
    <w:r>
      <w:rPr/>
      <w:pict>
        <v:shapetype id="_x0000_t202" o:spt="202" coordsize="21600,21600" path="m,l,21600r21600,l21600,xe">
          <v:stroke joinstyle="miter"/>
          <v:path gradientshapeok="t" o:connecttype="rect"/>
        </v:shapetype>
        <v:shape style="position:absolute;margin-left:402.559998pt;margin-top:20.875917pt;width:170pt;height:29.35pt;mso-position-horizontal-relative:page;mso-position-vertical-relative:page;z-index:-16090112" type="#_x0000_t202" id="docshape2" filled="false" stroked="false">
          <v:textbox inset="0,0,0,0">
            <w:txbxContent>
              <w:p>
                <w:pPr>
                  <w:spacing w:before="14"/>
                  <w:ind w:left="527" w:right="18" w:hanging="508"/>
                  <w:jc w:val="right"/>
                  <w:rPr>
                    <w:rFonts w:ascii="Arial"/>
                    <w:sz w:val="16"/>
                  </w:rPr>
                </w:pPr>
                <w:r>
                  <w:rPr>
                    <w:rFonts w:ascii="Arial"/>
                    <w:color w:val="888888"/>
                    <w:sz w:val="16"/>
                  </w:rPr>
                  <w:t>Massachusetts Department of Public Health</w:t>
                </w:r>
                <w:r>
                  <w:rPr>
                    <w:rFonts w:ascii="Arial"/>
                    <w:color w:val="888888"/>
                    <w:spacing w:val="80"/>
                    <w:sz w:val="16"/>
                  </w:rPr>
                  <w:t> </w:t>
                </w:r>
                <w:r>
                  <w:rPr>
                    <w:rFonts w:ascii="Arial"/>
                    <w:color w:val="888888"/>
                    <w:sz w:val="16"/>
                  </w:rPr>
                  <w:t>Office</w:t>
                </w:r>
                <w:r>
                  <w:rPr>
                    <w:rFonts w:ascii="Arial"/>
                    <w:color w:val="888888"/>
                    <w:spacing w:val="35"/>
                    <w:sz w:val="16"/>
                  </w:rPr>
                  <w:t> </w:t>
                </w:r>
                <w:r>
                  <w:rPr>
                    <w:rFonts w:ascii="Arial"/>
                    <w:color w:val="888888"/>
                    <w:sz w:val="16"/>
                  </w:rPr>
                  <w:t>of</w:t>
                </w:r>
                <w:r>
                  <w:rPr>
                    <w:rFonts w:ascii="Arial"/>
                    <w:color w:val="888888"/>
                    <w:spacing w:val="35"/>
                    <w:sz w:val="16"/>
                  </w:rPr>
                  <w:t> </w:t>
                </w:r>
                <w:r>
                  <w:rPr>
                    <w:rFonts w:ascii="Arial"/>
                    <w:color w:val="888888"/>
                    <w:sz w:val="16"/>
                  </w:rPr>
                  <w:t>Program</w:t>
                </w:r>
                <w:r>
                  <w:rPr>
                    <w:rFonts w:ascii="Arial"/>
                    <w:color w:val="888888"/>
                    <w:spacing w:val="36"/>
                    <w:sz w:val="16"/>
                  </w:rPr>
                  <w:t> </w:t>
                </w:r>
                <w:r>
                  <w:rPr>
                    <w:rFonts w:ascii="Arial"/>
                    <w:color w:val="888888"/>
                    <w:sz w:val="16"/>
                  </w:rPr>
                  <w:t>Gambling</w:t>
                </w:r>
                <w:r>
                  <w:rPr>
                    <w:rFonts w:ascii="Arial"/>
                    <w:color w:val="888888"/>
                    <w:spacing w:val="35"/>
                    <w:sz w:val="16"/>
                  </w:rPr>
                  <w:t> </w:t>
                </w:r>
                <w:r>
                  <w:rPr>
                    <w:rFonts w:ascii="Arial"/>
                    <w:color w:val="888888"/>
                    <w:spacing w:val="-2"/>
                    <w:sz w:val="16"/>
                  </w:rPr>
                  <w:t>Services</w:t>
                </w:r>
              </w:p>
              <w:p>
                <w:pPr>
                  <w:spacing w:before="0"/>
                  <w:ind w:left="0" w:right="20" w:firstLine="0"/>
                  <w:jc w:val="right"/>
                  <w:rPr>
                    <w:rFonts w:ascii="Arial"/>
                    <w:sz w:val="16"/>
                  </w:rPr>
                </w:pPr>
                <w:r>
                  <w:rPr>
                    <w:rFonts w:ascii="Arial"/>
                    <w:color w:val="888888"/>
                    <w:sz w:val="16"/>
                  </w:rPr>
                  <w:t>Strategic</w:t>
                </w:r>
                <w:r>
                  <w:rPr>
                    <w:rFonts w:ascii="Arial"/>
                    <w:color w:val="888888"/>
                    <w:spacing w:val="52"/>
                    <w:sz w:val="16"/>
                  </w:rPr>
                  <w:t> </w:t>
                </w:r>
                <w:r>
                  <w:rPr>
                    <w:rFonts w:ascii="Arial"/>
                    <w:color w:val="888888"/>
                    <w:sz w:val="16"/>
                  </w:rPr>
                  <w:t>Plan</w:t>
                </w:r>
                <w:r>
                  <w:rPr>
                    <w:rFonts w:ascii="Arial"/>
                    <w:color w:val="888888"/>
                    <w:spacing w:val="52"/>
                    <w:sz w:val="16"/>
                  </w:rPr>
                  <w:t> </w:t>
                </w:r>
                <w:r>
                  <w:rPr>
                    <w:rFonts w:ascii="Arial"/>
                    <w:color w:val="888888"/>
                    <w:sz w:val="16"/>
                  </w:rPr>
                  <w:t>2022-</w:t>
                </w:r>
                <w:r>
                  <w:rPr>
                    <w:rFonts w:ascii="Arial"/>
                    <w:color w:val="888888"/>
                    <w:spacing w:val="-4"/>
                    <w:sz w:val="16"/>
                  </w:rPr>
                  <w:t>2026</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0"/>
      <w:numFmt w:val="bullet"/>
      <w:lvlText w:val=""/>
      <w:lvlJc w:val="left"/>
      <w:pPr>
        <w:ind w:left="798" w:hanging="360"/>
      </w:pPr>
      <w:rPr>
        <w:rFonts w:hint="default" w:ascii="Symbol" w:hAnsi="Symbol" w:eastAsia="Symbol" w:cs="Symbol"/>
        <w:b w:val="0"/>
        <w:bCs w:val="0"/>
        <w:i w:val="0"/>
        <w:iCs w:val="0"/>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14">
    <w:multiLevelType w:val="hybridMultilevel"/>
    <w:lvl w:ilvl="0">
      <w:start w:val="1"/>
      <w:numFmt w:val="upperLetter"/>
      <w:lvlText w:val="%1."/>
      <w:lvlJc w:val="left"/>
      <w:pPr>
        <w:ind w:left="797" w:hanging="360"/>
        <w:jc w:val="left"/>
      </w:pPr>
      <w:rPr>
        <w:rFonts w:hint="default"/>
        <w:spacing w:val="-1"/>
        <w:w w:val="99"/>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13">
    <w:multiLevelType w:val="hybridMultilevel"/>
    <w:lvl w:ilvl="0">
      <w:start w:val="0"/>
      <w:numFmt w:val="bullet"/>
      <w:lvlText w:val=""/>
      <w:lvlJc w:val="left"/>
      <w:pPr>
        <w:ind w:left="798" w:hanging="360"/>
      </w:pPr>
      <w:rPr>
        <w:rFonts w:hint="default" w:ascii="Symbol" w:hAnsi="Symbol" w:eastAsia="Symbol" w:cs="Symbol"/>
        <w:b w:val="0"/>
        <w:bCs w:val="0"/>
        <w:i w:val="0"/>
        <w:iCs w:val="0"/>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12">
    <w:multiLevelType w:val="hybridMultilevel"/>
    <w:lvl w:ilvl="0">
      <w:start w:val="1"/>
      <w:numFmt w:val="upperLetter"/>
      <w:lvlText w:val="%1."/>
      <w:lvlJc w:val="left"/>
      <w:pPr>
        <w:ind w:left="797" w:hanging="360"/>
        <w:jc w:val="left"/>
      </w:pPr>
      <w:rPr>
        <w:rFonts w:hint="default" w:ascii="Franklin Gothic Book" w:hAnsi="Franklin Gothic Book" w:eastAsia="Franklin Gothic Book" w:cs="Franklin Gothic Book"/>
        <w:b w:val="0"/>
        <w:bCs w:val="0"/>
        <w:i w:val="0"/>
        <w:iCs w:val="0"/>
        <w:spacing w:val="-1"/>
        <w:w w:val="99"/>
        <w:sz w:val="22"/>
        <w:szCs w:val="22"/>
        <w:lang w:val="en-US" w:eastAsia="en-US" w:bidi="ar-SA"/>
      </w:rPr>
    </w:lvl>
    <w:lvl w:ilvl="1">
      <w:start w:val="1"/>
      <w:numFmt w:val="lowerRoman"/>
      <w:lvlText w:val="%2."/>
      <w:lvlJc w:val="left"/>
      <w:pPr>
        <w:ind w:left="1517" w:hanging="466"/>
        <w:jc w:val="right"/>
      </w:pPr>
      <w:rPr>
        <w:rFonts w:hint="default" w:ascii="Franklin Gothic Book" w:hAnsi="Franklin Gothic Book" w:eastAsia="Franklin Gothic Book" w:cs="Franklin Gothic Book"/>
        <w:b w:val="0"/>
        <w:bCs w:val="0"/>
        <w:i w:val="0"/>
        <w:iCs w:val="0"/>
        <w:spacing w:val="-1"/>
        <w:w w:val="99"/>
        <w:sz w:val="22"/>
        <w:szCs w:val="22"/>
        <w:lang w:val="en-US" w:eastAsia="en-US" w:bidi="ar-SA"/>
      </w:rPr>
    </w:lvl>
    <w:lvl w:ilvl="2">
      <w:start w:val="0"/>
      <w:numFmt w:val="bullet"/>
      <w:lvlText w:val="•"/>
      <w:lvlJc w:val="left"/>
      <w:pPr>
        <w:ind w:left="2377" w:hanging="466"/>
      </w:pPr>
      <w:rPr>
        <w:rFonts w:hint="default"/>
        <w:lang w:val="en-US" w:eastAsia="en-US" w:bidi="ar-SA"/>
      </w:rPr>
    </w:lvl>
    <w:lvl w:ilvl="3">
      <w:start w:val="0"/>
      <w:numFmt w:val="bullet"/>
      <w:lvlText w:val="•"/>
      <w:lvlJc w:val="left"/>
      <w:pPr>
        <w:ind w:left="3235" w:hanging="466"/>
      </w:pPr>
      <w:rPr>
        <w:rFonts w:hint="default"/>
        <w:lang w:val="en-US" w:eastAsia="en-US" w:bidi="ar-SA"/>
      </w:rPr>
    </w:lvl>
    <w:lvl w:ilvl="4">
      <w:start w:val="0"/>
      <w:numFmt w:val="bullet"/>
      <w:lvlText w:val="•"/>
      <w:lvlJc w:val="left"/>
      <w:pPr>
        <w:ind w:left="4093" w:hanging="466"/>
      </w:pPr>
      <w:rPr>
        <w:rFonts w:hint="default"/>
        <w:lang w:val="en-US" w:eastAsia="en-US" w:bidi="ar-SA"/>
      </w:rPr>
    </w:lvl>
    <w:lvl w:ilvl="5">
      <w:start w:val="0"/>
      <w:numFmt w:val="bullet"/>
      <w:lvlText w:val="•"/>
      <w:lvlJc w:val="left"/>
      <w:pPr>
        <w:ind w:left="4951" w:hanging="466"/>
      </w:pPr>
      <w:rPr>
        <w:rFonts w:hint="default"/>
        <w:lang w:val="en-US" w:eastAsia="en-US" w:bidi="ar-SA"/>
      </w:rPr>
    </w:lvl>
    <w:lvl w:ilvl="6">
      <w:start w:val="0"/>
      <w:numFmt w:val="bullet"/>
      <w:lvlText w:val="•"/>
      <w:lvlJc w:val="left"/>
      <w:pPr>
        <w:ind w:left="5808" w:hanging="466"/>
      </w:pPr>
      <w:rPr>
        <w:rFonts w:hint="default"/>
        <w:lang w:val="en-US" w:eastAsia="en-US" w:bidi="ar-SA"/>
      </w:rPr>
    </w:lvl>
    <w:lvl w:ilvl="7">
      <w:start w:val="0"/>
      <w:numFmt w:val="bullet"/>
      <w:lvlText w:val="•"/>
      <w:lvlJc w:val="left"/>
      <w:pPr>
        <w:ind w:left="6666" w:hanging="466"/>
      </w:pPr>
      <w:rPr>
        <w:rFonts w:hint="default"/>
        <w:lang w:val="en-US" w:eastAsia="en-US" w:bidi="ar-SA"/>
      </w:rPr>
    </w:lvl>
    <w:lvl w:ilvl="8">
      <w:start w:val="0"/>
      <w:numFmt w:val="bullet"/>
      <w:lvlText w:val="•"/>
      <w:lvlJc w:val="left"/>
      <w:pPr>
        <w:ind w:left="7524" w:hanging="466"/>
      </w:pPr>
      <w:rPr>
        <w:rFonts w:hint="default"/>
        <w:lang w:val="en-US" w:eastAsia="en-US" w:bidi="ar-SA"/>
      </w:rPr>
    </w:lvl>
  </w:abstractNum>
  <w:abstractNum w:abstractNumId="11">
    <w:multiLevelType w:val="hybridMultilevel"/>
    <w:lvl w:ilvl="0">
      <w:start w:val="0"/>
      <w:numFmt w:val="bullet"/>
      <w:lvlText w:val=""/>
      <w:lvlJc w:val="left"/>
      <w:pPr>
        <w:ind w:left="797" w:hanging="360"/>
      </w:pPr>
      <w:rPr>
        <w:rFonts w:hint="default" w:ascii="Symbol" w:hAnsi="Symbol" w:eastAsia="Symbol" w:cs="Symbol"/>
        <w:b w:val="0"/>
        <w:bCs w:val="0"/>
        <w:i w:val="0"/>
        <w:iCs w:val="0"/>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10">
    <w:multiLevelType w:val="hybridMultilevel"/>
    <w:lvl w:ilvl="0">
      <w:start w:val="1"/>
      <w:numFmt w:val="upperLetter"/>
      <w:lvlText w:val="%1."/>
      <w:lvlJc w:val="left"/>
      <w:pPr>
        <w:ind w:left="798" w:hanging="360"/>
        <w:jc w:val="left"/>
      </w:pPr>
      <w:rPr>
        <w:rFonts w:hint="default" w:ascii="Franklin Gothic Book" w:hAnsi="Franklin Gothic Book" w:eastAsia="Franklin Gothic Book" w:cs="Franklin Gothic Book"/>
        <w:b w:val="0"/>
        <w:bCs w:val="0"/>
        <w:i w:val="0"/>
        <w:iCs w:val="0"/>
        <w:spacing w:val="-1"/>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9">
    <w:multiLevelType w:val="hybridMultilevel"/>
    <w:lvl w:ilvl="0">
      <w:start w:val="0"/>
      <w:numFmt w:val="bullet"/>
      <w:lvlText w:val=""/>
      <w:lvlJc w:val="left"/>
      <w:pPr>
        <w:ind w:left="797" w:hanging="360"/>
      </w:pPr>
      <w:rPr>
        <w:rFonts w:hint="default" w:ascii="Symbol" w:hAnsi="Symbol" w:eastAsia="Symbol" w:cs="Symbol"/>
        <w:b w:val="0"/>
        <w:bCs w:val="0"/>
        <w:i w:val="0"/>
        <w:iCs w:val="0"/>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8">
    <w:multiLevelType w:val="hybridMultilevel"/>
    <w:lvl w:ilvl="0">
      <w:start w:val="1"/>
      <w:numFmt w:val="upperLetter"/>
      <w:lvlText w:val="%1."/>
      <w:lvlJc w:val="left"/>
      <w:pPr>
        <w:ind w:left="798" w:hanging="360"/>
        <w:jc w:val="left"/>
      </w:pPr>
      <w:rPr>
        <w:rFonts w:hint="default" w:ascii="Franklin Gothic Book" w:hAnsi="Franklin Gothic Book" w:eastAsia="Franklin Gothic Book" w:cs="Franklin Gothic Book"/>
        <w:b w:val="0"/>
        <w:bCs w:val="0"/>
        <w:i w:val="0"/>
        <w:iCs w:val="0"/>
        <w:spacing w:val="-1"/>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7">
    <w:multiLevelType w:val="hybridMultilevel"/>
    <w:lvl w:ilvl="0">
      <w:start w:val="0"/>
      <w:numFmt w:val="bullet"/>
      <w:lvlText w:val=""/>
      <w:lvlJc w:val="left"/>
      <w:pPr>
        <w:ind w:left="798" w:hanging="360"/>
      </w:pPr>
      <w:rPr>
        <w:rFonts w:hint="default" w:ascii="Symbol" w:hAnsi="Symbol" w:eastAsia="Symbol" w:cs="Symbol"/>
        <w:b w:val="0"/>
        <w:bCs w:val="0"/>
        <w:i w:val="0"/>
        <w:iCs w:val="0"/>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6">
    <w:multiLevelType w:val="hybridMultilevel"/>
    <w:lvl w:ilvl="0">
      <w:start w:val="1"/>
      <w:numFmt w:val="upperLetter"/>
      <w:lvlText w:val="%1."/>
      <w:lvlJc w:val="left"/>
      <w:pPr>
        <w:ind w:left="798" w:hanging="360"/>
        <w:jc w:val="left"/>
      </w:pPr>
      <w:rPr>
        <w:rFonts w:hint="default" w:ascii="Franklin Gothic Book" w:hAnsi="Franklin Gothic Book" w:eastAsia="Franklin Gothic Book" w:cs="Franklin Gothic Book"/>
        <w:b w:val="0"/>
        <w:bCs w:val="0"/>
        <w:i w:val="0"/>
        <w:iCs w:val="0"/>
        <w:spacing w:val="-1"/>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5">
    <w:multiLevelType w:val="hybridMultilevel"/>
    <w:lvl w:ilvl="0">
      <w:start w:val="0"/>
      <w:numFmt w:val="bullet"/>
      <w:lvlText w:val=""/>
      <w:lvlJc w:val="left"/>
      <w:pPr>
        <w:ind w:left="797" w:hanging="360"/>
      </w:pPr>
      <w:rPr>
        <w:rFonts w:hint="default" w:ascii="Symbol" w:hAnsi="Symbol" w:eastAsia="Symbol" w:cs="Symbol"/>
        <w:b w:val="0"/>
        <w:bCs w:val="0"/>
        <w:i w:val="0"/>
        <w:iCs w:val="0"/>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4">
    <w:multiLevelType w:val="hybridMultilevel"/>
    <w:lvl w:ilvl="0">
      <w:start w:val="1"/>
      <w:numFmt w:val="upperLetter"/>
      <w:lvlText w:val="%1."/>
      <w:lvlJc w:val="left"/>
      <w:pPr>
        <w:ind w:left="798" w:hanging="360"/>
        <w:jc w:val="left"/>
      </w:pPr>
      <w:rPr>
        <w:rFonts w:hint="default" w:ascii="Franklin Gothic Book" w:hAnsi="Franklin Gothic Book" w:eastAsia="Franklin Gothic Book" w:cs="Franklin Gothic Book"/>
        <w:b w:val="0"/>
        <w:bCs w:val="0"/>
        <w:i w:val="0"/>
        <w:iCs w:val="0"/>
        <w:spacing w:val="-1"/>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3">
    <w:multiLevelType w:val="hybridMultilevel"/>
    <w:lvl w:ilvl="0">
      <w:start w:val="0"/>
      <w:numFmt w:val="bullet"/>
      <w:lvlText w:val=""/>
      <w:lvlJc w:val="left"/>
      <w:pPr>
        <w:ind w:left="797" w:hanging="360"/>
      </w:pPr>
      <w:rPr>
        <w:rFonts w:hint="default" w:ascii="Symbol" w:hAnsi="Symbol" w:eastAsia="Symbol" w:cs="Symbol"/>
        <w:b w:val="0"/>
        <w:bCs w:val="0"/>
        <w:i w:val="0"/>
        <w:iCs w:val="0"/>
        <w:w w:val="99"/>
        <w:sz w:val="22"/>
        <w:szCs w:val="22"/>
        <w:lang w:val="en-US" w:eastAsia="en-US" w:bidi="ar-SA"/>
      </w:rPr>
    </w:lvl>
    <w:lvl w:ilvl="1">
      <w:start w:val="0"/>
      <w:numFmt w:val="bullet"/>
      <w:lvlText w:val="o"/>
      <w:lvlJc w:val="left"/>
      <w:pPr>
        <w:ind w:left="1518" w:hanging="360"/>
      </w:pPr>
      <w:rPr>
        <w:rFonts w:hint="default" w:ascii="Courier New" w:hAnsi="Courier New" w:eastAsia="Courier New" w:cs="Courier New"/>
        <w:b w:val="0"/>
        <w:bCs w:val="0"/>
        <w:i w:val="0"/>
        <w:iCs w:val="0"/>
        <w:w w:val="99"/>
        <w:sz w:val="22"/>
        <w:szCs w:val="22"/>
        <w:lang w:val="en-US" w:eastAsia="en-US" w:bidi="ar-SA"/>
      </w:rPr>
    </w:lvl>
    <w:lvl w:ilvl="2">
      <w:start w:val="0"/>
      <w:numFmt w:val="bullet"/>
      <w:lvlText w:val="•"/>
      <w:lvlJc w:val="left"/>
      <w:pPr>
        <w:ind w:left="2377" w:hanging="360"/>
      </w:pPr>
      <w:rPr>
        <w:rFonts w:hint="default"/>
        <w:lang w:val="en-US" w:eastAsia="en-US" w:bidi="ar-SA"/>
      </w:rPr>
    </w:lvl>
    <w:lvl w:ilvl="3">
      <w:start w:val="0"/>
      <w:numFmt w:val="bullet"/>
      <w:lvlText w:val="•"/>
      <w:lvlJc w:val="left"/>
      <w:pPr>
        <w:ind w:left="3235" w:hanging="360"/>
      </w:pPr>
      <w:rPr>
        <w:rFonts w:hint="default"/>
        <w:lang w:val="en-US" w:eastAsia="en-US" w:bidi="ar-SA"/>
      </w:rPr>
    </w:lvl>
    <w:lvl w:ilvl="4">
      <w:start w:val="0"/>
      <w:numFmt w:val="bullet"/>
      <w:lvlText w:val="•"/>
      <w:lvlJc w:val="left"/>
      <w:pPr>
        <w:ind w:left="4093" w:hanging="360"/>
      </w:pPr>
      <w:rPr>
        <w:rFonts w:hint="default"/>
        <w:lang w:val="en-US" w:eastAsia="en-US" w:bidi="ar-SA"/>
      </w:rPr>
    </w:lvl>
    <w:lvl w:ilvl="5">
      <w:start w:val="0"/>
      <w:numFmt w:val="bullet"/>
      <w:lvlText w:val="•"/>
      <w:lvlJc w:val="left"/>
      <w:pPr>
        <w:ind w:left="4951" w:hanging="360"/>
      </w:pPr>
      <w:rPr>
        <w:rFonts w:hint="default"/>
        <w:lang w:val="en-US" w:eastAsia="en-US" w:bidi="ar-SA"/>
      </w:rPr>
    </w:lvl>
    <w:lvl w:ilvl="6">
      <w:start w:val="0"/>
      <w:numFmt w:val="bullet"/>
      <w:lvlText w:val="•"/>
      <w:lvlJc w:val="left"/>
      <w:pPr>
        <w:ind w:left="5808" w:hanging="360"/>
      </w:pPr>
      <w:rPr>
        <w:rFonts w:hint="default"/>
        <w:lang w:val="en-US" w:eastAsia="en-US" w:bidi="ar-SA"/>
      </w:rPr>
    </w:lvl>
    <w:lvl w:ilvl="7">
      <w:start w:val="0"/>
      <w:numFmt w:val="bullet"/>
      <w:lvlText w:val="•"/>
      <w:lvlJc w:val="left"/>
      <w:pPr>
        <w:ind w:left="6666" w:hanging="360"/>
      </w:pPr>
      <w:rPr>
        <w:rFonts w:hint="default"/>
        <w:lang w:val="en-US" w:eastAsia="en-US" w:bidi="ar-SA"/>
      </w:rPr>
    </w:lvl>
    <w:lvl w:ilvl="8">
      <w:start w:val="0"/>
      <w:numFmt w:val="bullet"/>
      <w:lvlText w:val="•"/>
      <w:lvlJc w:val="left"/>
      <w:pPr>
        <w:ind w:left="7524" w:hanging="360"/>
      </w:pPr>
      <w:rPr>
        <w:rFonts w:hint="default"/>
        <w:lang w:val="en-US" w:eastAsia="en-US" w:bidi="ar-SA"/>
      </w:rPr>
    </w:lvl>
  </w:abstractNum>
  <w:abstractNum w:abstractNumId="2">
    <w:multiLevelType w:val="hybridMultilevel"/>
    <w:lvl w:ilvl="0">
      <w:start w:val="1"/>
      <w:numFmt w:val="upperLetter"/>
      <w:lvlText w:val="%1."/>
      <w:lvlJc w:val="left"/>
      <w:pPr>
        <w:ind w:left="798" w:hanging="360"/>
        <w:jc w:val="left"/>
      </w:pPr>
      <w:rPr>
        <w:rFonts w:hint="default" w:ascii="Franklin Gothic Book" w:hAnsi="Franklin Gothic Book" w:eastAsia="Franklin Gothic Book" w:cs="Franklin Gothic Book"/>
        <w:b w:val="0"/>
        <w:bCs w:val="0"/>
        <w:i w:val="0"/>
        <w:iCs w:val="0"/>
        <w:spacing w:val="-1"/>
        <w:w w:val="99"/>
        <w:sz w:val="22"/>
        <w:szCs w:val="22"/>
        <w:lang w:val="en-US" w:eastAsia="en-US" w:bidi="ar-SA"/>
      </w:rPr>
    </w:lvl>
    <w:lvl w:ilvl="1">
      <w:start w:val="0"/>
      <w:numFmt w:val="bullet"/>
      <w:lvlText w:val="•"/>
      <w:lvlJc w:val="left"/>
      <w:pPr>
        <w:ind w:left="1644" w:hanging="360"/>
      </w:pPr>
      <w:rPr>
        <w:rFonts w:hint="default"/>
        <w:lang w:val="en-US" w:eastAsia="en-US" w:bidi="ar-SA"/>
      </w:rPr>
    </w:lvl>
    <w:lvl w:ilvl="2">
      <w:start w:val="0"/>
      <w:numFmt w:val="bullet"/>
      <w:lvlText w:val="•"/>
      <w:lvlJc w:val="left"/>
      <w:pPr>
        <w:ind w:left="2488" w:hanging="360"/>
      </w:pPr>
      <w:rPr>
        <w:rFonts w:hint="default"/>
        <w:lang w:val="en-US" w:eastAsia="en-US" w:bidi="ar-SA"/>
      </w:rPr>
    </w:lvl>
    <w:lvl w:ilvl="3">
      <w:start w:val="0"/>
      <w:numFmt w:val="bullet"/>
      <w:lvlText w:val="•"/>
      <w:lvlJc w:val="left"/>
      <w:pPr>
        <w:ind w:left="3332" w:hanging="360"/>
      </w:pPr>
      <w:rPr>
        <w:rFonts w:hint="default"/>
        <w:lang w:val="en-US" w:eastAsia="en-US" w:bidi="ar-SA"/>
      </w:rPr>
    </w:lvl>
    <w:lvl w:ilvl="4">
      <w:start w:val="0"/>
      <w:numFmt w:val="bullet"/>
      <w:lvlText w:val="•"/>
      <w:lvlJc w:val="left"/>
      <w:pPr>
        <w:ind w:left="4176" w:hanging="360"/>
      </w:pPr>
      <w:rPr>
        <w:rFonts w:hint="default"/>
        <w:lang w:val="en-US" w:eastAsia="en-US" w:bidi="ar-SA"/>
      </w:rPr>
    </w:lvl>
    <w:lvl w:ilvl="5">
      <w:start w:val="0"/>
      <w:numFmt w:val="bullet"/>
      <w:lvlText w:val="•"/>
      <w:lvlJc w:val="left"/>
      <w:pPr>
        <w:ind w:left="5020" w:hanging="360"/>
      </w:pPr>
      <w:rPr>
        <w:rFonts w:hint="default"/>
        <w:lang w:val="en-US" w:eastAsia="en-US" w:bidi="ar-SA"/>
      </w:rPr>
    </w:lvl>
    <w:lvl w:ilvl="6">
      <w:start w:val="0"/>
      <w:numFmt w:val="bullet"/>
      <w:lvlText w:val="•"/>
      <w:lvlJc w:val="left"/>
      <w:pPr>
        <w:ind w:left="5864" w:hanging="360"/>
      </w:pPr>
      <w:rPr>
        <w:rFonts w:hint="default"/>
        <w:lang w:val="en-US" w:eastAsia="en-US" w:bidi="ar-SA"/>
      </w:rPr>
    </w:lvl>
    <w:lvl w:ilvl="7">
      <w:start w:val="0"/>
      <w:numFmt w:val="bullet"/>
      <w:lvlText w:val="•"/>
      <w:lvlJc w:val="left"/>
      <w:pPr>
        <w:ind w:left="6708" w:hanging="360"/>
      </w:pPr>
      <w:rPr>
        <w:rFonts w:hint="default"/>
        <w:lang w:val="en-US" w:eastAsia="en-US" w:bidi="ar-SA"/>
      </w:rPr>
    </w:lvl>
    <w:lvl w:ilvl="8">
      <w:start w:val="0"/>
      <w:numFmt w:val="bullet"/>
      <w:lvlText w:val="•"/>
      <w:lvlJc w:val="left"/>
      <w:pPr>
        <w:ind w:left="7552" w:hanging="360"/>
      </w:pPr>
      <w:rPr>
        <w:rFonts w:hint="default"/>
        <w:lang w:val="en-US" w:eastAsia="en-US" w:bidi="ar-SA"/>
      </w:rPr>
    </w:lvl>
  </w:abstractNum>
  <w:abstractNum w:abstractNumId="1">
    <w:multiLevelType w:val="hybridMultilevel"/>
    <w:lvl w:ilvl="0">
      <w:start w:val="0"/>
      <w:numFmt w:val="bullet"/>
      <w:lvlText w:val=""/>
      <w:lvlJc w:val="left"/>
      <w:pPr>
        <w:ind w:left="1200" w:hanging="360"/>
      </w:pPr>
      <w:rPr>
        <w:rFonts w:hint="default" w:ascii="Symbol" w:hAnsi="Symbol" w:eastAsia="Symbol" w:cs="Symbol"/>
        <w:w w:val="99"/>
        <w:lang w:val="en-US" w:eastAsia="en-US" w:bidi="ar-SA"/>
      </w:rPr>
    </w:lvl>
    <w:lvl w:ilvl="1">
      <w:start w:val="0"/>
      <w:numFmt w:val="bullet"/>
      <w:lvlText w:val="•"/>
      <w:lvlJc w:val="left"/>
      <w:pPr>
        <w:ind w:left="2076" w:hanging="360"/>
      </w:pPr>
      <w:rPr>
        <w:rFonts w:hint="default"/>
        <w:lang w:val="en-US" w:eastAsia="en-US" w:bidi="ar-SA"/>
      </w:rPr>
    </w:lvl>
    <w:lvl w:ilvl="2">
      <w:start w:val="0"/>
      <w:numFmt w:val="bullet"/>
      <w:lvlText w:val="•"/>
      <w:lvlJc w:val="left"/>
      <w:pPr>
        <w:ind w:left="2952" w:hanging="360"/>
      </w:pPr>
      <w:rPr>
        <w:rFonts w:hint="default"/>
        <w:lang w:val="en-US" w:eastAsia="en-US" w:bidi="ar-SA"/>
      </w:rPr>
    </w:lvl>
    <w:lvl w:ilvl="3">
      <w:start w:val="0"/>
      <w:numFmt w:val="bullet"/>
      <w:lvlText w:val="•"/>
      <w:lvlJc w:val="left"/>
      <w:pPr>
        <w:ind w:left="3828" w:hanging="360"/>
      </w:pPr>
      <w:rPr>
        <w:rFonts w:hint="default"/>
        <w:lang w:val="en-US" w:eastAsia="en-US" w:bidi="ar-SA"/>
      </w:rPr>
    </w:lvl>
    <w:lvl w:ilvl="4">
      <w:start w:val="0"/>
      <w:numFmt w:val="bullet"/>
      <w:lvlText w:val="•"/>
      <w:lvlJc w:val="left"/>
      <w:pPr>
        <w:ind w:left="4704" w:hanging="360"/>
      </w:pPr>
      <w:rPr>
        <w:rFonts w:hint="default"/>
        <w:lang w:val="en-US" w:eastAsia="en-US" w:bidi="ar-SA"/>
      </w:rPr>
    </w:lvl>
    <w:lvl w:ilvl="5">
      <w:start w:val="0"/>
      <w:numFmt w:val="bullet"/>
      <w:lvlText w:val="•"/>
      <w:lvlJc w:val="left"/>
      <w:pPr>
        <w:ind w:left="5580" w:hanging="360"/>
      </w:pPr>
      <w:rPr>
        <w:rFonts w:hint="default"/>
        <w:lang w:val="en-US" w:eastAsia="en-US" w:bidi="ar-SA"/>
      </w:rPr>
    </w:lvl>
    <w:lvl w:ilvl="6">
      <w:start w:val="0"/>
      <w:numFmt w:val="bullet"/>
      <w:lvlText w:val="•"/>
      <w:lvlJc w:val="left"/>
      <w:pPr>
        <w:ind w:left="6456" w:hanging="360"/>
      </w:pPr>
      <w:rPr>
        <w:rFonts w:hint="default"/>
        <w:lang w:val="en-US" w:eastAsia="en-US" w:bidi="ar-SA"/>
      </w:rPr>
    </w:lvl>
    <w:lvl w:ilvl="7">
      <w:start w:val="0"/>
      <w:numFmt w:val="bullet"/>
      <w:lvlText w:val="•"/>
      <w:lvlJc w:val="left"/>
      <w:pPr>
        <w:ind w:left="7332" w:hanging="360"/>
      </w:pPr>
      <w:rPr>
        <w:rFonts w:hint="default"/>
        <w:lang w:val="en-US" w:eastAsia="en-US" w:bidi="ar-SA"/>
      </w:rPr>
    </w:lvl>
    <w:lvl w:ilvl="8">
      <w:start w:val="0"/>
      <w:numFmt w:val="bullet"/>
      <w:lvlText w:val="•"/>
      <w:lvlJc w:val="left"/>
      <w:pPr>
        <w:ind w:left="8208" w:hanging="360"/>
      </w:pPr>
      <w:rPr>
        <w:rFonts w:hint="default"/>
        <w:lang w:val="en-US" w:eastAsia="en-US" w:bidi="ar-SA"/>
      </w:rPr>
    </w:lvl>
  </w:abstractNum>
  <w:abstractNum w:abstractNumId="0">
    <w:multiLevelType w:val="hybridMultilevel"/>
    <w:lvl w:ilvl="0">
      <w:start w:val="0"/>
      <w:numFmt w:val="bullet"/>
      <w:lvlText w:val=""/>
      <w:lvlJc w:val="left"/>
      <w:pPr>
        <w:ind w:left="1199" w:hanging="360"/>
      </w:pPr>
      <w:rPr>
        <w:rFonts w:hint="default" w:ascii="Symbol" w:hAnsi="Symbol" w:eastAsia="Symbol" w:cs="Symbol"/>
        <w:b w:val="0"/>
        <w:bCs w:val="0"/>
        <w:i w:val="0"/>
        <w:iCs w:val="0"/>
        <w:w w:val="100"/>
        <w:sz w:val="20"/>
        <w:szCs w:val="20"/>
        <w:lang w:val="en-US" w:eastAsia="en-US" w:bidi="ar-SA"/>
      </w:rPr>
    </w:lvl>
    <w:lvl w:ilvl="1">
      <w:start w:val="0"/>
      <w:numFmt w:val="bullet"/>
      <w:lvlText w:val="•"/>
      <w:lvlJc w:val="left"/>
      <w:pPr>
        <w:ind w:left="1558" w:hanging="360"/>
      </w:pPr>
      <w:rPr>
        <w:rFonts w:hint="default"/>
        <w:lang w:val="en-US" w:eastAsia="en-US" w:bidi="ar-SA"/>
      </w:rPr>
    </w:lvl>
    <w:lvl w:ilvl="2">
      <w:start w:val="0"/>
      <w:numFmt w:val="bullet"/>
      <w:lvlText w:val="•"/>
      <w:lvlJc w:val="left"/>
      <w:pPr>
        <w:ind w:left="1916" w:hanging="360"/>
      </w:pPr>
      <w:rPr>
        <w:rFonts w:hint="default"/>
        <w:lang w:val="en-US" w:eastAsia="en-US" w:bidi="ar-SA"/>
      </w:rPr>
    </w:lvl>
    <w:lvl w:ilvl="3">
      <w:start w:val="0"/>
      <w:numFmt w:val="bullet"/>
      <w:lvlText w:val="•"/>
      <w:lvlJc w:val="left"/>
      <w:pPr>
        <w:ind w:left="2274" w:hanging="360"/>
      </w:pPr>
      <w:rPr>
        <w:rFonts w:hint="default"/>
        <w:lang w:val="en-US" w:eastAsia="en-US" w:bidi="ar-SA"/>
      </w:rPr>
    </w:lvl>
    <w:lvl w:ilvl="4">
      <w:start w:val="0"/>
      <w:numFmt w:val="bullet"/>
      <w:lvlText w:val="•"/>
      <w:lvlJc w:val="left"/>
      <w:pPr>
        <w:ind w:left="2632" w:hanging="360"/>
      </w:pPr>
      <w:rPr>
        <w:rFonts w:hint="default"/>
        <w:lang w:val="en-US" w:eastAsia="en-US" w:bidi="ar-SA"/>
      </w:rPr>
    </w:lvl>
    <w:lvl w:ilvl="5">
      <w:start w:val="0"/>
      <w:numFmt w:val="bullet"/>
      <w:lvlText w:val="•"/>
      <w:lvlJc w:val="left"/>
      <w:pPr>
        <w:ind w:left="2990" w:hanging="360"/>
      </w:pPr>
      <w:rPr>
        <w:rFonts w:hint="default"/>
        <w:lang w:val="en-US" w:eastAsia="en-US" w:bidi="ar-SA"/>
      </w:rPr>
    </w:lvl>
    <w:lvl w:ilvl="6">
      <w:start w:val="0"/>
      <w:numFmt w:val="bullet"/>
      <w:lvlText w:val="•"/>
      <w:lvlJc w:val="left"/>
      <w:pPr>
        <w:ind w:left="3348" w:hanging="360"/>
      </w:pPr>
      <w:rPr>
        <w:rFonts w:hint="default"/>
        <w:lang w:val="en-US" w:eastAsia="en-US" w:bidi="ar-SA"/>
      </w:rPr>
    </w:lvl>
    <w:lvl w:ilvl="7">
      <w:start w:val="0"/>
      <w:numFmt w:val="bullet"/>
      <w:lvlText w:val="•"/>
      <w:lvlJc w:val="left"/>
      <w:pPr>
        <w:ind w:left="3706" w:hanging="360"/>
      </w:pPr>
      <w:rPr>
        <w:rFonts w:hint="default"/>
        <w:lang w:val="en-US" w:eastAsia="en-US" w:bidi="ar-SA"/>
      </w:rPr>
    </w:lvl>
    <w:lvl w:ilvl="8">
      <w:start w:val="0"/>
      <w:numFmt w:val="bullet"/>
      <w:lvlText w:val="•"/>
      <w:lvlJc w:val="left"/>
      <w:pPr>
        <w:ind w:left="4064" w:hanging="360"/>
      </w:pPr>
      <w:rPr>
        <w:rFonts w:hint="default"/>
        <w:lang w:val="en-US" w:eastAsia="en-US" w:bidi="ar-SA"/>
      </w:rPr>
    </w:lvl>
  </w:abstract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Franklin Gothic Book" w:hAnsi="Franklin Gothic Book" w:eastAsia="Franklin Gothic Book" w:cs="Franklin Gothic Book"/>
      <w:lang w:val="en-US" w:eastAsia="en-US" w:bidi="ar-SA"/>
    </w:rPr>
  </w:style>
  <w:style w:styleId="TOC1" w:type="paragraph">
    <w:name w:val="TOC 1"/>
    <w:basedOn w:val="Normal"/>
    <w:uiPriority w:val="1"/>
    <w:qFormat/>
    <w:pPr>
      <w:spacing w:before="240"/>
      <w:ind w:left="480"/>
    </w:pPr>
    <w:rPr>
      <w:rFonts w:ascii="Franklin Gothic Book" w:hAnsi="Franklin Gothic Book" w:eastAsia="Franklin Gothic Book" w:cs="Franklin Gothic Book"/>
      <w:sz w:val="20"/>
      <w:szCs w:val="20"/>
      <w:lang w:val="en-US" w:eastAsia="en-US" w:bidi="ar-SA"/>
    </w:rPr>
  </w:style>
  <w:style w:styleId="TOC2" w:type="paragraph">
    <w:name w:val="TOC 2"/>
    <w:basedOn w:val="Normal"/>
    <w:uiPriority w:val="1"/>
    <w:qFormat/>
    <w:pPr>
      <w:spacing w:before="118"/>
      <w:ind w:left="930"/>
    </w:pPr>
    <w:rPr>
      <w:rFonts w:ascii="Franklin Gothic Book" w:hAnsi="Franklin Gothic Book" w:eastAsia="Franklin Gothic Book" w:cs="Franklin Gothic Book"/>
      <w:sz w:val="20"/>
      <w:szCs w:val="20"/>
      <w:lang w:val="en-US" w:eastAsia="en-US" w:bidi="ar-SA"/>
    </w:rPr>
  </w:style>
  <w:style w:styleId="TOC3" w:type="paragraph">
    <w:name w:val="TOC 3"/>
    <w:basedOn w:val="Normal"/>
    <w:uiPriority w:val="1"/>
    <w:qFormat/>
    <w:pPr>
      <w:spacing w:before="118"/>
      <w:ind w:left="1650"/>
    </w:pPr>
    <w:rPr>
      <w:rFonts w:ascii="Franklin Gothic Book" w:hAnsi="Franklin Gothic Book" w:eastAsia="Franklin Gothic Book" w:cs="Franklin Gothic Book"/>
      <w:sz w:val="18"/>
      <w:szCs w:val="18"/>
      <w:lang w:val="en-US" w:eastAsia="en-US" w:bidi="ar-SA"/>
    </w:rPr>
  </w:style>
  <w:style w:styleId="BodyText" w:type="paragraph">
    <w:name w:val="Body Text"/>
    <w:basedOn w:val="Normal"/>
    <w:uiPriority w:val="1"/>
    <w:qFormat/>
    <w:pPr/>
    <w:rPr>
      <w:rFonts w:ascii="Franklin Gothic Book" w:hAnsi="Franklin Gothic Book" w:eastAsia="Franklin Gothic Book" w:cs="Franklin Gothic Book"/>
      <w:sz w:val="22"/>
      <w:szCs w:val="22"/>
      <w:lang w:val="en-US" w:eastAsia="en-US" w:bidi="ar-SA"/>
    </w:rPr>
  </w:style>
  <w:style w:styleId="Heading1" w:type="paragraph">
    <w:name w:val="Heading 1"/>
    <w:basedOn w:val="Normal"/>
    <w:uiPriority w:val="1"/>
    <w:qFormat/>
    <w:pPr>
      <w:ind w:left="480"/>
      <w:outlineLvl w:val="1"/>
    </w:pPr>
    <w:rPr>
      <w:rFonts w:ascii="Arial" w:hAnsi="Arial" w:eastAsia="Arial" w:cs="Arial"/>
      <w:sz w:val="32"/>
      <w:szCs w:val="32"/>
      <w:lang w:val="en-US" w:eastAsia="en-US" w:bidi="ar-SA"/>
    </w:rPr>
  </w:style>
  <w:style w:styleId="Heading2" w:type="paragraph">
    <w:name w:val="Heading 2"/>
    <w:basedOn w:val="Normal"/>
    <w:uiPriority w:val="1"/>
    <w:qFormat/>
    <w:pPr>
      <w:spacing w:before="94"/>
      <w:ind w:left="480"/>
      <w:outlineLvl w:val="2"/>
    </w:pPr>
    <w:rPr>
      <w:rFonts w:ascii="Franklin Gothic Book" w:hAnsi="Franklin Gothic Book" w:eastAsia="Franklin Gothic Book" w:cs="Franklin Gothic Book"/>
      <w:i/>
      <w:iCs/>
      <w:sz w:val="27"/>
      <w:szCs w:val="27"/>
      <w:lang w:val="en-US" w:eastAsia="en-US" w:bidi="ar-SA"/>
    </w:rPr>
  </w:style>
  <w:style w:styleId="Heading3" w:type="paragraph">
    <w:name w:val="Heading 3"/>
    <w:basedOn w:val="Normal"/>
    <w:uiPriority w:val="1"/>
    <w:qFormat/>
    <w:pPr>
      <w:spacing w:line="272" w:lineRule="exact"/>
      <w:ind w:left="480"/>
      <w:outlineLvl w:val="3"/>
    </w:pPr>
    <w:rPr>
      <w:rFonts w:ascii="Franklin Gothic Book" w:hAnsi="Franklin Gothic Book" w:eastAsia="Franklin Gothic Book" w:cs="Franklin Gothic Book"/>
      <w:sz w:val="24"/>
      <w:szCs w:val="24"/>
      <w:lang w:val="en-US" w:eastAsia="en-US" w:bidi="ar-SA"/>
    </w:rPr>
  </w:style>
  <w:style w:styleId="Title" w:type="paragraph">
    <w:name w:val="Title"/>
    <w:basedOn w:val="Normal"/>
    <w:uiPriority w:val="1"/>
    <w:qFormat/>
    <w:pPr>
      <w:spacing w:before="77"/>
      <w:ind w:left="1083"/>
    </w:pPr>
    <w:rPr>
      <w:rFonts w:ascii="Arial" w:hAnsi="Arial" w:eastAsia="Arial" w:cs="Arial"/>
      <w:b/>
      <w:bCs/>
      <w:sz w:val="72"/>
      <w:szCs w:val="72"/>
      <w:lang w:val="en-US" w:eastAsia="en-US" w:bidi="ar-SA"/>
    </w:rPr>
  </w:style>
  <w:style w:styleId="ListParagraph" w:type="paragraph">
    <w:name w:val="List Paragraph"/>
    <w:basedOn w:val="Normal"/>
    <w:uiPriority w:val="1"/>
    <w:qFormat/>
    <w:pPr>
      <w:spacing w:before="18"/>
      <w:ind w:left="1199" w:hanging="361"/>
    </w:pPr>
    <w:rPr>
      <w:rFonts w:ascii="Franklin Gothic Book" w:hAnsi="Franklin Gothic Book" w:eastAsia="Franklin Gothic Book" w:cs="Franklin Gothic Book"/>
      <w:lang w:val="en-US" w:eastAsia="en-US" w:bidi="ar-SA"/>
    </w:rPr>
  </w:style>
  <w:style w:styleId="TableParagraph" w:type="paragraph">
    <w:name w:val="Table Paragraph"/>
    <w:basedOn w:val="Normal"/>
    <w:uiPriority w:val="1"/>
    <w:qFormat/>
    <w:pPr>
      <w:ind w:left="798"/>
    </w:pPr>
    <w:rPr>
      <w:rFonts w:ascii="Franklin Gothic Book" w:hAnsi="Franklin Gothic Book" w:eastAsia="Franklin Gothic Book" w:cs="Franklin Gothic Book"/>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Company>Public Consulting Group, Inc.</Company>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Sesno, Emily</dc:creator>
  <dc:description/>
  <dcterms:created xsi:type="dcterms:W3CDTF">2023-01-19T17:15:50Z</dcterms:created>
  <dcterms:modified xsi:type="dcterms:W3CDTF">2023-01-19T17:15:50Z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0x010100AB214FCB25B8394098EEA71B0528C651</vt:lpwstr>
  </property>
  <property fmtid="{D5CDD505-2E9C-101B-9397-08002B2CF9AE}" pid="3" name="Created">
    <vt:filetime>2023-01-12T00:00:00Z</vt:filetime>
  </property>
  <property fmtid="{D5CDD505-2E9C-101B-9397-08002B2CF9AE}" pid="4" name="Creator">
    <vt:lpwstr>Acrobat PDFMaker 22 for Word</vt:lpwstr>
  </property>
  <property fmtid="{D5CDD505-2E9C-101B-9397-08002B2CF9AE}" pid="5" name="LastSaved">
    <vt:filetime>2023-01-19T00:00:00Z</vt:filetime>
  </property>
  <property fmtid="{D5CDD505-2E9C-101B-9397-08002B2CF9AE}" pid="6" name="Producer">
    <vt:lpwstr>Adobe PDF Library 22.3.86</vt:lpwstr>
  </property>
  <property fmtid="{D5CDD505-2E9C-101B-9397-08002B2CF9AE}" pid="7" name="SourceModified">
    <vt:lpwstr>D:20230110205510</vt:lpwstr>
  </property>
</Properties>
</file>