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22A8" w14:textId="679086C5" w:rsidR="00763A3E" w:rsidRPr="00E96FF2" w:rsidRDefault="00763A3E" w:rsidP="00763A3E">
      <w:pPr>
        <w:pStyle w:val="JuryInstructionText"/>
        <w:jc w:val="right"/>
        <w:rPr>
          <w:i/>
          <w:iCs/>
        </w:rPr>
      </w:pPr>
      <w:r w:rsidRPr="00720E2B">
        <w:rPr>
          <w:i/>
          <w:iCs/>
        </w:rPr>
        <w:t xml:space="preserve">Publication Date: </w:t>
      </w:r>
      <w:r>
        <w:rPr>
          <w:i/>
          <w:iCs/>
        </w:rPr>
        <w:t>March 11, 2022</w:t>
      </w:r>
    </w:p>
    <w:p w14:paraId="1687480E" w14:textId="300C6F89" w:rsidR="00317551" w:rsidRPr="00C46A0C" w:rsidRDefault="006B6227" w:rsidP="006B6227">
      <w:pPr>
        <w:pStyle w:val="JuryInst2"/>
      </w:pPr>
      <w:r w:rsidRPr="00C46A0C">
        <w:t>Kidnapping</w:t>
      </w:r>
    </w:p>
    <w:p w14:paraId="6B213EDC" w14:textId="21D84091" w:rsidR="00317551" w:rsidRDefault="00F30B37" w:rsidP="00F30B37">
      <w:pPr>
        <w:pStyle w:val="JuryInstructionText"/>
      </w:pPr>
      <w:r>
        <w:t>&lt;</w:t>
      </w:r>
      <w:r w:rsidRPr="00F30B37">
        <w:rPr>
          <w:b/>
          <w:i/>
          <w:iCs/>
        </w:rPr>
        <w:t>NOTE</w:t>
      </w:r>
      <w:r>
        <w:rPr>
          <w:bCs/>
          <w:i/>
          <w:iCs/>
        </w:rPr>
        <w:t>:</w:t>
      </w:r>
      <w:r>
        <w:t xml:space="preserve">  </w:t>
      </w:r>
      <w:r w:rsidRPr="008E25CF">
        <w:rPr>
          <w:b/>
          <w:bCs/>
        </w:rPr>
        <w:t>A person may be convicted of kidnapping under any one of three theories.</w:t>
      </w:r>
      <w:r w:rsidR="004B31B1" w:rsidRPr="00C46A0C">
        <w:rPr>
          <w:rStyle w:val="FootnoteReference"/>
          <w:rFonts w:cs="Segoe UI Historic"/>
        </w:rPr>
        <w:footnoteReference w:id="1"/>
      </w:r>
      <w:r w:rsidRPr="008E25CF">
        <w:rPr>
          <w:b/>
          <w:bCs/>
        </w:rPr>
        <w:t xml:space="preserve"> The judge should charge on the theory or theories supported by the evidence.</w:t>
      </w:r>
      <w:r>
        <w:t>&gt;</w:t>
      </w:r>
    </w:p>
    <w:p w14:paraId="75757488" w14:textId="6070BEA3" w:rsidR="00317551" w:rsidRPr="00C46A0C" w:rsidRDefault="00317551" w:rsidP="00F30B37">
      <w:pPr>
        <w:pStyle w:val="JuryInst3"/>
      </w:pPr>
      <w:r>
        <w:t xml:space="preserve"> First Theory – Confined in Massachusetts</w:t>
      </w:r>
      <w:r w:rsidR="00F30B37">
        <w:t>.</w:t>
      </w:r>
    </w:p>
    <w:p w14:paraId="63E021F0" w14:textId="454EAF92" w:rsidR="00317551" w:rsidRPr="00D043F6" w:rsidRDefault="00317551" w:rsidP="00F30B37">
      <w:pPr>
        <w:pStyle w:val="JuryInstructionText"/>
        <w:rPr>
          <w:b/>
        </w:rPr>
      </w:pPr>
      <w:r>
        <w:t>DFT is charged with kidnapping AVM.</w:t>
      </w:r>
      <w:r w:rsidR="00A87762">
        <w:t xml:space="preserve"> </w:t>
      </w:r>
      <w:r>
        <w:t xml:space="preserve">To prove DFT guilty of kidnapping, the Commonwealth must prove four elements beyond a reasonable doubt. </w:t>
      </w:r>
    </w:p>
    <w:p w14:paraId="2882E209" w14:textId="77777777" w:rsidR="00317551" w:rsidRPr="00D043F6" w:rsidRDefault="00317551" w:rsidP="00F30B37">
      <w:pPr>
        <w:pStyle w:val="JuryInstructionElements"/>
      </w:pPr>
      <w:r>
        <w:t>1.</w:t>
      </w:r>
      <w:r>
        <w:tab/>
        <w:t>DFT confined AVM in Massachusetts;</w:t>
      </w:r>
      <w:r>
        <w:rPr>
          <w:rStyle w:val="FootnoteReference"/>
          <w:rFonts w:cs="Segoe UI Historic"/>
          <w:spacing w:val="-5"/>
        </w:rPr>
        <w:footnoteReference w:id="2"/>
      </w:r>
    </w:p>
    <w:p w14:paraId="402631AF" w14:textId="77777777" w:rsidR="00317551" w:rsidRDefault="00317551" w:rsidP="00F30B37">
      <w:pPr>
        <w:pStyle w:val="JuryInstructionElements"/>
      </w:pPr>
      <w:r>
        <w:t>2.</w:t>
      </w:r>
      <w:r>
        <w:tab/>
      </w:r>
      <w:r w:rsidRPr="00D043F6">
        <w:t>DFT</w:t>
      </w:r>
      <w:r>
        <w:t xml:space="preserve"> did so forcibly or secretly;</w:t>
      </w:r>
    </w:p>
    <w:p w14:paraId="144CEC2E" w14:textId="77777777" w:rsidR="00317551" w:rsidRDefault="00317551" w:rsidP="00F30B37">
      <w:pPr>
        <w:pStyle w:val="JuryInstructionElements"/>
      </w:pPr>
      <w:r>
        <w:t>3.</w:t>
      </w:r>
      <w:r>
        <w:tab/>
        <w:t>DFT did so against AVM’s will; and</w:t>
      </w:r>
    </w:p>
    <w:p w14:paraId="660D5FE0" w14:textId="77777777" w:rsidR="00317551" w:rsidRDefault="00317551" w:rsidP="00F30B37">
      <w:pPr>
        <w:pStyle w:val="JuryInstructionElements"/>
      </w:pPr>
      <w:r>
        <w:t>4.</w:t>
      </w:r>
      <w:r>
        <w:tab/>
        <w:t xml:space="preserve">DFT did so without lawful authority. </w:t>
      </w:r>
    </w:p>
    <w:p w14:paraId="402B9D81" w14:textId="76B252F8" w:rsidR="00317551" w:rsidRDefault="00317551" w:rsidP="00F30B37">
      <w:pPr>
        <w:pStyle w:val="JuryInstructionText"/>
        <w:rPr>
          <w:b/>
        </w:rPr>
      </w:pPr>
      <w:r>
        <w:lastRenderedPageBreak/>
        <w:t>“Confine” means to enclose within bounds, isolate, restrict, restrain, shut up or keep in.</w:t>
      </w:r>
      <w:r>
        <w:rPr>
          <w:rStyle w:val="FootnoteReference"/>
          <w:rFonts w:cs="Segoe UI Historic"/>
        </w:rPr>
        <w:footnoteReference w:id="3"/>
      </w:r>
      <w:r>
        <w:t xml:space="preserve"> So, to prove the first element, the Commonwealth must prove that DFT restrained AVM’s movement in some way, and did so within Massachusetts. </w:t>
      </w:r>
    </w:p>
    <w:p w14:paraId="76189772" w14:textId="77777777" w:rsidR="00317551" w:rsidRDefault="00317551" w:rsidP="00F30B37">
      <w:pPr>
        <w:pStyle w:val="JuryInstructionText"/>
        <w:rPr>
          <w:b/>
        </w:rPr>
      </w:pPr>
      <w:r>
        <w:t>As for the second element, the Commonwealth must prove either that DFT used force to restrain AVM’s movement or that DFT restrained AVM in secret.</w:t>
      </w:r>
      <w:r>
        <w:rPr>
          <w:rStyle w:val="FootnoteReference"/>
          <w:rFonts w:cs="Segoe UI Historic"/>
        </w:rPr>
        <w:footnoteReference w:id="4"/>
      </w:r>
      <w:r>
        <w:t xml:space="preserve"> </w:t>
      </w:r>
    </w:p>
    <w:p w14:paraId="5B960516" w14:textId="3225F99E" w:rsidR="00317551" w:rsidRDefault="00317551" w:rsidP="008E25CF">
      <w:pPr>
        <w:pStyle w:val="JuryInstructionText"/>
        <w:ind w:left="432"/>
        <w:rPr>
          <w:b/>
        </w:rPr>
      </w:pPr>
      <w:r>
        <w:t>Force may involve actual physical contact or threatened contact. Examples of actual force include grabbing or dragging someone. An example of threatened force is compelling someone to move by using menacing words or gestures.</w:t>
      </w:r>
      <w:r>
        <w:rPr>
          <w:rStyle w:val="FootnoteReference"/>
          <w:rFonts w:cs="Segoe UI Historic"/>
        </w:rPr>
        <w:footnoteReference w:id="5"/>
      </w:r>
      <w:r>
        <w:t xml:space="preserve">  </w:t>
      </w:r>
    </w:p>
    <w:p w14:paraId="3F3BEA6D" w14:textId="53B9D203" w:rsidR="00317551" w:rsidRDefault="00317551" w:rsidP="008E25CF">
      <w:pPr>
        <w:pStyle w:val="JuryInstructionText"/>
        <w:ind w:left="432"/>
        <w:rPr>
          <w:b/>
        </w:rPr>
      </w:pPr>
      <w:r>
        <w:t>Secretly, as used here, should be given its common meaning.</w:t>
      </w:r>
      <w:r>
        <w:rPr>
          <w:rStyle w:val="FootnoteReference"/>
          <w:rFonts w:cs="Segoe UI Historic"/>
        </w:rPr>
        <w:footnoteReference w:id="6"/>
      </w:r>
      <w:r>
        <w:t xml:space="preserve"> </w:t>
      </w:r>
    </w:p>
    <w:p w14:paraId="3F2E4200" w14:textId="7C2F9D69" w:rsidR="00317551" w:rsidRDefault="008E25CF" w:rsidP="00F30B37">
      <w:pPr>
        <w:pStyle w:val="JuryInstructionText"/>
        <w:rPr>
          <w:b/>
        </w:rPr>
      </w:pPr>
      <w:r>
        <w:lastRenderedPageBreak/>
        <w:t>Third, t</w:t>
      </w:r>
      <w:r w:rsidR="00317551">
        <w:t>he Commonwealth must also prove that DFT confined AVM against his/her will, that is without his/her consent.</w:t>
      </w:r>
      <w:r w:rsidR="006F5D28">
        <w:rPr>
          <w:rStyle w:val="FootnoteReference"/>
        </w:rPr>
        <w:footnoteReference w:id="7"/>
      </w:r>
      <w:r w:rsidR="00317551">
        <w:t xml:space="preserve"> A person who submits because of force or threat of force has not consented.</w:t>
      </w:r>
      <w:r w:rsidR="00317551">
        <w:rPr>
          <w:rStyle w:val="FootnoteReference"/>
          <w:rFonts w:cs="Segoe UI Historic"/>
        </w:rPr>
        <w:footnoteReference w:id="8"/>
      </w:r>
    </w:p>
    <w:p w14:paraId="68206D45" w14:textId="3CD2632F" w:rsidR="00317551" w:rsidRDefault="00317551" w:rsidP="00F30B37">
      <w:pPr>
        <w:pStyle w:val="JuryInstructionText"/>
        <w:rPr>
          <w:b/>
        </w:rPr>
      </w:pPr>
      <w:r>
        <w:t xml:space="preserve">Finally, the Commonwealth must prove that DFT did not have lawful authority to confine AVM. </w:t>
      </w:r>
      <w:r w:rsidRPr="002A5721">
        <w:t xml:space="preserve">An act is under lawful authority if it is permitted by law. For example, a parent, teacher, or other caretaker </w:t>
      </w:r>
      <w:r>
        <w:t xml:space="preserve">of a child </w:t>
      </w:r>
      <w:r w:rsidRPr="002A5721">
        <w:t xml:space="preserve">may reasonably limit </w:t>
      </w:r>
      <w:r>
        <w:t>that</w:t>
      </w:r>
      <w:r w:rsidRPr="002A5721">
        <w:t xml:space="preserve"> child’s movement or behavior. </w:t>
      </w:r>
    </w:p>
    <w:p w14:paraId="3F0CE2B5" w14:textId="3324FF49" w:rsidR="00317551" w:rsidRPr="000E2744" w:rsidRDefault="00317551" w:rsidP="00F30B37">
      <w:pPr>
        <w:pStyle w:val="JuryInst3"/>
      </w:pPr>
      <w:r>
        <w:t>Second Theory – Carried or Sent out of Massachusetts</w:t>
      </w:r>
      <w:r w:rsidR="008E25CF">
        <w:t>.</w:t>
      </w:r>
    </w:p>
    <w:p w14:paraId="1D0E2040" w14:textId="113E9687" w:rsidR="00317551" w:rsidRPr="00D043F6" w:rsidRDefault="00317551" w:rsidP="00F30B37">
      <w:pPr>
        <w:pStyle w:val="JuryInstructionText"/>
        <w:rPr>
          <w:b/>
        </w:rPr>
      </w:pPr>
      <w:r>
        <w:t>DFT is charged with kidnapping AVM.</w:t>
      </w:r>
      <w:r w:rsidR="00A87762">
        <w:t xml:space="preserve"> </w:t>
      </w:r>
      <w:r>
        <w:t xml:space="preserve">To prove DFT guilty of kidnapping, the Commonwealth must prove three elements beyond a reasonable doubt. </w:t>
      </w:r>
    </w:p>
    <w:p w14:paraId="41F7F43E" w14:textId="77777777" w:rsidR="00317551" w:rsidRDefault="00317551" w:rsidP="00F30B37">
      <w:pPr>
        <w:pStyle w:val="JuryInstructionElements"/>
        <w:rPr>
          <w:b/>
        </w:rPr>
      </w:pPr>
      <w:r>
        <w:t>1.</w:t>
      </w:r>
      <w:r>
        <w:tab/>
        <w:t>DFT carried or sent AVM out of Massachusetts;</w:t>
      </w:r>
    </w:p>
    <w:p w14:paraId="6061C2D1" w14:textId="77777777" w:rsidR="00317551" w:rsidRDefault="00317551" w:rsidP="00F30B37">
      <w:pPr>
        <w:pStyle w:val="JuryInstructionElements"/>
        <w:rPr>
          <w:b/>
        </w:rPr>
      </w:pPr>
      <w:r>
        <w:t>2.</w:t>
      </w:r>
      <w:r>
        <w:tab/>
        <w:t>DFT did so forcibly; and</w:t>
      </w:r>
    </w:p>
    <w:p w14:paraId="217BB308" w14:textId="77777777" w:rsidR="00317551" w:rsidRDefault="00317551" w:rsidP="00F30B37">
      <w:pPr>
        <w:pStyle w:val="JuryInstructionElements"/>
        <w:rPr>
          <w:b/>
        </w:rPr>
      </w:pPr>
      <w:r>
        <w:t>3.</w:t>
      </w:r>
      <w:r>
        <w:tab/>
        <w:t xml:space="preserve">DFT did so without lawful authority. </w:t>
      </w:r>
    </w:p>
    <w:p w14:paraId="2F680C52" w14:textId="2D625336" w:rsidR="00317551" w:rsidRDefault="00317551" w:rsidP="00F30B37">
      <w:pPr>
        <w:pStyle w:val="JuryInstructionText"/>
        <w:rPr>
          <w:b/>
        </w:rPr>
      </w:pPr>
      <w:r>
        <w:t xml:space="preserve">To prove the first element, the Commonwealth must prove that DFT moved, took, or transported AVM out of Massachusetts, or caused AVM to be moved, taken, or transported out of Massachusetts. </w:t>
      </w:r>
    </w:p>
    <w:p w14:paraId="287C9DE6" w14:textId="1DA814DB" w:rsidR="00317551" w:rsidRDefault="00317551" w:rsidP="00F30B37">
      <w:pPr>
        <w:pStyle w:val="JuryInstructionText"/>
        <w:rPr>
          <w:b/>
        </w:rPr>
      </w:pPr>
      <w:r>
        <w:t xml:space="preserve">As for the second element, the Commonwealth must prove that DFT used force to carry or send AVM out of Massachusetts. Force may involve actual physical contact or threatened contact. Examples of actual force include </w:t>
      </w:r>
      <w:r>
        <w:lastRenderedPageBreak/>
        <w:t>grabbing or dragging someone. An example of threatened force is compelling someone to move by using menacing words or gestures.</w:t>
      </w:r>
      <w:r>
        <w:rPr>
          <w:rStyle w:val="FootnoteReference"/>
          <w:rFonts w:cs="Segoe UI Historic"/>
        </w:rPr>
        <w:footnoteReference w:id="9"/>
      </w:r>
    </w:p>
    <w:p w14:paraId="6D12D1DF" w14:textId="5F53AC7D" w:rsidR="00317551" w:rsidRDefault="00317551" w:rsidP="00F30B37">
      <w:pPr>
        <w:pStyle w:val="JuryInstructionText"/>
        <w:rPr>
          <w:b/>
        </w:rPr>
      </w:pPr>
      <w:r>
        <w:t xml:space="preserve">Finally, the Commonwealth must prove that DFT did not have lawful authority to confine AVM. </w:t>
      </w:r>
      <w:r w:rsidRPr="002A5721">
        <w:t xml:space="preserve">An act is under lawful authority if it is permitted by law. For example, a parent, teacher, or other caretaker of a child may reasonably limit </w:t>
      </w:r>
      <w:r>
        <w:t>that</w:t>
      </w:r>
      <w:r w:rsidRPr="002A5721">
        <w:t xml:space="preserve"> child’s movement or behavior.</w:t>
      </w:r>
    </w:p>
    <w:p w14:paraId="060A46E9" w14:textId="303AD796" w:rsidR="00317551" w:rsidRPr="00FE63DD" w:rsidRDefault="00317551" w:rsidP="00F30B37">
      <w:pPr>
        <w:pStyle w:val="JuryInst3"/>
        <w:rPr>
          <w:sz w:val="24"/>
          <w:szCs w:val="24"/>
        </w:rPr>
      </w:pPr>
      <w:r w:rsidRPr="00FE63DD">
        <w:t>Third Theory</w:t>
      </w:r>
      <w:r>
        <w:t xml:space="preserve"> – Forcibly Seized and Confined, or Tricked into Confinement</w:t>
      </w:r>
      <w:r w:rsidR="00F30B37">
        <w:t>.</w:t>
      </w:r>
    </w:p>
    <w:p w14:paraId="25D3A489" w14:textId="0FC2EF1F" w:rsidR="00317551" w:rsidRPr="00817017" w:rsidRDefault="00317551" w:rsidP="00F30B37">
      <w:pPr>
        <w:pStyle w:val="JuryInstructionText"/>
        <w:rPr>
          <w:b/>
        </w:rPr>
      </w:pPr>
      <w:r>
        <w:t>DFT is charged with kidnapping AVM</w:t>
      </w:r>
      <w:r w:rsidR="00A87762">
        <w:t xml:space="preserve">. </w:t>
      </w:r>
      <w:r>
        <w:t>To prove the DFT guilty of kidnapping, the Commonwealth must prove three elements beyond a reasonable doubt.</w:t>
      </w:r>
    </w:p>
    <w:p w14:paraId="4A6736A9" w14:textId="7E0714BB" w:rsidR="00651DF8" w:rsidRDefault="00317551" w:rsidP="00651DF8">
      <w:pPr>
        <w:pStyle w:val="JuryInstructionElements"/>
      </w:pPr>
      <w:r w:rsidRPr="00BB0E2F">
        <w:t>1.</w:t>
      </w:r>
      <w:r w:rsidRPr="00BB0E2F">
        <w:tab/>
        <w:t xml:space="preserve">DFT </w:t>
      </w:r>
      <w:r w:rsidR="00C41EB7">
        <w:t>[</w:t>
      </w:r>
      <w:r>
        <w:t xml:space="preserve">forcibly </w:t>
      </w:r>
      <w:r w:rsidRPr="00BB0E2F">
        <w:t>seized and confined</w:t>
      </w:r>
      <w:r>
        <w:t xml:space="preserve"> AVM</w:t>
      </w:r>
      <w:r w:rsidR="00C41EB7">
        <w:t>]</w:t>
      </w:r>
      <w:r>
        <w:t xml:space="preserve">, </w:t>
      </w:r>
      <w:r w:rsidRPr="00BB0E2F">
        <w:t xml:space="preserve">or </w:t>
      </w:r>
      <w:r w:rsidR="00C41EB7">
        <w:t>[</w:t>
      </w:r>
      <w:r>
        <w:t xml:space="preserve">tricked </w:t>
      </w:r>
      <w:r w:rsidRPr="00BB0E2F">
        <w:t>AVM into confinement</w:t>
      </w:r>
      <w:r w:rsidR="00C41EB7">
        <w:t>]</w:t>
      </w:r>
      <w:r w:rsidRPr="00BB0E2F">
        <w:t>;</w:t>
      </w:r>
      <w:r w:rsidR="00651DF8">
        <w:t xml:space="preserve"> </w:t>
      </w:r>
      <w:r w:rsidR="00651DF8">
        <w:br/>
        <w:t>&lt;</w:t>
      </w:r>
      <w:r w:rsidR="00651DF8">
        <w:rPr>
          <w:b/>
          <w:bCs/>
          <w:i/>
          <w:iCs/>
        </w:rPr>
        <w:t>Instruct only on the conduct applicable to the case</w:t>
      </w:r>
      <w:r w:rsidR="00651DF8">
        <w:t>&gt;.</w:t>
      </w:r>
    </w:p>
    <w:p w14:paraId="1CD38DB7" w14:textId="3C481591" w:rsidR="00317551" w:rsidRPr="00BB0E2F" w:rsidRDefault="00317551" w:rsidP="00F30B37">
      <w:pPr>
        <w:pStyle w:val="JuryInstructionElements"/>
        <w:rPr>
          <w:b/>
        </w:rPr>
      </w:pPr>
      <w:r>
        <w:t>2</w:t>
      </w:r>
      <w:r w:rsidRPr="00BB0E2F">
        <w:t>.</w:t>
      </w:r>
      <w:r w:rsidRPr="00BB0E2F">
        <w:tab/>
        <w:t xml:space="preserve">DFT did so without lawful authority; and  </w:t>
      </w:r>
    </w:p>
    <w:p w14:paraId="72521802" w14:textId="3236A35F" w:rsidR="00317551" w:rsidRPr="008846D8" w:rsidRDefault="00317551" w:rsidP="00F30B37">
      <w:pPr>
        <w:pStyle w:val="JuryInstructionElements"/>
        <w:rPr>
          <w:b/>
        </w:rPr>
      </w:pPr>
      <w:r>
        <w:t>3</w:t>
      </w:r>
      <w:r w:rsidRPr="00BB0E2F">
        <w:t>.</w:t>
      </w:r>
      <w:r w:rsidR="00A87762">
        <w:tab/>
      </w:r>
      <w:r w:rsidRPr="008846D8">
        <w:t xml:space="preserve">DFT intended either: </w:t>
      </w:r>
      <w:r w:rsidR="00C41EB7">
        <w:t>[</w:t>
      </w:r>
      <w:r w:rsidRPr="008846D8">
        <w:t>(i) to cause AVM to be secretly confined in Massachusetts against AVM’s</w:t>
      </w:r>
      <w:r>
        <w:t xml:space="preserve"> </w:t>
      </w:r>
      <w:r w:rsidRPr="008846D8">
        <w:t>will,</w:t>
      </w:r>
      <w:r w:rsidR="00C41EB7">
        <w:t>] [</w:t>
      </w:r>
      <w:r w:rsidRPr="008846D8">
        <w:t>(ii) or to cause AVM to be sent out of Massachusetts</w:t>
      </w:r>
      <w:r>
        <w:t xml:space="preserve"> against his/her will;</w:t>
      </w:r>
      <w:r w:rsidR="00C41EB7">
        <w:t>]</w:t>
      </w:r>
      <w:r>
        <w:t xml:space="preserve"> </w:t>
      </w:r>
      <w:r w:rsidR="00C41EB7">
        <w:t>[</w:t>
      </w:r>
      <w:r>
        <w:t>(iii) or to cause AVM to be in any way held to service against AVM’s will</w:t>
      </w:r>
      <w:r w:rsidR="00C41EB7">
        <w:t>]</w:t>
      </w:r>
      <w:r>
        <w:t>.</w:t>
      </w:r>
      <w:r w:rsidR="00C41EB7">
        <w:t xml:space="preserve"> &lt;</w:t>
      </w:r>
      <w:r w:rsidR="00C41EB7">
        <w:rPr>
          <w:b/>
          <w:bCs/>
          <w:i/>
          <w:iCs/>
        </w:rPr>
        <w:t xml:space="preserve">Instruct </w:t>
      </w:r>
      <w:r w:rsidR="00C41EB7" w:rsidRPr="00C41EB7">
        <w:rPr>
          <w:b/>
          <w:i/>
          <w:iCs/>
        </w:rPr>
        <w:t>on whichever</w:t>
      </w:r>
      <w:r w:rsidR="00C41EB7">
        <w:rPr>
          <w:b/>
          <w:i/>
          <w:iCs/>
        </w:rPr>
        <w:t xml:space="preserve"> of these theories</w:t>
      </w:r>
      <w:r w:rsidR="00C41EB7" w:rsidRPr="00C41EB7">
        <w:rPr>
          <w:b/>
          <w:i/>
          <w:iCs/>
        </w:rPr>
        <w:t xml:space="preserve"> is pressed at trial</w:t>
      </w:r>
      <w:r w:rsidR="00C41EB7">
        <w:rPr>
          <w:b/>
          <w:i/>
          <w:iCs/>
        </w:rPr>
        <w:t xml:space="preserve"> and delete the others.</w:t>
      </w:r>
      <w:r w:rsidR="00C41EB7">
        <w:t>&gt;</w:t>
      </w:r>
    </w:p>
    <w:p w14:paraId="2D493DEB" w14:textId="1E45E81C" w:rsidR="00317551" w:rsidRDefault="00317551" w:rsidP="00F30B37">
      <w:pPr>
        <w:pStyle w:val="JuryInstructionText"/>
        <w:rPr>
          <w:b/>
        </w:rPr>
      </w:pPr>
      <w:r>
        <w:t>“Seized” as used here, should be given its common meaning.</w:t>
      </w:r>
      <w:r>
        <w:rPr>
          <w:rStyle w:val="FootnoteReference"/>
          <w:rFonts w:cs="Segoe UI Historic"/>
        </w:rPr>
        <w:footnoteReference w:id="10"/>
      </w:r>
    </w:p>
    <w:p w14:paraId="3F0E78A5" w14:textId="7AE64F70" w:rsidR="00317551" w:rsidRDefault="00317551" w:rsidP="00F30B37">
      <w:pPr>
        <w:pStyle w:val="JuryInstructionText"/>
        <w:rPr>
          <w:b/>
        </w:rPr>
      </w:pPr>
      <w:r>
        <w:t>“Confine” means to enclose within bounds, isolate, restrict, retrain, shut up or keep in. Any restraint of a person’s movement is confinement.</w:t>
      </w:r>
      <w:r>
        <w:rPr>
          <w:rStyle w:val="FootnoteReference"/>
          <w:rFonts w:cs="Segoe UI Historic"/>
        </w:rPr>
        <w:footnoteReference w:id="11"/>
      </w:r>
      <w:r>
        <w:t xml:space="preserve"> So, to </w:t>
      </w:r>
      <w:r>
        <w:lastRenderedPageBreak/>
        <w:t>prove the first element, the Commonwealth must prove that DFT restrained AVM’s movement, and did so either by forcibly “seizing” them</w:t>
      </w:r>
      <w:r>
        <w:rPr>
          <w:rStyle w:val="FootnoteReference"/>
          <w:rFonts w:cs="Segoe UI Historic"/>
        </w:rPr>
        <w:footnoteReference w:id="12"/>
      </w:r>
      <w:r>
        <w:t xml:space="preserve">or by tricking them in some way. </w:t>
      </w:r>
    </w:p>
    <w:p w14:paraId="46BF507F" w14:textId="09D2910C" w:rsidR="00317551" w:rsidRDefault="00317551" w:rsidP="00F30B37">
      <w:pPr>
        <w:pStyle w:val="JuryInstructionText"/>
        <w:rPr>
          <w:b/>
        </w:rPr>
      </w:pPr>
      <w:r>
        <w:t>Force may involve actual physical contact or threatened contact. Examples of actual force include grabbing or dragging someone. An example of threatened force is compelling someone to move by using menacing words or gestures.</w:t>
      </w:r>
      <w:r>
        <w:rPr>
          <w:rStyle w:val="FootnoteReference"/>
          <w:rFonts w:cs="Segoe UI Historic"/>
        </w:rPr>
        <w:footnoteReference w:id="13"/>
      </w:r>
    </w:p>
    <w:p w14:paraId="2D897D70" w14:textId="57287EF9" w:rsidR="00317551" w:rsidRDefault="00317551" w:rsidP="00F30B37">
      <w:pPr>
        <w:pStyle w:val="JuryInstructionText"/>
        <w:rPr>
          <w:b/>
        </w:rPr>
      </w:pPr>
      <w:r>
        <w:t>The Commonwealth may also prove this first element by proving that DFT was able to confine AVM using some kind of trickery. If it proves that AVM was confined by trickery, the Commonwealth does not have to prove that DFT used force.</w:t>
      </w:r>
      <w:r>
        <w:rPr>
          <w:rStyle w:val="FootnoteReference"/>
          <w:rFonts w:cs="Segoe UI Historic"/>
        </w:rPr>
        <w:footnoteReference w:id="14"/>
      </w:r>
    </w:p>
    <w:p w14:paraId="60388B32" w14:textId="479BFB3C" w:rsidR="00317551" w:rsidRPr="00A87762" w:rsidRDefault="00317551" w:rsidP="00F30B37">
      <w:pPr>
        <w:pStyle w:val="JuryInstructionText"/>
        <w:rPr>
          <w:b/>
        </w:rPr>
      </w:pPr>
      <w:r>
        <w:t xml:space="preserve">To prove the second element, the Commonwealth must prove that DFT did not have lawful authority to confine AVM. </w:t>
      </w:r>
      <w:r w:rsidRPr="002A5721">
        <w:t xml:space="preserve">An act is under lawful authority if it is permitted by law. For example, a parent, teacher, or other caretaker of a child may reasonably limit </w:t>
      </w:r>
      <w:r>
        <w:t xml:space="preserve">that </w:t>
      </w:r>
      <w:r w:rsidRPr="002A5721">
        <w:t>child’s movement or behavior.</w:t>
      </w:r>
    </w:p>
    <w:p w14:paraId="79BB2E0B" w14:textId="51D83802" w:rsidR="00317551" w:rsidRDefault="00317551" w:rsidP="00F30B37">
      <w:pPr>
        <w:pStyle w:val="JuryInstructionText"/>
        <w:rPr>
          <w:b/>
        </w:rPr>
      </w:pPr>
      <w:r>
        <w:t>Finally, t</w:t>
      </w:r>
      <w:r w:rsidRPr="006B51A3">
        <w:t xml:space="preserve">he Commonwealth must </w:t>
      </w:r>
      <w:r>
        <w:t xml:space="preserve">also </w:t>
      </w:r>
      <w:r w:rsidRPr="006B51A3">
        <w:t xml:space="preserve">prove </w:t>
      </w:r>
      <w:r>
        <w:t>that DFT</w:t>
      </w:r>
      <w:r w:rsidRPr="006B51A3">
        <w:t xml:space="preserve"> acted wit</w:t>
      </w:r>
      <w:r>
        <w:t>h the specific intent to cause AVM [to be secretly confined in Massachusetts against his/her</w:t>
      </w:r>
      <w:r w:rsidRPr="006B51A3">
        <w:t xml:space="preserve"> will</w:t>
      </w:r>
      <w:r>
        <w:t>] [to be sent out of Massachusetts against AVM’s will] [to be held to service against AVM’s will]</w:t>
      </w:r>
      <w:r w:rsidRPr="006B51A3">
        <w:t>.</w:t>
      </w:r>
      <w:r>
        <w:t xml:space="preserve"> </w:t>
      </w:r>
      <w:r w:rsidR="004B31B1">
        <w:br/>
      </w:r>
      <w:r>
        <w:t>&lt;</w:t>
      </w:r>
      <w:r w:rsidR="004558C0">
        <w:rPr>
          <w:b/>
          <w:i/>
          <w:iCs/>
        </w:rPr>
        <w:t>C</w:t>
      </w:r>
      <w:r w:rsidRPr="00C41EB7">
        <w:rPr>
          <w:b/>
          <w:i/>
          <w:iCs/>
        </w:rPr>
        <w:t>harge on whichever theory is pressed at trial</w:t>
      </w:r>
      <w:r>
        <w:t xml:space="preserve">&gt; </w:t>
      </w:r>
    </w:p>
    <w:p w14:paraId="1CE26664" w14:textId="4056FF2C" w:rsidR="00317551" w:rsidRPr="00012055" w:rsidRDefault="00317551" w:rsidP="00F30B37">
      <w:pPr>
        <w:pStyle w:val="JuryInstructionText"/>
      </w:pPr>
      <w:r w:rsidRPr="0096351E">
        <w:t>Intent is a state of mind. It means a person’s purpose or objective. A person does an act with a specific intent to cause AVM [to be secretly confined in Massachusetts against his/her will</w:t>
      </w:r>
      <w:r w:rsidR="004558C0">
        <w:t>] [</w:t>
      </w:r>
      <w:r w:rsidRPr="0096351E">
        <w:t xml:space="preserve">to be sent out of Massachusetts against </w:t>
      </w:r>
      <w:r w:rsidRPr="0096351E">
        <w:lastRenderedPageBreak/>
        <w:t>AVM’s will</w:t>
      </w:r>
      <w:r w:rsidR="004558C0">
        <w:t>] [</w:t>
      </w:r>
      <w:r w:rsidRPr="0096351E">
        <w:t>to be held to service against AVM’s will] if the person has in mind the specific purpose or objective of causing AVM [to be secretly confined in Massachusetts against his/her will</w:t>
      </w:r>
      <w:r w:rsidR="004558C0">
        <w:t>] [</w:t>
      </w:r>
      <w:r w:rsidRPr="0096351E">
        <w:t>to be sent out of Massachusetts against AVM’s will</w:t>
      </w:r>
      <w:r w:rsidR="004558C0">
        <w:t>] [</w:t>
      </w:r>
      <w:r w:rsidRPr="0096351E">
        <w:t>to be held to service against AVM’s will] when the person does the act. The decision to do the act for that purpose requires some period of thought and deliberation, however brief</w:t>
      </w:r>
      <w:r>
        <w:t>.</w:t>
      </w:r>
    </w:p>
    <w:p w14:paraId="0018B8EC" w14:textId="03CCB830" w:rsidR="00317551" w:rsidRDefault="004558C0" w:rsidP="00F30B37">
      <w:pPr>
        <w:pStyle w:val="JuryInstructionText"/>
        <w:rPr>
          <w:b/>
        </w:rPr>
      </w:pPr>
      <w:r>
        <w:t>&lt;</w:t>
      </w:r>
      <w:r w:rsidRPr="004558C0">
        <w:rPr>
          <w:b/>
          <w:bCs/>
          <w:i/>
          <w:iCs/>
        </w:rPr>
        <w:t>If the theory of intent is to confine secretly</w:t>
      </w:r>
      <w:r>
        <w:rPr>
          <w:b/>
          <w:bCs/>
          <w:i/>
          <w:iCs/>
        </w:rPr>
        <w:t>:</w:t>
      </w:r>
      <w:r>
        <w:t>&gt;</w:t>
      </w:r>
      <w:r w:rsidR="00317551">
        <w:t xml:space="preserve"> Secretly, as used here, should be given its common meaning.</w:t>
      </w:r>
      <w:r w:rsidR="00317551">
        <w:rPr>
          <w:rStyle w:val="FootnoteReference"/>
          <w:rFonts w:cs="Segoe UI Historic"/>
        </w:rPr>
        <w:footnoteReference w:id="15"/>
      </w:r>
    </w:p>
    <w:p w14:paraId="713F3480" w14:textId="655FF555" w:rsidR="00317551" w:rsidRDefault="004558C0" w:rsidP="00F30B37">
      <w:pPr>
        <w:pStyle w:val="JuryInstructionText"/>
        <w:rPr>
          <w:b/>
        </w:rPr>
      </w:pPr>
      <w:r>
        <w:t>&lt;</w:t>
      </w:r>
      <w:r>
        <w:rPr>
          <w:b/>
          <w:bCs/>
          <w:i/>
          <w:iCs/>
        </w:rPr>
        <w:t>If the theory of intent is to send out of Massachusetts:</w:t>
      </w:r>
      <w:r>
        <w:t xml:space="preserve">&gt; </w:t>
      </w:r>
      <w:r w:rsidR="00317551">
        <w:t>A defendant carries or sends another out of Massachusetts if he/she moves, takes, or transports, or causes that person to be moved, taken, or transported, out of Massachusetts.</w:t>
      </w:r>
    </w:p>
    <w:p w14:paraId="20CDF99B" w14:textId="2FDFB09E" w:rsidR="00317551" w:rsidRDefault="002977C7" w:rsidP="00F30B37">
      <w:pPr>
        <w:pStyle w:val="JuryInstructionText"/>
        <w:rPr>
          <w:b/>
        </w:rPr>
      </w:pPr>
      <w:r>
        <w:t>&lt;</w:t>
      </w:r>
      <w:r>
        <w:rPr>
          <w:b/>
          <w:bCs/>
          <w:i/>
          <w:iCs/>
        </w:rPr>
        <w:t>If the theory of intent is to hold to service:</w:t>
      </w:r>
      <w:r>
        <w:t xml:space="preserve">&gt; </w:t>
      </w:r>
      <w:r w:rsidR="00317551" w:rsidRPr="0096351E">
        <w:rPr>
          <w:bCs/>
        </w:rPr>
        <w:t>To hold to service means to force a person to work or perform services against his/her will.</w:t>
      </w:r>
      <w:r w:rsidR="00317551">
        <w:t xml:space="preserve">  </w:t>
      </w:r>
    </w:p>
    <w:p w14:paraId="024F4531" w14:textId="6E018767" w:rsidR="00317551" w:rsidRPr="00A87762" w:rsidRDefault="00317551" w:rsidP="00F30B37">
      <w:pPr>
        <w:pStyle w:val="JuryInstructionText"/>
        <w:rPr>
          <w:b/>
        </w:rPr>
      </w:pPr>
      <w:r>
        <w:t>Against AVM’s will means that AVM did not consent to being confined. A</w:t>
      </w:r>
      <w:r w:rsidR="002977C7">
        <w:t> </w:t>
      </w:r>
      <w:r>
        <w:t>person who submits because of force or threat of force has not consented.</w:t>
      </w:r>
      <w:r>
        <w:rPr>
          <w:rStyle w:val="FootnoteReference"/>
          <w:rFonts w:cs="Segoe UI Historic"/>
        </w:rPr>
        <w:footnoteReference w:id="16"/>
      </w:r>
    </w:p>
    <w:p w14:paraId="11E3CD29" w14:textId="436355F1" w:rsidR="00F30B37" w:rsidRDefault="00F30B37" w:rsidP="00F30B37">
      <w:pPr>
        <w:pStyle w:val="JuryInst1"/>
      </w:pPr>
      <w:r>
        <w:lastRenderedPageBreak/>
        <w:t>Supplemental Instruction</w:t>
      </w:r>
    </w:p>
    <w:p w14:paraId="1A8C713B" w14:textId="08F14A13" w:rsidR="00317551" w:rsidRDefault="00F30B37" w:rsidP="00F30B37">
      <w:pPr>
        <w:pStyle w:val="JuryInst2"/>
      </w:pPr>
      <w:r w:rsidRPr="0015248C">
        <w:t xml:space="preserve">Kidnapping </w:t>
      </w:r>
      <w:r>
        <w:t>w</w:t>
      </w:r>
      <w:r w:rsidRPr="0015248C">
        <w:t>ith Intent To Extort</w:t>
      </w:r>
      <w:r w:rsidR="00317551" w:rsidRPr="00F30B37">
        <w:rPr>
          <w:rStyle w:val="FootnoteReference"/>
          <w:rFonts w:cs="Segoe UI Historic"/>
          <w:szCs w:val="28"/>
        </w:rPr>
        <w:footnoteReference w:id="17"/>
      </w:r>
    </w:p>
    <w:p w14:paraId="7E77F18D" w14:textId="2BB36829" w:rsidR="00317551" w:rsidRPr="00A87762" w:rsidRDefault="00317551" w:rsidP="00F30B37">
      <w:pPr>
        <w:pStyle w:val="JuryInstructionText"/>
      </w:pPr>
      <w:r>
        <w:t xml:space="preserve">Kidnapping with intent to extort has one element in addition to those required for kidnapping:  that DFT committed the </w:t>
      </w:r>
      <w:r w:rsidRPr="00817017">
        <w:t>kidnapping</w:t>
      </w:r>
      <w:r>
        <w:t xml:space="preserve"> </w:t>
      </w:r>
      <w:r w:rsidRPr="00817017">
        <w:t xml:space="preserve">with the specific intent to extort money or some other valuable thing. </w:t>
      </w:r>
      <w:r>
        <w:t xml:space="preserve"> </w:t>
      </w:r>
    </w:p>
    <w:p w14:paraId="2D54B66F" w14:textId="531F2AAA" w:rsidR="00317551" w:rsidRPr="00A87762" w:rsidRDefault="00317551" w:rsidP="00F30B37">
      <w:pPr>
        <w:pStyle w:val="JuryInstructionText"/>
      </w:pPr>
      <w:r>
        <w:rPr>
          <w:spacing w:val="-2"/>
        </w:rPr>
        <w:t>To “extort”</w:t>
      </w:r>
      <w:r w:rsidRPr="005F17FE">
        <w:rPr>
          <w:spacing w:val="-2"/>
        </w:rPr>
        <w:t xml:space="preserve"> means to obtain property, coerce payment of mon</w:t>
      </w:r>
      <w:r>
        <w:t xml:space="preserve">ey, secure a financial </w:t>
      </w:r>
      <w:r w:rsidRPr="005F17FE">
        <w:t>advantage for oneself, or compel another to do an act against his</w:t>
      </w:r>
      <w:r>
        <w:t>/</w:t>
      </w:r>
      <w:r w:rsidRPr="005F17FE">
        <w:t>her</w:t>
      </w:r>
      <w:r>
        <w:t xml:space="preserve"> will. </w:t>
      </w:r>
    </w:p>
    <w:p w14:paraId="21F33DD6" w14:textId="0AF93426" w:rsidR="00B75859" w:rsidRPr="00317551" w:rsidRDefault="00317551" w:rsidP="00F30B37">
      <w:pPr>
        <w:pStyle w:val="JuryInstructionText"/>
      </w:pPr>
      <w:r w:rsidRPr="0096351E">
        <w:t>Intent is a state of mind. It means a person’s purpose or objective. A person does an act with a specific intent to cause AVM [to be secretly confined in Massachusetts against his/her will</w:t>
      </w:r>
      <w:r w:rsidR="002977C7">
        <w:t>] [</w:t>
      </w:r>
      <w:r w:rsidRPr="0096351E">
        <w:t>to be sent out of Massachusetts against AVM’s will</w:t>
      </w:r>
      <w:r w:rsidR="002977C7">
        <w:t>] [</w:t>
      </w:r>
      <w:r w:rsidRPr="0096351E">
        <w:t>to be held to service against AVM’s will] if the person has in mind the specific purpose or objective of causing AVM [to be secretly confined in Massachusetts against his/her will</w:t>
      </w:r>
      <w:r w:rsidR="002977C7">
        <w:t>] [</w:t>
      </w:r>
      <w:r w:rsidRPr="0096351E">
        <w:t>to be sent out of Massachusetts against AVM’s will</w:t>
      </w:r>
      <w:r w:rsidR="002977C7">
        <w:t>] [</w:t>
      </w:r>
      <w:r w:rsidRPr="0096351E">
        <w:t>to be held to service against AVM’s will] when the person does the act. The decision to do the act for that purpose requires some period of thought and deliberation, however brief</w:t>
      </w:r>
      <w:r>
        <w:t>.</w:t>
      </w:r>
      <w:r w:rsidRPr="00126C67">
        <w:rPr>
          <w:rStyle w:val="FootnoteReference"/>
          <w:rFonts w:cs="Segoe UI Historic"/>
        </w:rPr>
        <w:footnoteReference w:id="18"/>
      </w:r>
      <w:r w:rsidRPr="00126C67">
        <w:t xml:space="preserve"> </w:t>
      </w:r>
    </w:p>
    <w:sectPr w:rsidR="00B75859" w:rsidRPr="00317551"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20BE" w14:textId="77777777" w:rsidR="008F6E8B" w:rsidRDefault="008F6E8B" w:rsidP="00F74A90">
      <w:r>
        <w:separator/>
      </w:r>
    </w:p>
  </w:endnote>
  <w:endnote w:type="continuationSeparator" w:id="0">
    <w:p w14:paraId="73E5045F" w14:textId="77777777" w:rsidR="008F6E8B" w:rsidRDefault="008F6E8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Times LT St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41EE" w14:textId="77777777" w:rsidR="008F6E8B" w:rsidRDefault="008F6E8B" w:rsidP="00F74A90">
      <w:r>
        <w:separator/>
      </w:r>
    </w:p>
  </w:footnote>
  <w:footnote w:type="continuationSeparator" w:id="0">
    <w:p w14:paraId="504CF307" w14:textId="77777777" w:rsidR="008F6E8B" w:rsidRDefault="008F6E8B" w:rsidP="00F74A90">
      <w:r>
        <w:continuationSeparator/>
      </w:r>
    </w:p>
  </w:footnote>
  <w:footnote w:id="1">
    <w:p w14:paraId="209A964A" w14:textId="77777777" w:rsidR="004B31B1" w:rsidRPr="00FF382D" w:rsidRDefault="004B31B1" w:rsidP="004B31B1">
      <w:pPr>
        <w:pStyle w:val="FootnoteText"/>
        <w:rPr>
          <w:rFonts w:cs="Segoe UI Historic"/>
          <w:sz w:val="24"/>
          <w:szCs w:val="24"/>
        </w:rPr>
      </w:pPr>
      <w:r w:rsidRPr="00FF382D">
        <w:rPr>
          <w:rStyle w:val="FootnoteReference"/>
          <w:rFonts w:cs="Segoe UI Historic"/>
          <w:sz w:val="24"/>
          <w:szCs w:val="24"/>
        </w:rPr>
        <w:footnoteRef/>
      </w:r>
      <w:r w:rsidRPr="00FF382D">
        <w:rPr>
          <w:rFonts w:cs="Segoe UI Historic"/>
          <w:sz w:val="24"/>
          <w:szCs w:val="24"/>
        </w:rPr>
        <w:t xml:space="preserve"> </w:t>
      </w:r>
      <w:r>
        <w:rPr>
          <w:rFonts w:cs="Segoe UI Historic"/>
          <w:sz w:val="24"/>
          <w:szCs w:val="24"/>
        </w:rPr>
        <w:tab/>
        <w:t xml:space="preserve">G.L. c. 265, </w:t>
      </w:r>
      <w:r w:rsidRPr="002E70C8">
        <w:rPr>
          <w:rFonts w:cs="Segoe UI Historic"/>
          <w:sz w:val="24"/>
          <w:szCs w:val="24"/>
        </w:rPr>
        <w:t>§</w:t>
      </w:r>
      <w:r>
        <w:rPr>
          <w:rFonts w:cs="Segoe UI Historic"/>
          <w:sz w:val="24"/>
          <w:szCs w:val="24"/>
        </w:rPr>
        <w:t xml:space="preserve"> 26 states: “</w:t>
      </w:r>
      <w:r w:rsidRPr="00FF382D">
        <w:rPr>
          <w:rFonts w:cs="Segoe UI Historic"/>
          <w:sz w:val="24"/>
          <w:szCs w:val="24"/>
        </w:rPr>
        <w:t>Whoever, without lawful authority, [1] forcibly or secretly confines, or imprisons another person within this Commonwealth against his will, or [2] forcibly carries or sen</w:t>
      </w:r>
      <w:r w:rsidRPr="00FF382D">
        <w:rPr>
          <w:rFonts w:cs="Segoe UI Historic"/>
          <w:spacing w:val="-2"/>
          <w:sz w:val="24"/>
          <w:szCs w:val="24"/>
        </w:rPr>
        <w:t>ds such person out of this commonwea</w:t>
      </w:r>
      <w:r w:rsidRPr="00FF382D">
        <w:rPr>
          <w:rFonts w:cs="Segoe UI Historic"/>
          <w:sz w:val="24"/>
          <w:szCs w:val="24"/>
        </w:rPr>
        <w:t>lth, or [3] forcibly seizes and confines or inveigles or kidnaps another person, with in</w:t>
      </w:r>
      <w:r w:rsidRPr="00FF382D">
        <w:rPr>
          <w:rFonts w:cs="Segoe UI Historic"/>
          <w:spacing w:val="-2"/>
          <w:sz w:val="24"/>
          <w:szCs w:val="24"/>
        </w:rPr>
        <w:t>tent either to cause him to be secretly con</w:t>
      </w:r>
      <w:r w:rsidRPr="00FF382D">
        <w:rPr>
          <w:rFonts w:cs="Segoe UI Historic"/>
          <w:sz w:val="24"/>
          <w:szCs w:val="24"/>
        </w:rPr>
        <w:t>fined or im</w:t>
      </w:r>
      <w:r w:rsidRPr="00FF382D">
        <w:rPr>
          <w:rFonts w:cs="Segoe UI Historic"/>
          <w:spacing w:val="-2"/>
          <w:sz w:val="24"/>
          <w:szCs w:val="24"/>
        </w:rPr>
        <w:t>prisoned within this commonwealth agai</w:t>
      </w:r>
      <w:r w:rsidRPr="00FF382D">
        <w:rPr>
          <w:rFonts w:cs="Segoe UI Historic"/>
          <w:sz w:val="24"/>
          <w:szCs w:val="24"/>
        </w:rPr>
        <w:t xml:space="preserve">nst his will, or to cause him to be sent </w:t>
      </w:r>
      <w:r w:rsidRPr="00FF382D">
        <w:rPr>
          <w:rFonts w:cs="Segoe UI Historic"/>
          <w:spacing w:val="-2"/>
          <w:sz w:val="24"/>
          <w:szCs w:val="24"/>
        </w:rPr>
        <w:t>out of this commonwealth against his will or in any way hel</w:t>
      </w:r>
      <w:r>
        <w:rPr>
          <w:rFonts w:cs="Segoe UI Historic"/>
          <w:spacing w:val="-2"/>
          <w:sz w:val="24"/>
          <w:szCs w:val="24"/>
        </w:rPr>
        <w:t>d to service against his will, shall be punished.”</w:t>
      </w:r>
      <w:r w:rsidRPr="00FF382D">
        <w:rPr>
          <w:rFonts w:cs="Segoe UI Historic"/>
          <w:sz w:val="24"/>
          <w:szCs w:val="24"/>
        </w:rPr>
        <w:t xml:space="preserve"> </w:t>
      </w:r>
      <w:r>
        <w:rPr>
          <w:rFonts w:cs="Segoe UI Historic"/>
          <w:sz w:val="24"/>
          <w:szCs w:val="24"/>
        </w:rPr>
        <w:t>(Internal numbering was added to designate the three different theories of kidnapping.)</w:t>
      </w:r>
    </w:p>
  </w:footnote>
  <w:footnote w:id="2">
    <w:p w14:paraId="7C22D49C" w14:textId="716606A2" w:rsidR="00317551" w:rsidRPr="005B7AFD" w:rsidRDefault="00317551" w:rsidP="00317551">
      <w:pPr>
        <w:pStyle w:val="FootnoteText"/>
        <w:rPr>
          <w:rFonts w:cs="Segoe UI Historic"/>
          <w:sz w:val="24"/>
          <w:szCs w:val="24"/>
        </w:rPr>
      </w:pPr>
      <w:r w:rsidRPr="005B7AFD">
        <w:rPr>
          <w:rStyle w:val="FootnoteReference"/>
          <w:rFonts w:cs="Segoe UI Historic"/>
          <w:sz w:val="24"/>
          <w:szCs w:val="24"/>
        </w:rPr>
        <w:footnoteRef/>
      </w:r>
      <w:r w:rsidRPr="005B7AFD">
        <w:rPr>
          <w:rFonts w:cs="Segoe UI Historic"/>
          <w:sz w:val="24"/>
          <w:szCs w:val="24"/>
        </w:rPr>
        <w:t xml:space="preserve"> </w:t>
      </w:r>
      <w:r w:rsidR="00763A3E">
        <w:rPr>
          <w:rFonts w:cs="Segoe UI Historic"/>
          <w:sz w:val="24"/>
          <w:szCs w:val="24"/>
        </w:rPr>
        <w:tab/>
      </w:r>
      <w:r w:rsidRPr="005B7AFD">
        <w:rPr>
          <w:rFonts w:cs="Segoe UI Historic"/>
          <w:sz w:val="24"/>
          <w:szCs w:val="24"/>
        </w:rPr>
        <w:t xml:space="preserve">Massachusetts cases treat the terms “confine” and imprison as </w:t>
      </w:r>
      <w:r w:rsidRPr="005B7AFD">
        <w:rPr>
          <w:rFonts w:cs="Segoe UI Historic"/>
          <w:color w:val="000000"/>
          <w:sz w:val="24"/>
          <w:szCs w:val="24"/>
        </w:rPr>
        <w:t>synonymous under the kidnapping statute</w:t>
      </w:r>
      <w:r w:rsidR="00763A3E">
        <w:rPr>
          <w:rFonts w:cs="Segoe UI Historic"/>
          <w:color w:val="000000"/>
          <w:sz w:val="24"/>
          <w:szCs w:val="24"/>
        </w:rPr>
        <w:t>.</w:t>
      </w:r>
      <w:r w:rsidRPr="005B7AFD">
        <w:rPr>
          <w:rFonts w:cs="Segoe UI Historic"/>
          <w:color w:val="000000"/>
          <w:sz w:val="24"/>
          <w:szCs w:val="24"/>
        </w:rPr>
        <w:t xml:space="preserve"> </w:t>
      </w:r>
      <w:r w:rsidR="00763A3E">
        <w:rPr>
          <w:rFonts w:cs="Segoe UI Historic"/>
          <w:color w:val="000000"/>
          <w:sz w:val="24"/>
          <w:szCs w:val="24"/>
        </w:rPr>
        <w:t>S</w:t>
      </w:r>
      <w:r w:rsidRPr="005B7AFD">
        <w:rPr>
          <w:rFonts w:cs="Segoe UI Historic"/>
          <w:color w:val="000000"/>
          <w:sz w:val="24"/>
          <w:szCs w:val="24"/>
        </w:rPr>
        <w:t xml:space="preserve">ee, e.g., </w:t>
      </w:r>
      <w:r w:rsidRPr="00763A3E">
        <w:rPr>
          <w:rFonts w:cs="Segoe UI Historic"/>
          <w:i/>
          <w:iCs/>
          <w:color w:val="000000"/>
          <w:sz w:val="24"/>
          <w:szCs w:val="24"/>
        </w:rPr>
        <w:t>Commonwealth</w:t>
      </w:r>
      <w:r w:rsidRPr="005B7AFD">
        <w:rPr>
          <w:rFonts w:cs="Segoe UI Historic"/>
          <w:color w:val="000000"/>
          <w:sz w:val="24"/>
          <w:szCs w:val="24"/>
        </w:rPr>
        <w:t xml:space="preserve"> v. </w:t>
      </w:r>
      <w:r w:rsidRPr="00763A3E">
        <w:rPr>
          <w:rFonts w:cs="Segoe UI Historic"/>
          <w:i/>
          <w:iCs/>
          <w:color w:val="000000"/>
          <w:sz w:val="24"/>
          <w:szCs w:val="24"/>
        </w:rPr>
        <w:t>Wilcox</w:t>
      </w:r>
      <w:r w:rsidRPr="005B7AFD">
        <w:rPr>
          <w:rFonts w:cs="Segoe UI Historic"/>
          <w:color w:val="000000"/>
          <w:sz w:val="24"/>
          <w:szCs w:val="24"/>
        </w:rPr>
        <w:t>, 72 Mass. App. Ct. 344, 350 (2008) (“The law of this Commonwealth for over one century instructs that ‘any restraint of a person’s liberty is a confinement or an imprisonment</w:t>
      </w:r>
      <w:r w:rsidR="00763A3E">
        <w:rPr>
          <w:rFonts w:cs="Segoe UI Historic"/>
          <w:color w:val="000000"/>
          <w:sz w:val="24"/>
          <w:szCs w:val="24"/>
        </w:rPr>
        <w:t>.</w:t>
      </w:r>
      <w:r w:rsidRPr="005B7AFD">
        <w:rPr>
          <w:rFonts w:cs="Segoe UI Historic"/>
          <w:color w:val="000000"/>
          <w:sz w:val="24"/>
          <w:szCs w:val="24"/>
        </w:rPr>
        <w:t>’”</w:t>
      </w:r>
      <w:r w:rsidR="00763A3E">
        <w:rPr>
          <w:rFonts w:cs="Segoe UI Historic"/>
          <w:color w:val="000000"/>
          <w:sz w:val="24"/>
          <w:szCs w:val="24"/>
        </w:rPr>
        <w:t>)</w:t>
      </w:r>
      <w:r w:rsidRPr="005B7AFD">
        <w:rPr>
          <w:rFonts w:cs="Segoe UI Historic"/>
          <w:color w:val="000000"/>
          <w:sz w:val="24"/>
          <w:szCs w:val="24"/>
        </w:rPr>
        <w:t xml:space="preserve"> </w:t>
      </w:r>
      <w:r w:rsidR="00763A3E">
        <w:rPr>
          <w:rFonts w:cs="Segoe UI Historic"/>
          <w:color w:val="000000"/>
          <w:sz w:val="24"/>
          <w:szCs w:val="24"/>
        </w:rPr>
        <w:t>(</w:t>
      </w:r>
      <w:r w:rsidRPr="005B7AFD">
        <w:rPr>
          <w:rFonts w:cs="Segoe UI Historic"/>
          <w:color w:val="000000"/>
          <w:sz w:val="24"/>
          <w:szCs w:val="24"/>
        </w:rPr>
        <w:t xml:space="preserve">quoting </w:t>
      </w:r>
      <w:r w:rsidRPr="00763A3E">
        <w:rPr>
          <w:rFonts w:cs="Segoe UI Historic"/>
          <w:i/>
          <w:iCs/>
          <w:color w:val="000000"/>
          <w:sz w:val="24"/>
          <w:szCs w:val="24"/>
        </w:rPr>
        <w:t>Commonwealth</w:t>
      </w:r>
      <w:r w:rsidRPr="005B7AFD">
        <w:rPr>
          <w:rFonts w:cs="Segoe UI Historic"/>
          <w:color w:val="000000"/>
          <w:sz w:val="24"/>
          <w:szCs w:val="24"/>
        </w:rPr>
        <w:t xml:space="preserve"> v. </w:t>
      </w:r>
      <w:r w:rsidRPr="00763A3E">
        <w:rPr>
          <w:rFonts w:cs="Segoe UI Historic"/>
          <w:i/>
          <w:iCs/>
          <w:color w:val="000000"/>
          <w:sz w:val="24"/>
          <w:szCs w:val="24"/>
        </w:rPr>
        <w:t>Dykens</w:t>
      </w:r>
      <w:r w:rsidRPr="005B7AFD">
        <w:rPr>
          <w:rFonts w:cs="Segoe UI Historic"/>
          <w:color w:val="000000"/>
          <w:sz w:val="24"/>
          <w:szCs w:val="24"/>
        </w:rPr>
        <w:t>, 438 Mass. 827, 841 (2003))</w:t>
      </w:r>
      <w:r w:rsidR="00763A3E">
        <w:rPr>
          <w:rFonts w:cs="Segoe UI Historic"/>
          <w:color w:val="000000"/>
          <w:sz w:val="24"/>
          <w:szCs w:val="24"/>
        </w:rPr>
        <w:t xml:space="preserve">. The same is true </w:t>
      </w:r>
      <w:r w:rsidRPr="005B7AFD">
        <w:rPr>
          <w:rFonts w:cs="Segoe UI Historic"/>
          <w:color w:val="000000"/>
          <w:sz w:val="24"/>
          <w:szCs w:val="24"/>
        </w:rPr>
        <w:t>in other contexts.</w:t>
      </w:r>
      <w:r w:rsidR="00763A3E">
        <w:rPr>
          <w:rFonts w:cs="Segoe UI Historic"/>
          <w:color w:val="000000"/>
          <w:sz w:val="24"/>
          <w:szCs w:val="24"/>
        </w:rPr>
        <w:t xml:space="preserve"> </w:t>
      </w:r>
      <w:r w:rsidRPr="005B7AFD">
        <w:rPr>
          <w:rFonts w:cs="Segoe UI Historic"/>
          <w:color w:val="000000"/>
          <w:sz w:val="24"/>
          <w:szCs w:val="24"/>
        </w:rPr>
        <w:t xml:space="preserve">See </w:t>
      </w:r>
      <w:r w:rsidRPr="00763A3E">
        <w:rPr>
          <w:rFonts w:cs="Segoe UI Historic"/>
          <w:i/>
          <w:iCs/>
          <w:color w:val="000000"/>
          <w:sz w:val="24"/>
          <w:szCs w:val="24"/>
        </w:rPr>
        <w:t>Ortiz</w:t>
      </w:r>
      <w:r w:rsidRPr="005B7AFD">
        <w:rPr>
          <w:rFonts w:cs="Segoe UI Historic"/>
          <w:color w:val="000000"/>
          <w:sz w:val="24"/>
          <w:szCs w:val="24"/>
        </w:rPr>
        <w:t xml:space="preserve"> v. </w:t>
      </w:r>
      <w:r w:rsidRPr="00763A3E">
        <w:rPr>
          <w:rFonts w:cs="Segoe UI Historic"/>
          <w:i/>
          <w:iCs/>
          <w:color w:val="000000"/>
          <w:sz w:val="24"/>
          <w:szCs w:val="24"/>
        </w:rPr>
        <w:t>Hampden County</w:t>
      </w:r>
      <w:r w:rsidRPr="005B7AFD">
        <w:rPr>
          <w:rFonts w:cs="Segoe UI Historic"/>
          <w:color w:val="000000"/>
          <w:sz w:val="24"/>
          <w:szCs w:val="24"/>
        </w:rPr>
        <w:t>, 16 Mass. App. Ct. 138, 140 (1983) (“false imprisonment requires unlawful confinement”).</w:t>
      </w:r>
      <w:r w:rsidR="004B31B1">
        <w:rPr>
          <w:rFonts w:cs="Segoe UI Historic"/>
          <w:color w:val="000000"/>
          <w:sz w:val="24"/>
          <w:szCs w:val="24"/>
        </w:rPr>
        <w:t xml:space="preserve"> </w:t>
      </w:r>
      <w:r w:rsidRPr="005B7AFD">
        <w:rPr>
          <w:rFonts w:cs="Segoe UI Historic"/>
          <w:color w:val="000000"/>
          <w:sz w:val="24"/>
          <w:szCs w:val="24"/>
        </w:rPr>
        <w:t>Dictionar</w:t>
      </w:r>
      <w:r w:rsidR="008E25CF">
        <w:rPr>
          <w:rFonts w:cs="Segoe UI Historic"/>
          <w:color w:val="000000"/>
          <w:sz w:val="24"/>
          <w:szCs w:val="24"/>
        </w:rPr>
        <w:t xml:space="preserve">ies </w:t>
      </w:r>
      <w:r w:rsidRPr="005B7AFD">
        <w:rPr>
          <w:rFonts w:cs="Segoe UI Historic"/>
          <w:color w:val="000000"/>
          <w:sz w:val="24"/>
          <w:szCs w:val="24"/>
        </w:rPr>
        <w:t xml:space="preserve">define each term by using the other. See, e.g., </w:t>
      </w:r>
      <w:hyperlink r:id="rId1" w:history="1">
        <w:r w:rsidR="004B31B1" w:rsidRPr="006563BA">
          <w:rPr>
            <w:rStyle w:val="Hyperlink"/>
            <w:rFonts w:cs="Segoe UI Historic"/>
            <w:sz w:val="24"/>
            <w:szCs w:val="24"/>
          </w:rPr>
          <w:t>https://www.merriamwebster.com/dictionary/</w:t>
        </w:r>
        <w:r w:rsidR="004B31B1" w:rsidRPr="006563BA">
          <w:rPr>
            <w:rStyle w:val="Hyperlink"/>
            <w:rFonts w:cs="Segoe UI Historic"/>
            <w:sz w:val="24"/>
            <w:szCs w:val="24"/>
          </w:rPr>
          <w:br/>
          <w:t>imprison?utm_campaign=sd&amp;utm_medium=serp&amp;utm_source=jsonld</w:t>
        </w:r>
      </w:hyperlink>
      <w:r w:rsidRPr="005B7AFD">
        <w:rPr>
          <w:rFonts w:cs="Segoe UI Historic"/>
          <w:color w:val="000000"/>
          <w:sz w:val="24"/>
          <w:szCs w:val="24"/>
        </w:rPr>
        <w:t xml:space="preserve">. To the extent “imprison” has as a meaning “to put in a prison,” which is a form of “confinement,” using the term “confine” </w:t>
      </w:r>
      <w:r>
        <w:rPr>
          <w:rFonts w:cs="Segoe UI Historic"/>
          <w:color w:val="000000"/>
          <w:sz w:val="24"/>
          <w:szCs w:val="24"/>
        </w:rPr>
        <w:t>is</w:t>
      </w:r>
      <w:r w:rsidRPr="005B7AFD">
        <w:rPr>
          <w:rFonts w:cs="Segoe UI Historic"/>
          <w:color w:val="000000"/>
          <w:sz w:val="24"/>
          <w:szCs w:val="24"/>
        </w:rPr>
        <w:t xml:space="preserve"> more unambiguously inclusive</w:t>
      </w:r>
      <w:r>
        <w:rPr>
          <w:rFonts w:cs="Segoe UI Historic"/>
          <w:color w:val="000000"/>
          <w:sz w:val="24"/>
          <w:szCs w:val="24"/>
        </w:rPr>
        <w:t>.</w:t>
      </w:r>
    </w:p>
  </w:footnote>
  <w:footnote w:id="3">
    <w:p w14:paraId="36EC3DD9" w14:textId="72195B80" w:rsidR="00317551" w:rsidRPr="00CC4EF3" w:rsidRDefault="00317551" w:rsidP="00317551">
      <w:pPr>
        <w:pStyle w:val="FootnoteText"/>
        <w:rPr>
          <w:rFonts w:cs="Segoe UI Historic"/>
          <w:sz w:val="24"/>
          <w:szCs w:val="24"/>
        </w:rPr>
      </w:pPr>
      <w:r>
        <w:rPr>
          <w:rStyle w:val="FootnoteReference"/>
        </w:rPr>
        <w:footnoteRef/>
      </w:r>
      <w:r>
        <w:t xml:space="preserve"> </w:t>
      </w:r>
      <w:r w:rsidR="00763A3E">
        <w:tab/>
      </w:r>
      <w:r w:rsidRPr="00763A3E">
        <w:rPr>
          <w:rFonts w:cs="Segoe UI Historic"/>
          <w:i/>
          <w:iCs/>
          <w:sz w:val="24"/>
          <w:szCs w:val="24"/>
        </w:rPr>
        <w:t>Commonwealth</w:t>
      </w:r>
      <w:r w:rsidRPr="000052EB">
        <w:rPr>
          <w:rFonts w:cs="Segoe UI Historic"/>
          <w:sz w:val="24"/>
          <w:szCs w:val="24"/>
        </w:rPr>
        <w:t xml:space="preserve"> v.</w:t>
      </w:r>
      <w:r w:rsidR="00763A3E">
        <w:rPr>
          <w:rFonts w:cs="Segoe UI Historic"/>
          <w:sz w:val="24"/>
          <w:szCs w:val="24"/>
        </w:rPr>
        <w:t xml:space="preserve"> </w:t>
      </w:r>
      <w:r w:rsidRPr="00763A3E">
        <w:rPr>
          <w:rFonts w:cs="Segoe UI Historic"/>
          <w:i/>
          <w:iCs/>
          <w:sz w:val="24"/>
          <w:szCs w:val="24"/>
        </w:rPr>
        <w:t>Oberle</w:t>
      </w:r>
      <w:r w:rsidRPr="000052EB">
        <w:rPr>
          <w:rFonts w:cs="Segoe UI Historic"/>
          <w:sz w:val="24"/>
          <w:szCs w:val="24"/>
        </w:rPr>
        <w:t>,</w:t>
      </w:r>
      <w:r w:rsidRPr="00CC4EF3">
        <w:rPr>
          <w:rFonts w:cs="Segoe UI Historic"/>
          <w:sz w:val="24"/>
          <w:szCs w:val="24"/>
        </w:rPr>
        <w:t xml:space="preserve"> 476 Mass. 539, 548 (2017); </w:t>
      </w:r>
      <w:r w:rsidRPr="00763A3E">
        <w:rPr>
          <w:rFonts w:cs="Segoe UI Historic"/>
          <w:i/>
          <w:iCs/>
          <w:sz w:val="24"/>
          <w:szCs w:val="24"/>
        </w:rPr>
        <w:t>Commonwealth</w:t>
      </w:r>
      <w:r w:rsidRPr="000052EB">
        <w:rPr>
          <w:rFonts w:cs="Segoe UI Historic"/>
          <w:sz w:val="24"/>
          <w:szCs w:val="24"/>
        </w:rPr>
        <w:t xml:space="preserve"> v.</w:t>
      </w:r>
      <w:r w:rsidRPr="00CC4EF3">
        <w:rPr>
          <w:rFonts w:cs="Segoe UI Historic"/>
          <w:i/>
          <w:sz w:val="24"/>
          <w:szCs w:val="24"/>
        </w:rPr>
        <w:t xml:space="preserve"> </w:t>
      </w:r>
      <w:r w:rsidRPr="00763A3E">
        <w:rPr>
          <w:rFonts w:cs="Segoe UI Historic"/>
          <w:i/>
          <w:iCs/>
          <w:sz w:val="24"/>
          <w:szCs w:val="24"/>
        </w:rPr>
        <w:t>Nickerson</w:t>
      </w:r>
      <w:r w:rsidRPr="00CC4EF3">
        <w:rPr>
          <w:rFonts w:cs="Segoe UI Historic"/>
          <w:sz w:val="24"/>
          <w:szCs w:val="24"/>
        </w:rPr>
        <w:t>, 87</w:t>
      </w:r>
      <w:r w:rsidR="00763A3E">
        <w:rPr>
          <w:rFonts w:cs="Segoe UI Historic"/>
          <w:sz w:val="24"/>
          <w:szCs w:val="24"/>
        </w:rPr>
        <w:t> </w:t>
      </w:r>
      <w:r w:rsidRPr="00CC4EF3">
        <w:rPr>
          <w:rFonts w:cs="Segoe UI Historic"/>
          <w:sz w:val="24"/>
          <w:szCs w:val="24"/>
        </w:rPr>
        <w:t>Mass. (5 Allen) 518, 525–26 (1862</w:t>
      </w:r>
      <w:r w:rsidRPr="00763A3E">
        <w:rPr>
          <w:rFonts w:cs="Segoe UI Historic"/>
          <w:sz w:val="24"/>
          <w:szCs w:val="24"/>
        </w:rPr>
        <w:t>);</w:t>
      </w:r>
      <w:r>
        <w:rPr>
          <w:rFonts w:cs="Segoe UI Historic"/>
          <w:sz w:val="24"/>
          <w:szCs w:val="24"/>
        </w:rPr>
        <w:t xml:space="preserve"> </w:t>
      </w:r>
      <w:r w:rsidRPr="00763A3E">
        <w:rPr>
          <w:rFonts w:cs="Segoe UI Historic"/>
          <w:i/>
          <w:iCs/>
          <w:sz w:val="24"/>
          <w:szCs w:val="24"/>
        </w:rPr>
        <w:t>Commonwealth</w:t>
      </w:r>
      <w:r w:rsidRPr="000052EB">
        <w:rPr>
          <w:rFonts w:cs="Segoe UI Historic"/>
          <w:sz w:val="24"/>
          <w:szCs w:val="24"/>
        </w:rPr>
        <w:t xml:space="preserve"> v. </w:t>
      </w:r>
      <w:r w:rsidRPr="00763A3E">
        <w:rPr>
          <w:rFonts w:cs="Segoe UI Historic"/>
          <w:i/>
          <w:iCs/>
          <w:sz w:val="24"/>
          <w:szCs w:val="24"/>
        </w:rPr>
        <w:t>Rivera</w:t>
      </w:r>
      <w:r w:rsidRPr="00CC4EF3">
        <w:rPr>
          <w:rFonts w:cs="Segoe UI Historic"/>
          <w:sz w:val="24"/>
          <w:szCs w:val="24"/>
        </w:rPr>
        <w:t>, 460 Mass. 139, 142–</w:t>
      </w:r>
      <w:r w:rsidR="00763A3E">
        <w:rPr>
          <w:rFonts w:cs="Segoe UI Historic"/>
          <w:sz w:val="24"/>
          <w:szCs w:val="24"/>
        </w:rPr>
        <w:t>1</w:t>
      </w:r>
      <w:r w:rsidRPr="00CC4EF3">
        <w:rPr>
          <w:rFonts w:cs="Segoe UI Historic"/>
          <w:sz w:val="24"/>
          <w:szCs w:val="24"/>
        </w:rPr>
        <w:t>44 (2011) (</w:t>
      </w:r>
      <w:r>
        <w:rPr>
          <w:rFonts w:cs="Segoe UI Historic"/>
          <w:sz w:val="24"/>
          <w:szCs w:val="24"/>
        </w:rPr>
        <w:t xml:space="preserve">“In the context of the kidnapping statues, the word “confine” has been interpreted to mean “any restraint of a person’s movement.‘”); </w:t>
      </w:r>
      <w:r w:rsidRPr="00763A3E">
        <w:rPr>
          <w:rFonts w:cs="Segoe UI Historic"/>
          <w:i/>
          <w:iCs/>
          <w:sz w:val="24"/>
          <w:szCs w:val="24"/>
        </w:rPr>
        <w:t>Commonwealth</w:t>
      </w:r>
      <w:r w:rsidRPr="000052EB">
        <w:rPr>
          <w:rFonts w:cs="Segoe UI Historic"/>
          <w:sz w:val="24"/>
          <w:szCs w:val="24"/>
        </w:rPr>
        <w:t xml:space="preserve"> v. </w:t>
      </w:r>
      <w:r w:rsidRPr="00763A3E">
        <w:rPr>
          <w:rFonts w:cs="Segoe UI Historic"/>
          <w:i/>
          <w:iCs/>
          <w:sz w:val="24"/>
          <w:szCs w:val="24"/>
        </w:rPr>
        <w:t>Jackson</w:t>
      </w:r>
      <w:r w:rsidRPr="00CC4EF3">
        <w:rPr>
          <w:rFonts w:cs="Segoe UI Historic"/>
          <w:sz w:val="24"/>
          <w:szCs w:val="24"/>
        </w:rPr>
        <w:t>, 417 Mass. 830, 844 (1994)</w:t>
      </w:r>
      <w:r>
        <w:rPr>
          <w:rFonts w:cs="Segoe UI Historic"/>
          <w:sz w:val="24"/>
          <w:szCs w:val="24"/>
        </w:rPr>
        <w:t xml:space="preserve"> </w:t>
      </w:r>
      <w:r w:rsidRPr="00CC4EF3">
        <w:rPr>
          <w:rFonts w:cs="Segoe UI Historic"/>
          <w:sz w:val="24"/>
          <w:szCs w:val="24"/>
        </w:rPr>
        <w:t>(</w:t>
      </w:r>
      <w:r w:rsidR="00763A3E">
        <w:rPr>
          <w:rFonts w:cs="Segoe UI Historic"/>
          <w:sz w:val="24"/>
          <w:szCs w:val="24"/>
        </w:rPr>
        <w:t>c</w:t>
      </w:r>
      <w:r w:rsidRPr="00CC4EF3">
        <w:rPr>
          <w:rFonts w:cs="Segoe UI Historic"/>
          <w:sz w:val="24"/>
          <w:szCs w:val="24"/>
        </w:rPr>
        <w:t>onviction for kidnapping upheld where there was evidence that the victim “was transported, that he was alive at the time that he was bound, and that the manner in which he was bound would have rendered him incapacitated”)</w:t>
      </w:r>
      <w:r>
        <w:rPr>
          <w:rFonts w:cs="Segoe UI Historic"/>
          <w:sz w:val="24"/>
          <w:szCs w:val="24"/>
        </w:rPr>
        <w:t>.</w:t>
      </w:r>
    </w:p>
  </w:footnote>
  <w:footnote w:id="4">
    <w:p w14:paraId="200D7E4F" w14:textId="2BA6E309" w:rsidR="00317551" w:rsidRPr="000A0531" w:rsidRDefault="00317551" w:rsidP="00317551">
      <w:pPr>
        <w:pStyle w:val="FootnoteText"/>
        <w:rPr>
          <w:rFonts w:cs="Segoe UI Historic"/>
          <w:sz w:val="24"/>
          <w:szCs w:val="24"/>
        </w:rPr>
      </w:pPr>
      <w:r w:rsidRPr="00E35266">
        <w:rPr>
          <w:rStyle w:val="FootnoteReference"/>
          <w:rFonts w:cs="Segoe UI Historic"/>
          <w:sz w:val="24"/>
          <w:szCs w:val="24"/>
        </w:rPr>
        <w:footnoteRef/>
      </w:r>
      <w:r w:rsidRPr="00E35266">
        <w:rPr>
          <w:rFonts w:cs="Segoe UI Historic"/>
          <w:sz w:val="24"/>
          <w:szCs w:val="24"/>
        </w:rPr>
        <w:t xml:space="preserve"> </w:t>
      </w:r>
      <w:r w:rsidR="00763A3E">
        <w:rPr>
          <w:rFonts w:cs="Segoe UI Historic"/>
          <w:sz w:val="24"/>
          <w:szCs w:val="24"/>
        </w:rPr>
        <w:tab/>
      </w:r>
      <w:r w:rsidRPr="00E35266">
        <w:rPr>
          <w:rFonts w:cs="Segoe UI Historic"/>
          <w:sz w:val="24"/>
          <w:szCs w:val="24"/>
        </w:rPr>
        <w:t xml:space="preserve">Cf. </w:t>
      </w:r>
      <w:r w:rsidRPr="00763A3E">
        <w:rPr>
          <w:rFonts w:cs="Segoe UI Historic"/>
          <w:i/>
          <w:iCs/>
          <w:sz w:val="24"/>
          <w:szCs w:val="24"/>
        </w:rPr>
        <w:t>Commonwealth</w:t>
      </w:r>
      <w:r w:rsidRPr="000A0531">
        <w:rPr>
          <w:rFonts w:cs="Segoe UI Historic"/>
          <w:sz w:val="24"/>
          <w:szCs w:val="24"/>
        </w:rPr>
        <w:t xml:space="preserve"> v. </w:t>
      </w:r>
      <w:r w:rsidRPr="00763A3E">
        <w:rPr>
          <w:rFonts w:cs="Segoe UI Historic"/>
          <w:i/>
          <w:iCs/>
          <w:sz w:val="24"/>
          <w:szCs w:val="24"/>
        </w:rPr>
        <w:t>Maynard</w:t>
      </w:r>
      <w:r w:rsidRPr="000A0531">
        <w:rPr>
          <w:rFonts w:cs="Segoe UI Historic"/>
          <w:sz w:val="24"/>
          <w:szCs w:val="24"/>
        </w:rPr>
        <w:t>, 436 Mass. 558, 567 (2002) (“forcibly or secretly confines,” the statutory language, means the same thing as “to confine … by force and in secret”).</w:t>
      </w:r>
    </w:p>
  </w:footnote>
  <w:footnote w:id="5">
    <w:p w14:paraId="40B35352" w14:textId="5F2956DB" w:rsidR="00317551" w:rsidRPr="000A0531" w:rsidRDefault="00317551" w:rsidP="00317551">
      <w:pPr>
        <w:pStyle w:val="FootnoteText"/>
        <w:rPr>
          <w:rFonts w:cs="Segoe UI Historic"/>
          <w:sz w:val="24"/>
          <w:szCs w:val="24"/>
        </w:rPr>
      </w:pPr>
      <w:r w:rsidRPr="000A0531">
        <w:rPr>
          <w:rStyle w:val="FootnoteReference"/>
          <w:rFonts w:cs="Segoe UI Historic"/>
          <w:sz w:val="24"/>
          <w:szCs w:val="24"/>
        </w:rPr>
        <w:footnoteRef/>
      </w:r>
      <w:r w:rsidRPr="000A0531">
        <w:rPr>
          <w:rFonts w:cs="Segoe UI Historic"/>
          <w:sz w:val="24"/>
          <w:szCs w:val="24"/>
        </w:rPr>
        <w:t xml:space="preserve"> </w:t>
      </w:r>
      <w:r w:rsidR="00763A3E">
        <w:rPr>
          <w:rFonts w:cs="Segoe UI Historic"/>
          <w:sz w:val="24"/>
          <w:szCs w:val="24"/>
        </w:rPr>
        <w:tab/>
      </w:r>
      <w:r w:rsidRPr="00763A3E">
        <w:rPr>
          <w:rFonts w:cs="Segoe UI Historic"/>
          <w:i/>
          <w:iCs/>
          <w:sz w:val="24"/>
          <w:szCs w:val="24"/>
        </w:rPr>
        <w:t>Commonwealth</w:t>
      </w:r>
      <w:r w:rsidRPr="000A0531">
        <w:rPr>
          <w:rFonts w:cs="Segoe UI Historic"/>
          <w:sz w:val="24"/>
          <w:szCs w:val="24"/>
        </w:rPr>
        <w:t xml:space="preserve"> v. </w:t>
      </w:r>
      <w:r w:rsidRPr="00763A3E">
        <w:rPr>
          <w:rFonts w:cs="Segoe UI Historic"/>
          <w:i/>
          <w:iCs/>
          <w:sz w:val="24"/>
          <w:szCs w:val="24"/>
        </w:rPr>
        <w:t>Caracciola</w:t>
      </w:r>
      <w:r w:rsidRPr="000A0531">
        <w:rPr>
          <w:rFonts w:cs="Segoe UI Historic"/>
          <w:sz w:val="24"/>
          <w:szCs w:val="24"/>
        </w:rPr>
        <w:t xml:space="preserve">, 409 Mass. 648, 652 (1991); </w:t>
      </w:r>
      <w:r w:rsidRPr="00763A3E">
        <w:rPr>
          <w:rFonts w:cs="Segoe UI Historic"/>
          <w:i/>
          <w:iCs/>
          <w:sz w:val="24"/>
          <w:szCs w:val="24"/>
        </w:rPr>
        <w:t>Commonwealth</w:t>
      </w:r>
      <w:r w:rsidRPr="000A0531">
        <w:rPr>
          <w:rFonts w:cs="Segoe UI Historic"/>
          <w:sz w:val="24"/>
          <w:szCs w:val="24"/>
        </w:rPr>
        <w:t xml:space="preserve"> v. </w:t>
      </w:r>
      <w:r w:rsidRPr="00763A3E">
        <w:rPr>
          <w:rFonts w:cs="Segoe UI Historic"/>
          <w:i/>
          <w:iCs/>
          <w:sz w:val="24"/>
          <w:szCs w:val="24"/>
        </w:rPr>
        <w:t>LaPlante</w:t>
      </w:r>
      <w:r w:rsidRPr="000A0531">
        <w:rPr>
          <w:rFonts w:cs="Segoe UI Historic"/>
          <w:sz w:val="24"/>
          <w:szCs w:val="24"/>
        </w:rPr>
        <w:t>, 73 Mass. App. Ct. 199, 202-03 (2008</w:t>
      </w:r>
      <w:r>
        <w:rPr>
          <w:rFonts w:cs="Segoe UI Historic"/>
          <w:sz w:val="24"/>
          <w:szCs w:val="24"/>
        </w:rPr>
        <w:t>)</w:t>
      </w:r>
      <w:r w:rsidRPr="000A0531">
        <w:rPr>
          <w:rFonts w:cs="Segoe UI Historic"/>
          <w:sz w:val="24"/>
          <w:szCs w:val="24"/>
        </w:rPr>
        <w:t xml:space="preserve">. </w:t>
      </w:r>
    </w:p>
  </w:footnote>
  <w:footnote w:id="6">
    <w:p w14:paraId="57FA5E55" w14:textId="77777777" w:rsidR="003856AF" w:rsidRDefault="00317551" w:rsidP="00317551">
      <w:pPr>
        <w:pStyle w:val="FootnoteText"/>
        <w:rPr>
          <w:rFonts w:cs="Segoe UI Historic"/>
          <w:sz w:val="24"/>
          <w:szCs w:val="24"/>
        </w:rPr>
      </w:pPr>
      <w:r w:rsidRPr="000A0531">
        <w:rPr>
          <w:rStyle w:val="FootnoteReference"/>
          <w:rFonts w:cs="Segoe UI Historic"/>
          <w:sz w:val="24"/>
          <w:szCs w:val="24"/>
        </w:rPr>
        <w:footnoteRef/>
      </w:r>
      <w:r w:rsidRPr="000A0531">
        <w:rPr>
          <w:rFonts w:cs="Segoe UI Historic"/>
          <w:sz w:val="24"/>
          <w:szCs w:val="24"/>
        </w:rPr>
        <w:t xml:space="preserve"> </w:t>
      </w:r>
      <w:r w:rsidR="004D09EE">
        <w:rPr>
          <w:rFonts w:cs="Segoe UI Historic"/>
          <w:sz w:val="24"/>
          <w:szCs w:val="24"/>
        </w:rPr>
        <w:tab/>
        <w:t>&lt;</w:t>
      </w:r>
      <w:r w:rsidR="004D09EE">
        <w:rPr>
          <w:rFonts w:cs="Segoe UI Historic"/>
          <w:b/>
          <w:bCs/>
          <w:i/>
          <w:iCs/>
          <w:sz w:val="24"/>
          <w:szCs w:val="24"/>
        </w:rPr>
        <w:t>Alternative Instruction</w:t>
      </w:r>
      <w:r w:rsidR="004D09EE">
        <w:rPr>
          <w:rFonts w:cs="Segoe UI Historic"/>
          <w:sz w:val="24"/>
          <w:szCs w:val="24"/>
        </w:rPr>
        <w:t xml:space="preserve">&gt; </w:t>
      </w:r>
      <w:r w:rsidRPr="000A0531">
        <w:rPr>
          <w:rFonts w:cs="Segoe UI Historic"/>
          <w:sz w:val="24"/>
          <w:szCs w:val="24"/>
        </w:rPr>
        <w:t xml:space="preserve">A judge who feels that the case calls for a definition of “secretly confine” may instruct as follows: </w:t>
      </w:r>
    </w:p>
    <w:p w14:paraId="2DCBED2F" w14:textId="77777777" w:rsidR="003856AF" w:rsidRDefault="003856AF" w:rsidP="003856AF">
      <w:pPr>
        <w:pStyle w:val="FootnoteText"/>
        <w:ind w:left="576"/>
        <w:rPr>
          <w:rFonts w:cs="Segoe UI Historic"/>
          <w:sz w:val="24"/>
          <w:szCs w:val="24"/>
        </w:rPr>
      </w:pPr>
      <w:r>
        <w:rPr>
          <w:rFonts w:cs="Segoe UI Historic"/>
          <w:sz w:val="24"/>
          <w:szCs w:val="24"/>
        </w:rPr>
        <w:tab/>
      </w:r>
      <w:r w:rsidR="00317551" w:rsidRPr="000A0531">
        <w:rPr>
          <w:rFonts w:cs="Segoe UI Historic"/>
          <w:sz w:val="24"/>
          <w:szCs w:val="24"/>
        </w:rPr>
        <w:t>Confinement is “secret” if</w:t>
      </w:r>
      <w:r w:rsidR="00317551">
        <w:rPr>
          <w:rFonts w:cs="Segoe UI Historic"/>
          <w:sz w:val="24"/>
          <w:szCs w:val="24"/>
        </w:rPr>
        <w:t xml:space="preserve"> it</w:t>
      </w:r>
      <w:r w:rsidR="00317551" w:rsidRPr="000A0531">
        <w:rPr>
          <w:rFonts w:cs="Segoe UI Historic"/>
          <w:sz w:val="24"/>
          <w:szCs w:val="24"/>
        </w:rPr>
        <w:t xml:space="preserve"> happens in a place or in a manner that makes it unlikely that members of the public will know or learn of the person’s unwilling confinement within a reasonable period of time</w:t>
      </w:r>
      <w:r w:rsidR="00317551" w:rsidRPr="00C344AB">
        <w:rPr>
          <w:rFonts w:cs="Segoe UI Historic"/>
          <w:sz w:val="24"/>
          <w:szCs w:val="24"/>
        </w:rPr>
        <w:t xml:space="preserve">.  </w:t>
      </w:r>
    </w:p>
    <w:p w14:paraId="3A905A97" w14:textId="39DBB598" w:rsidR="00317551" w:rsidRPr="001E38A3" w:rsidRDefault="003856AF" w:rsidP="003856AF">
      <w:pPr>
        <w:pStyle w:val="FootnoteText"/>
        <w:rPr>
          <w:rFonts w:cs="Segoe UI Historic"/>
          <w:sz w:val="24"/>
          <w:szCs w:val="24"/>
        </w:rPr>
      </w:pPr>
      <w:r>
        <w:rPr>
          <w:rFonts w:cs="Segoe UI Historic"/>
          <w:sz w:val="24"/>
          <w:szCs w:val="24"/>
        </w:rPr>
        <w:tab/>
        <w:t xml:space="preserve">See </w:t>
      </w:r>
      <w:r w:rsidR="00317551" w:rsidRPr="003856AF">
        <w:rPr>
          <w:rFonts w:cs="Segoe UI Historic"/>
          <w:i/>
          <w:iCs/>
          <w:sz w:val="24"/>
          <w:szCs w:val="24"/>
        </w:rPr>
        <w:t>Commonwealth</w:t>
      </w:r>
      <w:r w:rsidR="00317551">
        <w:rPr>
          <w:rFonts w:cs="Segoe UI Historic"/>
          <w:sz w:val="24"/>
          <w:szCs w:val="24"/>
        </w:rPr>
        <w:t xml:space="preserve"> v. </w:t>
      </w:r>
      <w:r w:rsidR="00317551" w:rsidRPr="003856AF">
        <w:rPr>
          <w:rFonts w:cs="Segoe UI Historic"/>
          <w:i/>
          <w:iCs/>
          <w:sz w:val="24"/>
          <w:szCs w:val="24"/>
        </w:rPr>
        <w:t>Rivera</w:t>
      </w:r>
      <w:r w:rsidR="00317551">
        <w:rPr>
          <w:rFonts w:cs="Segoe UI Historic"/>
          <w:sz w:val="24"/>
          <w:szCs w:val="24"/>
        </w:rPr>
        <w:t>, 460 Mass. 139, 142</w:t>
      </w:r>
      <w:r>
        <w:rPr>
          <w:rFonts w:cs="Segoe UI Historic"/>
          <w:sz w:val="24"/>
          <w:szCs w:val="24"/>
        </w:rPr>
        <w:t>–1</w:t>
      </w:r>
      <w:r w:rsidR="00317551">
        <w:rPr>
          <w:rFonts w:cs="Segoe UI Historic"/>
          <w:sz w:val="24"/>
          <w:szCs w:val="24"/>
        </w:rPr>
        <w:t xml:space="preserve">44 (2011) </w:t>
      </w:r>
      <w:r w:rsidR="00317551" w:rsidRPr="00CC4EF3">
        <w:rPr>
          <w:rFonts w:cs="Segoe UI Historic"/>
          <w:sz w:val="24"/>
          <w:szCs w:val="24"/>
        </w:rPr>
        <w:t xml:space="preserve">(to secretly confine someone is to isolate or insulate them from meaningful contact or communication with the public, where the confinement is in a place or manner that makes it unlikely that members of the public will know or learn of the victim’s unwilling confinement within a reasonable period of time) (citing 3 W.R. LaFave, </w:t>
      </w:r>
      <w:r w:rsidR="00317551" w:rsidRPr="00CC4EF3">
        <w:rPr>
          <w:rFonts w:cs="Segoe UI Historic"/>
          <w:i/>
          <w:sz w:val="24"/>
          <w:szCs w:val="24"/>
        </w:rPr>
        <w:t>Substantive Criminal Law</w:t>
      </w:r>
      <w:r w:rsidR="00317551" w:rsidRPr="00CC4EF3">
        <w:rPr>
          <w:rFonts w:cs="Segoe UI Historic"/>
          <w:sz w:val="24"/>
          <w:szCs w:val="24"/>
        </w:rPr>
        <w:t xml:space="preserve"> §</w:t>
      </w:r>
      <w:r w:rsidR="00A87762">
        <w:rPr>
          <w:rFonts w:cs="Segoe UI Historic"/>
          <w:sz w:val="24"/>
          <w:szCs w:val="24"/>
        </w:rPr>
        <w:t> </w:t>
      </w:r>
      <w:r w:rsidR="00317551" w:rsidRPr="00CC4EF3">
        <w:rPr>
          <w:rFonts w:cs="Segoe UI Historic"/>
          <w:sz w:val="24"/>
          <w:szCs w:val="24"/>
        </w:rPr>
        <w:t>18.1(c), at 17 (3rd ed. 2003));</w:t>
      </w:r>
      <w:r w:rsidR="00317551" w:rsidRPr="00CC4EF3">
        <w:rPr>
          <w:rFonts w:cs="Segoe UI Historic"/>
          <w:i/>
          <w:sz w:val="24"/>
          <w:szCs w:val="24"/>
        </w:rPr>
        <w:t xml:space="preserve"> </w:t>
      </w:r>
      <w:r w:rsidR="00317551" w:rsidRPr="003856AF">
        <w:rPr>
          <w:rFonts w:cs="Segoe UI Historic"/>
          <w:i/>
          <w:iCs/>
          <w:sz w:val="24"/>
          <w:szCs w:val="24"/>
        </w:rPr>
        <w:t>Commonwealth</w:t>
      </w:r>
      <w:r w:rsidR="00317551" w:rsidRPr="000052EB">
        <w:rPr>
          <w:rFonts w:cs="Segoe UI Historic"/>
          <w:sz w:val="24"/>
          <w:szCs w:val="24"/>
        </w:rPr>
        <w:t xml:space="preserve"> v. </w:t>
      </w:r>
      <w:r w:rsidR="00317551" w:rsidRPr="003856AF">
        <w:rPr>
          <w:rFonts w:cs="Segoe UI Historic"/>
          <w:i/>
          <w:iCs/>
          <w:sz w:val="24"/>
          <w:szCs w:val="24"/>
        </w:rPr>
        <w:t>Jackson</w:t>
      </w:r>
      <w:r w:rsidR="00317551" w:rsidRPr="00CC4EF3">
        <w:rPr>
          <w:rFonts w:cs="Segoe UI Historic"/>
          <w:sz w:val="24"/>
          <w:szCs w:val="24"/>
        </w:rPr>
        <w:t>, 417 Mass. 830, 844 (1994) (</w:t>
      </w:r>
      <w:r>
        <w:rPr>
          <w:rFonts w:cs="Segoe UI Historic"/>
          <w:sz w:val="24"/>
          <w:szCs w:val="24"/>
        </w:rPr>
        <w:t>c</w:t>
      </w:r>
      <w:r w:rsidR="00317551" w:rsidRPr="00CC4EF3">
        <w:rPr>
          <w:rFonts w:cs="Segoe UI Historic"/>
          <w:sz w:val="24"/>
          <w:szCs w:val="24"/>
        </w:rPr>
        <w:t>onviction for kidnapping upheld where there was evidence that the victim “was transported, that he was alive at the time that he was bound, and that the manner in which he was bound would have rendered him incapacitated”).</w:t>
      </w:r>
      <w:r w:rsidR="00317551" w:rsidRPr="001E38A3">
        <w:rPr>
          <w:rFonts w:cs="Segoe UI Historic"/>
          <w:sz w:val="24"/>
          <w:szCs w:val="24"/>
        </w:rPr>
        <w:tab/>
      </w:r>
    </w:p>
  </w:footnote>
  <w:footnote w:id="7">
    <w:p w14:paraId="49B6D0F6" w14:textId="34FF946C" w:rsidR="006F5D28" w:rsidRDefault="006F5D28">
      <w:pPr>
        <w:pStyle w:val="FootnoteText"/>
      </w:pPr>
      <w:r>
        <w:rPr>
          <w:rStyle w:val="FootnoteReference"/>
        </w:rPr>
        <w:footnoteRef/>
      </w:r>
      <w:r>
        <w:t xml:space="preserve"> </w:t>
      </w:r>
      <w:r>
        <w:tab/>
      </w:r>
      <w:r w:rsidRPr="003856AF">
        <w:rPr>
          <w:rFonts w:cs="Segoe UI Historic"/>
          <w:i/>
          <w:iCs/>
          <w:sz w:val="24"/>
          <w:szCs w:val="24"/>
        </w:rPr>
        <w:t>Commonwealth</w:t>
      </w:r>
      <w:r w:rsidRPr="000052EB">
        <w:rPr>
          <w:rFonts w:cs="Segoe UI Historic"/>
          <w:sz w:val="24"/>
          <w:szCs w:val="24"/>
        </w:rPr>
        <w:t xml:space="preserve"> v. </w:t>
      </w:r>
      <w:r w:rsidRPr="003856AF">
        <w:rPr>
          <w:rFonts w:cs="Segoe UI Historic"/>
          <w:i/>
          <w:iCs/>
          <w:sz w:val="24"/>
          <w:szCs w:val="24"/>
        </w:rPr>
        <w:t>Edgerly</w:t>
      </w:r>
      <w:r w:rsidRPr="00CC4EF3">
        <w:rPr>
          <w:rFonts w:cs="Segoe UI Historic"/>
          <w:sz w:val="24"/>
          <w:szCs w:val="24"/>
        </w:rPr>
        <w:t xml:space="preserve">, 13 Mass. App. Ct. 562, 580 (1982) (the phrase “against her will” is equal to “without her consent”); </w:t>
      </w:r>
      <w:r w:rsidRPr="003856AF">
        <w:rPr>
          <w:rFonts w:cs="Segoe UI Historic"/>
          <w:iCs/>
          <w:sz w:val="24"/>
          <w:szCs w:val="24"/>
        </w:rPr>
        <w:t>see also</w:t>
      </w:r>
      <w:r w:rsidRPr="00CC4EF3">
        <w:rPr>
          <w:rFonts w:cs="Segoe UI Historic"/>
          <w:sz w:val="24"/>
          <w:szCs w:val="24"/>
        </w:rPr>
        <w:t xml:space="preserve"> </w:t>
      </w:r>
      <w:r w:rsidRPr="003856AF">
        <w:rPr>
          <w:rFonts w:cs="Segoe UI Historic"/>
          <w:i/>
          <w:iCs/>
          <w:sz w:val="24"/>
          <w:szCs w:val="24"/>
        </w:rPr>
        <w:t>Commonwealth</w:t>
      </w:r>
      <w:r w:rsidRPr="000052EB">
        <w:rPr>
          <w:rFonts w:cs="Segoe UI Historic"/>
          <w:sz w:val="24"/>
          <w:szCs w:val="24"/>
        </w:rPr>
        <w:t xml:space="preserve"> v. </w:t>
      </w:r>
      <w:r w:rsidRPr="003856AF">
        <w:rPr>
          <w:rFonts w:cs="Segoe UI Historic"/>
          <w:i/>
          <w:iCs/>
          <w:sz w:val="24"/>
          <w:szCs w:val="24"/>
        </w:rPr>
        <w:t>Travis</w:t>
      </w:r>
      <w:r w:rsidRPr="00CC4EF3">
        <w:rPr>
          <w:rFonts w:cs="Segoe UI Historic"/>
          <w:sz w:val="24"/>
          <w:szCs w:val="24"/>
        </w:rPr>
        <w:t>, 408 Mass. 1, 8 (1990) (preventing victim from leaving car “by pushing against her body with his hand” can support inference of nonconsensual conduct).</w:t>
      </w:r>
      <w:r>
        <w:rPr>
          <w:rFonts w:cs="Segoe UI Historic"/>
          <w:sz w:val="24"/>
          <w:szCs w:val="24"/>
        </w:rPr>
        <w:t xml:space="preserve"> </w:t>
      </w:r>
      <w:r w:rsidRPr="00CC4EF3">
        <w:rPr>
          <w:rFonts w:cs="Segoe UI Historic"/>
          <w:sz w:val="24"/>
          <w:szCs w:val="24"/>
        </w:rPr>
        <w:t xml:space="preserve">A twelve-year-old child falls within the </w:t>
      </w:r>
      <w:r>
        <w:rPr>
          <w:rFonts w:cs="Segoe UI Historic"/>
          <w:sz w:val="24"/>
          <w:szCs w:val="24"/>
        </w:rPr>
        <w:t>“</w:t>
      </w:r>
      <w:r w:rsidRPr="00CC4EF3">
        <w:rPr>
          <w:rFonts w:cs="Segoe UI Historic"/>
          <w:spacing w:val="-1"/>
          <w:sz w:val="24"/>
          <w:szCs w:val="24"/>
        </w:rPr>
        <w:t>tender years doctrine</w:t>
      </w:r>
      <w:r>
        <w:rPr>
          <w:rFonts w:cs="Segoe UI Historic"/>
          <w:spacing w:val="-1"/>
          <w:sz w:val="24"/>
          <w:szCs w:val="24"/>
        </w:rPr>
        <w:t>”</w:t>
      </w:r>
      <w:r w:rsidRPr="00CC4EF3">
        <w:rPr>
          <w:rFonts w:cs="Segoe UI Historic"/>
          <w:spacing w:val="-1"/>
          <w:sz w:val="24"/>
          <w:szCs w:val="24"/>
        </w:rPr>
        <w:t xml:space="preserve"> and, as a </w:t>
      </w:r>
      <w:r w:rsidRPr="00763A3E">
        <w:rPr>
          <w:rFonts w:cs="Times New Roman"/>
        </w:rPr>
        <w:t>matter</w:t>
      </w:r>
      <w:r w:rsidRPr="00CC4EF3">
        <w:rPr>
          <w:rFonts w:cs="Segoe UI Historic"/>
          <w:spacing w:val="-1"/>
          <w:sz w:val="24"/>
          <w:szCs w:val="24"/>
        </w:rPr>
        <w:t xml:space="preserve"> of law, cannot consent to leaving or being tak</w:t>
      </w:r>
      <w:r w:rsidRPr="00CC4EF3">
        <w:rPr>
          <w:rFonts w:cs="Segoe UI Historic"/>
          <w:sz w:val="24"/>
          <w:szCs w:val="24"/>
        </w:rPr>
        <w:t xml:space="preserve">en from the custody of his or her parents or legal guardians. </w:t>
      </w:r>
      <w:r w:rsidRPr="003856AF">
        <w:rPr>
          <w:rFonts w:cs="Segoe UI Historic"/>
          <w:i/>
          <w:iCs/>
          <w:sz w:val="24"/>
          <w:szCs w:val="24"/>
        </w:rPr>
        <w:t>Commonwealth</w:t>
      </w:r>
      <w:r w:rsidRPr="000052EB">
        <w:rPr>
          <w:rFonts w:cs="Segoe UI Historic"/>
          <w:sz w:val="24"/>
          <w:szCs w:val="24"/>
        </w:rPr>
        <w:t xml:space="preserve"> v. </w:t>
      </w:r>
      <w:r w:rsidRPr="003856AF">
        <w:rPr>
          <w:rFonts w:cs="Segoe UI Historic"/>
          <w:i/>
          <w:iCs/>
          <w:sz w:val="24"/>
          <w:szCs w:val="24"/>
        </w:rPr>
        <w:t>Colon</w:t>
      </w:r>
      <w:r w:rsidRPr="000052EB">
        <w:rPr>
          <w:rFonts w:cs="Segoe UI Historic"/>
          <w:sz w:val="24"/>
          <w:szCs w:val="24"/>
        </w:rPr>
        <w:t>,</w:t>
      </w:r>
      <w:r w:rsidRPr="00CC4EF3">
        <w:rPr>
          <w:rFonts w:cs="Segoe UI Historic"/>
          <w:sz w:val="24"/>
          <w:szCs w:val="24"/>
        </w:rPr>
        <w:t xml:space="preserve"> 431 Mass. 188</w:t>
      </w:r>
      <w:r>
        <w:rPr>
          <w:rFonts w:cs="Segoe UI Historic"/>
          <w:sz w:val="24"/>
          <w:szCs w:val="24"/>
        </w:rPr>
        <w:t>, 191</w:t>
      </w:r>
      <w:r w:rsidRPr="00CC4EF3">
        <w:rPr>
          <w:rFonts w:cs="Segoe UI Historic"/>
          <w:sz w:val="24"/>
          <w:szCs w:val="24"/>
        </w:rPr>
        <w:t xml:space="preserve"> (2000)</w:t>
      </w:r>
      <w:r>
        <w:rPr>
          <w:rFonts w:cs="Segoe UI Historic"/>
          <w:sz w:val="24"/>
          <w:szCs w:val="24"/>
        </w:rPr>
        <w:t>.</w:t>
      </w:r>
    </w:p>
  </w:footnote>
  <w:footnote w:id="8">
    <w:p w14:paraId="6BED1CFE" w14:textId="287BE1D9" w:rsidR="00317551" w:rsidRPr="00CC4EF3" w:rsidRDefault="00317551" w:rsidP="00317551">
      <w:pPr>
        <w:pStyle w:val="FootnoteText"/>
        <w:rPr>
          <w:rFonts w:cs="Segoe UI Historic"/>
          <w:sz w:val="24"/>
          <w:szCs w:val="24"/>
        </w:rPr>
      </w:pPr>
      <w:r w:rsidRPr="00CC4EF3">
        <w:rPr>
          <w:rStyle w:val="FootnoteReference"/>
          <w:rFonts w:cs="Segoe UI Historic"/>
          <w:sz w:val="24"/>
          <w:szCs w:val="24"/>
        </w:rPr>
        <w:footnoteRef/>
      </w:r>
      <w:r w:rsidRPr="00CC4EF3">
        <w:rPr>
          <w:rFonts w:cs="Segoe UI Historic"/>
          <w:sz w:val="24"/>
          <w:szCs w:val="24"/>
        </w:rPr>
        <w:t xml:space="preserve"> </w:t>
      </w:r>
      <w:r w:rsidR="003856AF">
        <w:rPr>
          <w:rFonts w:cs="Segoe UI Historic"/>
          <w:sz w:val="24"/>
          <w:szCs w:val="24"/>
        </w:rPr>
        <w:tab/>
      </w:r>
      <w:r w:rsidRPr="003856AF">
        <w:rPr>
          <w:rFonts w:cs="Segoe UI Historic"/>
          <w:i/>
          <w:iCs/>
          <w:sz w:val="24"/>
          <w:szCs w:val="24"/>
        </w:rPr>
        <w:t>Commonwealth</w:t>
      </w:r>
      <w:r w:rsidRPr="000052EB">
        <w:rPr>
          <w:rFonts w:cs="Segoe UI Historic"/>
          <w:sz w:val="24"/>
          <w:szCs w:val="24"/>
        </w:rPr>
        <w:t xml:space="preserve"> v. </w:t>
      </w:r>
      <w:r w:rsidRPr="003856AF">
        <w:rPr>
          <w:rFonts w:cs="Segoe UI Historic"/>
          <w:i/>
          <w:iCs/>
          <w:sz w:val="24"/>
          <w:szCs w:val="24"/>
        </w:rPr>
        <w:t>Caracciola</w:t>
      </w:r>
      <w:r w:rsidRPr="00CC4EF3">
        <w:rPr>
          <w:rFonts w:cs="Segoe UI Historic"/>
          <w:sz w:val="24"/>
          <w:szCs w:val="24"/>
        </w:rPr>
        <w:t>, 409 Mass. 648</w:t>
      </w:r>
      <w:r w:rsidR="00651DF8">
        <w:rPr>
          <w:rFonts w:cs="Segoe UI Historic"/>
          <w:sz w:val="24"/>
          <w:szCs w:val="24"/>
        </w:rPr>
        <w:t>, 651</w:t>
      </w:r>
      <w:r w:rsidRPr="00CC4EF3">
        <w:rPr>
          <w:rFonts w:cs="Segoe UI Historic"/>
          <w:sz w:val="24"/>
          <w:szCs w:val="24"/>
        </w:rPr>
        <w:t xml:space="preserve"> (1991</w:t>
      </w:r>
      <w:r>
        <w:rPr>
          <w:rFonts w:cs="Segoe UI Historic"/>
          <w:sz w:val="24"/>
          <w:szCs w:val="24"/>
        </w:rPr>
        <w:t>).</w:t>
      </w:r>
    </w:p>
  </w:footnote>
  <w:footnote w:id="9">
    <w:p w14:paraId="027E33F0" w14:textId="1B0FFCAA" w:rsidR="00317551" w:rsidRPr="0094001D" w:rsidRDefault="00317551" w:rsidP="00317551">
      <w:pPr>
        <w:pStyle w:val="FootnoteText"/>
        <w:rPr>
          <w:rFonts w:cs="Segoe UI Historic"/>
          <w:sz w:val="24"/>
          <w:szCs w:val="24"/>
        </w:rPr>
      </w:pPr>
      <w:r w:rsidRPr="0094001D">
        <w:rPr>
          <w:rStyle w:val="FootnoteReference"/>
          <w:rFonts w:cs="Segoe UI Historic"/>
          <w:sz w:val="24"/>
          <w:szCs w:val="24"/>
        </w:rPr>
        <w:footnoteRef/>
      </w:r>
      <w:r w:rsidRPr="0094001D">
        <w:rPr>
          <w:rFonts w:cs="Segoe UI Historic"/>
          <w:sz w:val="24"/>
          <w:szCs w:val="24"/>
        </w:rPr>
        <w:t xml:space="preserve"> </w:t>
      </w:r>
      <w:r w:rsidR="003856AF">
        <w:rPr>
          <w:rFonts w:cs="Segoe UI Historic"/>
          <w:sz w:val="24"/>
          <w:szCs w:val="24"/>
        </w:rPr>
        <w:tab/>
      </w:r>
      <w:r w:rsidR="00A87762" w:rsidRPr="00763A3E">
        <w:rPr>
          <w:rFonts w:cs="Segoe UI Historic"/>
          <w:i/>
          <w:iCs/>
          <w:sz w:val="24"/>
          <w:szCs w:val="24"/>
        </w:rPr>
        <w:t>Commonwealth</w:t>
      </w:r>
      <w:r w:rsidR="00A87762" w:rsidRPr="000A0531">
        <w:rPr>
          <w:rFonts w:cs="Segoe UI Historic"/>
          <w:sz w:val="24"/>
          <w:szCs w:val="24"/>
        </w:rPr>
        <w:t xml:space="preserve"> v. </w:t>
      </w:r>
      <w:r w:rsidR="00A87762" w:rsidRPr="00763A3E">
        <w:rPr>
          <w:rFonts w:cs="Segoe UI Historic"/>
          <w:i/>
          <w:iCs/>
          <w:sz w:val="24"/>
          <w:szCs w:val="24"/>
        </w:rPr>
        <w:t>Caracciola</w:t>
      </w:r>
      <w:r w:rsidR="00A87762" w:rsidRPr="000A0531">
        <w:rPr>
          <w:rFonts w:cs="Segoe UI Historic"/>
          <w:sz w:val="24"/>
          <w:szCs w:val="24"/>
        </w:rPr>
        <w:t xml:space="preserve">, 409 Mass. 648, 652 (1991); </w:t>
      </w:r>
      <w:r w:rsidR="00A87762" w:rsidRPr="00763A3E">
        <w:rPr>
          <w:rFonts w:cs="Segoe UI Historic"/>
          <w:i/>
          <w:iCs/>
          <w:sz w:val="24"/>
          <w:szCs w:val="24"/>
        </w:rPr>
        <w:t>Commonwealth</w:t>
      </w:r>
      <w:r w:rsidR="00A87762" w:rsidRPr="000A0531">
        <w:rPr>
          <w:rFonts w:cs="Segoe UI Historic"/>
          <w:sz w:val="24"/>
          <w:szCs w:val="24"/>
        </w:rPr>
        <w:t xml:space="preserve"> v. </w:t>
      </w:r>
      <w:r w:rsidR="00A87762" w:rsidRPr="00763A3E">
        <w:rPr>
          <w:rFonts w:cs="Segoe UI Historic"/>
          <w:i/>
          <w:iCs/>
          <w:sz w:val="24"/>
          <w:szCs w:val="24"/>
        </w:rPr>
        <w:t>LaPlante</w:t>
      </w:r>
      <w:r w:rsidR="00A87762" w:rsidRPr="000A0531">
        <w:rPr>
          <w:rFonts w:cs="Segoe UI Historic"/>
          <w:sz w:val="24"/>
          <w:szCs w:val="24"/>
        </w:rPr>
        <w:t>, 73 Mass. App. Ct. 199, 202-03 (2008</w:t>
      </w:r>
      <w:r w:rsidR="00A87762">
        <w:rPr>
          <w:rFonts w:cs="Segoe UI Historic"/>
          <w:sz w:val="24"/>
          <w:szCs w:val="24"/>
        </w:rPr>
        <w:t>)</w:t>
      </w:r>
      <w:r w:rsidR="00A87762" w:rsidRPr="000A0531">
        <w:rPr>
          <w:rFonts w:cs="Segoe UI Historic"/>
          <w:sz w:val="24"/>
          <w:szCs w:val="24"/>
        </w:rPr>
        <w:t>.</w:t>
      </w:r>
    </w:p>
  </w:footnote>
  <w:footnote w:id="10">
    <w:p w14:paraId="4317A4BC" w14:textId="782220E7" w:rsidR="00317551" w:rsidRPr="00DA3514" w:rsidRDefault="00317551" w:rsidP="00317551">
      <w:pPr>
        <w:pStyle w:val="FootnoteText"/>
        <w:rPr>
          <w:rFonts w:cs="Segoe UI Historic"/>
          <w:sz w:val="24"/>
          <w:szCs w:val="24"/>
        </w:rPr>
      </w:pPr>
      <w:r w:rsidRPr="00DA3514">
        <w:rPr>
          <w:rStyle w:val="FootnoteReference"/>
          <w:rFonts w:cs="Segoe UI Historic"/>
          <w:sz w:val="24"/>
          <w:szCs w:val="24"/>
        </w:rPr>
        <w:footnoteRef/>
      </w:r>
      <w:r w:rsidRPr="00DA3514">
        <w:rPr>
          <w:rFonts w:cs="Segoe UI Historic"/>
          <w:sz w:val="24"/>
          <w:szCs w:val="24"/>
        </w:rPr>
        <w:t xml:space="preserve"> </w:t>
      </w:r>
      <w:r w:rsidR="003856AF">
        <w:rPr>
          <w:rFonts w:cs="Segoe UI Historic"/>
          <w:sz w:val="24"/>
          <w:szCs w:val="24"/>
        </w:rPr>
        <w:tab/>
        <w:t>&lt;</w:t>
      </w:r>
      <w:r w:rsidR="003856AF">
        <w:rPr>
          <w:rFonts w:cs="Segoe UI Historic"/>
          <w:b/>
          <w:bCs/>
          <w:i/>
          <w:iCs/>
          <w:sz w:val="24"/>
          <w:szCs w:val="24"/>
        </w:rPr>
        <w:t>Alternative Instruction</w:t>
      </w:r>
      <w:r w:rsidR="003856AF">
        <w:rPr>
          <w:rFonts w:cs="Segoe UI Historic"/>
          <w:sz w:val="24"/>
          <w:szCs w:val="24"/>
        </w:rPr>
        <w:t xml:space="preserve">&gt; </w:t>
      </w:r>
      <w:r>
        <w:rPr>
          <w:rFonts w:cs="Segoe UI Historic"/>
          <w:sz w:val="24"/>
          <w:szCs w:val="24"/>
        </w:rPr>
        <w:t xml:space="preserve">A </w:t>
      </w:r>
      <w:r w:rsidRPr="00DA3514">
        <w:rPr>
          <w:rFonts w:cs="Segoe UI Historic"/>
          <w:sz w:val="24"/>
          <w:szCs w:val="24"/>
        </w:rPr>
        <w:t>judge</w:t>
      </w:r>
      <w:r>
        <w:rPr>
          <w:rFonts w:cs="Segoe UI Historic"/>
          <w:sz w:val="24"/>
          <w:szCs w:val="24"/>
        </w:rPr>
        <w:t xml:space="preserve"> who</w:t>
      </w:r>
      <w:r w:rsidRPr="00DA3514">
        <w:rPr>
          <w:rFonts w:cs="Segoe UI Historic"/>
          <w:sz w:val="24"/>
          <w:szCs w:val="24"/>
        </w:rPr>
        <w:t xml:space="preserve"> feels that the case calls for a definition of “seize” may instruct</w:t>
      </w:r>
      <w:r>
        <w:rPr>
          <w:rFonts w:cs="Segoe UI Historic"/>
          <w:sz w:val="24"/>
          <w:szCs w:val="24"/>
        </w:rPr>
        <w:t xml:space="preserve"> as follows:</w:t>
      </w:r>
      <w:r w:rsidRPr="00DA3514">
        <w:rPr>
          <w:rFonts w:cs="Segoe UI Historic"/>
          <w:sz w:val="24"/>
          <w:szCs w:val="24"/>
        </w:rPr>
        <w:t xml:space="preserve"> </w:t>
      </w:r>
      <w:r w:rsidR="003856AF">
        <w:rPr>
          <w:rFonts w:cs="Segoe UI Historic"/>
          <w:sz w:val="24"/>
          <w:szCs w:val="24"/>
        </w:rPr>
        <w:br/>
      </w:r>
      <w:r w:rsidR="008E25CF">
        <w:rPr>
          <w:rFonts w:cs="Segoe UI Historic"/>
          <w:sz w:val="24"/>
          <w:szCs w:val="24"/>
        </w:rPr>
        <w:tab/>
      </w:r>
      <w:r w:rsidR="008E25CF">
        <w:rPr>
          <w:rFonts w:cs="Segoe UI Historic"/>
          <w:sz w:val="24"/>
          <w:szCs w:val="24"/>
        </w:rPr>
        <w:tab/>
      </w:r>
      <w:r>
        <w:rPr>
          <w:rFonts w:cs="Segoe UI Historic"/>
          <w:sz w:val="24"/>
          <w:szCs w:val="24"/>
        </w:rPr>
        <w:t>“</w:t>
      </w:r>
      <w:r w:rsidR="003856AF">
        <w:rPr>
          <w:rFonts w:cs="Segoe UI Historic"/>
          <w:sz w:val="24"/>
          <w:szCs w:val="24"/>
        </w:rPr>
        <w:t>T</w:t>
      </w:r>
      <w:r>
        <w:rPr>
          <w:rFonts w:cs="Segoe UI Historic"/>
          <w:sz w:val="24"/>
          <w:szCs w:val="24"/>
        </w:rPr>
        <w:t>o seize” means to forcibly take possession of a person.</w:t>
      </w:r>
      <w:r w:rsidR="003856AF">
        <w:rPr>
          <w:rFonts w:cs="Segoe UI Historic"/>
          <w:sz w:val="24"/>
          <w:szCs w:val="24"/>
        </w:rPr>
        <w:br/>
      </w:r>
      <w:r w:rsidR="008E25CF">
        <w:rPr>
          <w:rFonts w:cs="Segoe UI Historic"/>
          <w:sz w:val="24"/>
          <w:szCs w:val="24"/>
        </w:rPr>
        <w:t xml:space="preserve">See </w:t>
      </w:r>
      <w:r>
        <w:rPr>
          <w:rFonts w:cs="Segoe UI Historic"/>
          <w:sz w:val="24"/>
          <w:szCs w:val="24"/>
        </w:rPr>
        <w:t>Black’s Law Dictionary (11</w:t>
      </w:r>
      <w:r w:rsidRPr="00192E73">
        <w:rPr>
          <w:rFonts w:cs="Segoe UI Historic"/>
          <w:sz w:val="24"/>
          <w:szCs w:val="24"/>
          <w:vertAlign w:val="superscript"/>
        </w:rPr>
        <w:t>th</w:t>
      </w:r>
      <w:r>
        <w:rPr>
          <w:rFonts w:cs="Segoe UI Historic"/>
          <w:sz w:val="24"/>
          <w:szCs w:val="24"/>
        </w:rPr>
        <w:t xml:space="preserve"> ed. 2019).</w:t>
      </w:r>
    </w:p>
  </w:footnote>
  <w:footnote w:id="11">
    <w:p w14:paraId="7D17926A" w14:textId="17D3AB60" w:rsidR="00317551" w:rsidRPr="00DA3514" w:rsidRDefault="00317551" w:rsidP="00317551">
      <w:pPr>
        <w:pStyle w:val="FootnoteText"/>
        <w:rPr>
          <w:rFonts w:cs="Segoe UI Historic"/>
          <w:sz w:val="24"/>
          <w:szCs w:val="24"/>
        </w:rPr>
      </w:pPr>
      <w:r w:rsidRPr="00DA3514">
        <w:rPr>
          <w:rStyle w:val="FootnoteReference"/>
          <w:rFonts w:cs="Segoe UI Historic"/>
          <w:sz w:val="24"/>
          <w:szCs w:val="24"/>
        </w:rPr>
        <w:footnoteRef/>
      </w:r>
      <w:r w:rsidR="003856AF">
        <w:rPr>
          <w:rFonts w:cs="Segoe UI Historic"/>
          <w:sz w:val="24"/>
          <w:szCs w:val="24"/>
        </w:rPr>
        <w:tab/>
      </w:r>
      <w:r w:rsidRPr="00DA3514">
        <w:rPr>
          <w:rFonts w:cs="Segoe UI Historic"/>
          <w:sz w:val="24"/>
          <w:szCs w:val="24"/>
        </w:rPr>
        <w:t>See fn. 3 above.</w:t>
      </w:r>
    </w:p>
  </w:footnote>
  <w:footnote w:id="12">
    <w:p w14:paraId="0C58EFB6" w14:textId="1A402928" w:rsidR="00317551" w:rsidRPr="00DA3514" w:rsidRDefault="00317551" w:rsidP="00317551">
      <w:pPr>
        <w:pStyle w:val="FootnoteText"/>
        <w:rPr>
          <w:rFonts w:cs="Segoe UI Historic"/>
          <w:sz w:val="24"/>
          <w:szCs w:val="24"/>
        </w:rPr>
      </w:pPr>
      <w:r w:rsidRPr="00DA3514">
        <w:rPr>
          <w:rStyle w:val="FootnoteReference"/>
          <w:rFonts w:cs="Segoe UI Historic"/>
          <w:sz w:val="24"/>
          <w:szCs w:val="24"/>
        </w:rPr>
        <w:footnoteRef/>
      </w:r>
      <w:r w:rsidR="003856AF">
        <w:rPr>
          <w:rFonts w:cs="Segoe UI Historic"/>
          <w:sz w:val="24"/>
          <w:szCs w:val="24"/>
        </w:rPr>
        <w:tab/>
        <w:t>&lt;</w:t>
      </w:r>
      <w:r w:rsidR="003856AF">
        <w:rPr>
          <w:rFonts w:cs="Segoe UI Historic"/>
          <w:b/>
          <w:bCs/>
          <w:i/>
          <w:iCs/>
          <w:sz w:val="24"/>
          <w:szCs w:val="24"/>
        </w:rPr>
        <w:t>Alternative Instruction</w:t>
      </w:r>
      <w:r w:rsidR="003856AF">
        <w:rPr>
          <w:rFonts w:cs="Segoe UI Historic"/>
          <w:sz w:val="24"/>
          <w:szCs w:val="24"/>
        </w:rPr>
        <w:t xml:space="preserve">&gt; </w:t>
      </w:r>
      <w:r>
        <w:rPr>
          <w:rFonts w:cs="Segoe UI Historic"/>
          <w:sz w:val="24"/>
          <w:szCs w:val="24"/>
        </w:rPr>
        <w:t xml:space="preserve">A judge who defined seize may instruct as follows: </w:t>
      </w:r>
      <w:r w:rsidRPr="00DA3514">
        <w:rPr>
          <w:rFonts w:cs="Segoe UI Historic"/>
          <w:sz w:val="24"/>
          <w:szCs w:val="24"/>
        </w:rPr>
        <w:t xml:space="preserve">“meaning </w:t>
      </w:r>
      <w:r>
        <w:rPr>
          <w:rFonts w:cs="Segoe UI Historic"/>
          <w:sz w:val="24"/>
          <w:szCs w:val="24"/>
        </w:rPr>
        <w:t xml:space="preserve">to forcibly take possession of AVM” </w:t>
      </w:r>
      <w:r w:rsidRPr="00DA3514">
        <w:rPr>
          <w:rFonts w:cs="Segoe UI Historic"/>
          <w:sz w:val="24"/>
          <w:szCs w:val="24"/>
        </w:rPr>
        <w:t xml:space="preserve">prior to </w:t>
      </w:r>
      <w:r>
        <w:rPr>
          <w:rFonts w:cs="Segoe UI Historic"/>
          <w:sz w:val="24"/>
          <w:szCs w:val="24"/>
        </w:rPr>
        <w:t>“</w:t>
      </w:r>
      <w:r w:rsidRPr="00DA3514">
        <w:rPr>
          <w:rFonts w:cs="Segoe UI Historic"/>
          <w:sz w:val="24"/>
          <w:szCs w:val="24"/>
        </w:rPr>
        <w:t xml:space="preserve">or by tricking. . . </w:t>
      </w:r>
      <w:r>
        <w:rPr>
          <w:rFonts w:cs="Segoe UI Historic"/>
          <w:sz w:val="24"/>
          <w:szCs w:val="24"/>
        </w:rPr>
        <w:t>“</w:t>
      </w:r>
    </w:p>
  </w:footnote>
  <w:footnote w:id="13">
    <w:p w14:paraId="4AF0CEB1" w14:textId="328E8C3B" w:rsidR="00317551" w:rsidRPr="00DA3514" w:rsidRDefault="00317551" w:rsidP="00317551">
      <w:pPr>
        <w:pStyle w:val="FootnoteText"/>
        <w:rPr>
          <w:rFonts w:cs="Segoe UI Historic"/>
          <w:sz w:val="24"/>
          <w:szCs w:val="24"/>
        </w:rPr>
      </w:pPr>
      <w:r w:rsidRPr="00DA3514">
        <w:rPr>
          <w:rStyle w:val="FootnoteReference"/>
          <w:rFonts w:cs="Segoe UI Historic"/>
          <w:sz w:val="24"/>
          <w:szCs w:val="24"/>
        </w:rPr>
        <w:footnoteRef/>
      </w:r>
      <w:r w:rsidR="003856AF">
        <w:rPr>
          <w:rFonts w:cs="Segoe UI Historic"/>
          <w:sz w:val="24"/>
          <w:szCs w:val="24"/>
        </w:rPr>
        <w:tab/>
      </w:r>
      <w:r w:rsidR="00A87762" w:rsidRPr="00763A3E">
        <w:rPr>
          <w:rFonts w:cs="Segoe UI Historic"/>
          <w:i/>
          <w:iCs/>
          <w:sz w:val="24"/>
          <w:szCs w:val="24"/>
        </w:rPr>
        <w:t>Commonwealth</w:t>
      </w:r>
      <w:r w:rsidR="00A87762" w:rsidRPr="000A0531">
        <w:rPr>
          <w:rFonts w:cs="Segoe UI Historic"/>
          <w:sz w:val="24"/>
          <w:szCs w:val="24"/>
        </w:rPr>
        <w:t xml:space="preserve"> v. </w:t>
      </w:r>
      <w:r w:rsidR="00A87762" w:rsidRPr="00763A3E">
        <w:rPr>
          <w:rFonts w:cs="Segoe UI Historic"/>
          <w:i/>
          <w:iCs/>
          <w:sz w:val="24"/>
          <w:szCs w:val="24"/>
        </w:rPr>
        <w:t>Caracciola</w:t>
      </w:r>
      <w:r w:rsidR="00A87762" w:rsidRPr="000A0531">
        <w:rPr>
          <w:rFonts w:cs="Segoe UI Historic"/>
          <w:sz w:val="24"/>
          <w:szCs w:val="24"/>
        </w:rPr>
        <w:t xml:space="preserve">, 409 Mass. 648, 652 (1991); </w:t>
      </w:r>
      <w:r w:rsidR="00A87762" w:rsidRPr="00763A3E">
        <w:rPr>
          <w:rFonts w:cs="Segoe UI Historic"/>
          <w:i/>
          <w:iCs/>
          <w:sz w:val="24"/>
          <w:szCs w:val="24"/>
        </w:rPr>
        <w:t>Commonwealth</w:t>
      </w:r>
      <w:r w:rsidR="00A87762" w:rsidRPr="000A0531">
        <w:rPr>
          <w:rFonts w:cs="Segoe UI Historic"/>
          <w:sz w:val="24"/>
          <w:szCs w:val="24"/>
        </w:rPr>
        <w:t xml:space="preserve"> v. </w:t>
      </w:r>
      <w:r w:rsidR="00A87762" w:rsidRPr="00763A3E">
        <w:rPr>
          <w:rFonts w:cs="Segoe UI Historic"/>
          <w:i/>
          <w:iCs/>
          <w:sz w:val="24"/>
          <w:szCs w:val="24"/>
        </w:rPr>
        <w:t>LaPlante</w:t>
      </w:r>
      <w:r w:rsidR="00A87762" w:rsidRPr="000A0531">
        <w:rPr>
          <w:rFonts w:cs="Segoe UI Historic"/>
          <w:sz w:val="24"/>
          <w:szCs w:val="24"/>
        </w:rPr>
        <w:t>, 73 Mass. App. Ct. 199, 202-03 (2008</w:t>
      </w:r>
      <w:r w:rsidR="00A87762">
        <w:rPr>
          <w:rFonts w:cs="Segoe UI Historic"/>
          <w:sz w:val="24"/>
          <w:szCs w:val="24"/>
        </w:rPr>
        <w:t>)</w:t>
      </w:r>
      <w:r w:rsidR="00A87762" w:rsidRPr="000A0531">
        <w:rPr>
          <w:rFonts w:cs="Segoe UI Historic"/>
          <w:sz w:val="24"/>
          <w:szCs w:val="24"/>
        </w:rPr>
        <w:t>.</w:t>
      </w:r>
    </w:p>
  </w:footnote>
  <w:footnote w:id="14">
    <w:p w14:paraId="13363146" w14:textId="111FC558" w:rsidR="00317551" w:rsidRPr="00DA3514" w:rsidRDefault="00317551" w:rsidP="00317551">
      <w:pPr>
        <w:pStyle w:val="FootnoteText"/>
        <w:rPr>
          <w:rFonts w:cs="Segoe UI Historic"/>
          <w:sz w:val="24"/>
          <w:szCs w:val="24"/>
        </w:rPr>
      </w:pPr>
      <w:r w:rsidRPr="00DA3514">
        <w:rPr>
          <w:rStyle w:val="FootnoteReference"/>
          <w:rFonts w:cs="Segoe UI Historic"/>
          <w:sz w:val="24"/>
          <w:szCs w:val="24"/>
        </w:rPr>
        <w:footnoteRef/>
      </w:r>
      <w:r w:rsidR="003856AF">
        <w:rPr>
          <w:rFonts w:cs="Segoe UI Historic"/>
          <w:sz w:val="24"/>
          <w:szCs w:val="24"/>
        </w:rPr>
        <w:tab/>
      </w:r>
      <w:r w:rsidRPr="00DA3514">
        <w:rPr>
          <w:rFonts w:cs="Segoe UI Historic"/>
          <w:sz w:val="24"/>
          <w:szCs w:val="24"/>
        </w:rPr>
        <w:t xml:space="preserve">See </w:t>
      </w:r>
      <w:r w:rsidRPr="003856AF">
        <w:rPr>
          <w:rFonts w:cs="Segoe UI Historic"/>
          <w:i/>
          <w:iCs/>
          <w:sz w:val="24"/>
          <w:szCs w:val="24"/>
        </w:rPr>
        <w:t>Commonwealth</w:t>
      </w:r>
      <w:r w:rsidRPr="004E4C6E">
        <w:rPr>
          <w:rFonts w:cs="Segoe UI Historic"/>
          <w:sz w:val="24"/>
          <w:szCs w:val="24"/>
        </w:rPr>
        <w:t xml:space="preserve"> v. </w:t>
      </w:r>
      <w:r w:rsidRPr="003856AF">
        <w:rPr>
          <w:rFonts w:cs="Segoe UI Historic"/>
          <w:i/>
          <w:iCs/>
          <w:sz w:val="24"/>
          <w:szCs w:val="24"/>
        </w:rPr>
        <w:t>Toto</w:t>
      </w:r>
      <w:r w:rsidRPr="004E4C6E">
        <w:rPr>
          <w:rFonts w:cs="Segoe UI Historic"/>
          <w:sz w:val="24"/>
          <w:szCs w:val="24"/>
          <w:u w:val="single"/>
        </w:rPr>
        <w:t>,</w:t>
      </w:r>
      <w:r w:rsidRPr="00DA3514">
        <w:rPr>
          <w:rFonts w:cs="Segoe UI Historic"/>
          <w:sz w:val="24"/>
          <w:szCs w:val="24"/>
        </w:rPr>
        <w:t xml:space="preserve"> 487 Mass. 708, 735 (2021) (third clause of G.L. c. 256, §</w:t>
      </w:r>
      <w:r w:rsidR="003856AF">
        <w:rPr>
          <w:rFonts w:cs="Segoe UI Historic"/>
          <w:sz w:val="24"/>
          <w:szCs w:val="24"/>
        </w:rPr>
        <w:t> </w:t>
      </w:r>
      <w:r w:rsidRPr="00DA3514">
        <w:rPr>
          <w:rFonts w:cs="Segoe UI Historic"/>
          <w:sz w:val="24"/>
          <w:szCs w:val="24"/>
        </w:rPr>
        <w:t xml:space="preserve">26, “covers cases where the victim … was confined, but not forcibly or secretly”); </w:t>
      </w:r>
      <w:r w:rsidRPr="003856AF">
        <w:rPr>
          <w:rFonts w:cs="Segoe UI Historic"/>
          <w:i/>
          <w:iCs/>
          <w:sz w:val="24"/>
          <w:szCs w:val="24"/>
        </w:rPr>
        <w:t>Commonwealth</w:t>
      </w:r>
      <w:r w:rsidRPr="004E4C6E">
        <w:rPr>
          <w:rFonts w:cs="Segoe UI Historic"/>
          <w:sz w:val="24"/>
          <w:szCs w:val="24"/>
        </w:rPr>
        <w:t xml:space="preserve"> v. </w:t>
      </w:r>
      <w:r w:rsidRPr="003856AF">
        <w:rPr>
          <w:rFonts w:cs="Segoe UI Historic"/>
          <w:i/>
          <w:iCs/>
          <w:sz w:val="24"/>
          <w:szCs w:val="24"/>
        </w:rPr>
        <w:t>Colon</w:t>
      </w:r>
      <w:r w:rsidRPr="00DA3514">
        <w:rPr>
          <w:rFonts w:cs="Segoe UI Historic"/>
          <w:sz w:val="24"/>
          <w:szCs w:val="24"/>
        </w:rPr>
        <w:t>, 431 Mass. 188, 191 n.6 (2000) (referring to “kidnapping by ‘inveiglement’ without the use of force”).</w:t>
      </w:r>
    </w:p>
  </w:footnote>
  <w:footnote w:id="15">
    <w:p w14:paraId="1F8237F7" w14:textId="77777777" w:rsidR="003856AF" w:rsidRDefault="00317551" w:rsidP="00317551">
      <w:pPr>
        <w:pStyle w:val="FootnoteText"/>
        <w:rPr>
          <w:rFonts w:cs="Segoe UI Historic"/>
          <w:sz w:val="24"/>
          <w:szCs w:val="24"/>
        </w:rPr>
      </w:pPr>
      <w:r w:rsidRPr="003B7D75">
        <w:rPr>
          <w:rStyle w:val="FootnoteReference"/>
          <w:rFonts w:cs="Segoe UI Historic"/>
          <w:sz w:val="24"/>
          <w:szCs w:val="24"/>
        </w:rPr>
        <w:footnoteRef/>
      </w:r>
      <w:r w:rsidR="003856AF">
        <w:rPr>
          <w:rFonts w:cs="Segoe UI Historic"/>
          <w:sz w:val="24"/>
          <w:szCs w:val="24"/>
        </w:rPr>
        <w:tab/>
        <w:t>&lt;</w:t>
      </w:r>
      <w:r w:rsidR="003856AF">
        <w:rPr>
          <w:rFonts w:cs="Segoe UI Historic"/>
          <w:b/>
          <w:bCs/>
          <w:i/>
          <w:iCs/>
          <w:sz w:val="24"/>
          <w:szCs w:val="24"/>
        </w:rPr>
        <w:t>Alternative Instruction</w:t>
      </w:r>
      <w:r w:rsidR="003856AF">
        <w:rPr>
          <w:rFonts w:cs="Segoe UI Historic"/>
          <w:sz w:val="24"/>
          <w:szCs w:val="24"/>
        </w:rPr>
        <w:t xml:space="preserve">&gt; </w:t>
      </w:r>
      <w:r>
        <w:rPr>
          <w:rFonts w:cs="Segoe UI Historic"/>
          <w:sz w:val="24"/>
          <w:szCs w:val="24"/>
        </w:rPr>
        <w:t xml:space="preserve">A </w:t>
      </w:r>
      <w:r w:rsidRPr="003B7D75">
        <w:rPr>
          <w:rFonts w:cs="Segoe UI Historic"/>
          <w:sz w:val="24"/>
          <w:szCs w:val="24"/>
        </w:rPr>
        <w:t xml:space="preserve">judge </w:t>
      </w:r>
      <w:r>
        <w:rPr>
          <w:rFonts w:cs="Segoe UI Historic"/>
          <w:sz w:val="24"/>
          <w:szCs w:val="24"/>
        </w:rPr>
        <w:t xml:space="preserve">who </w:t>
      </w:r>
      <w:r w:rsidRPr="003B7D75">
        <w:rPr>
          <w:rFonts w:cs="Segoe UI Historic"/>
          <w:sz w:val="24"/>
          <w:szCs w:val="24"/>
        </w:rPr>
        <w:t>feels that the case calls for a definition of “secret</w:t>
      </w:r>
      <w:r>
        <w:rPr>
          <w:rFonts w:cs="Segoe UI Historic"/>
          <w:sz w:val="24"/>
          <w:szCs w:val="24"/>
        </w:rPr>
        <w:t>ly confine”</w:t>
      </w:r>
      <w:r w:rsidRPr="003B7D75">
        <w:rPr>
          <w:rFonts w:cs="Segoe UI Historic"/>
          <w:sz w:val="24"/>
          <w:szCs w:val="24"/>
        </w:rPr>
        <w:t xml:space="preserve"> may instruct as follows: </w:t>
      </w:r>
    </w:p>
    <w:p w14:paraId="497F0663" w14:textId="063B7B10" w:rsidR="003856AF" w:rsidRDefault="003856AF" w:rsidP="003856AF">
      <w:pPr>
        <w:pStyle w:val="FootnoteText"/>
        <w:ind w:left="576"/>
        <w:rPr>
          <w:rFonts w:cs="Segoe UI Historic"/>
          <w:sz w:val="24"/>
          <w:szCs w:val="24"/>
        </w:rPr>
      </w:pPr>
      <w:r>
        <w:rPr>
          <w:rFonts w:cs="Segoe UI Historic"/>
          <w:sz w:val="24"/>
          <w:szCs w:val="24"/>
        </w:rPr>
        <w:tab/>
      </w:r>
      <w:r w:rsidR="00317551" w:rsidRPr="003B7D75">
        <w:rPr>
          <w:rFonts w:cs="Segoe UI Historic"/>
          <w:sz w:val="24"/>
          <w:szCs w:val="24"/>
        </w:rPr>
        <w:t xml:space="preserve">To prove that DFT intended to secretly confine AVM, the Commonwealth must prove that DFT intended to confine AVM in a place or in a manner that would make it unlikely that members of the public would know or learn of AVM’s unwilling confinement within a reasonable period of time.  </w:t>
      </w:r>
    </w:p>
    <w:p w14:paraId="210CFD29" w14:textId="4264BE31" w:rsidR="00317551" w:rsidRPr="003B7D75" w:rsidRDefault="003856AF" w:rsidP="00317551">
      <w:pPr>
        <w:pStyle w:val="FootnoteText"/>
        <w:rPr>
          <w:rFonts w:cs="Segoe UI Historic"/>
          <w:sz w:val="24"/>
          <w:szCs w:val="24"/>
        </w:rPr>
      </w:pPr>
      <w:r>
        <w:rPr>
          <w:rFonts w:cs="Segoe UI Historic"/>
          <w:sz w:val="24"/>
          <w:szCs w:val="24"/>
        </w:rPr>
        <w:tab/>
      </w:r>
      <w:r w:rsidR="00317551" w:rsidRPr="003B7D75">
        <w:rPr>
          <w:rFonts w:cs="Segoe UI Historic"/>
          <w:sz w:val="24"/>
          <w:szCs w:val="24"/>
        </w:rPr>
        <w:t>See fn. 6 above</w:t>
      </w:r>
      <w:r>
        <w:rPr>
          <w:rFonts w:cs="Segoe UI Historic"/>
          <w:sz w:val="24"/>
          <w:szCs w:val="24"/>
        </w:rPr>
        <w:t>;</w:t>
      </w:r>
      <w:r w:rsidR="00317551" w:rsidRPr="003B7D75">
        <w:rPr>
          <w:rFonts w:cs="Segoe UI Historic"/>
          <w:sz w:val="24"/>
          <w:szCs w:val="24"/>
        </w:rPr>
        <w:t xml:space="preserve"> </w:t>
      </w:r>
      <w:r w:rsidR="00317551" w:rsidRPr="003856AF">
        <w:rPr>
          <w:rFonts w:cs="Segoe UI Historic"/>
          <w:i/>
          <w:iCs/>
          <w:sz w:val="24"/>
          <w:szCs w:val="24"/>
        </w:rPr>
        <w:t>Commonwealth</w:t>
      </w:r>
      <w:r w:rsidR="00317551" w:rsidRPr="004E4C6E">
        <w:rPr>
          <w:rFonts w:cs="Segoe UI Historic"/>
          <w:sz w:val="24"/>
          <w:szCs w:val="24"/>
        </w:rPr>
        <w:t xml:space="preserve"> v. </w:t>
      </w:r>
      <w:r w:rsidR="00317551" w:rsidRPr="003856AF">
        <w:rPr>
          <w:rFonts w:cs="Segoe UI Historic"/>
          <w:i/>
          <w:iCs/>
          <w:sz w:val="24"/>
          <w:szCs w:val="24"/>
        </w:rPr>
        <w:t>Rivera</w:t>
      </w:r>
      <w:r w:rsidR="00317551" w:rsidRPr="003B7D75">
        <w:rPr>
          <w:rFonts w:cs="Segoe UI Historic"/>
          <w:sz w:val="24"/>
          <w:szCs w:val="24"/>
        </w:rPr>
        <w:t>, 460 Mass. 139, 144 (2011).</w:t>
      </w:r>
    </w:p>
  </w:footnote>
  <w:footnote w:id="16">
    <w:p w14:paraId="09D40D21" w14:textId="4B597336" w:rsidR="00317551" w:rsidRPr="00266F23" w:rsidRDefault="00317551" w:rsidP="00317551">
      <w:pPr>
        <w:pStyle w:val="FootnoteText"/>
        <w:rPr>
          <w:rFonts w:cs="Segoe UI Historic"/>
          <w:sz w:val="24"/>
          <w:szCs w:val="24"/>
        </w:rPr>
      </w:pPr>
      <w:r w:rsidRPr="00975524">
        <w:rPr>
          <w:rStyle w:val="FootnoteReference"/>
          <w:rFonts w:cs="Segoe UI Historic"/>
          <w:sz w:val="24"/>
          <w:szCs w:val="24"/>
        </w:rPr>
        <w:footnoteRef/>
      </w:r>
      <w:r w:rsidR="003856AF">
        <w:rPr>
          <w:rFonts w:cs="Segoe UI Historic"/>
          <w:sz w:val="24"/>
          <w:szCs w:val="24"/>
        </w:rPr>
        <w:tab/>
      </w:r>
      <w:r w:rsidR="00651DF8" w:rsidRPr="003856AF">
        <w:rPr>
          <w:rFonts w:cs="Segoe UI Historic"/>
          <w:i/>
          <w:iCs/>
          <w:sz w:val="24"/>
          <w:szCs w:val="24"/>
        </w:rPr>
        <w:t>Commonwealth</w:t>
      </w:r>
      <w:r w:rsidR="00651DF8" w:rsidRPr="000052EB">
        <w:rPr>
          <w:rFonts w:cs="Segoe UI Historic"/>
          <w:sz w:val="24"/>
          <w:szCs w:val="24"/>
        </w:rPr>
        <w:t xml:space="preserve"> v. </w:t>
      </w:r>
      <w:r w:rsidR="00651DF8" w:rsidRPr="003856AF">
        <w:rPr>
          <w:rFonts w:cs="Segoe UI Historic"/>
          <w:i/>
          <w:iCs/>
          <w:sz w:val="24"/>
          <w:szCs w:val="24"/>
        </w:rPr>
        <w:t>Caracciola</w:t>
      </w:r>
      <w:r w:rsidR="00651DF8" w:rsidRPr="00CC4EF3">
        <w:rPr>
          <w:rFonts w:cs="Segoe UI Historic"/>
          <w:sz w:val="24"/>
          <w:szCs w:val="24"/>
        </w:rPr>
        <w:t>, 409 Mass. 648</w:t>
      </w:r>
      <w:r w:rsidR="00651DF8">
        <w:rPr>
          <w:rFonts w:cs="Segoe UI Historic"/>
          <w:sz w:val="24"/>
          <w:szCs w:val="24"/>
        </w:rPr>
        <w:t>, 651</w:t>
      </w:r>
      <w:r w:rsidR="00651DF8" w:rsidRPr="00CC4EF3">
        <w:rPr>
          <w:rFonts w:cs="Segoe UI Historic"/>
          <w:sz w:val="24"/>
          <w:szCs w:val="24"/>
        </w:rPr>
        <w:t xml:space="preserve"> (1991</w:t>
      </w:r>
      <w:r w:rsidR="00651DF8">
        <w:rPr>
          <w:rFonts w:cs="Segoe UI Historic"/>
          <w:sz w:val="24"/>
          <w:szCs w:val="24"/>
        </w:rPr>
        <w:t>).</w:t>
      </w:r>
    </w:p>
  </w:footnote>
  <w:footnote w:id="17">
    <w:p w14:paraId="04CF876B" w14:textId="3ADD5CA2" w:rsidR="00317551" w:rsidRPr="00F62A46" w:rsidRDefault="00317551" w:rsidP="00317551">
      <w:pPr>
        <w:pStyle w:val="FootnoteText"/>
        <w:rPr>
          <w:sz w:val="24"/>
          <w:szCs w:val="24"/>
        </w:rPr>
      </w:pPr>
      <w:r w:rsidRPr="00F62A46">
        <w:rPr>
          <w:rStyle w:val="FootnoteReference"/>
          <w:sz w:val="24"/>
          <w:szCs w:val="24"/>
        </w:rPr>
        <w:footnoteRef/>
      </w:r>
      <w:r w:rsidR="003856AF">
        <w:rPr>
          <w:sz w:val="24"/>
          <w:szCs w:val="24"/>
        </w:rPr>
        <w:tab/>
      </w:r>
      <w:r w:rsidRPr="00F62A46">
        <w:rPr>
          <w:sz w:val="24"/>
          <w:szCs w:val="24"/>
        </w:rPr>
        <w:t xml:space="preserve">G.L. c. 265, § 26 states: “Whoever commits any offence described in this section with the intent to extort money or other valuable thing thereby shall be punished.” </w:t>
      </w:r>
    </w:p>
  </w:footnote>
  <w:footnote w:id="18">
    <w:p w14:paraId="288AC7B9" w14:textId="59378220" w:rsidR="00317551" w:rsidRPr="005C0F86" w:rsidRDefault="00317551" w:rsidP="00317551">
      <w:pPr>
        <w:pStyle w:val="FootnoteText"/>
        <w:rPr>
          <w:rFonts w:cs="Segoe UI Historic"/>
          <w:sz w:val="24"/>
          <w:szCs w:val="24"/>
        </w:rPr>
      </w:pPr>
      <w:r w:rsidRPr="008F7AC4">
        <w:rPr>
          <w:rStyle w:val="FootnoteReference"/>
          <w:rFonts w:cs="Segoe UI Historic"/>
          <w:sz w:val="24"/>
          <w:szCs w:val="24"/>
        </w:rPr>
        <w:footnoteRef/>
      </w:r>
      <w:r w:rsidRPr="008F7AC4">
        <w:rPr>
          <w:rFonts w:cs="Segoe UI Historic"/>
          <w:sz w:val="24"/>
          <w:szCs w:val="24"/>
        </w:rPr>
        <w:t xml:space="preserve"> </w:t>
      </w:r>
      <w:r w:rsidR="003856AF">
        <w:rPr>
          <w:rFonts w:cs="Segoe UI Historic"/>
          <w:sz w:val="24"/>
          <w:szCs w:val="24"/>
        </w:rPr>
        <w:tab/>
      </w:r>
      <w:r w:rsidRPr="008F7AC4">
        <w:rPr>
          <w:rFonts w:cs="Segoe UI Historic"/>
          <w:sz w:val="24"/>
          <w:szCs w:val="24"/>
        </w:rPr>
        <w:t>If the judge previously instructed on specific</w:t>
      </w:r>
      <w:r w:rsidRPr="005C0F86">
        <w:rPr>
          <w:rFonts w:cs="Segoe UI Historic"/>
          <w:sz w:val="24"/>
          <w:szCs w:val="24"/>
        </w:rPr>
        <w:t xml:space="preserve"> intent in the context of the “third theory” of kidnapping, the judge does </w:t>
      </w:r>
      <w:r w:rsidRPr="00763A3E">
        <w:rPr>
          <w:rFonts w:cs="Times New Roman"/>
        </w:rPr>
        <w:t>not</w:t>
      </w:r>
      <w:r w:rsidRPr="005C0F86">
        <w:rPr>
          <w:rFonts w:cs="Segoe UI Historic"/>
          <w:sz w:val="24"/>
          <w:szCs w:val="24"/>
        </w:rPr>
        <w:t xml:space="preserve"> have to redefine specific intent and may </w:t>
      </w:r>
      <w:r>
        <w:rPr>
          <w:rFonts w:cs="Segoe UI Historic"/>
          <w:sz w:val="24"/>
          <w:szCs w:val="24"/>
        </w:rPr>
        <w:t xml:space="preserve">simply explain that the </w:t>
      </w:r>
      <w:r w:rsidRPr="005C0F86">
        <w:rPr>
          <w:rFonts w:cs="Segoe UI Historic"/>
          <w:sz w:val="24"/>
          <w:szCs w:val="24"/>
        </w:rPr>
        <w:t>words specific intent have the same meaning previously</w:t>
      </w:r>
      <w:r>
        <w:rPr>
          <w:rFonts w:cs="Segoe UI Historic"/>
          <w:sz w:val="24"/>
          <w:szCs w:val="24"/>
        </w:rPr>
        <w:t xml:space="preserve"> given</w:t>
      </w:r>
      <w:r w:rsidRPr="005C0F86">
        <w:rPr>
          <w:rFonts w:cs="Segoe UI Histor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0CB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52E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7055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1E0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64A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24F9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F0A6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588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F28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46F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1778F"/>
    <w:rsid w:val="00037245"/>
    <w:rsid w:val="00061F6C"/>
    <w:rsid w:val="00085F92"/>
    <w:rsid w:val="000B7B9E"/>
    <w:rsid w:val="000D70C6"/>
    <w:rsid w:val="000E7622"/>
    <w:rsid w:val="0010739E"/>
    <w:rsid w:val="00130F23"/>
    <w:rsid w:val="0017397B"/>
    <w:rsid w:val="001922F5"/>
    <w:rsid w:val="001B7748"/>
    <w:rsid w:val="001C5FA5"/>
    <w:rsid w:val="001D701D"/>
    <w:rsid w:val="001E2162"/>
    <w:rsid w:val="00221552"/>
    <w:rsid w:val="00257345"/>
    <w:rsid w:val="00294F89"/>
    <w:rsid w:val="002977C7"/>
    <w:rsid w:val="002A2C60"/>
    <w:rsid w:val="00303039"/>
    <w:rsid w:val="00317551"/>
    <w:rsid w:val="003856AF"/>
    <w:rsid w:val="00420329"/>
    <w:rsid w:val="004558C0"/>
    <w:rsid w:val="004848CB"/>
    <w:rsid w:val="004A3BE2"/>
    <w:rsid w:val="004B31B1"/>
    <w:rsid w:val="004D09EE"/>
    <w:rsid w:val="00516C98"/>
    <w:rsid w:val="005446C0"/>
    <w:rsid w:val="00550249"/>
    <w:rsid w:val="00594672"/>
    <w:rsid w:val="00596E5A"/>
    <w:rsid w:val="00651DF8"/>
    <w:rsid w:val="00676B44"/>
    <w:rsid w:val="006B6227"/>
    <w:rsid w:val="006F5D28"/>
    <w:rsid w:val="00763A3E"/>
    <w:rsid w:val="007E7B77"/>
    <w:rsid w:val="00834E34"/>
    <w:rsid w:val="008733AA"/>
    <w:rsid w:val="00880AA6"/>
    <w:rsid w:val="008E25CF"/>
    <w:rsid w:val="008F6E8B"/>
    <w:rsid w:val="0094500B"/>
    <w:rsid w:val="00992410"/>
    <w:rsid w:val="009B481F"/>
    <w:rsid w:val="00A05B86"/>
    <w:rsid w:val="00A164C0"/>
    <w:rsid w:val="00A2789E"/>
    <w:rsid w:val="00A55E4E"/>
    <w:rsid w:val="00A56498"/>
    <w:rsid w:val="00A76145"/>
    <w:rsid w:val="00A87762"/>
    <w:rsid w:val="00A917A4"/>
    <w:rsid w:val="00A95EAD"/>
    <w:rsid w:val="00AF6831"/>
    <w:rsid w:val="00B02468"/>
    <w:rsid w:val="00B2579A"/>
    <w:rsid w:val="00B520AB"/>
    <w:rsid w:val="00B75859"/>
    <w:rsid w:val="00BE7335"/>
    <w:rsid w:val="00BF0717"/>
    <w:rsid w:val="00BF08B5"/>
    <w:rsid w:val="00C41EB7"/>
    <w:rsid w:val="00C43AEF"/>
    <w:rsid w:val="00C5670C"/>
    <w:rsid w:val="00CD7576"/>
    <w:rsid w:val="00D71FE5"/>
    <w:rsid w:val="00D8732A"/>
    <w:rsid w:val="00D9196F"/>
    <w:rsid w:val="00DB6604"/>
    <w:rsid w:val="00DC61A7"/>
    <w:rsid w:val="00E174B0"/>
    <w:rsid w:val="00F10AE9"/>
    <w:rsid w:val="00F11C6F"/>
    <w:rsid w:val="00F30B37"/>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5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styleId="UnresolvedMention">
    <w:name w:val="Unresolved Mention"/>
    <w:basedOn w:val="DefaultParagraphFont"/>
    <w:uiPriority w:val="99"/>
    <w:semiHidden/>
    <w:unhideWhenUsed/>
    <w:rsid w:val="004B31B1"/>
    <w:rPr>
      <w:color w:val="605E5C"/>
      <w:shd w:val="clear" w:color="auto" w:fill="E1DFDD"/>
    </w:rPr>
  </w:style>
  <w:style w:type="paragraph" w:styleId="EndnoteText">
    <w:name w:val="endnote text"/>
    <w:basedOn w:val="Normal"/>
    <w:link w:val="EndnoteTextChar"/>
    <w:semiHidden/>
    <w:rsid w:val="00317551"/>
    <w:pPr>
      <w:spacing w:after="120" w:line="240" w:lineRule="exact"/>
      <w:jc w:val="both"/>
    </w:pPr>
    <w:rPr>
      <w:rFonts w:ascii="Times LT Std" w:eastAsia="Times New Roman" w:hAnsi="Times LT Std" w:cs="Times New Roman"/>
      <w:kern w:val="20"/>
      <w:sz w:val="20"/>
      <w:szCs w:val="20"/>
    </w:rPr>
  </w:style>
  <w:style w:type="character" w:customStyle="1" w:styleId="EndnoteTextChar">
    <w:name w:val="Endnote Text Char"/>
    <w:basedOn w:val="DefaultParagraphFont"/>
    <w:link w:val="EndnoteText"/>
    <w:semiHidden/>
    <w:rsid w:val="00317551"/>
    <w:rPr>
      <w:rFonts w:ascii="Times LT Std" w:eastAsia="Times New Roman" w:hAnsi="Times LT Std" w:cs="Times New Roman"/>
      <w:kern w:val="20"/>
      <w:sz w:val="20"/>
      <w:szCs w:val="20"/>
    </w:rPr>
  </w:style>
  <w:style w:type="character" w:styleId="Hyperlink">
    <w:name w:val="Hyperlink"/>
    <w:basedOn w:val="DefaultParagraphFont"/>
    <w:uiPriority w:val="99"/>
    <w:unhideWhenUsed/>
    <w:rsid w:val="00317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imprison?utm_campaign=sd&amp;utm_medium=serp&amp;utm_source=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William Burke</cp:lastModifiedBy>
  <cp:revision>2</cp:revision>
  <dcterms:created xsi:type="dcterms:W3CDTF">2022-03-11T17:01:00Z</dcterms:created>
  <dcterms:modified xsi:type="dcterms:W3CDTF">2022-03-11T17:01:00Z</dcterms:modified>
</cp:coreProperties>
</file>