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537E1E" w:rsidTr="00D64525">
        <w:tc>
          <w:tcPr>
            <w:tcW w:w="2952" w:type="dxa"/>
            <w:vMerge w:val="restart"/>
          </w:tcPr>
          <w:p w:rsidR="00537E1E" w:rsidRDefault="00537E1E" w:rsidP="00BC2C2B">
            <w:bookmarkStart w:id="0" w:name="_GoBack"/>
            <w:bookmarkEnd w:id="0"/>
            <w:r>
              <w:t xml:space="preserve"> </w:t>
            </w:r>
            <w:r w:rsidR="000E040A">
              <w:rPr>
                <w:noProof/>
              </w:rPr>
              <w:drawing>
                <wp:inline distT="0" distB="0" distL="0" distR="0" wp14:anchorId="132343DC" wp14:editId="4AEF0E03">
                  <wp:extent cx="1152525" cy="1123950"/>
                  <wp:effectExtent l="0" t="0" r="9525" b="0"/>
                  <wp:docPr id="1" name="Picture 1" descr="DY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a:ln>
                            <a:noFill/>
                          </a:ln>
                        </pic:spPr>
                      </pic:pic>
                    </a:graphicData>
                  </a:graphic>
                </wp:inline>
              </w:drawing>
            </w:r>
          </w:p>
        </w:tc>
        <w:tc>
          <w:tcPr>
            <w:tcW w:w="5904" w:type="dxa"/>
          </w:tcPr>
          <w:p w:rsidR="00537E1E" w:rsidRPr="00D64525" w:rsidRDefault="00537E1E" w:rsidP="00D64525">
            <w:pPr>
              <w:jc w:val="center"/>
              <w:rPr>
                <w:rFonts w:ascii="Edwardian Script ITC" w:hAnsi="Edwardian Script ITC"/>
                <w:b/>
                <w:color w:val="000080"/>
                <w:sz w:val="56"/>
                <w:szCs w:val="56"/>
              </w:rPr>
            </w:pPr>
            <w:r w:rsidRPr="00D64525">
              <w:rPr>
                <w:rFonts w:ascii="Edwardian Script ITC" w:hAnsi="Edwardian Script ITC"/>
                <w:b/>
                <w:color w:val="000080"/>
                <w:sz w:val="56"/>
                <w:szCs w:val="56"/>
              </w:rPr>
              <w:t>Commonwealth of Massachusetts</w:t>
            </w:r>
          </w:p>
        </w:tc>
      </w:tr>
      <w:tr w:rsidR="00537E1E" w:rsidTr="00D64525">
        <w:tc>
          <w:tcPr>
            <w:tcW w:w="2952" w:type="dxa"/>
            <w:vMerge/>
          </w:tcPr>
          <w:p w:rsidR="00537E1E" w:rsidRDefault="00537E1E" w:rsidP="00BC2C2B"/>
        </w:tc>
        <w:tc>
          <w:tcPr>
            <w:tcW w:w="5904" w:type="dxa"/>
          </w:tcPr>
          <w:p w:rsidR="00537E1E" w:rsidRPr="00D64525" w:rsidRDefault="00537E1E" w:rsidP="00D64525">
            <w:pPr>
              <w:jc w:val="center"/>
              <w:rPr>
                <w:b/>
                <w:i/>
                <w:color w:val="000080"/>
              </w:rPr>
            </w:pPr>
            <w:r w:rsidRPr="00D64525">
              <w:rPr>
                <w:b/>
                <w:i/>
                <w:color w:val="000080"/>
              </w:rPr>
              <w:t>Executive Office of Health and Human Services</w:t>
            </w:r>
          </w:p>
        </w:tc>
      </w:tr>
      <w:tr w:rsidR="00537E1E" w:rsidTr="00D64525">
        <w:tc>
          <w:tcPr>
            <w:tcW w:w="2952" w:type="dxa"/>
            <w:vMerge/>
          </w:tcPr>
          <w:p w:rsidR="00537E1E" w:rsidRDefault="00537E1E" w:rsidP="00BC2C2B"/>
        </w:tc>
        <w:tc>
          <w:tcPr>
            <w:tcW w:w="5904" w:type="dxa"/>
          </w:tcPr>
          <w:p w:rsidR="00537E1E" w:rsidRPr="00D64525" w:rsidRDefault="00537E1E" w:rsidP="00D64525">
            <w:pPr>
              <w:jc w:val="center"/>
              <w:rPr>
                <w:b/>
                <w:color w:val="000080"/>
                <w:sz w:val="32"/>
                <w:szCs w:val="32"/>
              </w:rPr>
            </w:pPr>
            <w:r w:rsidRPr="00D64525">
              <w:rPr>
                <w:b/>
                <w:color w:val="000080"/>
                <w:sz w:val="32"/>
                <w:szCs w:val="32"/>
              </w:rPr>
              <w:t>Department of Youth Services</w:t>
            </w:r>
          </w:p>
        </w:tc>
      </w:tr>
      <w:tr w:rsidR="00537E1E" w:rsidTr="00D64525">
        <w:tc>
          <w:tcPr>
            <w:tcW w:w="2952" w:type="dxa"/>
            <w:vMerge/>
          </w:tcPr>
          <w:p w:rsidR="00537E1E" w:rsidRDefault="00537E1E" w:rsidP="00BC2C2B"/>
        </w:tc>
        <w:tc>
          <w:tcPr>
            <w:tcW w:w="5904" w:type="dxa"/>
          </w:tcPr>
          <w:p w:rsidR="00537E1E" w:rsidRPr="00D64525" w:rsidRDefault="00537E1E" w:rsidP="00D64525">
            <w:pPr>
              <w:jc w:val="center"/>
              <w:rPr>
                <w:b/>
                <w:color w:val="000080"/>
                <w:sz w:val="32"/>
                <w:szCs w:val="32"/>
              </w:rPr>
            </w:pPr>
            <w:r w:rsidRPr="00D64525">
              <w:rPr>
                <w:b/>
                <w:color w:val="000080"/>
                <w:sz w:val="32"/>
                <w:szCs w:val="32"/>
              </w:rPr>
              <w:t>Official Policy</w:t>
            </w:r>
          </w:p>
        </w:tc>
      </w:tr>
    </w:tbl>
    <w:p w:rsidR="00537E1E" w:rsidRDefault="00537E1E" w:rsidP="00BC2C2B"/>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214"/>
        <w:gridCol w:w="2214"/>
        <w:gridCol w:w="2167"/>
        <w:gridCol w:w="2261"/>
      </w:tblGrid>
      <w:tr w:rsidR="00537E1E" w:rsidTr="00D64525">
        <w:tc>
          <w:tcPr>
            <w:tcW w:w="2214" w:type="dxa"/>
            <w:tcBorders>
              <w:top w:val="threeDEmboss" w:sz="12" w:space="0" w:color="auto"/>
              <w:left w:val="threeDEmboss" w:sz="12" w:space="0" w:color="auto"/>
              <w:bottom w:val="nil"/>
              <w:right w:val="nil"/>
            </w:tcBorders>
          </w:tcPr>
          <w:p w:rsidR="00537E1E" w:rsidRPr="00D64525" w:rsidRDefault="00537E1E" w:rsidP="00BC2C2B">
            <w:pPr>
              <w:rPr>
                <w:b/>
                <w:i/>
              </w:rPr>
            </w:pPr>
          </w:p>
          <w:p w:rsidR="00537E1E" w:rsidRPr="00D64525" w:rsidRDefault="00537E1E" w:rsidP="00BC2C2B">
            <w:pPr>
              <w:rPr>
                <w:b/>
                <w:i/>
              </w:rPr>
            </w:pPr>
            <w:r w:rsidRPr="00D64525">
              <w:rPr>
                <w:b/>
                <w:i/>
              </w:rPr>
              <w:t>Policy Name:</w:t>
            </w:r>
          </w:p>
          <w:p w:rsidR="00537E1E" w:rsidRPr="00D64525" w:rsidRDefault="00537E1E" w:rsidP="00BC2C2B">
            <w:pPr>
              <w:rPr>
                <w:b/>
                <w:i/>
              </w:rPr>
            </w:pPr>
          </w:p>
        </w:tc>
        <w:tc>
          <w:tcPr>
            <w:tcW w:w="6642" w:type="dxa"/>
            <w:gridSpan w:val="3"/>
            <w:tcBorders>
              <w:top w:val="threeDEmboss" w:sz="12" w:space="0" w:color="auto"/>
              <w:left w:val="nil"/>
              <w:bottom w:val="nil"/>
              <w:right w:val="threeDEngrave" w:sz="12" w:space="0" w:color="auto"/>
            </w:tcBorders>
          </w:tcPr>
          <w:p w:rsidR="00537E1E" w:rsidRPr="00D64525" w:rsidRDefault="00537E1E" w:rsidP="00BC2C2B">
            <w:pPr>
              <w:rPr>
                <w:b/>
              </w:rPr>
            </w:pPr>
          </w:p>
          <w:p w:rsidR="00537E1E" w:rsidRDefault="00324715" w:rsidP="00B86C33">
            <w:r>
              <w:t xml:space="preserve">Availability of </w:t>
            </w:r>
            <w:r w:rsidR="00404D61">
              <w:t xml:space="preserve">Naloxone </w:t>
            </w:r>
            <w:r w:rsidR="00537E1E">
              <w:t>in Response to Opioid Overdose</w:t>
            </w:r>
          </w:p>
          <w:p w:rsidR="00537E1E" w:rsidRPr="002E7AD8" w:rsidRDefault="00537E1E" w:rsidP="00B86C33"/>
        </w:tc>
      </w:tr>
      <w:tr w:rsidR="00537E1E" w:rsidTr="00D64525">
        <w:tc>
          <w:tcPr>
            <w:tcW w:w="2214" w:type="dxa"/>
            <w:tcBorders>
              <w:top w:val="nil"/>
              <w:left w:val="threeDEmboss" w:sz="12" w:space="0" w:color="auto"/>
              <w:bottom w:val="nil"/>
            </w:tcBorders>
          </w:tcPr>
          <w:p w:rsidR="00537E1E" w:rsidRPr="00D64525" w:rsidRDefault="00537E1E" w:rsidP="00BC2C2B">
            <w:pPr>
              <w:rPr>
                <w:b/>
                <w:i/>
              </w:rPr>
            </w:pPr>
            <w:r w:rsidRPr="00D64525">
              <w:rPr>
                <w:b/>
                <w:i/>
              </w:rPr>
              <w:t>Policy #:</w:t>
            </w:r>
          </w:p>
        </w:tc>
        <w:tc>
          <w:tcPr>
            <w:tcW w:w="2214" w:type="dxa"/>
            <w:tcBorders>
              <w:top w:val="nil"/>
              <w:bottom w:val="nil"/>
            </w:tcBorders>
          </w:tcPr>
          <w:p w:rsidR="00537E1E" w:rsidRPr="002E7AD8" w:rsidRDefault="00537E1E" w:rsidP="003D1650">
            <w:r>
              <w:t>02.05.09</w:t>
            </w:r>
          </w:p>
        </w:tc>
        <w:tc>
          <w:tcPr>
            <w:tcW w:w="2167" w:type="dxa"/>
            <w:tcBorders>
              <w:top w:val="nil"/>
              <w:bottom w:val="nil"/>
            </w:tcBorders>
          </w:tcPr>
          <w:p w:rsidR="00537E1E" w:rsidRPr="00D64525" w:rsidRDefault="00537E1E" w:rsidP="00BC2C2B">
            <w:pPr>
              <w:rPr>
                <w:b/>
                <w:i/>
              </w:rPr>
            </w:pPr>
            <w:r w:rsidRPr="00D64525">
              <w:rPr>
                <w:b/>
                <w:i/>
              </w:rPr>
              <w:t>Effective Date:</w:t>
            </w:r>
          </w:p>
        </w:tc>
        <w:tc>
          <w:tcPr>
            <w:tcW w:w="2261" w:type="dxa"/>
            <w:tcBorders>
              <w:top w:val="nil"/>
              <w:bottom w:val="nil"/>
              <w:right w:val="threeDEngrave" w:sz="12" w:space="0" w:color="auto"/>
            </w:tcBorders>
          </w:tcPr>
          <w:p w:rsidR="00537E1E" w:rsidRPr="002E7AD8" w:rsidRDefault="00537E1E" w:rsidP="00BC2C2B">
            <w:r>
              <w:t>January  1, 2017</w:t>
            </w:r>
          </w:p>
          <w:p w:rsidR="00537E1E" w:rsidRPr="00D64525" w:rsidRDefault="00537E1E" w:rsidP="00BC2C2B">
            <w:pPr>
              <w:rPr>
                <w:b/>
              </w:rPr>
            </w:pPr>
          </w:p>
        </w:tc>
      </w:tr>
      <w:tr w:rsidR="00537E1E" w:rsidTr="00D64525">
        <w:tc>
          <w:tcPr>
            <w:tcW w:w="2214" w:type="dxa"/>
            <w:tcBorders>
              <w:top w:val="nil"/>
              <w:left w:val="threeDEmboss" w:sz="12" w:space="0" w:color="auto"/>
              <w:bottom w:val="nil"/>
            </w:tcBorders>
          </w:tcPr>
          <w:p w:rsidR="00537E1E" w:rsidRPr="00D64525" w:rsidRDefault="00537E1E" w:rsidP="00BC2C2B">
            <w:pPr>
              <w:rPr>
                <w:b/>
                <w:i/>
              </w:rPr>
            </w:pPr>
            <w:r w:rsidRPr="00D64525">
              <w:rPr>
                <w:b/>
                <w:i/>
              </w:rPr>
              <w:t>Repeals:</w:t>
            </w:r>
          </w:p>
          <w:p w:rsidR="00537E1E" w:rsidRPr="00D64525" w:rsidRDefault="00537E1E" w:rsidP="00BC2C2B">
            <w:pPr>
              <w:rPr>
                <w:b/>
                <w:i/>
              </w:rPr>
            </w:pPr>
          </w:p>
        </w:tc>
        <w:tc>
          <w:tcPr>
            <w:tcW w:w="6642" w:type="dxa"/>
            <w:gridSpan w:val="3"/>
            <w:tcBorders>
              <w:top w:val="nil"/>
              <w:bottom w:val="nil"/>
              <w:right w:val="threeDEngrave" w:sz="12" w:space="0" w:color="auto"/>
            </w:tcBorders>
          </w:tcPr>
          <w:p w:rsidR="00537E1E" w:rsidRPr="002E7AD8" w:rsidRDefault="00537E1E" w:rsidP="00BC2C2B">
            <w:r w:rsidRPr="002E7AD8">
              <w:t>Non</w:t>
            </w:r>
            <w:r w:rsidR="000A4C2C">
              <w:t>e</w:t>
            </w:r>
          </w:p>
        </w:tc>
      </w:tr>
      <w:tr w:rsidR="00537E1E" w:rsidTr="00D64525">
        <w:tc>
          <w:tcPr>
            <w:tcW w:w="2214" w:type="dxa"/>
            <w:tcBorders>
              <w:top w:val="nil"/>
              <w:left w:val="threeDEmboss" w:sz="12" w:space="0" w:color="auto"/>
              <w:bottom w:val="nil"/>
            </w:tcBorders>
          </w:tcPr>
          <w:p w:rsidR="00537E1E" w:rsidRPr="00D64525" w:rsidRDefault="00537E1E" w:rsidP="00BC2C2B">
            <w:pPr>
              <w:rPr>
                <w:b/>
                <w:i/>
              </w:rPr>
            </w:pPr>
            <w:r w:rsidRPr="00D64525">
              <w:rPr>
                <w:b/>
                <w:i/>
              </w:rPr>
              <w:t>References:</w:t>
            </w:r>
          </w:p>
          <w:p w:rsidR="00537E1E" w:rsidRPr="00D64525" w:rsidRDefault="00537E1E" w:rsidP="00BC2C2B">
            <w:pPr>
              <w:rPr>
                <w:b/>
                <w:i/>
              </w:rPr>
            </w:pPr>
          </w:p>
        </w:tc>
        <w:tc>
          <w:tcPr>
            <w:tcW w:w="6642" w:type="dxa"/>
            <w:gridSpan w:val="3"/>
            <w:tcBorders>
              <w:top w:val="nil"/>
              <w:bottom w:val="nil"/>
              <w:right w:val="threeDEngrave" w:sz="12" w:space="0" w:color="auto"/>
            </w:tcBorders>
          </w:tcPr>
          <w:p w:rsidR="00BF3F81" w:rsidRDefault="00BF3F81" w:rsidP="00BC2C2B">
            <w:r>
              <w:t xml:space="preserve">Chapter 52 of the Acts of 2016 </w:t>
            </w:r>
          </w:p>
          <w:p w:rsidR="00537E1E" w:rsidRPr="002E7AD8" w:rsidRDefault="00537E1E" w:rsidP="00BC2C2B">
            <w:r>
              <w:t>Massachusetts Department of Public Health Opioid Overdose Education and Naloxone Distribution</w:t>
            </w:r>
            <w:r w:rsidR="00BF3F81">
              <w:t xml:space="preserve"> Manual </w:t>
            </w:r>
          </w:p>
          <w:p w:rsidR="00537E1E" w:rsidRPr="00D64525" w:rsidRDefault="00E905B5" w:rsidP="00BC2C2B">
            <w:pPr>
              <w:rPr>
                <w:b/>
              </w:rPr>
            </w:pPr>
            <w:r>
              <w:rPr>
                <w:noProof/>
              </w:rPr>
              <w:drawing>
                <wp:inline distT="0" distB="0" distL="0" distR="0" wp14:anchorId="2754A281" wp14:editId="74EAEF26">
                  <wp:extent cx="1876425" cy="484997"/>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4520" cy="484505"/>
                          </a:xfrm>
                          <a:prstGeom prst="rect">
                            <a:avLst/>
                          </a:prstGeom>
                          <a:noFill/>
                        </pic:spPr>
                      </pic:pic>
                    </a:graphicData>
                  </a:graphic>
                </wp:inline>
              </w:drawing>
            </w:r>
          </w:p>
        </w:tc>
      </w:tr>
      <w:tr w:rsidR="00537E1E" w:rsidTr="00D64525">
        <w:tc>
          <w:tcPr>
            <w:tcW w:w="2214" w:type="dxa"/>
            <w:tcBorders>
              <w:top w:val="nil"/>
              <w:left w:val="threeDEmboss" w:sz="12" w:space="0" w:color="auto"/>
              <w:bottom w:val="nil"/>
            </w:tcBorders>
          </w:tcPr>
          <w:p w:rsidR="00537E1E" w:rsidRPr="00D64525" w:rsidRDefault="00537E1E" w:rsidP="00BC2C2B">
            <w:pPr>
              <w:rPr>
                <w:b/>
                <w:i/>
              </w:rPr>
            </w:pPr>
            <w:r w:rsidRPr="00D64525">
              <w:rPr>
                <w:b/>
                <w:i/>
              </w:rPr>
              <w:t>Signature:</w:t>
            </w:r>
          </w:p>
          <w:p w:rsidR="00537E1E" w:rsidRPr="00D64525" w:rsidRDefault="00537E1E" w:rsidP="00BC2C2B">
            <w:pPr>
              <w:rPr>
                <w:b/>
                <w:i/>
              </w:rPr>
            </w:pPr>
          </w:p>
        </w:tc>
        <w:tc>
          <w:tcPr>
            <w:tcW w:w="4381" w:type="dxa"/>
            <w:gridSpan w:val="2"/>
            <w:tcBorders>
              <w:top w:val="nil"/>
              <w:bottom w:val="nil"/>
              <w:right w:val="nil"/>
            </w:tcBorders>
          </w:tcPr>
          <w:p w:rsidR="00537E1E" w:rsidRDefault="00537E1E" w:rsidP="00BC2C2B">
            <w:r w:rsidRPr="002E7AD8">
              <w:t>Peter J. Forbes, Commissioner</w:t>
            </w:r>
          </w:p>
          <w:p w:rsidR="00537E1E" w:rsidRPr="002E7AD8" w:rsidRDefault="00537E1E" w:rsidP="00BC2C2B"/>
        </w:tc>
        <w:tc>
          <w:tcPr>
            <w:tcW w:w="2261" w:type="dxa"/>
            <w:tcBorders>
              <w:top w:val="nil"/>
              <w:left w:val="nil"/>
              <w:bottom w:val="nil"/>
              <w:right w:val="threeDEngrave" w:sz="12" w:space="0" w:color="auto"/>
            </w:tcBorders>
          </w:tcPr>
          <w:p w:rsidR="00537E1E" w:rsidRPr="002E7AD8" w:rsidRDefault="00E905B5" w:rsidP="00BC2C2B">
            <w:r>
              <w:t xml:space="preserve">11 / 08 </w:t>
            </w:r>
            <w:r w:rsidR="00537E1E" w:rsidRPr="002E7AD8">
              <w:t>/ 2016</w:t>
            </w:r>
          </w:p>
          <w:p w:rsidR="00537E1E" w:rsidRPr="00D64525" w:rsidRDefault="00537E1E" w:rsidP="00BC2C2B">
            <w:pPr>
              <w:rPr>
                <w:b/>
              </w:rPr>
            </w:pPr>
          </w:p>
          <w:p w:rsidR="00537E1E" w:rsidRPr="00D64525" w:rsidRDefault="00537E1E" w:rsidP="00BC2C2B">
            <w:pPr>
              <w:rPr>
                <w:b/>
              </w:rPr>
            </w:pPr>
          </w:p>
        </w:tc>
      </w:tr>
      <w:tr w:rsidR="00537E1E" w:rsidTr="00D64525">
        <w:tc>
          <w:tcPr>
            <w:tcW w:w="2214" w:type="dxa"/>
            <w:tcBorders>
              <w:top w:val="nil"/>
              <w:left w:val="threeDEmboss" w:sz="12" w:space="0" w:color="auto"/>
              <w:bottom w:val="threeDEngrave" w:sz="12" w:space="0" w:color="auto"/>
              <w:right w:val="nil"/>
            </w:tcBorders>
          </w:tcPr>
          <w:p w:rsidR="00537E1E" w:rsidRPr="00D64525" w:rsidRDefault="00537E1E" w:rsidP="00BC2C2B">
            <w:pPr>
              <w:rPr>
                <w:b/>
                <w:i/>
              </w:rPr>
            </w:pPr>
            <w:r w:rsidRPr="00D64525">
              <w:rPr>
                <w:b/>
                <w:i/>
              </w:rPr>
              <w:t>Applicability:</w:t>
            </w:r>
          </w:p>
          <w:p w:rsidR="00537E1E" w:rsidRPr="00D64525" w:rsidRDefault="00537E1E" w:rsidP="00BC2C2B">
            <w:pPr>
              <w:rPr>
                <w:b/>
                <w:i/>
              </w:rPr>
            </w:pPr>
          </w:p>
        </w:tc>
        <w:tc>
          <w:tcPr>
            <w:tcW w:w="6642" w:type="dxa"/>
            <w:gridSpan w:val="3"/>
            <w:tcBorders>
              <w:top w:val="nil"/>
              <w:left w:val="nil"/>
              <w:bottom w:val="threeDEngrave" w:sz="12" w:space="0" w:color="auto"/>
              <w:right w:val="threeDEngrave" w:sz="12" w:space="0" w:color="auto"/>
            </w:tcBorders>
          </w:tcPr>
          <w:p w:rsidR="00537E1E" w:rsidRDefault="00537E1E" w:rsidP="00D64525">
            <w:pPr>
              <w:jc w:val="both"/>
            </w:pPr>
            <w:r>
              <w:t>This policy shall apply to DYS employees and their contracted providers, interns and volunteers.</w:t>
            </w:r>
          </w:p>
          <w:p w:rsidR="00537E1E" w:rsidRDefault="00537E1E" w:rsidP="00BC2C2B"/>
        </w:tc>
      </w:tr>
    </w:tbl>
    <w:p w:rsidR="00537E1E" w:rsidRDefault="00537E1E" w:rsidP="00BC2C2B"/>
    <w:p w:rsidR="00537E1E" w:rsidRPr="00386870" w:rsidRDefault="00537E1E" w:rsidP="00BC2C2B">
      <w:pPr>
        <w:pStyle w:val="H1"/>
      </w:pPr>
      <w:r w:rsidRPr="00386870">
        <w:t>Policy</w:t>
      </w:r>
    </w:p>
    <w:p w:rsidR="00537E1E" w:rsidRDefault="00537E1E" w:rsidP="006F719E">
      <w:pPr>
        <w:pStyle w:val="N1"/>
        <w:jc w:val="both"/>
      </w:pPr>
      <w:r>
        <w:t xml:space="preserve">It is the policy of the Department of Youth Services (DYS) </w:t>
      </w:r>
      <w:r w:rsidR="00BF3F81">
        <w:t>that DYS shall</w:t>
      </w:r>
      <w:r>
        <w:t xml:space="preserve"> provide </w:t>
      </w:r>
      <w:r w:rsidR="00404D61">
        <w:t xml:space="preserve">Naloxone </w:t>
      </w:r>
      <w:r>
        <w:t xml:space="preserve">(also known as </w:t>
      </w:r>
      <w:r w:rsidR="00404D61">
        <w:t>Narcan</w:t>
      </w:r>
      <w:r>
        <w:t xml:space="preserve">) </w:t>
      </w:r>
      <w:r w:rsidR="003B7CCB">
        <w:t xml:space="preserve">Rescue Kits </w:t>
      </w:r>
      <w:r>
        <w:t>to DYS residential and community locations to be</w:t>
      </w:r>
      <w:r w:rsidR="00404D61">
        <w:t xml:space="preserve"> carried and</w:t>
      </w:r>
      <w:r>
        <w:t xml:space="preserve"> used by any trained individual during a possible opioid overdose.  DYS shall provide training on how to use </w:t>
      </w:r>
      <w:r w:rsidR="00404D61">
        <w:t>Naloxone</w:t>
      </w:r>
      <w:r>
        <w:t xml:space="preserve"> Rescue Kits and respond to a potential opioid overdose as provided in these procedures.  </w:t>
      </w:r>
    </w:p>
    <w:p w:rsidR="00537E1E" w:rsidRDefault="00537E1E" w:rsidP="006F719E">
      <w:pPr>
        <w:pStyle w:val="N1"/>
        <w:jc w:val="both"/>
      </w:pPr>
    </w:p>
    <w:p w:rsidR="00537E1E" w:rsidRDefault="00537E1E" w:rsidP="006F719E">
      <w:pPr>
        <w:pStyle w:val="N1"/>
        <w:jc w:val="both"/>
      </w:pPr>
      <w:r>
        <w:t xml:space="preserve">DYS shall provide assistance to youth and their families who request or are identified as needing such assistance on how to access </w:t>
      </w:r>
      <w:r w:rsidR="00404D61">
        <w:t>Naloxone</w:t>
      </w:r>
      <w:r>
        <w:t xml:space="preserve"> </w:t>
      </w:r>
      <w:r w:rsidR="003B7CCB">
        <w:t xml:space="preserve">Rescue Kits </w:t>
      </w:r>
      <w:r>
        <w:t xml:space="preserve">and training resources to administer </w:t>
      </w:r>
      <w:r w:rsidR="00404D61">
        <w:t>Naloxone</w:t>
      </w:r>
      <w:r>
        <w:t xml:space="preserve">.  </w:t>
      </w:r>
    </w:p>
    <w:p w:rsidR="002343AB" w:rsidRDefault="002343AB" w:rsidP="006F719E">
      <w:pPr>
        <w:pStyle w:val="N1"/>
        <w:jc w:val="both"/>
      </w:pPr>
    </w:p>
    <w:p w:rsidR="002343AB" w:rsidRPr="007B7791" w:rsidRDefault="002343AB" w:rsidP="006F719E">
      <w:pPr>
        <w:pStyle w:val="N1"/>
        <w:jc w:val="both"/>
      </w:pPr>
      <w:r>
        <w:t>No employee is required as part of their DYS responsibilities to carry</w:t>
      </w:r>
      <w:r w:rsidR="001808C2">
        <w:t xml:space="preserve"> </w:t>
      </w:r>
      <w:r w:rsidR="0006795E">
        <w:t xml:space="preserve">with them </w:t>
      </w:r>
      <w:r w:rsidR="001808C2">
        <w:t>and use</w:t>
      </w:r>
      <w:r>
        <w:t xml:space="preserve"> a </w:t>
      </w:r>
      <w:r w:rsidR="00404D61">
        <w:t>Naloxone</w:t>
      </w:r>
      <w:r>
        <w:t xml:space="preserve"> Rescue Kit outside of DYS facilities or </w:t>
      </w:r>
      <w:r w:rsidR="002B28E7">
        <w:t>while using DYS state or provider</w:t>
      </w:r>
      <w:r>
        <w:t xml:space="preserve"> vehicles</w:t>
      </w:r>
      <w:r w:rsidR="002B28E7">
        <w:t xml:space="preserve">.  </w:t>
      </w:r>
      <w:r w:rsidR="0006795E">
        <w:t xml:space="preserve">Any state </w:t>
      </w:r>
      <w:r w:rsidR="00453AC4">
        <w:t>or</w:t>
      </w:r>
      <w:r w:rsidR="0006795E">
        <w:t xml:space="preserve"> provider</w:t>
      </w:r>
      <w:r w:rsidR="00404D61">
        <w:t xml:space="preserve"> e</w:t>
      </w:r>
      <w:r w:rsidR="0006795E">
        <w:t>mployee</w:t>
      </w:r>
      <w:r w:rsidR="002B28E7">
        <w:t xml:space="preserve"> may carry</w:t>
      </w:r>
      <w:r w:rsidR="00404D61">
        <w:t xml:space="preserve"> </w:t>
      </w:r>
      <w:r w:rsidR="001808C2" w:rsidRPr="001808C2">
        <w:t xml:space="preserve">and </w:t>
      </w:r>
      <w:r w:rsidR="00404D61" w:rsidRPr="001808C2">
        <w:t>use</w:t>
      </w:r>
      <w:r w:rsidR="002B28E7">
        <w:t xml:space="preserve"> the </w:t>
      </w:r>
      <w:r w:rsidR="00404D61">
        <w:t>Naloxone</w:t>
      </w:r>
      <w:r w:rsidR="002B28E7">
        <w:t xml:space="preserve"> Rescue Kit assigned to </w:t>
      </w:r>
      <w:r w:rsidR="00404D61">
        <w:t>a</w:t>
      </w:r>
      <w:r w:rsidR="002B28E7">
        <w:t xml:space="preserve"> location when </w:t>
      </w:r>
      <w:r w:rsidR="00404D61">
        <w:t>transporting youth</w:t>
      </w:r>
      <w:r w:rsidR="002B28E7">
        <w:t xml:space="preserve"> in the community in accordance with these procedures.  </w:t>
      </w:r>
      <w:r>
        <w:t xml:space="preserve"> </w:t>
      </w:r>
    </w:p>
    <w:p w:rsidR="00A0542F" w:rsidRDefault="00A0542F" w:rsidP="00844189">
      <w:pPr>
        <w:pStyle w:val="N1"/>
        <w:jc w:val="both"/>
      </w:pPr>
    </w:p>
    <w:p w:rsidR="00537E1E" w:rsidRPr="00386870" w:rsidRDefault="00537E1E" w:rsidP="00BC2C2B">
      <w:pPr>
        <w:pStyle w:val="H1"/>
      </w:pPr>
      <w:r w:rsidRPr="00386870">
        <w:t>Procedure</w:t>
      </w:r>
    </w:p>
    <w:p w:rsidR="00537E1E" w:rsidRDefault="00537E1E" w:rsidP="00451017">
      <w:pPr>
        <w:pStyle w:val="H2"/>
      </w:pPr>
      <w:r w:rsidRPr="00386870">
        <w:t>Definitions</w:t>
      </w:r>
    </w:p>
    <w:p w:rsidR="00537E1E" w:rsidRDefault="00537E1E" w:rsidP="00451017">
      <w:pPr>
        <w:pStyle w:val="P1"/>
      </w:pPr>
      <w:r>
        <w:lastRenderedPageBreak/>
        <w:t>The following definitions shall have the meanings assigned to them in this policy for purposes of interpreting this policy.</w:t>
      </w:r>
    </w:p>
    <w:p w:rsidR="00537E1E" w:rsidRPr="007E1625" w:rsidRDefault="00537E1E" w:rsidP="00C32A0B">
      <w:pPr>
        <w:ind w:left="720"/>
        <w:jc w:val="both"/>
      </w:pPr>
      <w:r>
        <w:rPr>
          <w:u w:val="single"/>
        </w:rPr>
        <w:t>Community Location</w:t>
      </w:r>
      <w:r w:rsidRPr="007E1625">
        <w:t>:  DYS District and Satellite locations or other similar community locations operated by contracted DYS providers.</w:t>
      </w:r>
    </w:p>
    <w:p w:rsidR="00537E1E" w:rsidRDefault="00537E1E" w:rsidP="007E1625">
      <w:pPr>
        <w:pStyle w:val="NormalWeb"/>
        <w:ind w:left="720"/>
      </w:pPr>
      <w:r>
        <w:rPr>
          <w:u w:val="single"/>
        </w:rPr>
        <w:t>MA Department of Public Health (DPH)</w:t>
      </w:r>
      <w:r>
        <w:t>: A</w:t>
      </w:r>
      <w:r w:rsidRPr="00E24E56">
        <w:t>gency</w:t>
      </w:r>
      <w:r>
        <w:t xml:space="preserve"> within the Executive Office of Health and Human Services with the mission to prevent illness, injury, and premature death, to assure access to high quality public health and health care services, and to promote wellness and health equity for all in the Commonwealth.  </w:t>
      </w:r>
    </w:p>
    <w:p w:rsidR="00537E1E" w:rsidRDefault="00404D61" w:rsidP="006A657F">
      <w:pPr>
        <w:pStyle w:val="P2"/>
        <w:numPr>
          <w:ilvl w:val="0"/>
          <w:numId w:val="0"/>
        </w:numPr>
        <w:spacing w:after="240"/>
        <w:ind w:left="720"/>
      </w:pPr>
      <w:r>
        <w:rPr>
          <w:u w:val="single"/>
        </w:rPr>
        <w:t>Naloxone</w:t>
      </w:r>
      <w:r w:rsidR="00537E1E">
        <w:rPr>
          <w:u w:val="single"/>
        </w:rPr>
        <w:t xml:space="preserve"> (</w:t>
      </w:r>
      <w:r>
        <w:rPr>
          <w:u w:val="single"/>
        </w:rPr>
        <w:t>Narcan</w:t>
      </w:r>
      <w:r w:rsidR="00537E1E">
        <w:rPr>
          <w:u w:val="single"/>
        </w:rPr>
        <w:t>)</w:t>
      </w:r>
      <w:r w:rsidR="00537E1E">
        <w:t>:  A drug that acts to displace the opioid drug from receptors in the brain allowing slowed or absent breathing to resume.  It is safe and effective and has no potential for abuse.</w:t>
      </w:r>
    </w:p>
    <w:p w:rsidR="00537E1E" w:rsidRDefault="00404D61" w:rsidP="006A657F">
      <w:pPr>
        <w:pStyle w:val="P2"/>
        <w:numPr>
          <w:ilvl w:val="0"/>
          <w:numId w:val="0"/>
        </w:numPr>
        <w:spacing w:after="240"/>
        <w:ind w:left="720"/>
      </w:pPr>
      <w:r>
        <w:rPr>
          <w:u w:val="single"/>
        </w:rPr>
        <w:t>Naloxone</w:t>
      </w:r>
      <w:r w:rsidR="00537E1E" w:rsidRPr="008E3C02">
        <w:rPr>
          <w:u w:val="single"/>
        </w:rPr>
        <w:t xml:space="preserve"> Rescue Kit</w:t>
      </w:r>
      <w:r w:rsidR="00537E1E" w:rsidRPr="008E3C02">
        <w:t>:</w:t>
      </w:r>
      <w:r w:rsidR="00537E1E">
        <w:t xml:space="preserve">  Complete unit needed to administer </w:t>
      </w:r>
      <w:r>
        <w:t>Naloxone</w:t>
      </w:r>
      <w:r w:rsidR="00537E1E">
        <w:t xml:space="preserve"> including the p</w:t>
      </w:r>
      <w:r w:rsidR="00537E1E" w:rsidRPr="007E1625">
        <w:t>re-filled vial and nasal atomizer</w:t>
      </w:r>
      <w:r w:rsidR="00537E1E">
        <w:t>.</w:t>
      </w:r>
    </w:p>
    <w:p w:rsidR="00537E1E" w:rsidRDefault="00537E1E" w:rsidP="006A657F">
      <w:pPr>
        <w:pStyle w:val="P2"/>
        <w:numPr>
          <w:ilvl w:val="0"/>
          <w:numId w:val="0"/>
        </w:numPr>
        <w:spacing w:after="240"/>
        <w:ind w:left="720"/>
      </w:pPr>
      <w:r>
        <w:rPr>
          <w:u w:val="single"/>
        </w:rPr>
        <w:t>Opioid Overdose</w:t>
      </w:r>
      <w:r w:rsidRPr="006A657F">
        <w:t>:</w:t>
      </w:r>
      <w:r>
        <w:t xml:space="preserve">  Concentrations of drugs so high that they depress respiration and cause unresponsiveness. </w:t>
      </w:r>
    </w:p>
    <w:p w:rsidR="00537E1E" w:rsidRDefault="00537E1E" w:rsidP="00451017">
      <w:pPr>
        <w:pStyle w:val="P1"/>
      </w:pPr>
      <w:r>
        <w:t>Terms that are defined Policy #01.01.04, “Policy Definitions” shall have the meanings assigned to them in that policy, unless a contrary meaning is clearly intended.</w:t>
      </w:r>
    </w:p>
    <w:p w:rsidR="00537E1E" w:rsidRDefault="00537E1E" w:rsidP="00AF7DB8">
      <w:pPr>
        <w:pStyle w:val="P1"/>
      </w:pPr>
      <w:r>
        <w:t>Terms not defined in Policy #01.01.04 or in this policy shall have the meanings assigned to them by reasonably accepted standard dictionary definitions of American English.</w:t>
      </w:r>
    </w:p>
    <w:p w:rsidR="00537E1E" w:rsidRDefault="00537E1E" w:rsidP="00D74554">
      <w:pPr>
        <w:pStyle w:val="H2"/>
      </w:pPr>
      <w:r>
        <w:t xml:space="preserve">Availability and Storage of </w:t>
      </w:r>
      <w:r w:rsidR="00404D61">
        <w:t>Naloxone</w:t>
      </w:r>
      <w:r>
        <w:t xml:space="preserve"> </w:t>
      </w:r>
    </w:p>
    <w:p w:rsidR="00537E1E" w:rsidRDefault="00537E1E" w:rsidP="000B6BEA">
      <w:pPr>
        <w:pStyle w:val="P1"/>
        <w:numPr>
          <w:ilvl w:val="0"/>
          <w:numId w:val="10"/>
        </w:numPr>
      </w:pPr>
      <w:r>
        <w:t xml:space="preserve">DYS Residential locations, including reception centers and alternative lock up programs, and community locations shall keep </w:t>
      </w:r>
      <w:r w:rsidR="00404D61">
        <w:t>Naloxone</w:t>
      </w:r>
      <w:r>
        <w:t xml:space="preserve"> Rescue Kits </w:t>
      </w:r>
      <w:r w:rsidR="00927FE0">
        <w:t xml:space="preserve">in a secure location </w:t>
      </w:r>
      <w:r>
        <w:t>where all trained staff can have access to it.</w:t>
      </w:r>
    </w:p>
    <w:p w:rsidR="00537E1E" w:rsidRDefault="00537E1E" w:rsidP="005A756A">
      <w:pPr>
        <w:pStyle w:val="P1"/>
        <w:numPr>
          <w:ilvl w:val="0"/>
          <w:numId w:val="10"/>
        </w:numPr>
      </w:pPr>
      <w:r>
        <w:t xml:space="preserve">The residential unit condition report shall include a daily check of the </w:t>
      </w:r>
      <w:r w:rsidR="00404D61">
        <w:t>Naloxone</w:t>
      </w:r>
      <w:r>
        <w:t xml:space="preserve"> Rescue Kit to ensure it is not damaged, expired or missing.  </w:t>
      </w:r>
    </w:p>
    <w:p w:rsidR="00537E1E" w:rsidRDefault="00537E1E" w:rsidP="005A756A">
      <w:pPr>
        <w:pStyle w:val="P1"/>
        <w:numPr>
          <w:ilvl w:val="0"/>
          <w:numId w:val="10"/>
        </w:numPr>
      </w:pPr>
      <w:r>
        <w:t xml:space="preserve">The District Manager or designee of community locations shall conduct a weekly check of the </w:t>
      </w:r>
      <w:r w:rsidR="00404D61">
        <w:t>Naloxone</w:t>
      </w:r>
      <w:r>
        <w:t xml:space="preserve"> Rescue Kit to ensure it is not damaged, expired or missing.  </w:t>
      </w:r>
    </w:p>
    <w:p w:rsidR="00537E1E" w:rsidRDefault="00404D61" w:rsidP="000D46AF">
      <w:pPr>
        <w:pStyle w:val="P1"/>
        <w:numPr>
          <w:ilvl w:val="0"/>
          <w:numId w:val="10"/>
        </w:numPr>
      </w:pPr>
      <w:r>
        <w:t>Naloxone</w:t>
      </w:r>
      <w:r w:rsidR="00537E1E">
        <w:t xml:space="preserve"> Rescue Kits shall be ordered through </w:t>
      </w:r>
      <w:r w:rsidR="000A4C2C">
        <w:t>the state or provider fiscal unit for that location</w:t>
      </w:r>
      <w:r w:rsidR="00001B6D">
        <w:t xml:space="preserve"> in accordance with any directives by the Director of Health Services</w:t>
      </w:r>
      <w:r w:rsidR="000A4C2C">
        <w:t xml:space="preserve">.  </w:t>
      </w:r>
    </w:p>
    <w:p w:rsidR="00537E1E" w:rsidRDefault="00537E1E" w:rsidP="000D46AF">
      <w:pPr>
        <w:pStyle w:val="P1"/>
        <w:numPr>
          <w:ilvl w:val="0"/>
          <w:numId w:val="10"/>
        </w:numPr>
      </w:pPr>
      <w:r>
        <w:t xml:space="preserve">Damaged or expired kits shall be disposed of through hazardous waste disposal. </w:t>
      </w:r>
    </w:p>
    <w:p w:rsidR="00537E1E" w:rsidRDefault="00404D61" w:rsidP="00790796">
      <w:pPr>
        <w:pStyle w:val="P1"/>
        <w:numPr>
          <w:ilvl w:val="0"/>
          <w:numId w:val="10"/>
        </w:numPr>
      </w:pPr>
      <w:r>
        <w:t>Naloxone</w:t>
      </w:r>
      <w:r w:rsidR="00537E1E">
        <w:t xml:space="preserve"> Rescue Kits should not be left in the following locations:</w:t>
      </w:r>
    </w:p>
    <w:p w:rsidR="00537E1E" w:rsidRDefault="00537E1E" w:rsidP="000D46AF">
      <w:pPr>
        <w:pStyle w:val="P1"/>
        <w:numPr>
          <w:ilvl w:val="1"/>
          <w:numId w:val="10"/>
        </w:numPr>
      </w:pPr>
      <w:r>
        <w:t>Vehicles or outdoor locations that may reach high or low temperatures for extended periods of time as</w:t>
      </w:r>
      <w:r w:rsidRPr="00C910C3">
        <w:t xml:space="preserve"> </w:t>
      </w:r>
      <w:r>
        <w:t xml:space="preserve">kits </w:t>
      </w:r>
      <w:r w:rsidR="008114E9">
        <w:t xml:space="preserve">should </w:t>
      </w:r>
      <w:r>
        <w:t xml:space="preserve">remain </w:t>
      </w:r>
      <w:r w:rsidR="00324715">
        <w:t xml:space="preserve">at </w:t>
      </w:r>
      <w:r>
        <w:t>room temperature; or</w:t>
      </w:r>
    </w:p>
    <w:p w:rsidR="00537E1E" w:rsidRDefault="00537E1E" w:rsidP="000D46AF">
      <w:pPr>
        <w:pStyle w:val="P1"/>
        <w:numPr>
          <w:ilvl w:val="1"/>
          <w:numId w:val="10"/>
        </w:numPr>
      </w:pPr>
      <w:r>
        <w:lastRenderedPageBreak/>
        <w:t xml:space="preserve">Unsecured areas where youth may have access. </w:t>
      </w:r>
    </w:p>
    <w:p w:rsidR="00537E1E" w:rsidRDefault="00537E1E" w:rsidP="00787C81">
      <w:pPr>
        <w:pStyle w:val="H2"/>
      </w:pPr>
      <w:r>
        <w:t xml:space="preserve">Access to </w:t>
      </w:r>
      <w:r w:rsidR="00404D61">
        <w:t>Naloxone</w:t>
      </w:r>
      <w:r>
        <w:t xml:space="preserve"> Rescue Kits in the Community or During Transportation</w:t>
      </w:r>
    </w:p>
    <w:p w:rsidR="00FF0DE4" w:rsidRDefault="002B28E7" w:rsidP="005A756A">
      <w:pPr>
        <w:pStyle w:val="P1"/>
        <w:numPr>
          <w:ilvl w:val="0"/>
          <w:numId w:val="0"/>
        </w:numPr>
        <w:ind w:left="720" w:hanging="360"/>
      </w:pPr>
      <w:r>
        <w:t>1.</w:t>
      </w:r>
      <w:r>
        <w:tab/>
      </w:r>
      <w:r w:rsidR="00FF0DE4">
        <w:t xml:space="preserve">Any </w:t>
      </w:r>
      <w:r w:rsidR="0069481F">
        <w:t xml:space="preserve">employee </w:t>
      </w:r>
      <w:r w:rsidR="00FF0DE4">
        <w:t xml:space="preserve">who as part of their responsibilities transports DYS youth may carry </w:t>
      </w:r>
      <w:r w:rsidR="0006795E">
        <w:t xml:space="preserve">with them </w:t>
      </w:r>
      <w:r w:rsidR="001808C2">
        <w:t xml:space="preserve">and </w:t>
      </w:r>
      <w:r w:rsidR="001730A7">
        <w:t xml:space="preserve">use </w:t>
      </w:r>
      <w:r w:rsidR="00FF0DE4">
        <w:t xml:space="preserve">a </w:t>
      </w:r>
      <w:r w:rsidR="00404D61">
        <w:t>Naloxone</w:t>
      </w:r>
      <w:r w:rsidR="00FF0DE4">
        <w:t xml:space="preserve"> Rescue Kit during such transportation </w:t>
      </w:r>
      <w:r w:rsidR="009809B7">
        <w:t xml:space="preserve">of the youth </w:t>
      </w:r>
      <w:r w:rsidR="00FF0DE4">
        <w:t xml:space="preserve">using the kit assigned to that location.  Such kit shall be signed out of the location by noting who is taking the kit in </w:t>
      </w:r>
      <w:r w:rsidR="0069481F">
        <w:t xml:space="preserve">the </w:t>
      </w:r>
      <w:r w:rsidR="00FF0DE4">
        <w:t>operation’s log and returned to the same location upon returning with the youth and vehicle</w:t>
      </w:r>
      <w:r>
        <w:t>.</w:t>
      </w:r>
      <w:r w:rsidR="0069481F">
        <w:t xml:space="preserve">  If </w:t>
      </w:r>
      <w:r w:rsidR="001730A7">
        <w:t xml:space="preserve">using the kit assigned to the </w:t>
      </w:r>
      <w:r w:rsidR="0069481F">
        <w:t>community</w:t>
      </w:r>
      <w:r w:rsidR="001730A7">
        <w:t xml:space="preserve"> location</w:t>
      </w:r>
      <w:r w:rsidR="0069481F">
        <w:t xml:space="preserve">, staff shall </w:t>
      </w:r>
      <w:r w:rsidR="001730A7">
        <w:t xml:space="preserve">use </w:t>
      </w:r>
      <w:r w:rsidR="0069481F">
        <w:t>a sign out log</w:t>
      </w:r>
      <w:r w:rsidR="001730A7">
        <w:t xml:space="preserve"> for this purpose</w:t>
      </w:r>
      <w:r w:rsidR="0069481F">
        <w:t xml:space="preserve">.  </w:t>
      </w:r>
    </w:p>
    <w:p w:rsidR="001730A7" w:rsidRDefault="00BA4BB2" w:rsidP="001730A7">
      <w:pPr>
        <w:pStyle w:val="CommentText"/>
        <w:ind w:left="720" w:hanging="360"/>
        <w:rPr>
          <w:sz w:val="24"/>
          <w:szCs w:val="24"/>
        </w:rPr>
      </w:pPr>
      <w:r>
        <w:rPr>
          <w:sz w:val="24"/>
          <w:szCs w:val="24"/>
        </w:rPr>
        <w:t>2</w:t>
      </w:r>
      <w:r w:rsidR="008B504F" w:rsidRPr="001730A7">
        <w:rPr>
          <w:sz w:val="24"/>
          <w:szCs w:val="24"/>
        </w:rPr>
        <w:t>.</w:t>
      </w:r>
      <w:r w:rsidR="008B504F" w:rsidRPr="001730A7">
        <w:rPr>
          <w:sz w:val="24"/>
          <w:szCs w:val="24"/>
        </w:rPr>
        <w:tab/>
      </w:r>
      <w:r w:rsidR="001730A7" w:rsidRPr="001730A7">
        <w:rPr>
          <w:sz w:val="24"/>
          <w:szCs w:val="24"/>
        </w:rPr>
        <w:t>Caseworkers shall refer youth or families that may need access to a N</w:t>
      </w:r>
      <w:r w:rsidR="001730A7">
        <w:rPr>
          <w:sz w:val="24"/>
          <w:szCs w:val="24"/>
        </w:rPr>
        <w:t xml:space="preserve">aloxone </w:t>
      </w:r>
      <w:r w:rsidR="001730A7" w:rsidRPr="001730A7">
        <w:rPr>
          <w:sz w:val="24"/>
          <w:szCs w:val="24"/>
        </w:rPr>
        <w:t xml:space="preserve">Rescue Kit to the appropriate services. </w:t>
      </w:r>
    </w:p>
    <w:p w:rsidR="001730A7" w:rsidRPr="001730A7" w:rsidRDefault="001730A7" w:rsidP="001730A7">
      <w:pPr>
        <w:pStyle w:val="CommentText"/>
        <w:ind w:left="720" w:hanging="360"/>
        <w:rPr>
          <w:sz w:val="24"/>
          <w:szCs w:val="24"/>
        </w:rPr>
      </w:pPr>
    </w:p>
    <w:p w:rsidR="00537E1E" w:rsidRDefault="00BA4BB2" w:rsidP="000936A9">
      <w:pPr>
        <w:pStyle w:val="P1"/>
        <w:numPr>
          <w:ilvl w:val="0"/>
          <w:numId w:val="0"/>
        </w:numPr>
        <w:ind w:left="720" w:hanging="360"/>
      </w:pPr>
      <w:r>
        <w:t>3</w:t>
      </w:r>
      <w:r w:rsidR="00537E1E">
        <w:t xml:space="preserve">.  Apprehension Officers </w:t>
      </w:r>
      <w:r w:rsidR="008B504F">
        <w:t xml:space="preserve">may </w:t>
      </w:r>
      <w:r w:rsidR="00537E1E">
        <w:t xml:space="preserve">be assigned their own </w:t>
      </w:r>
      <w:r w:rsidR="00404D61">
        <w:t>Naloxone</w:t>
      </w:r>
      <w:r w:rsidR="00537E1E">
        <w:t xml:space="preserve"> Rescue Kit </w:t>
      </w:r>
      <w:r w:rsidR="00C1784A">
        <w:t>to carry and use</w:t>
      </w:r>
      <w:r w:rsidR="00DE3624">
        <w:t>,</w:t>
      </w:r>
      <w:r w:rsidR="00C1784A">
        <w:t xml:space="preserve"> </w:t>
      </w:r>
      <w:r w:rsidR="00537E1E">
        <w:t xml:space="preserve">and are responsible for </w:t>
      </w:r>
      <w:r>
        <w:t xml:space="preserve">ensuring safe storage </w:t>
      </w:r>
      <w:r w:rsidR="008B504F">
        <w:t>and notifying their supervisor if a</w:t>
      </w:r>
      <w:r w:rsidR="00537E1E">
        <w:t xml:space="preserve"> Kit is damaged, expired, or missing</w:t>
      </w:r>
      <w:r w:rsidR="008B504F">
        <w:t>.</w:t>
      </w:r>
      <w:r w:rsidR="00537E1E">
        <w:t xml:space="preserve"> </w:t>
      </w:r>
    </w:p>
    <w:p w:rsidR="00537E1E" w:rsidRDefault="00537E1E" w:rsidP="00787C81">
      <w:pPr>
        <w:pStyle w:val="H2"/>
      </w:pPr>
      <w:r>
        <w:t>Training Requirements</w:t>
      </w:r>
    </w:p>
    <w:p w:rsidR="00537E1E" w:rsidRDefault="00537E1E" w:rsidP="00A032D6">
      <w:pPr>
        <w:pStyle w:val="P1"/>
        <w:numPr>
          <w:ilvl w:val="0"/>
          <w:numId w:val="0"/>
        </w:numPr>
        <w:ind w:left="720" w:hanging="360"/>
      </w:pPr>
      <w:r>
        <w:t xml:space="preserve">1.  All staff with direct care responsibilities for youth shall receive training on how to administer the </w:t>
      </w:r>
      <w:r w:rsidR="00404D61">
        <w:t>Naloxone</w:t>
      </w:r>
      <w:r>
        <w:t xml:space="preserve"> Rescue Kit.  </w:t>
      </w:r>
    </w:p>
    <w:p w:rsidR="00537E1E" w:rsidRDefault="00537E1E" w:rsidP="00A032D6">
      <w:pPr>
        <w:pStyle w:val="P1"/>
        <w:numPr>
          <w:ilvl w:val="0"/>
          <w:numId w:val="0"/>
        </w:numPr>
        <w:ind w:left="720" w:hanging="360"/>
      </w:pPr>
      <w:r>
        <w:t xml:space="preserve">2.  F. Robert Brown Training Center shall provide training on how to respond to an opioid overdose to new employees in the DYS Basic Training through the </w:t>
      </w:r>
      <w:r w:rsidR="00404D61">
        <w:t>Naloxone</w:t>
      </w:r>
      <w:r>
        <w:t xml:space="preserve"> Responder module or other Basic Training module as determined by the Training Director and the Director of Substance Abuse or designee. </w:t>
      </w:r>
    </w:p>
    <w:p w:rsidR="00537E1E" w:rsidRDefault="00537E1E" w:rsidP="00A032D6">
      <w:pPr>
        <w:pStyle w:val="P1"/>
        <w:numPr>
          <w:ilvl w:val="0"/>
          <w:numId w:val="0"/>
        </w:numPr>
        <w:ind w:left="720" w:hanging="360"/>
      </w:pPr>
      <w:r>
        <w:t>3.  Provider staff that do not use DYS Training shall receive training through their DYS health services provider in their region.</w:t>
      </w:r>
    </w:p>
    <w:p w:rsidR="00537E1E" w:rsidRDefault="00537E1E" w:rsidP="00990DB5">
      <w:pPr>
        <w:pStyle w:val="P1"/>
        <w:numPr>
          <w:ilvl w:val="0"/>
          <w:numId w:val="0"/>
        </w:numPr>
        <w:ind w:left="720" w:hanging="360"/>
      </w:pPr>
      <w:r>
        <w:t xml:space="preserve">4.  Staff shall receive a refresher course on </w:t>
      </w:r>
      <w:r w:rsidR="00404D61">
        <w:t>Naloxone</w:t>
      </w:r>
      <w:r>
        <w:t xml:space="preserve"> administration every two years.  </w:t>
      </w:r>
    </w:p>
    <w:p w:rsidR="00537E1E" w:rsidRDefault="00537E1E" w:rsidP="00787C81">
      <w:pPr>
        <w:pStyle w:val="H2"/>
      </w:pPr>
      <w:r>
        <w:t xml:space="preserve">Documentation on Use of </w:t>
      </w:r>
      <w:r w:rsidR="00404D61">
        <w:t>Naloxone</w:t>
      </w:r>
      <w:r>
        <w:t xml:space="preserve"> Rescue Kit </w:t>
      </w:r>
    </w:p>
    <w:p w:rsidR="00BA4BB2" w:rsidRDefault="00537E1E" w:rsidP="00BA4BB2">
      <w:pPr>
        <w:pStyle w:val="P1"/>
        <w:numPr>
          <w:ilvl w:val="0"/>
          <w:numId w:val="0"/>
        </w:numPr>
        <w:ind w:left="720" w:hanging="360"/>
      </w:pPr>
      <w:r>
        <w:t>1.</w:t>
      </w:r>
      <w:r>
        <w:tab/>
        <w:t xml:space="preserve">Use of a </w:t>
      </w:r>
      <w:r w:rsidR="00404D61">
        <w:t>Naloxone</w:t>
      </w:r>
      <w:r>
        <w:t xml:space="preserve"> Rescue Kit shall be documented as a serious incident in accordance with the serious incident policy.</w:t>
      </w:r>
    </w:p>
    <w:p w:rsidR="00BA4BB2" w:rsidRDefault="00BA4BB2" w:rsidP="00BA4BB2">
      <w:pPr>
        <w:pStyle w:val="P1"/>
        <w:numPr>
          <w:ilvl w:val="0"/>
          <w:numId w:val="0"/>
        </w:numPr>
        <w:ind w:left="720" w:hanging="360"/>
      </w:pPr>
    </w:p>
    <w:p w:rsidR="00BA4BB2" w:rsidRPr="00BA4BB2" w:rsidRDefault="00537E1E" w:rsidP="00BA4BB2">
      <w:pPr>
        <w:pStyle w:val="P1"/>
        <w:numPr>
          <w:ilvl w:val="0"/>
          <w:numId w:val="0"/>
        </w:numPr>
        <w:ind w:left="720" w:hanging="360"/>
      </w:pPr>
      <w:r w:rsidRPr="00107FF3">
        <w:rPr>
          <w:b/>
        </w:rPr>
        <w:t>PERFORMANCE MEASURES</w:t>
      </w:r>
    </w:p>
    <w:p w:rsidR="00537E1E" w:rsidRDefault="00537E1E" w:rsidP="008B504F">
      <w:pPr>
        <w:numPr>
          <w:ilvl w:val="0"/>
          <w:numId w:val="15"/>
        </w:numPr>
      </w:pPr>
      <w:r>
        <w:t xml:space="preserve">All locations shall have a functioning </w:t>
      </w:r>
      <w:r w:rsidR="00404D61">
        <w:t>Naloxone</w:t>
      </w:r>
      <w:r>
        <w:t xml:space="preserve"> Rescue Kit.</w:t>
      </w:r>
    </w:p>
    <w:p w:rsidR="00BA4BB2" w:rsidRDefault="00BA4BB2" w:rsidP="00BA4BB2">
      <w:pPr>
        <w:ind w:left="720"/>
      </w:pPr>
    </w:p>
    <w:p w:rsidR="00537E1E" w:rsidRDefault="00537E1E" w:rsidP="008B504F">
      <w:pPr>
        <w:numPr>
          <w:ilvl w:val="0"/>
          <w:numId w:val="15"/>
        </w:numPr>
      </w:pPr>
      <w:r>
        <w:t>DYS Substance Abuse Director shall report annually the numbe</w:t>
      </w:r>
      <w:r w:rsidR="00F67EDA">
        <w:t>r of events that resulted in</w:t>
      </w:r>
      <w:r>
        <w:t xml:space="preserve"> use of a </w:t>
      </w:r>
      <w:r w:rsidR="00404D61">
        <w:t>Naloxone</w:t>
      </w:r>
      <w:r>
        <w:t xml:space="preserve"> </w:t>
      </w:r>
      <w:r w:rsidR="00F67EDA">
        <w:t>at a DYS location or involving</w:t>
      </w:r>
      <w:r>
        <w:t xml:space="preserve"> DYS youth.</w:t>
      </w:r>
    </w:p>
    <w:p w:rsidR="00BA4BB2" w:rsidRDefault="00BA4BB2" w:rsidP="00BA4BB2"/>
    <w:p w:rsidR="00537E1E" w:rsidRPr="00BC2C2B" w:rsidRDefault="00537E1E" w:rsidP="00A032D6">
      <w:pPr>
        <w:numPr>
          <w:ilvl w:val="0"/>
          <w:numId w:val="15"/>
        </w:numPr>
      </w:pPr>
      <w:r>
        <w:t xml:space="preserve">Location Managers </w:t>
      </w:r>
      <w:r w:rsidR="008B504F">
        <w:t>shall ensure their employees receive</w:t>
      </w:r>
      <w:r w:rsidR="008114E9">
        <w:t xml:space="preserve"> training on administration of </w:t>
      </w:r>
      <w:r w:rsidR="00404D61">
        <w:t>Naloxone</w:t>
      </w:r>
      <w:r w:rsidR="008114E9">
        <w:t xml:space="preserve"> Rescue Kits</w:t>
      </w:r>
      <w:r>
        <w:t xml:space="preserve">. </w:t>
      </w:r>
    </w:p>
    <w:sectPr w:rsidR="00537E1E" w:rsidRPr="00BC2C2B" w:rsidSect="00DC01F4">
      <w:footerReference w:type="default" r:id="rId11"/>
      <w:pgSz w:w="12240" w:h="15840"/>
      <w:pgMar w:top="1008"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C4" w:rsidRDefault="00453AC4">
      <w:r>
        <w:separator/>
      </w:r>
    </w:p>
  </w:endnote>
  <w:endnote w:type="continuationSeparator" w:id="0">
    <w:p w:rsidR="00453AC4" w:rsidRDefault="0045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53AC4" w:rsidTr="00D64525">
      <w:tc>
        <w:tcPr>
          <w:tcW w:w="4428" w:type="dxa"/>
        </w:tcPr>
        <w:p w:rsidR="00453AC4" w:rsidRPr="00D64525" w:rsidRDefault="00453AC4" w:rsidP="0040640A">
          <w:pPr>
            <w:pStyle w:val="Footer"/>
            <w:rPr>
              <w:b/>
            </w:rPr>
          </w:pPr>
          <w:r>
            <w:rPr>
              <w:b/>
            </w:rPr>
            <w:t xml:space="preserve">Response to Opioid Overdose </w:t>
          </w:r>
          <w:r w:rsidRPr="00D64525">
            <w:rPr>
              <w:b/>
            </w:rPr>
            <w:t xml:space="preserve"> </w:t>
          </w:r>
        </w:p>
      </w:tc>
      <w:tc>
        <w:tcPr>
          <w:tcW w:w="4428" w:type="dxa"/>
        </w:tcPr>
        <w:p w:rsidR="00453AC4" w:rsidRPr="00D64525" w:rsidRDefault="00453AC4" w:rsidP="00F84E8B">
          <w:pPr>
            <w:pStyle w:val="Footer"/>
            <w:jc w:val="right"/>
            <w:rPr>
              <w:b/>
            </w:rPr>
          </w:pPr>
          <w:r w:rsidRPr="00D64525">
            <w:rPr>
              <w:b/>
            </w:rPr>
            <w:t xml:space="preserve">Page </w:t>
          </w:r>
          <w:r w:rsidRPr="00D64525">
            <w:rPr>
              <w:b/>
            </w:rPr>
            <w:fldChar w:fldCharType="begin"/>
          </w:r>
          <w:r w:rsidRPr="00D64525">
            <w:rPr>
              <w:b/>
            </w:rPr>
            <w:instrText xml:space="preserve"> PAGE </w:instrText>
          </w:r>
          <w:r w:rsidRPr="00D64525">
            <w:rPr>
              <w:b/>
            </w:rPr>
            <w:fldChar w:fldCharType="separate"/>
          </w:r>
          <w:r w:rsidR="00633F15">
            <w:rPr>
              <w:b/>
              <w:noProof/>
            </w:rPr>
            <w:t>1</w:t>
          </w:r>
          <w:r w:rsidRPr="00D64525">
            <w:rPr>
              <w:b/>
            </w:rPr>
            <w:fldChar w:fldCharType="end"/>
          </w:r>
          <w:r w:rsidRPr="00D64525">
            <w:rPr>
              <w:b/>
            </w:rPr>
            <w:t xml:space="preserve"> of </w:t>
          </w:r>
          <w:r w:rsidRPr="00D64525">
            <w:rPr>
              <w:b/>
            </w:rPr>
            <w:fldChar w:fldCharType="begin"/>
          </w:r>
          <w:r w:rsidRPr="00D64525">
            <w:rPr>
              <w:b/>
            </w:rPr>
            <w:instrText xml:space="preserve"> NUMPAGES </w:instrText>
          </w:r>
          <w:r w:rsidRPr="00D64525">
            <w:rPr>
              <w:b/>
            </w:rPr>
            <w:fldChar w:fldCharType="separate"/>
          </w:r>
          <w:r w:rsidR="00633F15">
            <w:rPr>
              <w:b/>
              <w:noProof/>
            </w:rPr>
            <w:t>3</w:t>
          </w:r>
          <w:r w:rsidRPr="00D64525">
            <w:rPr>
              <w:b/>
            </w:rPr>
            <w:fldChar w:fldCharType="end"/>
          </w:r>
        </w:p>
      </w:tc>
    </w:tr>
  </w:tbl>
  <w:p w:rsidR="00453AC4" w:rsidRPr="006513DE" w:rsidRDefault="00453AC4" w:rsidP="00DC0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C4" w:rsidRDefault="00453AC4">
      <w:r>
        <w:separator/>
      </w:r>
    </w:p>
  </w:footnote>
  <w:footnote w:type="continuationSeparator" w:id="0">
    <w:p w:rsidR="00453AC4" w:rsidRDefault="00453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8E4"/>
    <w:multiLevelType w:val="hybridMultilevel"/>
    <w:tmpl w:val="947E278A"/>
    <w:lvl w:ilvl="0" w:tplc="263E9C52">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12372EB"/>
    <w:multiLevelType w:val="hybridMultilevel"/>
    <w:tmpl w:val="0430E396"/>
    <w:lvl w:ilvl="0" w:tplc="9B267EC0">
      <w:start w:val="1"/>
      <w:numFmt w:val="decimal"/>
      <w:lvlRestart w:val="0"/>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C51536B"/>
    <w:multiLevelType w:val="hybridMultilevel"/>
    <w:tmpl w:val="7F009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E7D395B"/>
    <w:multiLevelType w:val="hybridMultilevel"/>
    <w:tmpl w:val="3FAAD052"/>
    <w:lvl w:ilvl="0" w:tplc="98F43262">
      <w:start w:val="1"/>
      <w:numFmt w:val="upperLetter"/>
      <w:pStyle w:val="H2"/>
      <w:lvlText w:val="%1."/>
      <w:lvlJc w:val="left"/>
      <w:pPr>
        <w:tabs>
          <w:tab w:val="num" w:pos="720"/>
        </w:tabs>
        <w:ind w:left="72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52481DD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77D5B56"/>
    <w:multiLevelType w:val="hybridMultilevel"/>
    <w:tmpl w:val="8D823498"/>
    <w:lvl w:ilvl="0" w:tplc="598CA132">
      <w:start w:val="1"/>
      <w:numFmt w:val="decimal"/>
      <w:pStyle w:val="P1"/>
      <w:lvlText w:val="%1."/>
      <w:lvlJc w:val="left"/>
      <w:pPr>
        <w:tabs>
          <w:tab w:val="num" w:pos="720"/>
        </w:tabs>
        <w:ind w:left="720" w:hanging="360"/>
      </w:pPr>
      <w:rPr>
        <w:rFonts w:cs="Times New Roman"/>
      </w:rPr>
    </w:lvl>
    <w:lvl w:ilvl="1" w:tplc="2D4E6CDA">
      <w:start w:val="1"/>
      <w:numFmt w:val="lowerLetter"/>
      <w:pStyle w:val="P2"/>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062187A"/>
    <w:multiLevelType w:val="hybridMultilevel"/>
    <w:tmpl w:val="5B16B560"/>
    <w:lvl w:ilvl="0" w:tplc="9B267EC0">
      <w:start w:val="1"/>
      <w:numFmt w:val="decimal"/>
      <w:lvlRestart w:val="0"/>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1"/>
  </w:num>
  <w:num w:numId="10">
    <w:abstractNumId w:val="5"/>
  </w:num>
  <w:num w:numId="11">
    <w:abstractNumId w:val="0"/>
  </w:num>
  <w:num w:numId="12">
    <w:abstractNumId w:val="4"/>
  </w:num>
  <w:num w:numId="13">
    <w:abstractNumId w:val="4"/>
  </w:num>
  <w:num w:numId="14">
    <w:abstractNumId w:val="4"/>
  </w:num>
  <w:num w:numId="15">
    <w:abstractNumId w:val="2"/>
  </w:num>
  <w:num w:numId="16">
    <w:abstractNumId w:val="4"/>
  </w:num>
  <w:num w:numId="17">
    <w:abstractNumId w:val="4"/>
  </w:num>
  <w:num w:numId="18">
    <w:abstractNumId w:val="4"/>
  </w:num>
  <w:num w:numId="19">
    <w:abstractNumId w:val="4"/>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Full" w:cryptAlgorithmClass="hash" w:cryptAlgorithmType="typeAny" w:cryptAlgorithmSid="4" w:cryptSpinCount="100000" w:hash="F4DwLsGCSMWgKsm1jFjYW/GTw6c=" w:salt="qoUoX6cW2ktvhGY6t2PDD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C2"/>
    <w:rsid w:val="00001B6D"/>
    <w:rsid w:val="00015809"/>
    <w:rsid w:val="00040885"/>
    <w:rsid w:val="00050A34"/>
    <w:rsid w:val="000526B3"/>
    <w:rsid w:val="000608E3"/>
    <w:rsid w:val="00065617"/>
    <w:rsid w:val="0006795E"/>
    <w:rsid w:val="00084201"/>
    <w:rsid w:val="00090AD6"/>
    <w:rsid w:val="000936A9"/>
    <w:rsid w:val="000A4C2C"/>
    <w:rsid w:val="000A6167"/>
    <w:rsid w:val="000B6BEA"/>
    <w:rsid w:val="000D46AF"/>
    <w:rsid w:val="000E040A"/>
    <w:rsid w:val="000E4FCE"/>
    <w:rsid w:val="00107FF3"/>
    <w:rsid w:val="001730A7"/>
    <w:rsid w:val="0017380A"/>
    <w:rsid w:val="001808C2"/>
    <w:rsid w:val="00195ABF"/>
    <w:rsid w:val="001B578C"/>
    <w:rsid w:val="001C274C"/>
    <w:rsid w:val="001C5298"/>
    <w:rsid w:val="001D3903"/>
    <w:rsid w:val="001E2CF9"/>
    <w:rsid w:val="001F4808"/>
    <w:rsid w:val="002046D4"/>
    <w:rsid w:val="00212AFB"/>
    <w:rsid w:val="002343AB"/>
    <w:rsid w:val="0024331F"/>
    <w:rsid w:val="00271F4E"/>
    <w:rsid w:val="00286C87"/>
    <w:rsid w:val="002B28E7"/>
    <w:rsid w:val="002B515F"/>
    <w:rsid w:val="002E63FF"/>
    <w:rsid w:val="002E70DB"/>
    <w:rsid w:val="002E7AD8"/>
    <w:rsid w:val="00300C91"/>
    <w:rsid w:val="00324715"/>
    <w:rsid w:val="00346D81"/>
    <w:rsid w:val="00360060"/>
    <w:rsid w:val="00362DB3"/>
    <w:rsid w:val="00382C89"/>
    <w:rsid w:val="00386870"/>
    <w:rsid w:val="00386EEE"/>
    <w:rsid w:val="00397923"/>
    <w:rsid w:val="00397C83"/>
    <w:rsid w:val="003B574F"/>
    <w:rsid w:val="003B7CCB"/>
    <w:rsid w:val="003D0787"/>
    <w:rsid w:val="003D1650"/>
    <w:rsid w:val="003D4A62"/>
    <w:rsid w:val="003F57BE"/>
    <w:rsid w:val="00404D61"/>
    <w:rsid w:val="0040640A"/>
    <w:rsid w:val="00411ABC"/>
    <w:rsid w:val="00445004"/>
    <w:rsid w:val="00451017"/>
    <w:rsid w:val="00453AC4"/>
    <w:rsid w:val="004B18F8"/>
    <w:rsid w:val="004E0D5D"/>
    <w:rsid w:val="004F147C"/>
    <w:rsid w:val="005047ED"/>
    <w:rsid w:val="005236DF"/>
    <w:rsid w:val="00532CDC"/>
    <w:rsid w:val="00537E1E"/>
    <w:rsid w:val="00572202"/>
    <w:rsid w:val="005A756A"/>
    <w:rsid w:val="005E63BB"/>
    <w:rsid w:val="00601978"/>
    <w:rsid w:val="00612B07"/>
    <w:rsid w:val="0061390D"/>
    <w:rsid w:val="00622DB1"/>
    <w:rsid w:val="00633F15"/>
    <w:rsid w:val="00642388"/>
    <w:rsid w:val="006513DE"/>
    <w:rsid w:val="00655C33"/>
    <w:rsid w:val="00665209"/>
    <w:rsid w:val="0068157A"/>
    <w:rsid w:val="00690B10"/>
    <w:rsid w:val="0069481F"/>
    <w:rsid w:val="006A657F"/>
    <w:rsid w:val="006D01C4"/>
    <w:rsid w:val="006D4E28"/>
    <w:rsid w:val="006E1479"/>
    <w:rsid w:val="006F719E"/>
    <w:rsid w:val="007034D9"/>
    <w:rsid w:val="00787C81"/>
    <w:rsid w:val="00790796"/>
    <w:rsid w:val="007B7791"/>
    <w:rsid w:val="007E1625"/>
    <w:rsid w:val="008114E9"/>
    <w:rsid w:val="00814DF1"/>
    <w:rsid w:val="00844189"/>
    <w:rsid w:val="00862CDA"/>
    <w:rsid w:val="00881566"/>
    <w:rsid w:val="0089175C"/>
    <w:rsid w:val="008A2DEA"/>
    <w:rsid w:val="008B21BE"/>
    <w:rsid w:val="008B504F"/>
    <w:rsid w:val="008D6D88"/>
    <w:rsid w:val="008E3C02"/>
    <w:rsid w:val="008F62BC"/>
    <w:rsid w:val="00927FE0"/>
    <w:rsid w:val="00951C41"/>
    <w:rsid w:val="00961565"/>
    <w:rsid w:val="009809B7"/>
    <w:rsid w:val="00990DB5"/>
    <w:rsid w:val="0099355F"/>
    <w:rsid w:val="009A639B"/>
    <w:rsid w:val="009B13CD"/>
    <w:rsid w:val="009D6FAA"/>
    <w:rsid w:val="00A032D6"/>
    <w:rsid w:val="00A0542F"/>
    <w:rsid w:val="00A055AB"/>
    <w:rsid w:val="00A378C3"/>
    <w:rsid w:val="00A913F9"/>
    <w:rsid w:val="00AB49BF"/>
    <w:rsid w:val="00AD37FE"/>
    <w:rsid w:val="00AF389C"/>
    <w:rsid w:val="00AF7DB8"/>
    <w:rsid w:val="00B02665"/>
    <w:rsid w:val="00B05A94"/>
    <w:rsid w:val="00B131B0"/>
    <w:rsid w:val="00B50FE6"/>
    <w:rsid w:val="00B86C33"/>
    <w:rsid w:val="00BA2DA1"/>
    <w:rsid w:val="00BA4BB2"/>
    <w:rsid w:val="00BB0AA6"/>
    <w:rsid w:val="00BB5A44"/>
    <w:rsid w:val="00BC2C2B"/>
    <w:rsid w:val="00BF3F81"/>
    <w:rsid w:val="00C04CD0"/>
    <w:rsid w:val="00C1784A"/>
    <w:rsid w:val="00C32A0B"/>
    <w:rsid w:val="00C7362B"/>
    <w:rsid w:val="00C910C3"/>
    <w:rsid w:val="00CB52CC"/>
    <w:rsid w:val="00CC1DCF"/>
    <w:rsid w:val="00CC5784"/>
    <w:rsid w:val="00D415AF"/>
    <w:rsid w:val="00D64525"/>
    <w:rsid w:val="00D74554"/>
    <w:rsid w:val="00D86734"/>
    <w:rsid w:val="00D86C98"/>
    <w:rsid w:val="00D92D48"/>
    <w:rsid w:val="00DA72FA"/>
    <w:rsid w:val="00DC01F4"/>
    <w:rsid w:val="00DC314A"/>
    <w:rsid w:val="00DD11C4"/>
    <w:rsid w:val="00DE3624"/>
    <w:rsid w:val="00DE5025"/>
    <w:rsid w:val="00E00288"/>
    <w:rsid w:val="00E22F55"/>
    <w:rsid w:val="00E24E56"/>
    <w:rsid w:val="00E313DF"/>
    <w:rsid w:val="00E429B5"/>
    <w:rsid w:val="00E855ED"/>
    <w:rsid w:val="00E905B5"/>
    <w:rsid w:val="00E92C75"/>
    <w:rsid w:val="00EB4717"/>
    <w:rsid w:val="00EC3720"/>
    <w:rsid w:val="00EE5EA4"/>
    <w:rsid w:val="00EE7603"/>
    <w:rsid w:val="00F12F27"/>
    <w:rsid w:val="00F14362"/>
    <w:rsid w:val="00F166DA"/>
    <w:rsid w:val="00F458D5"/>
    <w:rsid w:val="00F462C2"/>
    <w:rsid w:val="00F5598C"/>
    <w:rsid w:val="00F5676E"/>
    <w:rsid w:val="00F60600"/>
    <w:rsid w:val="00F67EDA"/>
    <w:rsid w:val="00F831F7"/>
    <w:rsid w:val="00F84E8B"/>
    <w:rsid w:val="00F876B2"/>
    <w:rsid w:val="00FD3908"/>
    <w:rsid w:val="00FE2EC8"/>
    <w:rsid w:val="00FF0DE4"/>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01F4"/>
    <w:pPr>
      <w:tabs>
        <w:tab w:val="center" w:pos="4320"/>
        <w:tab w:val="right" w:pos="8640"/>
      </w:tabs>
    </w:pPr>
  </w:style>
  <w:style w:type="character" w:customStyle="1" w:styleId="FooterChar">
    <w:name w:val="Footer Char"/>
    <w:basedOn w:val="DefaultParagraphFont"/>
    <w:link w:val="Footer"/>
    <w:uiPriority w:val="99"/>
    <w:semiHidden/>
    <w:locked/>
    <w:rsid w:val="003D0787"/>
    <w:rPr>
      <w:rFonts w:cs="Times New Roman"/>
      <w:sz w:val="24"/>
      <w:szCs w:val="24"/>
    </w:rPr>
  </w:style>
  <w:style w:type="table" w:styleId="TableGrid">
    <w:name w:val="Table Grid"/>
    <w:basedOn w:val="TableNormal"/>
    <w:uiPriority w:val="99"/>
    <w:rsid w:val="00DC01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uiPriority w:val="99"/>
    <w:rsid w:val="00DC01F4"/>
    <w:rPr>
      <w:b/>
    </w:rPr>
  </w:style>
  <w:style w:type="paragraph" w:customStyle="1" w:styleId="N1">
    <w:name w:val="N1"/>
    <w:basedOn w:val="Normal"/>
    <w:uiPriority w:val="99"/>
    <w:rsid w:val="00DC01F4"/>
  </w:style>
  <w:style w:type="paragraph" w:customStyle="1" w:styleId="H2">
    <w:name w:val="H2"/>
    <w:basedOn w:val="Normal"/>
    <w:uiPriority w:val="99"/>
    <w:rsid w:val="00DC01F4"/>
    <w:pPr>
      <w:numPr>
        <w:numId w:val="2"/>
      </w:numPr>
      <w:spacing w:after="240"/>
    </w:pPr>
    <w:rPr>
      <w:u w:val="single"/>
    </w:rPr>
  </w:style>
  <w:style w:type="paragraph" w:customStyle="1" w:styleId="P1">
    <w:name w:val="P1"/>
    <w:basedOn w:val="Normal"/>
    <w:uiPriority w:val="99"/>
    <w:rsid w:val="000E4FCE"/>
    <w:pPr>
      <w:numPr>
        <w:numId w:val="1"/>
      </w:numPr>
      <w:spacing w:after="240"/>
      <w:jc w:val="both"/>
    </w:pPr>
  </w:style>
  <w:style w:type="paragraph" w:customStyle="1" w:styleId="P2">
    <w:name w:val="P2"/>
    <w:basedOn w:val="Normal"/>
    <w:uiPriority w:val="99"/>
    <w:rsid w:val="000E4FCE"/>
    <w:pPr>
      <w:numPr>
        <w:ilvl w:val="1"/>
        <w:numId w:val="1"/>
      </w:numPr>
      <w:jc w:val="both"/>
    </w:pPr>
  </w:style>
  <w:style w:type="paragraph" w:styleId="Header">
    <w:name w:val="header"/>
    <w:basedOn w:val="Normal"/>
    <w:link w:val="HeaderChar"/>
    <w:uiPriority w:val="99"/>
    <w:rsid w:val="00451017"/>
    <w:pPr>
      <w:tabs>
        <w:tab w:val="center" w:pos="4320"/>
        <w:tab w:val="right" w:pos="8640"/>
      </w:tabs>
    </w:pPr>
  </w:style>
  <w:style w:type="character" w:customStyle="1" w:styleId="HeaderChar">
    <w:name w:val="Header Char"/>
    <w:basedOn w:val="DefaultParagraphFont"/>
    <w:link w:val="Header"/>
    <w:uiPriority w:val="99"/>
    <w:semiHidden/>
    <w:locked/>
    <w:rsid w:val="003D0787"/>
    <w:rPr>
      <w:rFonts w:cs="Times New Roman"/>
      <w:sz w:val="24"/>
      <w:szCs w:val="24"/>
    </w:rPr>
  </w:style>
  <w:style w:type="paragraph" w:styleId="BalloonText">
    <w:name w:val="Balloon Text"/>
    <w:basedOn w:val="Normal"/>
    <w:link w:val="BalloonTextChar"/>
    <w:uiPriority w:val="99"/>
    <w:semiHidden/>
    <w:rsid w:val="004510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787"/>
    <w:rPr>
      <w:rFonts w:cs="Times New Roman"/>
      <w:sz w:val="2"/>
    </w:rPr>
  </w:style>
  <w:style w:type="character" w:styleId="CommentReference">
    <w:name w:val="annotation reference"/>
    <w:basedOn w:val="DefaultParagraphFont"/>
    <w:uiPriority w:val="99"/>
    <w:rsid w:val="00690B10"/>
    <w:rPr>
      <w:rFonts w:cs="Times New Roman"/>
      <w:sz w:val="16"/>
      <w:szCs w:val="16"/>
    </w:rPr>
  </w:style>
  <w:style w:type="paragraph" w:styleId="CommentText">
    <w:name w:val="annotation text"/>
    <w:basedOn w:val="Normal"/>
    <w:link w:val="CommentTextChar"/>
    <w:uiPriority w:val="99"/>
    <w:rsid w:val="00690B10"/>
    <w:rPr>
      <w:sz w:val="20"/>
      <w:szCs w:val="20"/>
    </w:rPr>
  </w:style>
  <w:style w:type="character" w:customStyle="1" w:styleId="CommentTextChar">
    <w:name w:val="Comment Text Char"/>
    <w:basedOn w:val="DefaultParagraphFont"/>
    <w:link w:val="CommentText"/>
    <w:uiPriority w:val="99"/>
    <w:locked/>
    <w:rsid w:val="00690B10"/>
    <w:rPr>
      <w:rFonts w:cs="Times New Roman"/>
    </w:rPr>
  </w:style>
  <w:style w:type="paragraph" w:styleId="CommentSubject">
    <w:name w:val="annotation subject"/>
    <w:basedOn w:val="CommentText"/>
    <w:next w:val="CommentText"/>
    <w:link w:val="CommentSubjectChar"/>
    <w:uiPriority w:val="99"/>
    <w:rsid w:val="00690B10"/>
    <w:rPr>
      <w:b/>
      <w:bCs/>
    </w:rPr>
  </w:style>
  <w:style w:type="character" w:customStyle="1" w:styleId="CommentSubjectChar">
    <w:name w:val="Comment Subject Char"/>
    <w:basedOn w:val="CommentTextChar"/>
    <w:link w:val="CommentSubject"/>
    <w:uiPriority w:val="99"/>
    <w:locked/>
    <w:rsid w:val="00690B10"/>
    <w:rPr>
      <w:rFonts w:cs="Times New Roman"/>
      <w:b/>
      <w:bCs/>
    </w:rPr>
  </w:style>
  <w:style w:type="paragraph" w:styleId="ListParagraph">
    <w:name w:val="List Paragraph"/>
    <w:basedOn w:val="Normal"/>
    <w:uiPriority w:val="99"/>
    <w:qFormat/>
    <w:rsid w:val="00CC1DCF"/>
    <w:pPr>
      <w:ind w:left="720"/>
      <w:contextualSpacing/>
    </w:pPr>
  </w:style>
  <w:style w:type="character" w:styleId="Hyperlink">
    <w:name w:val="Hyperlink"/>
    <w:basedOn w:val="DefaultParagraphFont"/>
    <w:uiPriority w:val="99"/>
    <w:rsid w:val="002E7AD8"/>
    <w:rPr>
      <w:rFonts w:cs="Times New Roman"/>
      <w:color w:val="0000FF"/>
      <w:u w:val="single"/>
    </w:rPr>
  </w:style>
  <w:style w:type="paragraph" w:styleId="NormalWeb">
    <w:name w:val="Normal (Web)"/>
    <w:basedOn w:val="Normal"/>
    <w:uiPriority w:val="99"/>
    <w:semiHidden/>
    <w:rsid w:val="007E162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01F4"/>
    <w:pPr>
      <w:tabs>
        <w:tab w:val="center" w:pos="4320"/>
        <w:tab w:val="right" w:pos="8640"/>
      </w:tabs>
    </w:pPr>
  </w:style>
  <w:style w:type="character" w:customStyle="1" w:styleId="FooterChar">
    <w:name w:val="Footer Char"/>
    <w:basedOn w:val="DefaultParagraphFont"/>
    <w:link w:val="Footer"/>
    <w:uiPriority w:val="99"/>
    <w:semiHidden/>
    <w:locked/>
    <w:rsid w:val="003D0787"/>
    <w:rPr>
      <w:rFonts w:cs="Times New Roman"/>
      <w:sz w:val="24"/>
      <w:szCs w:val="24"/>
    </w:rPr>
  </w:style>
  <w:style w:type="table" w:styleId="TableGrid">
    <w:name w:val="Table Grid"/>
    <w:basedOn w:val="TableNormal"/>
    <w:uiPriority w:val="99"/>
    <w:rsid w:val="00DC01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uiPriority w:val="99"/>
    <w:rsid w:val="00DC01F4"/>
    <w:rPr>
      <w:b/>
    </w:rPr>
  </w:style>
  <w:style w:type="paragraph" w:customStyle="1" w:styleId="N1">
    <w:name w:val="N1"/>
    <w:basedOn w:val="Normal"/>
    <w:uiPriority w:val="99"/>
    <w:rsid w:val="00DC01F4"/>
  </w:style>
  <w:style w:type="paragraph" w:customStyle="1" w:styleId="H2">
    <w:name w:val="H2"/>
    <w:basedOn w:val="Normal"/>
    <w:uiPriority w:val="99"/>
    <w:rsid w:val="00DC01F4"/>
    <w:pPr>
      <w:numPr>
        <w:numId w:val="2"/>
      </w:numPr>
      <w:spacing w:after="240"/>
    </w:pPr>
    <w:rPr>
      <w:u w:val="single"/>
    </w:rPr>
  </w:style>
  <w:style w:type="paragraph" w:customStyle="1" w:styleId="P1">
    <w:name w:val="P1"/>
    <w:basedOn w:val="Normal"/>
    <w:uiPriority w:val="99"/>
    <w:rsid w:val="000E4FCE"/>
    <w:pPr>
      <w:numPr>
        <w:numId w:val="1"/>
      </w:numPr>
      <w:spacing w:after="240"/>
      <w:jc w:val="both"/>
    </w:pPr>
  </w:style>
  <w:style w:type="paragraph" w:customStyle="1" w:styleId="P2">
    <w:name w:val="P2"/>
    <w:basedOn w:val="Normal"/>
    <w:uiPriority w:val="99"/>
    <w:rsid w:val="000E4FCE"/>
    <w:pPr>
      <w:numPr>
        <w:ilvl w:val="1"/>
        <w:numId w:val="1"/>
      </w:numPr>
      <w:jc w:val="both"/>
    </w:pPr>
  </w:style>
  <w:style w:type="paragraph" w:styleId="Header">
    <w:name w:val="header"/>
    <w:basedOn w:val="Normal"/>
    <w:link w:val="HeaderChar"/>
    <w:uiPriority w:val="99"/>
    <w:rsid w:val="00451017"/>
    <w:pPr>
      <w:tabs>
        <w:tab w:val="center" w:pos="4320"/>
        <w:tab w:val="right" w:pos="8640"/>
      </w:tabs>
    </w:pPr>
  </w:style>
  <w:style w:type="character" w:customStyle="1" w:styleId="HeaderChar">
    <w:name w:val="Header Char"/>
    <w:basedOn w:val="DefaultParagraphFont"/>
    <w:link w:val="Header"/>
    <w:uiPriority w:val="99"/>
    <w:semiHidden/>
    <w:locked/>
    <w:rsid w:val="003D0787"/>
    <w:rPr>
      <w:rFonts w:cs="Times New Roman"/>
      <w:sz w:val="24"/>
      <w:szCs w:val="24"/>
    </w:rPr>
  </w:style>
  <w:style w:type="paragraph" w:styleId="BalloonText">
    <w:name w:val="Balloon Text"/>
    <w:basedOn w:val="Normal"/>
    <w:link w:val="BalloonTextChar"/>
    <w:uiPriority w:val="99"/>
    <w:semiHidden/>
    <w:rsid w:val="004510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787"/>
    <w:rPr>
      <w:rFonts w:cs="Times New Roman"/>
      <w:sz w:val="2"/>
    </w:rPr>
  </w:style>
  <w:style w:type="character" w:styleId="CommentReference">
    <w:name w:val="annotation reference"/>
    <w:basedOn w:val="DefaultParagraphFont"/>
    <w:uiPriority w:val="99"/>
    <w:rsid w:val="00690B10"/>
    <w:rPr>
      <w:rFonts w:cs="Times New Roman"/>
      <w:sz w:val="16"/>
      <w:szCs w:val="16"/>
    </w:rPr>
  </w:style>
  <w:style w:type="paragraph" w:styleId="CommentText">
    <w:name w:val="annotation text"/>
    <w:basedOn w:val="Normal"/>
    <w:link w:val="CommentTextChar"/>
    <w:uiPriority w:val="99"/>
    <w:rsid w:val="00690B10"/>
    <w:rPr>
      <w:sz w:val="20"/>
      <w:szCs w:val="20"/>
    </w:rPr>
  </w:style>
  <w:style w:type="character" w:customStyle="1" w:styleId="CommentTextChar">
    <w:name w:val="Comment Text Char"/>
    <w:basedOn w:val="DefaultParagraphFont"/>
    <w:link w:val="CommentText"/>
    <w:uiPriority w:val="99"/>
    <w:locked/>
    <w:rsid w:val="00690B10"/>
    <w:rPr>
      <w:rFonts w:cs="Times New Roman"/>
    </w:rPr>
  </w:style>
  <w:style w:type="paragraph" w:styleId="CommentSubject">
    <w:name w:val="annotation subject"/>
    <w:basedOn w:val="CommentText"/>
    <w:next w:val="CommentText"/>
    <w:link w:val="CommentSubjectChar"/>
    <w:uiPriority w:val="99"/>
    <w:rsid w:val="00690B10"/>
    <w:rPr>
      <w:b/>
      <w:bCs/>
    </w:rPr>
  </w:style>
  <w:style w:type="character" w:customStyle="1" w:styleId="CommentSubjectChar">
    <w:name w:val="Comment Subject Char"/>
    <w:basedOn w:val="CommentTextChar"/>
    <w:link w:val="CommentSubject"/>
    <w:uiPriority w:val="99"/>
    <w:locked/>
    <w:rsid w:val="00690B10"/>
    <w:rPr>
      <w:rFonts w:cs="Times New Roman"/>
      <w:b/>
      <w:bCs/>
    </w:rPr>
  </w:style>
  <w:style w:type="paragraph" w:styleId="ListParagraph">
    <w:name w:val="List Paragraph"/>
    <w:basedOn w:val="Normal"/>
    <w:uiPriority w:val="99"/>
    <w:qFormat/>
    <w:rsid w:val="00CC1DCF"/>
    <w:pPr>
      <w:ind w:left="720"/>
      <w:contextualSpacing/>
    </w:pPr>
  </w:style>
  <w:style w:type="character" w:styleId="Hyperlink">
    <w:name w:val="Hyperlink"/>
    <w:basedOn w:val="DefaultParagraphFont"/>
    <w:uiPriority w:val="99"/>
    <w:rsid w:val="002E7AD8"/>
    <w:rPr>
      <w:rFonts w:cs="Times New Roman"/>
      <w:color w:val="0000FF"/>
      <w:u w:val="single"/>
    </w:rPr>
  </w:style>
  <w:style w:type="paragraph" w:styleId="NormalWeb">
    <w:name w:val="Normal (Web)"/>
    <w:basedOn w:val="Normal"/>
    <w:uiPriority w:val="99"/>
    <w:semiHidden/>
    <w:rsid w:val="007E16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04592">
      <w:marLeft w:val="0"/>
      <w:marRight w:val="0"/>
      <w:marTop w:val="0"/>
      <w:marBottom w:val="0"/>
      <w:divBdr>
        <w:top w:val="none" w:sz="0" w:space="0" w:color="auto"/>
        <w:left w:val="none" w:sz="0" w:space="0" w:color="auto"/>
        <w:bottom w:val="none" w:sz="0" w:space="0" w:color="auto"/>
        <w:right w:val="none" w:sz="0" w:space="0" w:color="auto"/>
      </w:divBdr>
    </w:div>
    <w:div w:id="1545604595">
      <w:marLeft w:val="0"/>
      <w:marRight w:val="0"/>
      <w:marTop w:val="0"/>
      <w:marBottom w:val="0"/>
      <w:divBdr>
        <w:top w:val="none" w:sz="0" w:space="0" w:color="auto"/>
        <w:left w:val="none" w:sz="0" w:space="0" w:color="auto"/>
        <w:bottom w:val="none" w:sz="0" w:space="0" w:color="auto"/>
        <w:right w:val="none" w:sz="0" w:space="0" w:color="auto"/>
      </w:divBdr>
      <w:divsChild>
        <w:div w:id="1545604593">
          <w:marLeft w:val="0"/>
          <w:marRight w:val="0"/>
          <w:marTop w:val="0"/>
          <w:marBottom w:val="0"/>
          <w:divBdr>
            <w:top w:val="none" w:sz="0" w:space="0" w:color="auto"/>
            <w:left w:val="none" w:sz="0" w:space="0" w:color="auto"/>
            <w:bottom w:val="none" w:sz="0" w:space="0" w:color="auto"/>
            <w:right w:val="none" w:sz="0" w:space="0" w:color="auto"/>
          </w:divBdr>
        </w:div>
        <w:div w:id="1545604598">
          <w:marLeft w:val="0"/>
          <w:marRight w:val="0"/>
          <w:marTop w:val="0"/>
          <w:marBottom w:val="0"/>
          <w:divBdr>
            <w:top w:val="none" w:sz="0" w:space="0" w:color="auto"/>
            <w:left w:val="none" w:sz="0" w:space="0" w:color="auto"/>
            <w:bottom w:val="none" w:sz="0" w:space="0" w:color="auto"/>
            <w:right w:val="none" w:sz="0" w:space="0" w:color="auto"/>
          </w:divBdr>
        </w:div>
        <w:div w:id="1545604601">
          <w:marLeft w:val="0"/>
          <w:marRight w:val="0"/>
          <w:marTop w:val="0"/>
          <w:marBottom w:val="0"/>
          <w:divBdr>
            <w:top w:val="none" w:sz="0" w:space="0" w:color="auto"/>
            <w:left w:val="none" w:sz="0" w:space="0" w:color="auto"/>
            <w:bottom w:val="none" w:sz="0" w:space="0" w:color="auto"/>
            <w:right w:val="none" w:sz="0" w:space="0" w:color="auto"/>
          </w:divBdr>
        </w:div>
        <w:div w:id="1545604602">
          <w:marLeft w:val="0"/>
          <w:marRight w:val="0"/>
          <w:marTop w:val="0"/>
          <w:marBottom w:val="0"/>
          <w:divBdr>
            <w:top w:val="none" w:sz="0" w:space="0" w:color="auto"/>
            <w:left w:val="none" w:sz="0" w:space="0" w:color="auto"/>
            <w:bottom w:val="none" w:sz="0" w:space="0" w:color="auto"/>
            <w:right w:val="none" w:sz="0" w:space="0" w:color="auto"/>
          </w:divBdr>
        </w:div>
        <w:div w:id="1545604603">
          <w:marLeft w:val="0"/>
          <w:marRight w:val="0"/>
          <w:marTop w:val="0"/>
          <w:marBottom w:val="0"/>
          <w:divBdr>
            <w:top w:val="none" w:sz="0" w:space="0" w:color="auto"/>
            <w:left w:val="none" w:sz="0" w:space="0" w:color="auto"/>
            <w:bottom w:val="none" w:sz="0" w:space="0" w:color="auto"/>
            <w:right w:val="none" w:sz="0" w:space="0" w:color="auto"/>
          </w:divBdr>
        </w:div>
        <w:div w:id="1545604604">
          <w:marLeft w:val="0"/>
          <w:marRight w:val="0"/>
          <w:marTop w:val="0"/>
          <w:marBottom w:val="0"/>
          <w:divBdr>
            <w:top w:val="none" w:sz="0" w:space="0" w:color="auto"/>
            <w:left w:val="none" w:sz="0" w:space="0" w:color="auto"/>
            <w:bottom w:val="none" w:sz="0" w:space="0" w:color="auto"/>
            <w:right w:val="none" w:sz="0" w:space="0" w:color="auto"/>
          </w:divBdr>
        </w:div>
        <w:div w:id="1545604605">
          <w:marLeft w:val="0"/>
          <w:marRight w:val="0"/>
          <w:marTop w:val="0"/>
          <w:marBottom w:val="0"/>
          <w:divBdr>
            <w:top w:val="none" w:sz="0" w:space="0" w:color="auto"/>
            <w:left w:val="none" w:sz="0" w:space="0" w:color="auto"/>
            <w:bottom w:val="none" w:sz="0" w:space="0" w:color="auto"/>
            <w:right w:val="none" w:sz="0" w:space="0" w:color="auto"/>
          </w:divBdr>
        </w:div>
        <w:div w:id="1545604606">
          <w:marLeft w:val="0"/>
          <w:marRight w:val="0"/>
          <w:marTop w:val="0"/>
          <w:marBottom w:val="0"/>
          <w:divBdr>
            <w:top w:val="none" w:sz="0" w:space="0" w:color="auto"/>
            <w:left w:val="none" w:sz="0" w:space="0" w:color="auto"/>
            <w:bottom w:val="none" w:sz="0" w:space="0" w:color="auto"/>
            <w:right w:val="none" w:sz="0" w:space="0" w:color="auto"/>
          </w:divBdr>
        </w:div>
        <w:div w:id="1545604607">
          <w:marLeft w:val="0"/>
          <w:marRight w:val="0"/>
          <w:marTop w:val="0"/>
          <w:marBottom w:val="0"/>
          <w:divBdr>
            <w:top w:val="none" w:sz="0" w:space="0" w:color="auto"/>
            <w:left w:val="none" w:sz="0" w:space="0" w:color="auto"/>
            <w:bottom w:val="none" w:sz="0" w:space="0" w:color="auto"/>
            <w:right w:val="none" w:sz="0" w:space="0" w:color="auto"/>
          </w:divBdr>
        </w:div>
        <w:div w:id="1545604608">
          <w:marLeft w:val="0"/>
          <w:marRight w:val="0"/>
          <w:marTop w:val="0"/>
          <w:marBottom w:val="0"/>
          <w:divBdr>
            <w:top w:val="none" w:sz="0" w:space="0" w:color="auto"/>
            <w:left w:val="none" w:sz="0" w:space="0" w:color="auto"/>
            <w:bottom w:val="none" w:sz="0" w:space="0" w:color="auto"/>
            <w:right w:val="none" w:sz="0" w:space="0" w:color="auto"/>
          </w:divBdr>
        </w:div>
      </w:divsChild>
    </w:div>
    <w:div w:id="1545604599">
      <w:marLeft w:val="0"/>
      <w:marRight w:val="0"/>
      <w:marTop w:val="0"/>
      <w:marBottom w:val="0"/>
      <w:divBdr>
        <w:top w:val="none" w:sz="0" w:space="0" w:color="auto"/>
        <w:left w:val="none" w:sz="0" w:space="0" w:color="auto"/>
        <w:bottom w:val="none" w:sz="0" w:space="0" w:color="auto"/>
        <w:right w:val="none" w:sz="0" w:space="0" w:color="auto"/>
      </w:divBdr>
      <w:divsChild>
        <w:div w:id="1545604594">
          <w:marLeft w:val="0"/>
          <w:marRight w:val="0"/>
          <w:marTop w:val="0"/>
          <w:marBottom w:val="0"/>
          <w:divBdr>
            <w:top w:val="none" w:sz="0" w:space="0" w:color="auto"/>
            <w:left w:val="none" w:sz="0" w:space="0" w:color="auto"/>
            <w:bottom w:val="none" w:sz="0" w:space="0" w:color="auto"/>
            <w:right w:val="none" w:sz="0" w:space="0" w:color="auto"/>
          </w:divBdr>
        </w:div>
        <w:div w:id="1545604596">
          <w:marLeft w:val="0"/>
          <w:marRight w:val="0"/>
          <w:marTop w:val="0"/>
          <w:marBottom w:val="0"/>
          <w:divBdr>
            <w:top w:val="none" w:sz="0" w:space="0" w:color="auto"/>
            <w:left w:val="none" w:sz="0" w:space="0" w:color="auto"/>
            <w:bottom w:val="none" w:sz="0" w:space="0" w:color="auto"/>
            <w:right w:val="none" w:sz="0" w:space="0" w:color="auto"/>
          </w:divBdr>
        </w:div>
        <w:div w:id="1545604597">
          <w:marLeft w:val="0"/>
          <w:marRight w:val="0"/>
          <w:marTop w:val="0"/>
          <w:marBottom w:val="0"/>
          <w:divBdr>
            <w:top w:val="none" w:sz="0" w:space="0" w:color="auto"/>
            <w:left w:val="none" w:sz="0" w:space="0" w:color="auto"/>
            <w:bottom w:val="none" w:sz="0" w:space="0" w:color="auto"/>
            <w:right w:val="none" w:sz="0" w:space="0" w:color="auto"/>
          </w:divBdr>
        </w:div>
        <w:div w:id="1545604600">
          <w:marLeft w:val="0"/>
          <w:marRight w:val="0"/>
          <w:marTop w:val="0"/>
          <w:marBottom w:val="0"/>
          <w:divBdr>
            <w:top w:val="none" w:sz="0" w:space="0" w:color="auto"/>
            <w:left w:val="none" w:sz="0" w:space="0" w:color="auto"/>
            <w:bottom w:val="none" w:sz="0" w:space="0" w:color="auto"/>
            <w:right w:val="none" w:sz="0" w:space="0" w:color="auto"/>
          </w:divBdr>
        </w:div>
        <w:div w:id="154560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B577-4622-4E5F-99C1-27820D80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F850EF5D.dotm</Template>
  <TotalTime>0</TotalTime>
  <Pages>3</Pages>
  <Words>965</Words>
  <Characters>5100</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Youth Services</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jkern</dc:creator>
  <cp:lastModifiedBy>EOHHS</cp:lastModifiedBy>
  <cp:revision>2</cp:revision>
  <cp:lastPrinted>2016-11-17T19:16:00Z</cp:lastPrinted>
  <dcterms:created xsi:type="dcterms:W3CDTF">2017-01-10T16:34:00Z</dcterms:created>
  <dcterms:modified xsi:type="dcterms:W3CDTF">2017-01-10T16:34:00Z</dcterms:modified>
</cp:coreProperties>
</file>