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8B1" w:rsidRDefault="001908B1" w:rsidP="001908B1">
      <w:pPr>
        <w:jc w:val="center"/>
        <w:rPr>
          <w:b/>
          <w:bCs/>
        </w:rPr>
      </w:pPr>
      <w:smartTag w:uri="urn:schemas-microsoft-com:office:smarttags" w:element="place">
        <w:smartTag w:uri="urn:schemas-microsoft-com:office:smarttags" w:element="PlaceType">
          <w:r>
            <w:rPr>
              <w:b/>
              <w:bCs/>
            </w:rPr>
            <w:t>COMMONWEALTH</w:t>
          </w:r>
        </w:smartTag>
        <w:r>
          <w:rPr>
            <w:b/>
            <w:bCs/>
          </w:rPr>
          <w:t xml:space="preserve"> OF </w:t>
        </w:r>
        <w:smartTag w:uri="urn:schemas-microsoft-com:office:smarttags" w:element="PlaceName">
          <w:r>
            <w:rPr>
              <w:b/>
              <w:bCs/>
            </w:rPr>
            <w:t>MASSACHUSETTS</w:t>
          </w:r>
        </w:smartTag>
      </w:smartTag>
    </w:p>
    <w:p w:rsidR="001908B1" w:rsidRDefault="001908B1" w:rsidP="001908B1">
      <w:pPr>
        <w:jc w:val="center"/>
        <w:rPr>
          <w:b/>
          <w:bCs/>
        </w:rPr>
      </w:pPr>
      <w:smartTag w:uri="urn:schemas-microsoft-com:office:smarttags" w:element="place">
        <w:smartTag w:uri="urn:schemas-microsoft-com:office:smarttags" w:element="PlaceType">
          <w:r>
            <w:rPr>
              <w:b/>
              <w:bCs/>
            </w:rPr>
            <w:t>State</w:t>
          </w:r>
        </w:smartTag>
        <w:r>
          <w:rPr>
            <w:b/>
            <w:bCs/>
          </w:rPr>
          <w:t xml:space="preserve"> </w:t>
        </w:r>
        <w:smartTag w:uri="urn:schemas-microsoft-com:office:smarttags" w:element="PlaceType">
          <w:r>
            <w:rPr>
              <w:b/>
              <w:bCs/>
            </w:rPr>
            <w:t>Building</w:t>
          </w:r>
        </w:smartTag>
      </w:smartTag>
      <w:r>
        <w:rPr>
          <w:b/>
          <w:bCs/>
        </w:rPr>
        <w:t xml:space="preserve"> Code (780 CMR) Appeals Board</w:t>
      </w:r>
    </w:p>
    <w:p w:rsidR="001908B1" w:rsidRPr="001F555B" w:rsidRDefault="001908B1" w:rsidP="001908B1">
      <w:pPr>
        <w:jc w:val="center"/>
        <w:rPr>
          <w:b/>
          <w:bCs/>
          <w:sz w:val="32"/>
          <w:szCs w:val="32"/>
        </w:rPr>
      </w:pPr>
      <w:r>
        <w:rPr>
          <w:b/>
          <w:bCs/>
          <w:sz w:val="32"/>
          <w:szCs w:val="32"/>
          <w:u w:val="single"/>
        </w:rPr>
        <w:t>Board’s Ruling on Appeal</w:t>
      </w:r>
      <w:r>
        <w:rPr>
          <w:rStyle w:val="FootnoteReference"/>
          <w:b/>
          <w:bCs/>
          <w:sz w:val="32"/>
          <w:szCs w:val="32"/>
          <w:u w:val="single"/>
        </w:rPr>
        <w:footnoteReference w:id="2"/>
      </w:r>
    </w:p>
    <w:p w:rsidR="001908B1" w:rsidRPr="00283406" w:rsidRDefault="001908B1" w:rsidP="001908B1">
      <w:pPr>
        <w:rPr>
          <w:b/>
          <w:bCs/>
        </w:rPr>
      </w:pPr>
    </w:p>
    <w:p w:rsidR="001908B1" w:rsidRPr="00283406" w:rsidRDefault="001908B1" w:rsidP="001908B1">
      <w:pPr>
        <w:spacing w:line="360" w:lineRule="auto"/>
        <w:rPr>
          <w:b/>
          <w:bCs/>
        </w:rPr>
      </w:pPr>
      <w:r w:rsidRPr="00283406">
        <w:rPr>
          <w:b/>
          <w:bCs/>
        </w:rPr>
        <w:t xml:space="preserve">Docket No. </w:t>
      </w:r>
      <w:r>
        <w:rPr>
          <w:b/>
          <w:bCs/>
        </w:rPr>
        <w:t>10-838</w:t>
      </w:r>
      <w:r w:rsidRPr="00283406">
        <w:rPr>
          <w:b/>
          <w:bCs/>
        </w:rPr>
        <w:tab/>
      </w:r>
      <w:r w:rsidRPr="00283406">
        <w:rPr>
          <w:b/>
          <w:bCs/>
        </w:rPr>
        <w:tab/>
      </w:r>
      <w:r w:rsidRPr="00283406">
        <w:rPr>
          <w:b/>
          <w:bCs/>
        </w:rPr>
        <w:tab/>
      </w:r>
      <w:r w:rsidRPr="00283406">
        <w:rPr>
          <w:b/>
          <w:bCs/>
        </w:rPr>
        <w:tab/>
      </w:r>
      <w:r w:rsidRPr="00283406">
        <w:rPr>
          <w:b/>
          <w:bCs/>
        </w:rPr>
        <w:tab/>
        <w:t xml:space="preserve">           </w:t>
      </w:r>
    </w:p>
    <w:p w:rsidR="001908B1" w:rsidRPr="00283406" w:rsidRDefault="001908B1" w:rsidP="001908B1">
      <w:pPr>
        <w:spacing w:line="360" w:lineRule="auto"/>
        <w:ind w:left="4320" w:hanging="4320"/>
        <w:rPr>
          <w:color w:val="FF0000"/>
        </w:rPr>
      </w:pP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rPr>
          <w:b/>
          <w:bCs/>
        </w:rPr>
        <w:softHyphen/>
      </w:r>
      <w:r w:rsidRPr="00283406">
        <w:t xml:space="preserve">Appellant(s): </w:t>
      </w:r>
      <w:r>
        <w:t>Steven Steinberg</w:t>
      </w:r>
      <w:r w:rsidRPr="00283406">
        <w:tab/>
        <w:t xml:space="preserve">vs. </w:t>
      </w:r>
      <w:r w:rsidRPr="00283406">
        <w:tab/>
        <w:t xml:space="preserve">Appellee(s):City/Town </w:t>
      </w:r>
      <w:r>
        <w:t xml:space="preserve">of </w:t>
      </w:r>
      <w:smartTag w:uri="urn:schemas-microsoft-com:office:smarttags" w:element="place">
        <w:smartTag w:uri="urn:schemas-microsoft-com:office:smarttags" w:element="City">
          <w:r>
            <w:t>Acton</w:t>
          </w:r>
        </w:smartTag>
      </w:smartTag>
    </w:p>
    <w:p w:rsidR="001908B1" w:rsidRPr="00283406" w:rsidRDefault="001908B1" w:rsidP="001908B1">
      <w:pPr>
        <w:spacing w:line="360" w:lineRule="auto"/>
        <w:ind w:left="4320" w:hanging="4320"/>
        <w:rPr>
          <w:b/>
          <w:bCs/>
        </w:rPr>
      </w:pPr>
      <w:r w:rsidRPr="00283406">
        <w:rPr>
          <w:color w:val="FF0000"/>
        </w:rPr>
        <w:t xml:space="preserve">    </w:t>
      </w:r>
      <w:r w:rsidRPr="00283406">
        <w:rPr>
          <w:color w:val="FF0000"/>
        </w:rPr>
        <w:tab/>
      </w:r>
      <w:r w:rsidRPr="00283406">
        <w:rPr>
          <w:color w:val="FF0000"/>
        </w:rPr>
        <w:tab/>
      </w:r>
      <w:r w:rsidRPr="00283406">
        <w:rPr>
          <w:color w:val="FF0000"/>
        </w:rPr>
        <w:tab/>
      </w:r>
      <w:r w:rsidRPr="001F555B">
        <w:t>Building Official</w:t>
      </w:r>
      <w:r>
        <w:t xml:space="preserve"> Frank Ramsbottom</w:t>
      </w:r>
    </w:p>
    <w:p w:rsidR="001908B1" w:rsidRPr="00283406" w:rsidRDefault="001908B1" w:rsidP="001908B1">
      <w:pPr>
        <w:jc w:val="center"/>
        <w:rPr>
          <w:b/>
          <w:bCs/>
          <w:sz w:val="26"/>
          <w:szCs w:val="26"/>
          <w:u w:val="single"/>
        </w:rPr>
      </w:pPr>
    </w:p>
    <w:p w:rsidR="001908B1" w:rsidRPr="00283406" w:rsidRDefault="001908B1" w:rsidP="001908B1">
      <w:pPr>
        <w:jc w:val="center"/>
        <w:rPr>
          <w:b/>
          <w:bCs/>
          <w:sz w:val="26"/>
          <w:szCs w:val="26"/>
          <w:u w:val="single"/>
        </w:rPr>
      </w:pPr>
      <w:r w:rsidRPr="00283406">
        <w:rPr>
          <w:b/>
          <w:bCs/>
          <w:sz w:val="26"/>
          <w:szCs w:val="26"/>
          <w:u w:val="single"/>
        </w:rPr>
        <w:t>Procedural History</w:t>
      </w:r>
    </w:p>
    <w:p w:rsidR="001908B1" w:rsidRPr="00283406" w:rsidRDefault="001908B1" w:rsidP="001908B1">
      <w:pPr>
        <w:jc w:val="center"/>
        <w:rPr>
          <w:b/>
          <w:bCs/>
          <w:sz w:val="26"/>
          <w:szCs w:val="26"/>
          <w:u w:val="single"/>
        </w:rPr>
      </w:pPr>
    </w:p>
    <w:p w:rsidR="001908B1" w:rsidRDefault="001908B1" w:rsidP="001908B1">
      <w:pPr>
        <w:spacing w:line="360" w:lineRule="auto"/>
        <w:ind w:firstLine="720"/>
        <w:rPr>
          <w:sz w:val="26"/>
          <w:szCs w:val="26"/>
        </w:rPr>
      </w:pPr>
      <w:r w:rsidRPr="00283406">
        <w:rPr>
          <w:sz w:val="26"/>
          <w:szCs w:val="26"/>
        </w:rPr>
        <w:tab/>
        <w:t xml:space="preserve">This matter came before the State Building Code Appeals Board (“Board”) on the Appellant’s appeal filed pursuant to 780 CMR 122.1.  In accordance with </w:t>
      </w:r>
      <w:r w:rsidRPr="006116C4">
        <w:rPr>
          <w:sz w:val="26"/>
          <w:szCs w:val="26"/>
        </w:rPr>
        <w:t>780 CMR 122.3,</w:t>
      </w:r>
      <w:r w:rsidRPr="00283406">
        <w:rPr>
          <w:sz w:val="26"/>
          <w:szCs w:val="26"/>
        </w:rPr>
        <w:t xml:space="preserve"> the Appellant requested that the Board grant a variance </w:t>
      </w:r>
      <w:r w:rsidR="0042565E">
        <w:rPr>
          <w:sz w:val="26"/>
          <w:szCs w:val="26"/>
        </w:rPr>
        <w:t>from the 7</w:t>
      </w:r>
      <w:r w:rsidRPr="006116C4">
        <w:rPr>
          <w:sz w:val="26"/>
          <w:szCs w:val="26"/>
          <w:vertAlign w:val="superscript"/>
        </w:rPr>
        <w:t>th</w:t>
      </w:r>
      <w:r w:rsidRPr="006116C4">
        <w:rPr>
          <w:sz w:val="26"/>
          <w:szCs w:val="26"/>
        </w:rPr>
        <w:t xml:space="preserve"> Edition </w:t>
      </w:r>
      <w:r w:rsidRPr="0042565E">
        <w:rPr>
          <w:sz w:val="26"/>
          <w:szCs w:val="26"/>
        </w:rPr>
        <w:t xml:space="preserve">of </w:t>
      </w:r>
      <w:r w:rsidR="0042565E" w:rsidRPr="0042565E">
        <w:rPr>
          <w:sz w:val="26"/>
          <w:szCs w:val="26"/>
        </w:rPr>
        <w:t>780 CMR 1208.2</w:t>
      </w:r>
      <w:r w:rsidRPr="0042565E">
        <w:rPr>
          <w:sz w:val="16"/>
          <w:szCs w:val="16"/>
        </w:rPr>
        <w:t xml:space="preserve"> </w:t>
      </w:r>
      <w:r w:rsidRPr="0042565E">
        <w:rPr>
          <w:sz w:val="26"/>
          <w:szCs w:val="26"/>
        </w:rPr>
        <w:t>fo</w:t>
      </w:r>
      <w:r w:rsidRPr="006116C4">
        <w:rPr>
          <w:sz w:val="26"/>
          <w:szCs w:val="26"/>
        </w:rPr>
        <w:t xml:space="preserve">r the property at </w:t>
      </w:r>
      <w:smartTag w:uri="urn:schemas-microsoft-com:office:smarttags" w:element="address">
        <w:smartTag w:uri="urn:schemas-microsoft-com:office:smarttags" w:element="Street">
          <w:r>
            <w:rPr>
              <w:sz w:val="26"/>
              <w:szCs w:val="26"/>
            </w:rPr>
            <w:t>87 Great Road</w:t>
          </w:r>
        </w:smartTag>
        <w:r>
          <w:rPr>
            <w:sz w:val="26"/>
            <w:szCs w:val="26"/>
          </w:rPr>
          <w:t xml:space="preserve">, </w:t>
        </w:r>
        <w:smartTag w:uri="urn:schemas-microsoft-com:office:smarttags" w:element="City">
          <w:r>
            <w:rPr>
              <w:sz w:val="26"/>
              <w:szCs w:val="26"/>
            </w:rPr>
            <w:t>Acton</w:t>
          </w:r>
        </w:smartTag>
        <w:r w:rsidRPr="006116C4">
          <w:rPr>
            <w:sz w:val="26"/>
            <w:szCs w:val="26"/>
          </w:rPr>
          <w:t>,</w:t>
        </w:r>
        <w:r w:rsidRPr="00283406">
          <w:rPr>
            <w:color w:val="FF0000"/>
            <w:sz w:val="26"/>
            <w:szCs w:val="26"/>
          </w:rPr>
          <w:t xml:space="preserve"> </w:t>
        </w:r>
        <w:smartTag w:uri="urn:schemas-microsoft-com:office:smarttags" w:element="State">
          <w:r w:rsidRPr="00283406">
            <w:rPr>
              <w:sz w:val="26"/>
              <w:szCs w:val="26"/>
            </w:rPr>
            <w:t>MA</w:t>
          </w:r>
        </w:smartTag>
      </w:smartTag>
      <w:r w:rsidRPr="00283406">
        <w:rPr>
          <w:sz w:val="26"/>
          <w:szCs w:val="26"/>
        </w:rPr>
        <w:t>.</w:t>
      </w:r>
      <w:r w:rsidRPr="00283406">
        <w:rPr>
          <w:color w:val="FF0000"/>
          <w:sz w:val="26"/>
          <w:szCs w:val="26"/>
        </w:rPr>
        <w:t xml:space="preserve"> </w:t>
      </w:r>
      <w:r w:rsidRPr="00283406">
        <w:rPr>
          <w:sz w:val="26"/>
          <w:szCs w:val="26"/>
        </w:rPr>
        <w:t xml:space="preserve"> In accordance with </w:t>
      </w:r>
      <w:r>
        <w:rPr>
          <w:sz w:val="26"/>
          <w:szCs w:val="26"/>
        </w:rPr>
        <w:t>M.</w:t>
      </w:r>
      <w:r w:rsidRPr="00283406">
        <w:rPr>
          <w:sz w:val="26"/>
          <w:szCs w:val="26"/>
        </w:rPr>
        <w:t>G</w:t>
      </w:r>
      <w:r>
        <w:rPr>
          <w:sz w:val="26"/>
          <w:szCs w:val="26"/>
        </w:rPr>
        <w:t>.</w:t>
      </w:r>
      <w:r w:rsidRPr="00283406">
        <w:rPr>
          <w:sz w:val="26"/>
          <w:szCs w:val="26"/>
        </w:rPr>
        <w:t>L</w:t>
      </w:r>
      <w:r>
        <w:rPr>
          <w:sz w:val="26"/>
          <w:szCs w:val="26"/>
        </w:rPr>
        <w:t>.</w:t>
      </w:r>
      <w:r w:rsidRPr="00283406">
        <w:rPr>
          <w:sz w:val="26"/>
          <w:szCs w:val="26"/>
        </w:rPr>
        <w:t xml:space="preserve"> c. 30A, §§10 &amp; 11; </w:t>
      </w:r>
      <w:r>
        <w:rPr>
          <w:sz w:val="26"/>
          <w:szCs w:val="26"/>
        </w:rPr>
        <w:t>M.</w:t>
      </w:r>
      <w:r w:rsidRPr="00283406">
        <w:rPr>
          <w:sz w:val="26"/>
          <w:szCs w:val="26"/>
        </w:rPr>
        <w:t>G</w:t>
      </w:r>
      <w:r>
        <w:rPr>
          <w:sz w:val="26"/>
          <w:szCs w:val="26"/>
        </w:rPr>
        <w:t>.</w:t>
      </w:r>
      <w:r w:rsidRPr="00283406">
        <w:rPr>
          <w:sz w:val="26"/>
          <w:szCs w:val="26"/>
        </w:rPr>
        <w:t>L</w:t>
      </w:r>
      <w:r>
        <w:rPr>
          <w:sz w:val="26"/>
          <w:szCs w:val="26"/>
        </w:rPr>
        <w:t>.</w:t>
      </w:r>
      <w:r w:rsidR="00D639D4">
        <w:rPr>
          <w:sz w:val="26"/>
          <w:szCs w:val="26"/>
        </w:rPr>
        <w:t xml:space="preserve"> c. 143, §100</w:t>
      </w:r>
      <w:r w:rsidRPr="00283406">
        <w:rPr>
          <w:sz w:val="26"/>
          <w:szCs w:val="26"/>
        </w:rPr>
        <w:t xml:space="preserve">; 801 CMR 1.02 </w:t>
      </w:r>
      <w:r w:rsidRPr="00283406">
        <w:rPr>
          <w:i/>
          <w:iCs/>
          <w:sz w:val="26"/>
          <w:szCs w:val="26"/>
        </w:rPr>
        <w:t>et. seq.;</w:t>
      </w:r>
      <w:r w:rsidRPr="00283406">
        <w:rPr>
          <w:sz w:val="26"/>
          <w:szCs w:val="26"/>
        </w:rPr>
        <w:t xml:space="preserve"> and 780 CMR 122.3.4, the Board convened a public hearing on</w:t>
      </w:r>
      <w:r>
        <w:rPr>
          <w:sz w:val="26"/>
          <w:szCs w:val="26"/>
        </w:rPr>
        <w:t xml:space="preserve"> February 4, 2010</w:t>
      </w:r>
      <w:r>
        <w:rPr>
          <w:color w:val="FF0000"/>
          <w:sz w:val="16"/>
          <w:szCs w:val="16"/>
        </w:rPr>
        <w:t xml:space="preserve"> </w:t>
      </w:r>
      <w:r w:rsidRPr="00283406">
        <w:rPr>
          <w:sz w:val="26"/>
          <w:szCs w:val="26"/>
        </w:rPr>
        <w:t>where all interested parties were provided with an opportunity to testify and present evidence to the Board.</w:t>
      </w:r>
      <w:r>
        <w:rPr>
          <w:sz w:val="26"/>
          <w:szCs w:val="26"/>
        </w:rPr>
        <w:t xml:space="preserve">  </w:t>
      </w:r>
    </w:p>
    <w:p w:rsidR="001908B1" w:rsidRPr="00A60422" w:rsidRDefault="001908B1" w:rsidP="001908B1">
      <w:pPr>
        <w:spacing w:line="360" w:lineRule="auto"/>
        <w:ind w:firstLine="720"/>
        <w:rPr>
          <w:color w:val="FF0000"/>
          <w:sz w:val="16"/>
          <w:szCs w:val="16"/>
        </w:rPr>
      </w:pPr>
      <w:r>
        <w:rPr>
          <w:sz w:val="26"/>
          <w:szCs w:val="26"/>
        </w:rPr>
        <w:t>Steven Steinberg</w:t>
      </w:r>
      <w:r w:rsidR="00D639D4">
        <w:rPr>
          <w:sz w:val="26"/>
          <w:szCs w:val="26"/>
        </w:rPr>
        <w:t>, Frank Ramsbottom, E.J. Rempelakis, and Tracy Cronin</w:t>
      </w:r>
      <w:r w:rsidRPr="00283406">
        <w:rPr>
          <w:sz w:val="26"/>
          <w:szCs w:val="26"/>
        </w:rPr>
        <w:t xml:space="preserve"> </w:t>
      </w:r>
      <w:r w:rsidRPr="001F555B">
        <w:rPr>
          <w:sz w:val="26"/>
          <w:szCs w:val="26"/>
        </w:rPr>
        <w:t>appeared for the hearing as noted on the sign in sheet which is on file at the Department of Public Safety.</w:t>
      </w:r>
      <w:r w:rsidRPr="00283406">
        <w:rPr>
          <w:color w:val="FF0000"/>
          <w:sz w:val="26"/>
          <w:szCs w:val="26"/>
        </w:rPr>
        <w:t xml:space="preserve"> </w:t>
      </w:r>
    </w:p>
    <w:p w:rsidR="001908B1" w:rsidRPr="00283406" w:rsidRDefault="001908B1" w:rsidP="001908B1">
      <w:pPr>
        <w:spacing w:line="360" w:lineRule="auto"/>
        <w:jc w:val="center"/>
        <w:rPr>
          <w:sz w:val="26"/>
          <w:szCs w:val="26"/>
          <w:u w:val="single"/>
        </w:rPr>
      </w:pPr>
      <w:r w:rsidRPr="00283406">
        <w:rPr>
          <w:b/>
          <w:bCs/>
          <w:sz w:val="26"/>
          <w:szCs w:val="26"/>
          <w:u w:val="single"/>
        </w:rPr>
        <w:t>Discussion</w:t>
      </w:r>
    </w:p>
    <w:p w:rsidR="001908B1" w:rsidRPr="00077557" w:rsidRDefault="001908B1" w:rsidP="00077557">
      <w:pPr>
        <w:spacing w:line="360" w:lineRule="auto"/>
        <w:ind w:firstLine="720"/>
        <w:rPr>
          <w:sz w:val="26"/>
          <w:szCs w:val="26"/>
        </w:rPr>
      </w:pPr>
      <w:r w:rsidRPr="0042565E">
        <w:rPr>
          <w:sz w:val="26"/>
          <w:szCs w:val="26"/>
        </w:rPr>
        <w:t xml:space="preserve">A motion was made to grant the Appellant’s request for a variance from </w:t>
      </w:r>
      <w:r w:rsidR="0042565E" w:rsidRPr="0042565E">
        <w:rPr>
          <w:sz w:val="26"/>
          <w:szCs w:val="26"/>
        </w:rPr>
        <w:t>780 CMR 1208.2</w:t>
      </w:r>
      <w:r w:rsidR="0042565E">
        <w:rPr>
          <w:sz w:val="26"/>
          <w:szCs w:val="26"/>
        </w:rPr>
        <w:t>, with conditions</w:t>
      </w:r>
      <w:r w:rsidRPr="0042565E">
        <w:rPr>
          <w:sz w:val="26"/>
          <w:szCs w:val="26"/>
        </w:rPr>
        <w:t>.</w:t>
      </w:r>
      <w:r w:rsidR="0042565E">
        <w:rPr>
          <w:sz w:val="26"/>
          <w:szCs w:val="26"/>
        </w:rPr>
        <w:t xml:space="preserve">  Section 1208.2 of 780 CMR requires</w:t>
      </w:r>
      <w:r w:rsidR="00D639D4">
        <w:rPr>
          <w:sz w:val="26"/>
          <w:szCs w:val="26"/>
        </w:rPr>
        <w:t>, in pertinent part:</w:t>
      </w:r>
      <w:r w:rsidR="0042565E">
        <w:rPr>
          <w:sz w:val="26"/>
          <w:szCs w:val="26"/>
        </w:rPr>
        <w:t xml:space="preserve"> </w:t>
      </w:r>
      <w:r w:rsidR="00D639D4">
        <w:rPr>
          <w:sz w:val="26"/>
          <w:szCs w:val="26"/>
        </w:rPr>
        <w:t>“</w:t>
      </w:r>
      <w:r w:rsidR="0048017D">
        <w:rPr>
          <w:sz w:val="26"/>
          <w:szCs w:val="26"/>
        </w:rPr>
        <w:t>occupiable spaces</w:t>
      </w:r>
      <w:r w:rsidR="00D639D4">
        <w:rPr>
          <w:sz w:val="26"/>
          <w:szCs w:val="26"/>
        </w:rPr>
        <w:t xml:space="preserve">, habitable spaces and corridors shall have a ceiling height of not less than seven feet six inches (2286 mm).” </w:t>
      </w:r>
      <w:r w:rsidR="0048017D">
        <w:rPr>
          <w:sz w:val="26"/>
          <w:szCs w:val="26"/>
        </w:rPr>
        <w:t xml:space="preserve"> The Appellant requests a variance of this provision as he intends to add </w:t>
      </w:r>
      <w:r w:rsidR="00FA4F89">
        <w:rPr>
          <w:sz w:val="26"/>
          <w:szCs w:val="26"/>
        </w:rPr>
        <w:t xml:space="preserve">a storage area to an existing commercial space.  The property exists in a zoning district, </w:t>
      </w:r>
      <w:smartTag w:uri="urn:schemas-microsoft-com:office:smarttags" w:element="place">
        <w:smartTag w:uri="urn:schemas-microsoft-com:office:smarttags" w:element="PlaceName">
          <w:r w:rsidR="00FA4F89">
            <w:rPr>
              <w:sz w:val="26"/>
              <w:szCs w:val="26"/>
            </w:rPr>
            <w:t>East</w:t>
          </w:r>
        </w:smartTag>
        <w:r w:rsidR="00FA4F89">
          <w:rPr>
            <w:sz w:val="26"/>
            <w:szCs w:val="26"/>
          </w:rPr>
          <w:t xml:space="preserve"> </w:t>
        </w:r>
        <w:smartTag w:uri="urn:schemas-microsoft-com:office:smarttags" w:element="PlaceName">
          <w:r w:rsidR="00FA4F89">
            <w:rPr>
              <w:sz w:val="26"/>
              <w:szCs w:val="26"/>
            </w:rPr>
            <w:t>Acton</w:t>
          </w:r>
        </w:smartTag>
        <w:r w:rsidR="00FA4F89">
          <w:rPr>
            <w:sz w:val="26"/>
            <w:szCs w:val="26"/>
          </w:rPr>
          <w:t xml:space="preserve"> </w:t>
        </w:r>
        <w:smartTag w:uri="urn:schemas-microsoft-com:office:smarttags" w:element="PlaceType">
          <w:r w:rsidR="00FA4F89">
            <w:rPr>
              <w:sz w:val="26"/>
              <w:szCs w:val="26"/>
            </w:rPr>
            <w:t>Village</w:t>
          </w:r>
        </w:smartTag>
      </w:smartTag>
      <w:r w:rsidR="00FA4F89">
        <w:rPr>
          <w:sz w:val="26"/>
          <w:szCs w:val="26"/>
        </w:rPr>
        <w:t xml:space="preserve">, which requires that the storage addition ceiling height be less than six feet.  The storage addition’s plans, according to the Appellant, have been approved by </w:t>
      </w:r>
      <w:r w:rsidR="00D639D4">
        <w:rPr>
          <w:sz w:val="26"/>
          <w:szCs w:val="26"/>
        </w:rPr>
        <w:t>B</w:t>
      </w:r>
      <w:r w:rsidR="00FA4F89">
        <w:rPr>
          <w:sz w:val="26"/>
          <w:szCs w:val="26"/>
        </w:rPr>
        <w:t>oards</w:t>
      </w:r>
      <w:r w:rsidR="00D639D4">
        <w:rPr>
          <w:sz w:val="26"/>
          <w:szCs w:val="26"/>
        </w:rPr>
        <w:t xml:space="preserve"> with jurisdiction over the property</w:t>
      </w:r>
      <w:r w:rsidR="00FA4F89">
        <w:rPr>
          <w:sz w:val="26"/>
          <w:szCs w:val="26"/>
        </w:rPr>
        <w:t>.</w:t>
      </w:r>
      <w:r w:rsidR="00FA4F89">
        <w:rPr>
          <w:rStyle w:val="FootnoteReference"/>
          <w:sz w:val="26"/>
          <w:szCs w:val="26"/>
        </w:rPr>
        <w:footnoteReference w:id="3"/>
      </w:r>
      <w:r w:rsidR="00FA4F89">
        <w:rPr>
          <w:sz w:val="26"/>
          <w:szCs w:val="26"/>
        </w:rPr>
        <w:t xml:space="preserve">  The Appellant requests the variance based on the hardship that if he is required to comply with 780 CMR 1208.2</w:t>
      </w:r>
      <w:r w:rsidR="00D639D4">
        <w:rPr>
          <w:sz w:val="26"/>
          <w:szCs w:val="26"/>
        </w:rPr>
        <w:t>,</w:t>
      </w:r>
      <w:r w:rsidR="00FA4F89">
        <w:rPr>
          <w:sz w:val="26"/>
          <w:szCs w:val="26"/>
        </w:rPr>
        <w:t xml:space="preserve"> he will be in violation of the local zoning ordinance and will not be able to add the proposed storage space.  The motion to grant a variance of 780 CMR 1208.2 is contingent on the following conditions: 1) the second egress door must be installed with a minimum of thirty-six (36) inches, 2) signage must be added to any and all entrances to the mezzanine</w:t>
      </w:r>
      <w:r w:rsidR="00077557">
        <w:rPr>
          <w:sz w:val="26"/>
          <w:szCs w:val="26"/>
        </w:rPr>
        <w:t xml:space="preserve"> storage space</w:t>
      </w:r>
      <w:r w:rsidR="00FA4F89">
        <w:rPr>
          <w:sz w:val="26"/>
          <w:szCs w:val="26"/>
        </w:rPr>
        <w:t xml:space="preserve"> signifying this hazardous height, 3) </w:t>
      </w:r>
      <w:r w:rsidR="00077557">
        <w:rPr>
          <w:sz w:val="26"/>
          <w:szCs w:val="26"/>
        </w:rPr>
        <w:t xml:space="preserve">there must be </w:t>
      </w:r>
      <w:r w:rsidR="00FA4F89">
        <w:rPr>
          <w:sz w:val="26"/>
          <w:szCs w:val="26"/>
        </w:rPr>
        <w:t xml:space="preserve">recessed lights and wall fixtures, 4) storage must comply with NFPA 13 requirements, with an architect </w:t>
      </w:r>
      <w:r w:rsidR="00D639D4">
        <w:rPr>
          <w:sz w:val="26"/>
          <w:szCs w:val="26"/>
        </w:rPr>
        <w:t>making the</w:t>
      </w:r>
      <w:r w:rsidR="00FA4F89">
        <w:rPr>
          <w:sz w:val="26"/>
          <w:szCs w:val="26"/>
        </w:rPr>
        <w:t xml:space="preserve"> height determination, and 5) this space will be used for storage only, and if the use ever changes this variance will be null and void.</w:t>
      </w:r>
      <w:r w:rsidR="00077557">
        <w:rPr>
          <w:sz w:val="26"/>
          <w:szCs w:val="26"/>
        </w:rPr>
        <w:t xml:space="preserve"> </w:t>
      </w:r>
      <w:r w:rsidR="00077557" w:rsidRPr="00077557">
        <w:rPr>
          <w:sz w:val="26"/>
          <w:szCs w:val="26"/>
        </w:rPr>
        <w:t xml:space="preserve"> </w:t>
      </w:r>
      <w:r w:rsidRPr="00077557">
        <w:rPr>
          <w:sz w:val="26"/>
          <w:szCs w:val="26"/>
        </w:rPr>
        <w:t xml:space="preserve">There was a second on the motion and board vote was taken, which was unanimous. </w:t>
      </w:r>
    </w:p>
    <w:p w:rsidR="001908B1" w:rsidRDefault="001908B1" w:rsidP="001908B1">
      <w:pPr>
        <w:spacing w:line="360" w:lineRule="auto"/>
        <w:jc w:val="center"/>
        <w:rPr>
          <w:b/>
          <w:bCs/>
          <w:sz w:val="26"/>
          <w:szCs w:val="26"/>
          <w:u w:val="single"/>
        </w:rPr>
      </w:pPr>
      <w:r>
        <w:rPr>
          <w:b/>
          <w:bCs/>
          <w:sz w:val="26"/>
          <w:szCs w:val="26"/>
          <w:u w:val="single"/>
        </w:rPr>
        <w:t>Conclusion</w:t>
      </w:r>
    </w:p>
    <w:p w:rsidR="001908B1" w:rsidRPr="00BF19CF" w:rsidRDefault="001908B1" w:rsidP="001908B1">
      <w:pPr>
        <w:spacing w:line="360" w:lineRule="auto"/>
        <w:rPr>
          <w:sz w:val="26"/>
          <w:szCs w:val="26"/>
        </w:rPr>
      </w:pPr>
      <w:r>
        <w:rPr>
          <w:sz w:val="26"/>
          <w:szCs w:val="26"/>
        </w:rPr>
        <w:lastRenderedPageBreak/>
        <w:tab/>
        <w:t xml:space="preserve">The Appellant’s request for a variance from </w:t>
      </w:r>
      <w:r w:rsidR="0042565E" w:rsidRPr="0042565E">
        <w:rPr>
          <w:sz w:val="26"/>
          <w:szCs w:val="26"/>
        </w:rPr>
        <w:t>780 CMR 1208.2</w:t>
      </w:r>
      <w:r w:rsidRPr="006116C4">
        <w:rPr>
          <w:color w:val="FF0000"/>
          <w:sz w:val="26"/>
          <w:szCs w:val="26"/>
        </w:rPr>
        <w:t xml:space="preserve"> </w:t>
      </w:r>
      <w:r w:rsidRPr="0042565E">
        <w:rPr>
          <w:sz w:val="26"/>
          <w:szCs w:val="26"/>
        </w:rPr>
        <w:t xml:space="preserve">is hereby </w:t>
      </w:r>
      <w:r w:rsidRPr="00815F2A">
        <w:rPr>
          <w:b/>
          <w:sz w:val="26"/>
          <w:szCs w:val="26"/>
        </w:rPr>
        <w:t>granted</w:t>
      </w:r>
      <w:r w:rsidR="0042565E">
        <w:rPr>
          <w:sz w:val="26"/>
          <w:szCs w:val="26"/>
        </w:rPr>
        <w:t xml:space="preserve"> with the conditions noted,</w:t>
      </w:r>
      <w:r w:rsidRPr="0042565E">
        <w:rPr>
          <w:sz w:val="26"/>
          <w:szCs w:val="26"/>
        </w:rPr>
        <w:t xml:space="preserve"> </w:t>
      </w:r>
      <w:r>
        <w:rPr>
          <w:sz w:val="26"/>
          <w:szCs w:val="26"/>
        </w:rPr>
        <w:t>as described in the discussion above</w:t>
      </w:r>
      <w:r w:rsidR="0042565E">
        <w:rPr>
          <w:sz w:val="26"/>
          <w:szCs w:val="26"/>
        </w:rPr>
        <w:t>,</w:t>
      </w:r>
      <w:r>
        <w:rPr>
          <w:sz w:val="26"/>
          <w:szCs w:val="26"/>
        </w:rPr>
        <w:t xml:space="preserve"> and so ordered</w:t>
      </w:r>
      <w:r w:rsidR="003C56B9">
        <w:rPr>
          <w:sz w:val="26"/>
          <w:szCs w:val="26"/>
        </w:rPr>
        <w:t>.</w:t>
      </w:r>
      <w:r>
        <w:rPr>
          <w:rStyle w:val="FootnoteReference"/>
          <w:sz w:val="26"/>
          <w:szCs w:val="26"/>
        </w:rPr>
        <w:footnoteReference w:id="4"/>
      </w:r>
    </w:p>
    <w:p w:rsidR="001908B1" w:rsidRPr="00283406" w:rsidRDefault="001908B1" w:rsidP="001908B1">
      <w:pPr>
        <w:spacing w:line="360" w:lineRule="auto"/>
        <w:ind w:firstLine="720"/>
        <w:rPr>
          <w:b/>
          <w:bCs/>
          <w:noProof/>
          <w:sz w:val="26"/>
          <w:szCs w:val="26"/>
        </w:rPr>
      </w:pPr>
      <w:r w:rsidRPr="00283406">
        <w:rPr>
          <w:b/>
          <w:bCs/>
          <w:sz w:val="26"/>
          <w:szCs w:val="26"/>
        </w:rPr>
        <w:t xml:space="preserve">                                                                           </w:t>
      </w:r>
      <w:r w:rsidRPr="00283406">
        <w:rPr>
          <w:b/>
          <w:bCs/>
          <w:noProof/>
          <w:sz w:val="26"/>
          <w:szCs w:val="26"/>
        </w:rPr>
        <w:t xml:space="preserve"> </w:t>
      </w:r>
    </w:p>
    <w:p w:rsidR="001908B1" w:rsidRPr="00283406" w:rsidRDefault="001908B1" w:rsidP="00815F2A">
      <w:pPr>
        <w:spacing w:line="360" w:lineRule="auto"/>
        <w:rPr>
          <w:b/>
          <w:bCs/>
          <w:sz w:val="26"/>
          <w:szCs w:val="26"/>
        </w:rPr>
      </w:pPr>
      <w:r w:rsidRPr="00283406">
        <w:rPr>
          <w:b/>
          <w:bCs/>
          <w:sz w:val="26"/>
          <w:szCs w:val="26"/>
        </w:rPr>
        <w:t xml:space="preserve"> </w:t>
      </w:r>
      <w:r w:rsidR="00815F2A">
        <w:rPr>
          <w:b/>
          <w:bCs/>
          <w:noProof/>
          <w:sz w:val="26"/>
          <w:szCs w:val="26"/>
        </w:rPr>
        <w:drawing>
          <wp:inline distT="0" distB="0" distL="0" distR="0">
            <wp:extent cx="1419225" cy="447675"/>
            <wp:effectExtent l="19050" t="0" r="9525"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6"/>
                    <a:srcRect/>
                    <a:stretch>
                      <a:fillRect/>
                    </a:stretch>
                  </pic:blipFill>
                  <pic:spPr bwMode="auto">
                    <a:xfrm>
                      <a:off x="0" y="0"/>
                      <a:ext cx="1419225" cy="447675"/>
                    </a:xfrm>
                    <a:prstGeom prst="rect">
                      <a:avLst/>
                    </a:prstGeom>
                    <a:noFill/>
                    <a:ln w="9525">
                      <a:noFill/>
                      <a:miter lim="800000"/>
                      <a:headEnd/>
                      <a:tailEnd/>
                    </a:ln>
                  </pic:spPr>
                </pic:pic>
              </a:graphicData>
            </a:graphic>
          </wp:inline>
        </w:drawing>
      </w:r>
      <w:r w:rsidRPr="00283406">
        <w:rPr>
          <w:b/>
          <w:bCs/>
          <w:sz w:val="26"/>
          <w:szCs w:val="26"/>
        </w:rPr>
        <w:t xml:space="preserve">                                                              </w:t>
      </w:r>
      <w:r w:rsidR="00815F2A">
        <w:rPr>
          <w:b/>
          <w:bCs/>
          <w:sz w:val="26"/>
          <w:szCs w:val="26"/>
        </w:rPr>
        <w:t xml:space="preserve">     </w:t>
      </w:r>
      <w:r w:rsidRPr="00283406">
        <w:rPr>
          <w:b/>
          <w:bCs/>
          <w:sz w:val="26"/>
          <w:szCs w:val="26"/>
        </w:rPr>
        <w:t xml:space="preserve">  </w:t>
      </w:r>
      <w:r w:rsidR="00815F2A">
        <w:rPr>
          <w:b/>
          <w:bCs/>
          <w:noProof/>
          <w:sz w:val="26"/>
          <w:szCs w:val="26"/>
        </w:rPr>
        <w:drawing>
          <wp:inline distT="0" distB="0" distL="0" distR="0">
            <wp:extent cx="1409700" cy="390525"/>
            <wp:effectExtent l="19050" t="0" r="0" b="0"/>
            <wp:docPr id="6" name="Picture 6" descr="\\eps-fp-dps-001\pbarry$\Signatures\Stan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s-fp-dps-001\pbarry$\Signatures\Stanley.jpg"/>
                    <pic:cNvPicPr>
                      <a:picLocks noChangeAspect="1" noChangeArrowheads="1"/>
                    </pic:cNvPicPr>
                  </pic:nvPicPr>
                  <pic:blipFill>
                    <a:blip r:embed="rId7"/>
                    <a:srcRect/>
                    <a:stretch>
                      <a:fillRect/>
                    </a:stretch>
                  </pic:blipFill>
                  <pic:spPr bwMode="auto">
                    <a:xfrm>
                      <a:off x="0" y="0"/>
                      <a:ext cx="1409700" cy="390525"/>
                    </a:xfrm>
                    <a:prstGeom prst="rect">
                      <a:avLst/>
                    </a:prstGeom>
                    <a:noFill/>
                    <a:ln w="9525">
                      <a:noFill/>
                      <a:miter lim="800000"/>
                      <a:headEnd/>
                      <a:tailEnd/>
                    </a:ln>
                  </pic:spPr>
                </pic:pic>
              </a:graphicData>
            </a:graphic>
          </wp:inline>
        </w:drawing>
      </w:r>
      <w:r w:rsidRPr="00283406">
        <w:rPr>
          <w:b/>
          <w:bCs/>
          <w:sz w:val="26"/>
          <w:szCs w:val="26"/>
        </w:rPr>
        <w:t xml:space="preserve">                                                </w:t>
      </w:r>
    </w:p>
    <w:p w:rsidR="001908B1" w:rsidRPr="00CD51A9" w:rsidRDefault="001908B1" w:rsidP="001908B1">
      <w:pPr>
        <w:rPr>
          <w:sz w:val="26"/>
          <w:szCs w:val="26"/>
        </w:rPr>
      </w:pPr>
      <w:r w:rsidRPr="00CD51A9">
        <w:rPr>
          <w:b/>
          <w:bCs/>
          <w:sz w:val="26"/>
          <w:szCs w:val="26"/>
        </w:rPr>
        <w:t>________________________  _______________________  _______________________</w:t>
      </w:r>
      <w:r w:rsidRPr="00CD51A9">
        <w:rPr>
          <w:sz w:val="26"/>
          <w:szCs w:val="26"/>
        </w:rPr>
        <w:t xml:space="preserve">    </w:t>
      </w:r>
    </w:p>
    <w:p w:rsidR="001908B1" w:rsidRPr="00CD51A9" w:rsidRDefault="001908B1" w:rsidP="001908B1">
      <w:pPr>
        <w:rPr>
          <w:b/>
          <w:bCs/>
          <w:sz w:val="16"/>
          <w:szCs w:val="16"/>
        </w:rPr>
      </w:pPr>
      <w:r w:rsidRPr="00CD51A9">
        <w:rPr>
          <w:sz w:val="26"/>
          <w:szCs w:val="26"/>
        </w:rPr>
        <w:t xml:space="preserve">     Alexander MacLeod</w:t>
      </w:r>
      <w:r w:rsidRPr="00CD51A9">
        <w:rPr>
          <w:sz w:val="26"/>
          <w:szCs w:val="26"/>
        </w:rPr>
        <w:tab/>
      </w:r>
      <w:r w:rsidRPr="00CD51A9">
        <w:rPr>
          <w:sz w:val="26"/>
          <w:szCs w:val="26"/>
        </w:rPr>
        <w:tab/>
        <w:t xml:space="preserve">     Douglas Semple</w:t>
      </w:r>
      <w:r w:rsidRPr="00CD51A9">
        <w:rPr>
          <w:sz w:val="26"/>
          <w:szCs w:val="26"/>
        </w:rPr>
        <w:tab/>
      </w:r>
      <w:r w:rsidRPr="00CD51A9">
        <w:rPr>
          <w:sz w:val="26"/>
          <w:szCs w:val="26"/>
        </w:rPr>
        <w:tab/>
      </w:r>
      <w:r>
        <w:rPr>
          <w:sz w:val="26"/>
          <w:szCs w:val="26"/>
        </w:rPr>
        <w:t xml:space="preserve">        </w:t>
      </w:r>
      <w:smartTag w:uri="urn:schemas-microsoft-com:office:smarttags" w:element="place">
        <w:smartTag w:uri="urn:schemas-microsoft-com:office:smarttags" w:element="City">
          <w:r>
            <w:rPr>
              <w:sz w:val="26"/>
              <w:szCs w:val="26"/>
            </w:rPr>
            <w:t>Stanley</w:t>
          </w:r>
        </w:smartTag>
      </w:smartTag>
      <w:r>
        <w:rPr>
          <w:sz w:val="26"/>
          <w:szCs w:val="26"/>
        </w:rPr>
        <w:t xml:space="preserve"> Shuman</w:t>
      </w:r>
      <w:r w:rsidRPr="00CD51A9">
        <w:rPr>
          <w:b/>
          <w:bCs/>
          <w:sz w:val="16"/>
          <w:szCs w:val="16"/>
        </w:rPr>
        <w:t xml:space="preserve">                                          </w:t>
      </w:r>
    </w:p>
    <w:p w:rsidR="001908B1" w:rsidRDefault="001908B1"/>
    <w:p w:rsidR="003C56B9" w:rsidRDefault="003C56B9"/>
    <w:p w:rsidR="003C56B9" w:rsidRDefault="003C56B9"/>
    <w:p w:rsidR="003C56B9" w:rsidRDefault="003C56B9"/>
    <w:p w:rsidR="003C56B9" w:rsidRDefault="003C56B9"/>
    <w:p w:rsidR="003C56B9" w:rsidRPr="00815F2A" w:rsidRDefault="00815F2A" w:rsidP="003C56B9">
      <w:pPr>
        <w:rPr>
          <w:u w:val="single"/>
        </w:rPr>
      </w:pPr>
      <w:r>
        <w:t xml:space="preserve">Date: </w:t>
      </w:r>
      <w:r>
        <w:rPr>
          <w:u w:val="single"/>
        </w:rPr>
        <w:t>July 14, 2010</w:t>
      </w:r>
    </w:p>
    <w:p w:rsidR="003C56B9" w:rsidRDefault="003C56B9"/>
    <w:sectPr w:rsidR="003C56B9" w:rsidSect="001618C2">
      <w:footerReference w:type="default" r:id="rId8"/>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459" w:rsidRDefault="00AD6459">
      <w:r>
        <w:separator/>
      </w:r>
    </w:p>
  </w:endnote>
  <w:endnote w:type="continuationSeparator" w:id="1">
    <w:p w:rsidR="00AD6459" w:rsidRDefault="00AD6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6B9" w:rsidRDefault="003C56B9" w:rsidP="001618C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5F2A">
      <w:rPr>
        <w:rStyle w:val="PageNumber"/>
        <w:noProof/>
      </w:rPr>
      <w:t>2</w:t>
    </w:r>
    <w:r>
      <w:rPr>
        <w:rStyle w:val="PageNumber"/>
      </w:rPr>
      <w:fldChar w:fldCharType="end"/>
    </w:r>
  </w:p>
  <w:p w:rsidR="003C56B9" w:rsidRDefault="003C5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459" w:rsidRDefault="00AD6459">
      <w:r>
        <w:separator/>
      </w:r>
    </w:p>
  </w:footnote>
  <w:footnote w:type="continuationSeparator" w:id="1">
    <w:p w:rsidR="00AD6459" w:rsidRDefault="00AD6459">
      <w:r>
        <w:continuationSeparator/>
      </w:r>
    </w:p>
  </w:footnote>
  <w:footnote w:id="2">
    <w:p w:rsidR="003C56B9" w:rsidRDefault="003C56B9" w:rsidP="001908B1">
      <w:pPr>
        <w:pStyle w:val="FootnoteText"/>
      </w:pPr>
      <w:r>
        <w:rPr>
          <w:rStyle w:val="FootnoteReference"/>
        </w:rPr>
        <w:footnoteRef/>
      </w:r>
      <w:r>
        <w:t xml:space="preserve"> This is a concise version of the Board’s decision.  You may request a full written decision within 30 days of the date of this decision.  Requests must be in writing and addressed to: Department of Public Safety, State Building Code Appeals Board, program Coordinator, </w:t>
      </w:r>
      <w:smartTag w:uri="urn:schemas-microsoft-com:office:smarttags" w:element="Street">
        <w:smartTag w:uri="urn:schemas-microsoft-com:office:smarttags" w:element="address">
          <w:r>
            <w:t>One Ashburton Place</w:t>
          </w:r>
        </w:smartTag>
      </w:smartTag>
      <w:r>
        <w:t xml:space="preserve">, Room 1301,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02108</w:t>
          </w:r>
        </w:smartTag>
      </w:smartTag>
      <w:r>
        <w:t>.</w:t>
      </w:r>
    </w:p>
  </w:footnote>
  <w:footnote w:id="3">
    <w:p w:rsidR="003C56B9" w:rsidRDefault="003C56B9">
      <w:pPr>
        <w:pStyle w:val="FootnoteText"/>
      </w:pPr>
      <w:r>
        <w:rPr>
          <w:rStyle w:val="FootnoteReference"/>
        </w:rPr>
        <w:footnoteRef/>
      </w:r>
      <w:r>
        <w:t xml:space="preserve"> The Appellant, in his appeals application form, states the storage space plans have been approved by “the Design Review Board, the licensing board, the Alcoholic Beverage Control Commission, the Board of Health, the Fire Department, and the Conservation Commission.”</w:t>
      </w:r>
    </w:p>
  </w:footnote>
  <w:footnote w:id="4">
    <w:p w:rsidR="003C56B9" w:rsidRDefault="003C56B9" w:rsidP="001908B1">
      <w:pPr>
        <w:pStyle w:val="FootnoteText"/>
      </w:pPr>
      <w:r>
        <w:rPr>
          <w:rStyle w:val="FootnoteReference"/>
        </w:rPr>
        <w:footnoteRef/>
      </w:r>
      <w:r>
        <w:t xml:space="preserve"> In accordance with M.G.L. c. 30A, § 14, any person aggrieved by this decision may appeal to the Superior Court within 30 days after the receipt of this decision.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908B1"/>
    <w:rsid w:val="00077557"/>
    <w:rsid w:val="001618C2"/>
    <w:rsid w:val="001908B1"/>
    <w:rsid w:val="00194D81"/>
    <w:rsid w:val="003C56B9"/>
    <w:rsid w:val="0042565E"/>
    <w:rsid w:val="0048017D"/>
    <w:rsid w:val="00815F2A"/>
    <w:rsid w:val="00AD6459"/>
    <w:rsid w:val="00D639D4"/>
    <w:rsid w:val="00FA4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8B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1908B1"/>
    <w:rPr>
      <w:sz w:val="20"/>
      <w:szCs w:val="20"/>
    </w:rPr>
  </w:style>
  <w:style w:type="character" w:customStyle="1" w:styleId="FootnoteTextChar">
    <w:name w:val="Footnote Text Char"/>
    <w:basedOn w:val="DefaultParagraphFont"/>
    <w:link w:val="FootnoteText"/>
    <w:semiHidden/>
    <w:locked/>
    <w:rsid w:val="001908B1"/>
    <w:rPr>
      <w:lang w:val="en-US" w:eastAsia="en-US" w:bidi="ar-SA"/>
    </w:rPr>
  </w:style>
  <w:style w:type="character" w:styleId="FootnoteReference">
    <w:name w:val="footnote reference"/>
    <w:basedOn w:val="DefaultParagraphFont"/>
    <w:semiHidden/>
    <w:rsid w:val="001908B1"/>
    <w:rPr>
      <w:rFonts w:cs="Times New Roman"/>
      <w:vertAlign w:val="superscript"/>
    </w:rPr>
  </w:style>
  <w:style w:type="paragraph" w:styleId="Footer">
    <w:name w:val="footer"/>
    <w:basedOn w:val="Normal"/>
    <w:link w:val="FooterChar"/>
    <w:rsid w:val="001908B1"/>
    <w:pPr>
      <w:tabs>
        <w:tab w:val="center" w:pos="4320"/>
        <w:tab w:val="right" w:pos="8640"/>
      </w:tabs>
    </w:pPr>
  </w:style>
  <w:style w:type="character" w:customStyle="1" w:styleId="FooterChar">
    <w:name w:val="Footer Char"/>
    <w:basedOn w:val="DefaultParagraphFont"/>
    <w:link w:val="Footer"/>
    <w:semiHidden/>
    <w:locked/>
    <w:rsid w:val="001908B1"/>
    <w:rPr>
      <w:sz w:val="24"/>
      <w:szCs w:val="24"/>
      <w:lang w:val="en-US" w:eastAsia="en-US" w:bidi="ar-SA"/>
    </w:rPr>
  </w:style>
  <w:style w:type="character" w:styleId="PageNumber">
    <w:name w:val="page number"/>
    <w:basedOn w:val="DefaultParagraphFont"/>
    <w:rsid w:val="001908B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3193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2010-07-14T17:56:00Z</dcterms:created>
  <dc:creator>nwoodworth</dc:creator>
  <lastModifiedBy>pbarry</lastModifiedBy>
  <lastPrinted>2010-07-14T17:52:00Z</lastPrinted>
  <dcterms:modified xsi:type="dcterms:W3CDTF">2010-07-14T17:56:00Z</dcterms:modified>
  <revision>2</revision>
  <dc:title>COMMONWEALTH OF MASSACHUSETTS</dc:title>
</coreProperties>
</file>