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9C0A" w14:textId="77777777" w:rsidR="007F5196" w:rsidRDefault="00166CD1">
      <w:pPr>
        <w:pStyle w:val="BodyText"/>
        <w:ind w:left="325"/>
        <w:rPr>
          <w:sz w:val="20"/>
        </w:rPr>
      </w:pPr>
      <w:r>
        <w:rPr>
          <w:noProof/>
          <w:sz w:val="20"/>
        </w:rPr>
        <w:drawing>
          <wp:inline distT="0" distB="0" distL="0" distR="0" wp14:anchorId="1D846F73" wp14:editId="7CB442D9">
            <wp:extent cx="897362" cy="10644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62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3071E" w14:textId="77777777" w:rsidR="007F5196" w:rsidRDefault="007F5196">
      <w:pPr>
        <w:pStyle w:val="BodyText"/>
        <w:spacing w:before="10"/>
        <w:rPr>
          <w:sz w:val="26"/>
        </w:rPr>
      </w:pPr>
    </w:p>
    <w:p w14:paraId="0D4501CA" w14:textId="77777777" w:rsidR="007F5196" w:rsidRDefault="00166CD1">
      <w:pPr>
        <w:ind w:left="95" w:right="29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T.</w:t>
      </w:r>
      <w:r>
        <w:rPr>
          <w:rFonts w:ascii="Arial Rounded MT Bold"/>
          <w:spacing w:val="-1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HEALEY</w:t>
      </w:r>
    </w:p>
    <w:p w14:paraId="2B624779" w14:textId="77777777" w:rsidR="007F5196" w:rsidRDefault="00166CD1">
      <w:pPr>
        <w:spacing w:before="2"/>
        <w:ind w:left="95" w:right="32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 w14:paraId="745CC36C" w14:textId="77777777" w:rsidR="007F5196" w:rsidRDefault="00166CD1">
      <w:pPr>
        <w:spacing w:before="119"/>
        <w:ind w:left="95" w:right="32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KIMBERLEY</w:t>
      </w:r>
      <w:r>
        <w:rPr>
          <w:rFonts w:ascii="Arial Rounded MT Bold"/>
          <w:spacing w:val="-7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DRISCOLL</w:t>
      </w:r>
    </w:p>
    <w:p w14:paraId="25C1F79A" w14:textId="77777777" w:rsidR="007F5196" w:rsidRDefault="00166CD1">
      <w:pPr>
        <w:spacing w:before="2"/>
        <w:ind w:left="95" w:right="31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5"/>
          <w:sz w:val="14"/>
        </w:rPr>
        <w:t xml:space="preserve"> </w:t>
      </w:r>
      <w:r>
        <w:rPr>
          <w:rFonts w:ascii="Arial Rounded MT Bold"/>
          <w:spacing w:val="-2"/>
          <w:sz w:val="14"/>
        </w:rPr>
        <w:t>Governor</w:t>
      </w:r>
    </w:p>
    <w:p w14:paraId="1D44A20B" w14:textId="77777777" w:rsidR="007F5196" w:rsidRDefault="00166CD1">
      <w:pPr>
        <w:pStyle w:val="Title"/>
      </w:pPr>
      <w:r>
        <w:br w:type="column"/>
      </w:r>
      <w:r>
        <w:t>The</w:t>
      </w:r>
      <w:r>
        <w:rPr>
          <w:spacing w:val="-16"/>
        </w:rPr>
        <w:t xml:space="preserve"> </w:t>
      </w:r>
      <w:r>
        <w:t>Commonwealth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Massachusetts</w:t>
      </w:r>
    </w:p>
    <w:p w14:paraId="6D094454" w14:textId="77777777" w:rsidR="007F5196" w:rsidRDefault="00166CD1">
      <w:pPr>
        <w:ind w:left="118" w:right="13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Office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Health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Human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Services Department of Public Health</w:t>
      </w:r>
    </w:p>
    <w:p w14:paraId="178F3D89" w14:textId="77777777" w:rsidR="007F5196" w:rsidRDefault="00166CD1">
      <w:pPr>
        <w:spacing w:before="2"/>
        <w:ind w:left="118" w:right="7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Washington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Street,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Boston,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MA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 w14:paraId="6D385D59" w14:textId="77777777" w:rsidR="007F5196" w:rsidRDefault="00166CD1">
      <w:pPr>
        <w:rPr>
          <w:rFonts w:ascii="Arial"/>
          <w:sz w:val="18"/>
        </w:rPr>
      </w:pPr>
      <w:r>
        <w:br w:type="column"/>
      </w:r>
    </w:p>
    <w:p w14:paraId="26622275" w14:textId="77777777" w:rsidR="007F5196" w:rsidRDefault="007F5196">
      <w:pPr>
        <w:pStyle w:val="BodyText"/>
        <w:rPr>
          <w:rFonts w:ascii="Arial"/>
          <w:sz w:val="18"/>
        </w:rPr>
      </w:pPr>
    </w:p>
    <w:p w14:paraId="1DD0B78D" w14:textId="77777777" w:rsidR="007F5196" w:rsidRDefault="007F5196">
      <w:pPr>
        <w:pStyle w:val="BodyText"/>
        <w:rPr>
          <w:rFonts w:ascii="Arial"/>
          <w:sz w:val="18"/>
        </w:rPr>
      </w:pPr>
    </w:p>
    <w:p w14:paraId="6B1E55EA" w14:textId="77777777" w:rsidR="007F5196" w:rsidRDefault="007F5196">
      <w:pPr>
        <w:pStyle w:val="BodyText"/>
        <w:rPr>
          <w:rFonts w:ascii="Arial"/>
          <w:sz w:val="18"/>
        </w:rPr>
      </w:pPr>
    </w:p>
    <w:p w14:paraId="05D2ECF8" w14:textId="77777777" w:rsidR="007F5196" w:rsidRDefault="007F5196">
      <w:pPr>
        <w:pStyle w:val="BodyText"/>
        <w:rPr>
          <w:rFonts w:ascii="Arial"/>
          <w:sz w:val="18"/>
        </w:rPr>
      </w:pPr>
    </w:p>
    <w:p w14:paraId="07D99C6C" w14:textId="77777777" w:rsidR="007F5196" w:rsidRDefault="007F5196">
      <w:pPr>
        <w:pStyle w:val="BodyText"/>
        <w:rPr>
          <w:rFonts w:ascii="Arial"/>
          <w:sz w:val="18"/>
        </w:rPr>
      </w:pPr>
    </w:p>
    <w:p w14:paraId="425282CC" w14:textId="77777777" w:rsidR="007F5196" w:rsidRDefault="007F5196">
      <w:pPr>
        <w:pStyle w:val="BodyText"/>
        <w:rPr>
          <w:rFonts w:ascii="Arial"/>
          <w:sz w:val="18"/>
        </w:rPr>
      </w:pPr>
    </w:p>
    <w:p w14:paraId="7270A259" w14:textId="77777777" w:rsidR="007F5196" w:rsidRDefault="007F5196">
      <w:pPr>
        <w:pStyle w:val="BodyText"/>
        <w:rPr>
          <w:rFonts w:ascii="Arial"/>
          <w:sz w:val="18"/>
        </w:rPr>
      </w:pPr>
    </w:p>
    <w:p w14:paraId="66113328" w14:textId="77777777" w:rsidR="007F5196" w:rsidRDefault="007F5196">
      <w:pPr>
        <w:pStyle w:val="BodyText"/>
        <w:rPr>
          <w:rFonts w:ascii="Arial"/>
          <w:sz w:val="18"/>
        </w:rPr>
      </w:pPr>
    </w:p>
    <w:p w14:paraId="3CE46511" w14:textId="77777777" w:rsidR="007F5196" w:rsidRDefault="00166CD1">
      <w:pPr>
        <w:spacing w:before="123"/>
        <w:ind w:left="353" w:right="447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KATHLEEN</w:t>
      </w:r>
      <w:r>
        <w:rPr>
          <w:rFonts w:ascii="Arial Rounded MT Bold"/>
          <w:spacing w:val="-4"/>
          <w:sz w:val="16"/>
        </w:rPr>
        <w:t xml:space="preserve"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WALSH</w:t>
      </w:r>
    </w:p>
    <w:p w14:paraId="2106075B" w14:textId="77777777" w:rsidR="007F5196" w:rsidRDefault="00166CD1">
      <w:pPr>
        <w:spacing w:before="2"/>
        <w:ind w:left="1" w:right="99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 w14:paraId="7F550127" w14:textId="77777777" w:rsidR="007F5196" w:rsidRDefault="00166CD1">
      <w:pPr>
        <w:spacing w:before="119"/>
        <w:ind w:left="1" w:right="99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6"/>
          <w:sz w:val="16"/>
        </w:rPr>
        <w:t xml:space="preserve"> </w:t>
      </w:r>
      <w:r>
        <w:rPr>
          <w:rFonts w:ascii="Arial Rounded MT Bold"/>
          <w:sz w:val="16"/>
        </w:rPr>
        <w:t>GOLDSTEIN,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MD,</w:t>
      </w:r>
      <w:r>
        <w:rPr>
          <w:rFonts w:ascii="Arial Rounded MT Bold"/>
          <w:spacing w:val="-5"/>
          <w:sz w:val="16"/>
        </w:rPr>
        <w:t xml:space="preserve"> PhD</w:t>
      </w:r>
    </w:p>
    <w:p w14:paraId="7B1A1FDD" w14:textId="77777777" w:rsidR="007F5196" w:rsidRDefault="00166CD1">
      <w:pPr>
        <w:spacing w:before="2"/>
        <w:ind w:left="1" w:right="101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 w14:paraId="3445544D" w14:textId="77777777" w:rsidR="007F5196" w:rsidRDefault="007F5196">
      <w:pPr>
        <w:pStyle w:val="BodyText"/>
        <w:spacing w:before="10"/>
        <w:rPr>
          <w:rFonts w:ascii="Arial Rounded MT Bold"/>
          <w:sz w:val="13"/>
        </w:rPr>
      </w:pPr>
    </w:p>
    <w:p w14:paraId="62BFE0EB" w14:textId="77777777" w:rsidR="007F5196" w:rsidRDefault="00166CD1">
      <w:pPr>
        <w:ind w:left="1" w:right="101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Tel:</w:t>
      </w:r>
      <w:r>
        <w:rPr>
          <w:rFonts w:ascii="Arial"/>
          <w:b/>
          <w:spacing w:val="13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 w14:paraId="76247421" w14:textId="77777777" w:rsidR="007F5196" w:rsidRDefault="00166CD1">
      <w:pPr>
        <w:ind w:left="1" w:right="101"/>
        <w:jc w:val="center"/>
        <w:rPr>
          <w:rFonts w:ascii="Arial"/>
          <w:b/>
          <w:sz w:val="14"/>
        </w:rPr>
      </w:pPr>
      <w:hyperlink r:id="rId9">
        <w:r>
          <w:rPr>
            <w:rFonts w:ascii="Arial"/>
            <w:b/>
            <w:spacing w:val="-2"/>
            <w:sz w:val="14"/>
          </w:rPr>
          <w:t>www.mass.gov/dph</w:t>
        </w:r>
      </w:hyperlink>
    </w:p>
    <w:p w14:paraId="6F88113E" w14:textId="77777777" w:rsidR="007F5196" w:rsidRDefault="007F5196">
      <w:pPr>
        <w:jc w:val="center"/>
        <w:rPr>
          <w:rFonts w:ascii="Arial"/>
          <w:sz w:val="14"/>
        </w:rPr>
        <w:sectPr w:rsidR="007F5196">
          <w:type w:val="continuous"/>
          <w:pgSz w:w="12240" w:h="15840"/>
          <w:pgMar w:top="560" w:right="260" w:bottom="280" w:left="640" w:header="720" w:footer="720" w:gutter="0"/>
          <w:cols w:num="3" w:space="720" w:equalWidth="0">
            <w:col w:w="1956" w:space="584"/>
            <w:col w:w="6225" w:space="39"/>
            <w:col w:w="2536"/>
          </w:cols>
        </w:sectPr>
      </w:pPr>
    </w:p>
    <w:p w14:paraId="520A7015" w14:textId="77777777" w:rsidR="007F5196" w:rsidRDefault="007F5196">
      <w:pPr>
        <w:pStyle w:val="BodyText"/>
        <w:rPr>
          <w:rFonts w:ascii="Arial"/>
          <w:b/>
          <w:sz w:val="20"/>
        </w:rPr>
      </w:pPr>
    </w:p>
    <w:p w14:paraId="757AB981" w14:textId="77777777" w:rsidR="007F5196" w:rsidRDefault="007F5196">
      <w:pPr>
        <w:pStyle w:val="BodyText"/>
        <w:rPr>
          <w:rFonts w:ascii="Arial"/>
          <w:b/>
          <w:sz w:val="20"/>
        </w:rPr>
      </w:pPr>
    </w:p>
    <w:p w14:paraId="002B8EF1" w14:textId="77777777" w:rsidR="007F5196" w:rsidRDefault="00166CD1">
      <w:pPr>
        <w:tabs>
          <w:tab w:val="left" w:pos="2960"/>
        </w:tabs>
        <w:spacing w:before="31" w:line="576" w:lineRule="exact"/>
        <w:ind w:left="800" w:right="1595"/>
        <w:rPr>
          <w:b/>
          <w:sz w:val="24"/>
        </w:rPr>
      </w:pPr>
      <w:r>
        <w:rPr>
          <w:b/>
          <w:spacing w:val="-4"/>
          <w:sz w:val="24"/>
        </w:rPr>
        <w:t>TO:</w:t>
      </w:r>
      <w:r>
        <w:rPr>
          <w:b/>
          <w:sz w:val="24"/>
        </w:rPr>
        <w:tab/>
        <w:t xml:space="preserve">BSAS LICENSEES, PROVIDERS, AND STAKEHOLDERS </w:t>
      </w:r>
      <w:r>
        <w:rPr>
          <w:b/>
          <w:spacing w:val="-2"/>
          <w:sz w:val="24"/>
        </w:rPr>
        <w:t>FROM:</w:t>
      </w:r>
      <w:r>
        <w:rPr>
          <w:b/>
          <w:sz w:val="24"/>
        </w:rPr>
        <w:tab/>
        <w:t>DEIRDRE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CALVERT,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DIRECTOR,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BUREAU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SUBSTANCE</w:t>
      </w:r>
    </w:p>
    <w:p w14:paraId="22175772" w14:textId="77777777" w:rsidR="007F5196" w:rsidRDefault="00166CD1">
      <w:pPr>
        <w:spacing w:line="213" w:lineRule="exact"/>
        <w:ind w:left="2960"/>
        <w:rPr>
          <w:b/>
          <w:sz w:val="24"/>
        </w:rPr>
      </w:pPr>
      <w:r>
        <w:rPr>
          <w:b/>
          <w:sz w:val="24"/>
        </w:rPr>
        <w:t>ADDICTION</w:t>
      </w:r>
      <w:r>
        <w:rPr>
          <w:b/>
          <w:spacing w:val="-2"/>
          <w:sz w:val="24"/>
        </w:rPr>
        <w:t xml:space="preserve"> SERVICES</w:t>
      </w:r>
    </w:p>
    <w:p w14:paraId="7482641D" w14:textId="77777777" w:rsidR="007F5196" w:rsidRDefault="007F5196">
      <w:pPr>
        <w:pStyle w:val="BodyText"/>
        <w:spacing w:before="1"/>
        <w:rPr>
          <w:b/>
          <w:sz w:val="26"/>
        </w:rPr>
      </w:pPr>
    </w:p>
    <w:p w14:paraId="4947A17F" w14:textId="77777777" w:rsidR="007F5196" w:rsidRDefault="00166CD1">
      <w:pPr>
        <w:tabs>
          <w:tab w:val="left" w:pos="2960"/>
        </w:tabs>
        <w:ind w:left="2960" w:right="1621" w:hanging="2160"/>
        <w:rPr>
          <w:b/>
          <w:sz w:val="24"/>
        </w:rPr>
      </w:pPr>
      <w:r>
        <w:rPr>
          <w:b/>
          <w:spacing w:val="-2"/>
          <w:sz w:val="24"/>
        </w:rPr>
        <w:t>SUBJECT:</w:t>
      </w:r>
      <w:r>
        <w:rPr>
          <w:b/>
          <w:sz w:val="24"/>
        </w:rPr>
        <w:tab/>
      </w:r>
      <w:r>
        <w:rPr>
          <w:b/>
          <w:sz w:val="24"/>
        </w:rPr>
        <w:t>UPDATES TO STAFFING GRIDS UNDER 105 CMR 164.000 – LICENSURE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SUBSTANCE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DISORDER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TREATMENT </w:t>
      </w:r>
      <w:r>
        <w:rPr>
          <w:b/>
          <w:spacing w:val="-2"/>
          <w:sz w:val="24"/>
        </w:rPr>
        <w:t>PROGRAMS</w:t>
      </w:r>
    </w:p>
    <w:p w14:paraId="5C0B73CE" w14:textId="77777777" w:rsidR="007F5196" w:rsidRDefault="007F5196">
      <w:pPr>
        <w:pStyle w:val="BodyText"/>
        <w:spacing w:before="1"/>
        <w:rPr>
          <w:b/>
          <w:sz w:val="26"/>
        </w:rPr>
      </w:pPr>
    </w:p>
    <w:p w14:paraId="3E668A8A" w14:textId="77777777" w:rsidR="007F5196" w:rsidRDefault="00166CD1">
      <w:pPr>
        <w:tabs>
          <w:tab w:val="left" w:pos="2960"/>
        </w:tabs>
        <w:ind w:left="8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758841" wp14:editId="79F8DE2E">
                <wp:simplePos x="0" y="0"/>
                <wp:positionH relativeFrom="page">
                  <wp:posOffset>896416</wp:posOffset>
                </wp:positionH>
                <wp:positionV relativeFrom="paragraph">
                  <wp:posOffset>186475</wp:posOffset>
                </wp:positionV>
                <wp:extent cx="598106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4B478" id="Graphic 2" o:spid="_x0000_s1026" style="position:absolute;margin-left:70.6pt;margin-top:14.7pt;width:470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" path="m5981065,l,,,18287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  <w:t>AUGUST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2, </w:t>
      </w:r>
      <w:r>
        <w:rPr>
          <w:b/>
          <w:spacing w:val="-4"/>
          <w:sz w:val="24"/>
        </w:rPr>
        <w:t>2023</w:t>
      </w:r>
    </w:p>
    <w:p w14:paraId="7EDDAEC4" w14:textId="77777777" w:rsidR="007F5196" w:rsidRDefault="007F5196">
      <w:pPr>
        <w:pStyle w:val="BodyText"/>
        <w:spacing w:before="8"/>
        <w:rPr>
          <w:b/>
          <w:sz w:val="16"/>
        </w:rPr>
      </w:pPr>
    </w:p>
    <w:p w14:paraId="19867EDB" w14:textId="77777777" w:rsidR="007F5196" w:rsidRDefault="00166CD1">
      <w:pPr>
        <w:pStyle w:val="BodyText"/>
        <w:spacing w:before="90"/>
        <w:ind w:left="800" w:right="1175"/>
        <w:jc w:val="both"/>
      </w:pPr>
      <w:r>
        <w:t>This document is intended to issue guidance to all providers licensed/approved by the Massachusetts Department of Public Health</w:t>
      </w:r>
      <w:r>
        <w:t>’s (DPH) Bureau of Substance Addiction Services (BSAS)</w:t>
      </w:r>
      <w:r>
        <w:rPr>
          <w:spacing w:val="20"/>
        </w:rPr>
        <w:t xml:space="preserve"> </w:t>
      </w:r>
      <w:r>
        <w:t>regarding</w:t>
      </w:r>
      <w:r>
        <w:rPr>
          <w:spacing w:val="22"/>
        </w:rPr>
        <w:t xml:space="preserve"> </w:t>
      </w:r>
      <w:r>
        <w:t>compliance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sub-regulatory</w:t>
      </w:r>
      <w:r>
        <w:rPr>
          <w:spacing w:val="22"/>
        </w:rPr>
        <w:t xml:space="preserve"> </w:t>
      </w:r>
      <w:r>
        <w:t>staffing</w:t>
      </w:r>
      <w:r>
        <w:rPr>
          <w:spacing w:val="22"/>
        </w:rPr>
        <w:t xml:space="preserve"> </w:t>
      </w:r>
      <w:r>
        <w:t>expectations.</w:t>
      </w:r>
      <w:r>
        <w:rPr>
          <w:spacing w:val="27"/>
        </w:rPr>
        <w:t xml:space="preserve"> </w:t>
      </w:r>
      <w:r>
        <w:t>Pursuant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105</w:t>
      </w:r>
      <w:r>
        <w:rPr>
          <w:spacing w:val="23"/>
        </w:rPr>
        <w:t xml:space="preserve"> </w:t>
      </w:r>
      <w:r>
        <w:rPr>
          <w:spacing w:val="-5"/>
        </w:rPr>
        <w:t>CMR</w:t>
      </w:r>
    </w:p>
    <w:p w14:paraId="57BD4F87" w14:textId="77777777" w:rsidR="007F5196" w:rsidRDefault="00166CD1">
      <w:pPr>
        <w:pStyle w:val="BodyText"/>
        <w:spacing w:before="1"/>
        <w:ind w:left="800" w:right="1179"/>
        <w:jc w:val="both"/>
      </w:pPr>
      <w:r>
        <w:t>164.048 (D), the Department may issue guidance specifying minimum numbers of staff. This document intends to make providers aware of updated sub-regulatory staffing standards and identify key changes from the previous sub-regulatory staffing standards.</w:t>
      </w:r>
    </w:p>
    <w:p w14:paraId="14A0E22F" w14:textId="77777777" w:rsidR="007F5196" w:rsidRDefault="007F5196">
      <w:pPr>
        <w:pStyle w:val="BodyText"/>
        <w:spacing w:before="4"/>
      </w:pPr>
    </w:p>
    <w:p w14:paraId="7B11ED60" w14:textId="77777777" w:rsidR="007F5196" w:rsidRDefault="00166CD1">
      <w:pPr>
        <w:pStyle w:val="BodyText"/>
        <w:ind w:left="800" w:right="1178"/>
      </w:pPr>
      <w:r>
        <w:t>On</w:t>
      </w:r>
      <w:r>
        <w:rPr>
          <w:spacing w:val="26"/>
        </w:rPr>
        <w:t xml:space="preserve"> </w:t>
      </w:r>
      <w:r>
        <w:t>April</w:t>
      </w:r>
      <w:r>
        <w:rPr>
          <w:spacing w:val="27"/>
        </w:rPr>
        <w:t xml:space="preserve"> </w:t>
      </w:r>
      <w:r>
        <w:t>1,</w:t>
      </w:r>
      <w:r>
        <w:rPr>
          <w:spacing w:val="26"/>
        </w:rPr>
        <w:t xml:space="preserve"> </w:t>
      </w:r>
      <w:r>
        <w:t>2023,</w:t>
      </w:r>
      <w:r>
        <w:rPr>
          <w:spacing w:val="28"/>
        </w:rPr>
        <w:t xml:space="preserve"> </w:t>
      </w:r>
      <w:r>
        <w:t>MassHealth</w:t>
      </w:r>
      <w:r>
        <w:rPr>
          <w:spacing w:val="28"/>
        </w:rPr>
        <w:t xml:space="preserve"> </w:t>
      </w:r>
      <w:r>
        <w:t>updated</w:t>
      </w:r>
      <w:r>
        <w:rPr>
          <w:spacing w:val="26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specifications</w:t>
      </w:r>
      <w:r>
        <w:rPr>
          <w:spacing w:val="27"/>
        </w:rPr>
        <w:t xml:space="preserve"> </w:t>
      </w:r>
      <w:r>
        <w:t>relating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staffing</w:t>
      </w:r>
      <w:r>
        <w:rPr>
          <w:spacing w:val="27"/>
        </w:rPr>
        <w:t xml:space="preserve"> </w:t>
      </w:r>
      <w:r>
        <w:t>requirements</w:t>
      </w:r>
      <w:r>
        <w:rPr>
          <w:spacing w:val="27"/>
        </w:rPr>
        <w:t xml:space="preserve"> </w:t>
      </w:r>
      <w:r>
        <w:t>in substance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disorder</w:t>
      </w:r>
      <w:r>
        <w:rPr>
          <w:spacing w:val="-7"/>
        </w:rPr>
        <w:t xml:space="preserve"> </w:t>
      </w:r>
      <w:r>
        <w:t>(SUD)</w:t>
      </w:r>
      <w:r>
        <w:rPr>
          <w:spacing w:val="-7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settings.</w:t>
      </w:r>
      <w:r>
        <w:rPr>
          <w:spacing w:val="-6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updated</w:t>
      </w:r>
      <w:r>
        <w:rPr>
          <w:spacing w:val="-6"/>
        </w:rPr>
        <w:t xml:space="preserve"> </w:t>
      </w:r>
      <w:r>
        <w:t>MassHealth</w:t>
      </w:r>
      <w:r>
        <w:rPr>
          <w:spacing w:val="-5"/>
        </w:rPr>
        <w:t xml:space="preserve"> </w:t>
      </w:r>
      <w:r>
        <w:t>specifications</w:t>
      </w:r>
      <w:r>
        <w:rPr>
          <w:spacing w:val="-6"/>
        </w:rPr>
        <w:t xml:space="preserve"> </w:t>
      </w:r>
      <w:r>
        <w:t xml:space="preserve">here: </w:t>
      </w:r>
      <w:hyperlink r:id="rId10">
        <w:r>
          <w:rPr>
            <w:color w:val="0000FF"/>
            <w:spacing w:val="-2"/>
            <w:u w:val="single" w:color="0000FF"/>
          </w:rPr>
          <w:t>https://www.mass.gov/doc/substance-use-disorder-treatment-services-bulletin-11-supervision-</w:t>
        </w:r>
      </w:hyperlink>
      <w:r>
        <w:rPr>
          <w:color w:val="0000FF"/>
          <w:spacing w:val="80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and-staffing-requirements-for-substance-use-di</w:t>
        </w:r>
        <w:r>
          <w:rPr>
            <w:color w:val="0000FF"/>
            <w:spacing w:val="-2"/>
            <w:u w:val="single" w:color="0000FF"/>
          </w:rPr>
          <w:t>sorder-treatment-providers-corrected-0/download</w:t>
        </w:r>
      </w:hyperlink>
    </w:p>
    <w:p w14:paraId="79CC86F0" w14:textId="77777777" w:rsidR="007F5196" w:rsidRDefault="007F5196">
      <w:pPr>
        <w:pStyle w:val="BodyText"/>
        <w:spacing w:before="3"/>
        <w:rPr>
          <w:sz w:val="16"/>
        </w:rPr>
      </w:pPr>
    </w:p>
    <w:p w14:paraId="3661AA30" w14:textId="77777777" w:rsidR="007F5196" w:rsidRDefault="00166CD1">
      <w:pPr>
        <w:pStyle w:val="BodyText"/>
        <w:spacing w:before="90"/>
        <w:ind w:left="800" w:right="1173"/>
        <w:jc w:val="both"/>
      </w:pPr>
      <w:r>
        <w:t>To align with the updated MassHealth specifications, pursuant to 105 CMR 164.048 (D), BSAS subsequently adopted staffing pattern updates for their inpatient service settings. These updates are</w:t>
      </w:r>
      <w:r>
        <w:rPr>
          <w:spacing w:val="-1"/>
        </w:rPr>
        <w:t xml:space="preserve"> </w:t>
      </w:r>
      <w:r>
        <w:t>reflected in sub-regulatory staffing grids. BSAS expects Licens</w:t>
      </w:r>
      <w:r>
        <w:t>ed and Approved Providers to staff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licensed</w:t>
      </w:r>
      <w:r>
        <w:rPr>
          <w:spacing w:val="-11"/>
        </w:rPr>
        <w:t xml:space="preserve"> </w:t>
      </w:r>
      <w:r>
        <w:t>capacity,</w:t>
      </w:r>
      <w:r>
        <w:rPr>
          <w:spacing w:val="-9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staffing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adjusted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patient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resident</w:t>
      </w:r>
      <w:r>
        <w:rPr>
          <w:spacing w:val="-10"/>
        </w:rPr>
        <w:t xml:space="preserve"> </w:t>
      </w:r>
      <w:r>
        <w:t>census. Providers may staff to census but must still follow the ratios as defined in the sub-regulatory staffing standards.</w:t>
      </w:r>
    </w:p>
    <w:p w14:paraId="5BCAB6CC" w14:textId="77777777" w:rsidR="007F5196" w:rsidRDefault="007F5196">
      <w:pPr>
        <w:pStyle w:val="BodyText"/>
      </w:pPr>
    </w:p>
    <w:p w14:paraId="0AD39544" w14:textId="77777777" w:rsidR="007F5196" w:rsidRDefault="00166CD1">
      <w:pPr>
        <w:pStyle w:val="BodyText"/>
        <w:ind w:left="800" w:right="1595"/>
      </w:pPr>
      <w:r>
        <w:t xml:space="preserve">105 CMR </w:t>
      </w:r>
      <w:r>
        <w:t>164.048 (D) indicates the Department may issue guidance specifying minimum numbers of</w:t>
      </w:r>
      <w:r>
        <w:rPr>
          <w:spacing w:val="-1"/>
        </w:rPr>
        <w:t xml:space="preserve"> </w:t>
      </w:r>
      <w:r>
        <w:t>staff and may determine</w:t>
      </w:r>
      <w:r>
        <w:rPr>
          <w:spacing w:val="-1"/>
        </w:rPr>
        <w:t xml:space="preserve"> </w:t>
      </w:r>
      <w:r>
        <w:t>that a</w:t>
      </w:r>
      <w:r>
        <w:rPr>
          <w:spacing w:val="-1"/>
        </w:rPr>
        <w:t xml:space="preserve"> </w:t>
      </w:r>
      <w:r>
        <w:t>staffing pattern is insufficient to ensure</w:t>
      </w:r>
      <w:r>
        <w:rPr>
          <w:spacing w:val="-2"/>
        </w:rPr>
        <w:t xml:space="preserve"> </w:t>
      </w:r>
      <w:r>
        <w:t>105 CMR 164.048(C)(1)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(3).</w:t>
      </w:r>
      <w:r>
        <w:rPr>
          <w:spacing w:val="-4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suffic</w:t>
      </w:r>
      <w:r>
        <w:t xml:space="preserve">ient staff </w:t>
      </w:r>
      <w:proofErr w:type="gramStart"/>
      <w:r>
        <w:t>in order to</w:t>
      </w:r>
      <w:proofErr w:type="gramEnd"/>
      <w:r>
        <w:t xml:space="preserve"> guarantee admissions up to their licensed capacity. Licensed and Approved Providers must comply with the updated staffing standards no later than July 1, 2023.</w:t>
      </w:r>
    </w:p>
    <w:p w14:paraId="72120D6B" w14:textId="77777777" w:rsidR="007F5196" w:rsidRDefault="007F5196">
      <w:pPr>
        <w:sectPr w:rsidR="007F5196">
          <w:type w:val="continuous"/>
          <w:pgSz w:w="12240" w:h="15840"/>
          <w:pgMar w:top="560" w:right="260" w:bottom="280" w:left="640" w:header="720" w:footer="720" w:gutter="0"/>
          <w:cols w:space="720"/>
        </w:sectPr>
      </w:pPr>
    </w:p>
    <w:p w14:paraId="3999B928" w14:textId="77777777" w:rsidR="007F5196" w:rsidRDefault="00166CD1">
      <w:pPr>
        <w:pStyle w:val="Heading1"/>
        <w:spacing w:before="75"/>
        <w:ind w:right="1595"/>
        <w:rPr>
          <w:u w:val="none"/>
        </w:rPr>
      </w:pPr>
      <w:r>
        <w:lastRenderedPageBreak/>
        <w:t>Key</w:t>
      </w:r>
      <w:r>
        <w:rPr>
          <w:spacing w:val="-5"/>
        </w:rPr>
        <w:t xml:space="preserve"> </w:t>
      </w:r>
      <w:r>
        <w:t>Updates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Co-Occurring</w:t>
      </w:r>
      <w:r>
        <w:rPr>
          <w:spacing w:val="-5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Rehabilitatio</w:t>
      </w:r>
      <w:r>
        <w:t>n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Staffing</w:t>
      </w:r>
      <w:r>
        <w:rPr>
          <w:u w:val="none"/>
        </w:rPr>
        <w:t xml:space="preserve"> </w:t>
      </w:r>
      <w:r>
        <w:rPr>
          <w:spacing w:val="-2"/>
        </w:rPr>
        <w:t>Standards:</w:t>
      </w:r>
    </w:p>
    <w:p w14:paraId="596113F6" w14:textId="77777777" w:rsidR="007F5196" w:rsidRDefault="007F5196">
      <w:pPr>
        <w:pStyle w:val="BodyText"/>
        <w:rPr>
          <w:b/>
        </w:rPr>
      </w:pPr>
    </w:p>
    <w:p w14:paraId="7C47BBCD" w14:textId="77777777" w:rsidR="007F5196" w:rsidRDefault="00166CD1">
      <w:pPr>
        <w:pStyle w:val="ListParagraph"/>
        <w:numPr>
          <w:ilvl w:val="0"/>
          <w:numId w:val="1"/>
        </w:numPr>
        <w:tabs>
          <w:tab w:val="left" w:pos="1570"/>
        </w:tabs>
        <w:ind w:right="1303"/>
        <w:jc w:val="both"/>
        <w:rPr>
          <w:sz w:val="24"/>
        </w:rPr>
      </w:pP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counselor/case</w:t>
      </w:r>
      <w:r>
        <w:rPr>
          <w:spacing w:val="-5"/>
          <w:sz w:val="24"/>
        </w:rPr>
        <w:t xml:space="preserve"> </w:t>
      </w:r>
      <w:r>
        <w:rPr>
          <w:sz w:val="24"/>
        </w:rPr>
        <w:t>manager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recovery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each day and evening shift, 7 days/week.</w:t>
      </w:r>
    </w:p>
    <w:p w14:paraId="66FC95D7" w14:textId="77777777" w:rsidR="007F5196" w:rsidRDefault="00166CD1">
      <w:pPr>
        <w:pStyle w:val="ListParagraph"/>
        <w:numPr>
          <w:ilvl w:val="1"/>
          <w:numId w:val="1"/>
        </w:numPr>
        <w:tabs>
          <w:tab w:val="left" w:pos="2289"/>
        </w:tabs>
        <w:spacing w:line="285" w:lineRule="exact"/>
        <w:ind w:left="2289" w:hanging="359"/>
        <w:jc w:val="both"/>
        <w:rPr>
          <w:rFonts w:ascii="Courier New" w:hAnsi="Courier New"/>
          <w:sz w:val="24"/>
        </w:rPr>
      </w:pP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and evening</w:t>
      </w:r>
      <w:r>
        <w:rPr>
          <w:spacing w:val="-1"/>
          <w:sz w:val="24"/>
        </w:rPr>
        <w:t xml:space="preserve"> </w:t>
      </w:r>
      <w:r>
        <w:rPr>
          <w:sz w:val="24"/>
        </w:rPr>
        <w:t>shifts may</w:t>
      </w:r>
      <w:r>
        <w:rPr>
          <w:spacing w:val="-1"/>
          <w:sz w:val="24"/>
        </w:rPr>
        <w:t xml:space="preserve"> </w:t>
      </w:r>
      <w:r>
        <w:rPr>
          <w:sz w:val="24"/>
        </w:rPr>
        <w:t>overlap to</w:t>
      </w:r>
      <w:r>
        <w:rPr>
          <w:spacing w:val="-1"/>
          <w:sz w:val="24"/>
        </w:rPr>
        <w:t xml:space="preserve"> </w:t>
      </w:r>
      <w:r>
        <w:rPr>
          <w:sz w:val="24"/>
        </w:rPr>
        <w:t>meet the</w:t>
      </w:r>
      <w:r>
        <w:rPr>
          <w:spacing w:val="-1"/>
          <w:sz w:val="24"/>
        </w:rPr>
        <w:t xml:space="preserve"> </w:t>
      </w:r>
      <w:r>
        <w:rPr>
          <w:sz w:val="24"/>
        </w:rPr>
        <w:t>needs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patients.</w:t>
      </w:r>
    </w:p>
    <w:p w14:paraId="030D4861" w14:textId="77777777" w:rsidR="007F5196" w:rsidRDefault="00166CD1">
      <w:pPr>
        <w:pStyle w:val="ListParagraph"/>
        <w:numPr>
          <w:ilvl w:val="1"/>
          <w:numId w:val="1"/>
        </w:numPr>
        <w:tabs>
          <w:tab w:val="left" w:pos="2290"/>
        </w:tabs>
        <w:spacing w:before="4" w:line="223" w:lineRule="auto"/>
        <w:ind w:right="1952"/>
        <w:jc w:val="both"/>
        <w:rPr>
          <w:rFonts w:ascii="Courier New" w:hAnsi="Courier New"/>
          <w:sz w:val="24"/>
        </w:rPr>
      </w:pP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evening</w:t>
      </w:r>
      <w:r>
        <w:rPr>
          <w:spacing w:val="-4"/>
          <w:sz w:val="24"/>
        </w:rPr>
        <w:t xml:space="preserve"> </w:t>
      </w:r>
      <w:r>
        <w:rPr>
          <w:sz w:val="24"/>
        </w:rPr>
        <w:t>shifts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configured.</w:t>
      </w:r>
    </w:p>
    <w:p w14:paraId="2F9E5A9A" w14:textId="77777777" w:rsidR="007F5196" w:rsidRDefault="00166CD1">
      <w:pPr>
        <w:pStyle w:val="ListParagraph"/>
        <w:numPr>
          <w:ilvl w:val="2"/>
          <w:numId w:val="1"/>
        </w:numPr>
        <w:tabs>
          <w:tab w:val="left" w:pos="3010"/>
        </w:tabs>
        <w:spacing w:before="4"/>
        <w:ind w:right="1772"/>
        <w:jc w:val="both"/>
        <w:rPr>
          <w:sz w:val="24"/>
        </w:rPr>
      </w:pPr>
      <w:r>
        <w:rPr>
          <w:sz w:val="24"/>
        </w:rPr>
        <w:t>Counselor/case</w:t>
      </w:r>
      <w:r>
        <w:rPr>
          <w:spacing w:val="-6"/>
          <w:sz w:val="24"/>
        </w:rPr>
        <w:t xml:space="preserve"> </w:t>
      </w:r>
      <w:r>
        <w:rPr>
          <w:sz w:val="24"/>
        </w:rPr>
        <w:t>manager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(Column</w:t>
      </w:r>
      <w:r>
        <w:rPr>
          <w:spacing w:val="-5"/>
          <w:sz w:val="24"/>
        </w:rPr>
        <w:t xml:space="preserve"> </w:t>
      </w:r>
      <w:r>
        <w:rPr>
          <w:sz w:val="24"/>
        </w:rPr>
        <w:t>D)</w:t>
      </w:r>
      <w:r>
        <w:rPr>
          <w:spacing w:val="-7"/>
          <w:sz w:val="24"/>
        </w:rPr>
        <w:t xml:space="preserve"> </w:t>
      </w:r>
      <w:r>
        <w:rPr>
          <w:sz w:val="24"/>
        </w:rPr>
        <w:t>represents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average</w:t>
      </w:r>
      <w:r>
        <w:rPr>
          <w:spacing w:val="-6"/>
          <w:sz w:val="24"/>
        </w:rPr>
        <w:t xml:space="preserve"> </w:t>
      </w:r>
      <w:r>
        <w:rPr>
          <w:sz w:val="24"/>
        </w:rPr>
        <w:t>of clinical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 a</w:t>
      </w:r>
      <w:r>
        <w:rPr>
          <w:spacing w:val="-1"/>
          <w:sz w:val="24"/>
        </w:rPr>
        <w:t xml:space="preserve"> </w:t>
      </w:r>
      <w:r>
        <w:rPr>
          <w:sz w:val="24"/>
        </w:rPr>
        <w:t>program’s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2"/>
          <w:sz w:val="24"/>
        </w:rPr>
        <w:t xml:space="preserve"> </w:t>
      </w:r>
      <w:r>
        <w:rPr>
          <w:sz w:val="24"/>
        </w:rPr>
        <w:t>counselor/case</w:t>
      </w:r>
      <w:r>
        <w:rPr>
          <w:spacing w:val="-3"/>
          <w:sz w:val="24"/>
        </w:rPr>
        <w:t xml:space="preserve"> </w:t>
      </w:r>
      <w:r>
        <w:rPr>
          <w:sz w:val="24"/>
        </w:rPr>
        <w:t>manager coverage total (Column E).</w:t>
      </w:r>
    </w:p>
    <w:p w14:paraId="6906839D" w14:textId="77777777" w:rsidR="007F5196" w:rsidRDefault="00166CD1">
      <w:pPr>
        <w:pStyle w:val="ListParagraph"/>
        <w:numPr>
          <w:ilvl w:val="2"/>
          <w:numId w:val="1"/>
        </w:numPr>
        <w:tabs>
          <w:tab w:val="left" w:pos="3010"/>
        </w:tabs>
        <w:spacing w:before="1"/>
        <w:ind w:right="1302"/>
        <w:rPr>
          <w:sz w:val="24"/>
        </w:rPr>
      </w:pPr>
      <w:r>
        <w:rPr>
          <w:sz w:val="24"/>
        </w:rPr>
        <w:t>COC</w:t>
      </w:r>
      <w:r>
        <w:rPr>
          <w:spacing w:val="-3"/>
          <w:sz w:val="24"/>
        </w:rPr>
        <w:t xml:space="preserve"> </w:t>
      </w:r>
      <w:r>
        <w:rPr>
          <w:sz w:val="24"/>
        </w:rPr>
        <w:t>RRS</w:t>
      </w:r>
      <w:r>
        <w:rPr>
          <w:spacing w:val="-5"/>
          <w:sz w:val="24"/>
        </w:rPr>
        <w:t xml:space="preserve"> </w:t>
      </w:r>
      <w:r>
        <w:rPr>
          <w:sz w:val="24"/>
        </w:rPr>
        <w:t>RS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5"/>
          <w:sz w:val="24"/>
        </w:rPr>
        <w:t xml:space="preserve"> </w:t>
      </w:r>
      <w:r>
        <w:rPr>
          <w:sz w:val="24"/>
        </w:rPr>
        <w:t>shift</w:t>
      </w:r>
      <w:r>
        <w:rPr>
          <w:spacing w:val="-3"/>
          <w:sz w:val="24"/>
        </w:rPr>
        <w:t xml:space="preserve"> </w:t>
      </w:r>
      <w:r>
        <w:rPr>
          <w:sz w:val="24"/>
        </w:rPr>
        <w:t>staffing</w:t>
      </w:r>
      <w:r>
        <w:rPr>
          <w:spacing w:val="-3"/>
          <w:sz w:val="24"/>
        </w:rPr>
        <w:t xml:space="preserve"> </w:t>
      </w:r>
      <w:r>
        <w:rPr>
          <w:sz w:val="24"/>
        </w:rPr>
        <w:t>grid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z w:val="24"/>
        </w:rPr>
        <w:t>(Column</w:t>
      </w:r>
      <w:r>
        <w:rPr>
          <w:spacing w:val="-3"/>
          <w:sz w:val="24"/>
        </w:rPr>
        <w:t xml:space="preserve"> </w:t>
      </w: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reflects increases in 4-hour increments, based on program’s size and staffing </w:t>
      </w:r>
      <w:r>
        <w:rPr>
          <w:spacing w:val="-2"/>
          <w:sz w:val="24"/>
        </w:rPr>
        <w:t>expectations.</w:t>
      </w:r>
    </w:p>
    <w:p w14:paraId="39F3FB52" w14:textId="77777777" w:rsidR="007F5196" w:rsidRDefault="00166CD1">
      <w:pPr>
        <w:pStyle w:val="ListParagraph"/>
        <w:numPr>
          <w:ilvl w:val="2"/>
          <w:numId w:val="1"/>
        </w:numPr>
        <w:tabs>
          <w:tab w:val="left" w:pos="3010"/>
        </w:tabs>
        <w:ind w:right="1280"/>
        <w:rPr>
          <w:sz w:val="24"/>
        </w:rPr>
      </w:pPr>
      <w:r>
        <w:rPr>
          <w:sz w:val="24"/>
        </w:rPr>
        <w:t xml:space="preserve">RRS providers can practice flexibility scheduling, while adhering </w:t>
      </w:r>
      <w:r>
        <w:rPr>
          <w:sz w:val="24"/>
        </w:rPr>
        <w:t>to the minimum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daily</w:t>
      </w:r>
      <w:r>
        <w:rPr>
          <w:spacing w:val="-5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z w:val="24"/>
        </w:rPr>
        <w:t>counselor/case</w:t>
      </w:r>
      <w:r>
        <w:rPr>
          <w:spacing w:val="-5"/>
          <w:sz w:val="24"/>
        </w:rPr>
        <w:t xml:space="preserve"> </w:t>
      </w:r>
      <w:r>
        <w:rPr>
          <w:sz w:val="24"/>
        </w:rPr>
        <w:t>manager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1 RS on both 1st and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shifts).</w:t>
      </w:r>
    </w:p>
    <w:p w14:paraId="5FFD5819" w14:textId="77777777" w:rsidR="007F5196" w:rsidRDefault="00166CD1">
      <w:pPr>
        <w:pStyle w:val="ListParagraph"/>
        <w:numPr>
          <w:ilvl w:val="0"/>
          <w:numId w:val="1"/>
        </w:numPr>
        <w:tabs>
          <w:tab w:val="left" w:pos="1570"/>
        </w:tabs>
        <w:spacing w:line="293" w:lineRule="exact"/>
        <w:rPr>
          <w:sz w:val="24"/>
        </w:rPr>
      </w:pP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specialists</w:t>
      </w:r>
      <w:r>
        <w:rPr>
          <w:spacing w:val="-1"/>
          <w:sz w:val="24"/>
        </w:rPr>
        <w:t xml:space="preserve"> </w:t>
      </w:r>
      <w:r>
        <w:rPr>
          <w:sz w:val="24"/>
        </w:rPr>
        <w:t>scheduled on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overnight</w:t>
      </w:r>
      <w:r>
        <w:rPr>
          <w:spacing w:val="-1"/>
          <w:sz w:val="24"/>
        </w:rPr>
        <w:t xml:space="preserve"> </w:t>
      </w:r>
      <w:r>
        <w:rPr>
          <w:sz w:val="24"/>
        </w:rPr>
        <w:t>shift,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 </w:t>
      </w:r>
      <w:r>
        <w:rPr>
          <w:spacing w:val="-2"/>
          <w:sz w:val="24"/>
        </w:rPr>
        <w:t>days/week.</w:t>
      </w:r>
    </w:p>
    <w:p w14:paraId="152992B9" w14:textId="77777777" w:rsidR="007F5196" w:rsidRDefault="00166CD1">
      <w:pPr>
        <w:pStyle w:val="ListParagraph"/>
        <w:numPr>
          <w:ilvl w:val="1"/>
          <w:numId w:val="1"/>
        </w:numPr>
        <w:tabs>
          <w:tab w:val="left" w:pos="2290"/>
        </w:tabs>
        <w:spacing w:before="10" w:line="228" w:lineRule="auto"/>
        <w:ind w:right="1661"/>
        <w:rPr>
          <w:rFonts w:ascii="Courier New" w:hAnsi="Courier New"/>
        </w:rPr>
      </w:pPr>
      <w:r>
        <w:rPr>
          <w:sz w:val="24"/>
        </w:rPr>
        <w:t>RS</w:t>
      </w:r>
      <w:r>
        <w:rPr>
          <w:spacing w:val="-5"/>
          <w:sz w:val="24"/>
        </w:rPr>
        <w:t xml:space="preserve"> </w:t>
      </w:r>
      <w:r>
        <w:rPr>
          <w:sz w:val="24"/>
        </w:rPr>
        <w:t>overnight</w:t>
      </w:r>
      <w:r>
        <w:rPr>
          <w:spacing w:val="-5"/>
          <w:sz w:val="24"/>
        </w:rPr>
        <w:t xml:space="preserve"> </w:t>
      </w:r>
      <w:r>
        <w:rPr>
          <w:sz w:val="24"/>
        </w:rPr>
        <w:t>staffing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double</w:t>
      </w:r>
      <w:r>
        <w:rPr>
          <w:spacing w:val="-6"/>
          <w:sz w:val="24"/>
        </w:rPr>
        <w:t xml:space="preserve"> </w:t>
      </w:r>
      <w:r>
        <w:rPr>
          <w:sz w:val="24"/>
        </w:rPr>
        <w:t>(Column</w:t>
      </w:r>
      <w:r>
        <w:rPr>
          <w:spacing w:val="-5"/>
          <w:sz w:val="24"/>
        </w:rPr>
        <w:t xml:space="preserve"> </w:t>
      </w:r>
      <w:r>
        <w:rPr>
          <w:sz w:val="24"/>
        </w:rPr>
        <w:t>C)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house/program census surpasses 100 residents.</w:t>
      </w:r>
    </w:p>
    <w:p w14:paraId="76EE7C4D" w14:textId="77777777" w:rsidR="007F5196" w:rsidRDefault="00166CD1">
      <w:pPr>
        <w:pStyle w:val="ListParagraph"/>
        <w:numPr>
          <w:ilvl w:val="0"/>
          <w:numId w:val="1"/>
        </w:numPr>
        <w:tabs>
          <w:tab w:val="left" w:pos="1570"/>
        </w:tabs>
        <w:spacing w:before="3"/>
        <w:ind w:right="1694"/>
        <w:rPr>
          <w:sz w:val="24"/>
        </w:rPr>
      </w:pPr>
      <w:r>
        <w:rPr>
          <w:sz w:val="24"/>
        </w:rPr>
        <w:t>Counselor/Case</w:t>
      </w:r>
      <w:r>
        <w:rPr>
          <w:spacing w:val="-5"/>
          <w:sz w:val="24"/>
        </w:rPr>
        <w:t xml:space="preserve"> </w:t>
      </w:r>
      <w:r>
        <w:rPr>
          <w:sz w:val="24"/>
        </w:rPr>
        <w:t>Manager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1:9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Manager/resident </w:t>
      </w:r>
      <w:r>
        <w:rPr>
          <w:spacing w:val="-2"/>
          <w:sz w:val="24"/>
        </w:rPr>
        <w:t>ratio.</w:t>
      </w:r>
    </w:p>
    <w:p w14:paraId="36237F8C" w14:textId="77777777" w:rsidR="007F5196" w:rsidRDefault="00166CD1">
      <w:pPr>
        <w:pStyle w:val="ListParagraph"/>
        <w:numPr>
          <w:ilvl w:val="0"/>
          <w:numId w:val="1"/>
        </w:numPr>
        <w:tabs>
          <w:tab w:val="left" w:pos="1570"/>
        </w:tabs>
        <w:ind w:right="1469"/>
        <w:rPr>
          <w:sz w:val="24"/>
        </w:rPr>
      </w:pP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1FTE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supervisor,</w:t>
      </w:r>
      <w:r>
        <w:rPr>
          <w:spacing w:val="-4"/>
          <w:sz w:val="24"/>
        </w:rPr>
        <w:t xml:space="preserve"> </w:t>
      </w:r>
      <w:r>
        <w:rPr>
          <w:sz w:val="24"/>
        </w:rPr>
        <w:t>prorated</w:t>
      </w:r>
      <w:r>
        <w:rPr>
          <w:spacing w:val="-4"/>
          <w:sz w:val="24"/>
        </w:rPr>
        <w:t xml:space="preserve"> </w:t>
      </w:r>
      <w:r>
        <w:rPr>
          <w:sz w:val="24"/>
        </w:rPr>
        <w:t>upwards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with more than 30 beds.</w:t>
      </w:r>
    </w:p>
    <w:p w14:paraId="0AE0F528" w14:textId="77777777" w:rsidR="007F5196" w:rsidRDefault="00166CD1">
      <w:pPr>
        <w:pStyle w:val="ListParagraph"/>
        <w:numPr>
          <w:ilvl w:val="1"/>
          <w:numId w:val="1"/>
        </w:numPr>
        <w:tabs>
          <w:tab w:val="left" w:pos="2290"/>
        </w:tabs>
        <w:spacing w:before="9" w:line="228" w:lineRule="auto"/>
        <w:ind w:right="1393"/>
        <w:rPr>
          <w:rFonts w:ascii="Courier New" w:hAnsi="Courier New"/>
        </w:rPr>
      </w:pPr>
      <w:r>
        <w:rPr>
          <w:sz w:val="24"/>
        </w:rPr>
        <w:t>COC</w:t>
      </w:r>
      <w:r>
        <w:rPr>
          <w:spacing w:val="-4"/>
          <w:sz w:val="24"/>
        </w:rPr>
        <w:t xml:space="preserve"> </w:t>
      </w:r>
      <w:r>
        <w:rPr>
          <w:sz w:val="24"/>
        </w:rPr>
        <w:t>RRS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4"/>
          <w:sz w:val="24"/>
        </w:rPr>
        <w:t xml:space="preserve"> </w:t>
      </w:r>
      <w:r>
        <w:rPr>
          <w:sz w:val="24"/>
        </w:rPr>
        <w:t>grid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5"/>
          <w:sz w:val="24"/>
        </w:rPr>
        <w:t xml:space="preserve"> </w:t>
      </w:r>
      <w:r>
        <w:rPr>
          <w:sz w:val="24"/>
        </w:rPr>
        <w:t>reflects</w:t>
      </w:r>
      <w:r>
        <w:rPr>
          <w:spacing w:val="-4"/>
          <w:sz w:val="24"/>
        </w:rPr>
        <w:t xml:space="preserve"> </w:t>
      </w:r>
      <w:r>
        <w:rPr>
          <w:sz w:val="24"/>
        </w:rPr>
        <w:t>increases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4-hour increments (Column F), based on program’s size and staffing expectations.</w:t>
      </w:r>
    </w:p>
    <w:p w14:paraId="7329A418" w14:textId="77777777" w:rsidR="007F5196" w:rsidRDefault="00166CD1">
      <w:pPr>
        <w:pStyle w:val="ListParagraph"/>
        <w:numPr>
          <w:ilvl w:val="0"/>
          <w:numId w:val="1"/>
        </w:numPr>
        <w:tabs>
          <w:tab w:val="left" w:pos="1570"/>
        </w:tabs>
        <w:spacing w:before="2"/>
        <w:ind w:right="1613"/>
        <w:rPr>
          <w:sz w:val="24"/>
        </w:rPr>
      </w:pPr>
      <w:r>
        <w:rPr>
          <w:sz w:val="24"/>
        </w:rPr>
        <w:t>Minimum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2FTE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specialists,</w:t>
      </w:r>
      <w:r>
        <w:rPr>
          <w:spacing w:val="-5"/>
          <w:sz w:val="24"/>
        </w:rPr>
        <w:t xml:space="preserve"> </w:t>
      </w:r>
      <w:r>
        <w:rPr>
          <w:sz w:val="24"/>
        </w:rPr>
        <w:t>prorated</w:t>
      </w:r>
      <w:r>
        <w:rPr>
          <w:spacing w:val="-5"/>
          <w:sz w:val="24"/>
        </w:rPr>
        <w:t xml:space="preserve"> </w:t>
      </w:r>
      <w:r>
        <w:rPr>
          <w:sz w:val="24"/>
        </w:rPr>
        <w:t>upwards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4"/>
          <w:sz w:val="24"/>
        </w:rPr>
        <w:t xml:space="preserve"> </w:t>
      </w:r>
      <w:r>
        <w:rPr>
          <w:sz w:val="24"/>
        </w:rPr>
        <w:t>programs with more than 30 beds.</w:t>
      </w:r>
    </w:p>
    <w:p w14:paraId="1F891F23" w14:textId="77777777" w:rsidR="007F5196" w:rsidRDefault="00166CD1">
      <w:pPr>
        <w:pStyle w:val="ListParagraph"/>
        <w:numPr>
          <w:ilvl w:val="1"/>
          <w:numId w:val="1"/>
        </w:numPr>
        <w:tabs>
          <w:tab w:val="left" w:pos="2290"/>
        </w:tabs>
        <w:spacing w:before="12" w:line="228" w:lineRule="auto"/>
        <w:ind w:right="1247"/>
        <w:rPr>
          <w:rFonts w:ascii="Courier New" w:hAnsi="Courier New"/>
        </w:rPr>
      </w:pPr>
      <w:r>
        <w:rPr>
          <w:sz w:val="24"/>
        </w:rPr>
        <w:t>COC</w:t>
      </w:r>
      <w:r>
        <w:rPr>
          <w:spacing w:val="-4"/>
          <w:sz w:val="24"/>
        </w:rPr>
        <w:t xml:space="preserve"> </w:t>
      </w:r>
      <w:r>
        <w:rPr>
          <w:sz w:val="24"/>
        </w:rPr>
        <w:t>RRS</w:t>
      </w:r>
      <w:r>
        <w:rPr>
          <w:spacing w:val="-6"/>
          <w:sz w:val="24"/>
        </w:rPr>
        <w:t xml:space="preserve"> </w:t>
      </w:r>
      <w:r>
        <w:rPr>
          <w:sz w:val="24"/>
        </w:rPr>
        <w:t>mediation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4"/>
          <w:sz w:val="24"/>
        </w:rPr>
        <w:t xml:space="preserve"> </w:t>
      </w:r>
      <w:r>
        <w:rPr>
          <w:sz w:val="24"/>
        </w:rPr>
        <w:t>grid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5"/>
          <w:sz w:val="24"/>
        </w:rPr>
        <w:t xml:space="preserve"> </w:t>
      </w:r>
      <w:r>
        <w:rPr>
          <w:sz w:val="24"/>
        </w:rPr>
        <w:t>reflects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4-hour increments (Column G), based on program’s size and staffing expectations.</w:t>
      </w:r>
    </w:p>
    <w:p w14:paraId="6A7C4346" w14:textId="77777777" w:rsidR="007F5196" w:rsidRDefault="007F5196">
      <w:pPr>
        <w:pStyle w:val="BodyText"/>
        <w:spacing w:before="3"/>
      </w:pPr>
    </w:p>
    <w:p w14:paraId="3C2DD229" w14:textId="77777777" w:rsidR="007F5196" w:rsidRDefault="00166CD1">
      <w:pPr>
        <w:pStyle w:val="Heading1"/>
        <w:rPr>
          <w:u w:val="none"/>
        </w:rPr>
      </w:pPr>
      <w:r>
        <w:t>Key</w:t>
      </w:r>
      <w:r>
        <w:rPr>
          <w:spacing w:val="-2"/>
        </w:rPr>
        <w:t xml:space="preserve"> </w:t>
      </w:r>
      <w:r>
        <w:t>Updates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Clinical Stabilization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 xml:space="preserve">Staffing </w:t>
      </w:r>
      <w:r>
        <w:rPr>
          <w:spacing w:val="-2"/>
        </w:rPr>
        <w:t>Standards:</w:t>
      </w:r>
    </w:p>
    <w:p w14:paraId="44E440CB" w14:textId="77777777" w:rsidR="007F5196" w:rsidRDefault="007F5196">
      <w:pPr>
        <w:pStyle w:val="BodyText"/>
        <w:rPr>
          <w:b/>
        </w:rPr>
      </w:pPr>
    </w:p>
    <w:p w14:paraId="039673AE" w14:textId="77777777" w:rsidR="007F5196" w:rsidRDefault="00166CD1">
      <w:pPr>
        <w:pStyle w:val="ListParagraph"/>
        <w:numPr>
          <w:ilvl w:val="0"/>
          <w:numId w:val="1"/>
        </w:numPr>
        <w:tabs>
          <w:tab w:val="left" w:pos="1520"/>
        </w:tabs>
        <w:spacing w:line="293" w:lineRule="exact"/>
        <w:ind w:left="1520"/>
        <w:rPr>
          <w:sz w:val="24"/>
        </w:rPr>
      </w:pP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hours of</w:t>
      </w:r>
      <w:r>
        <w:rPr>
          <w:spacing w:val="-1"/>
          <w:sz w:val="24"/>
        </w:rPr>
        <w:t xml:space="preserve"> </w:t>
      </w:r>
      <w:r>
        <w:rPr>
          <w:sz w:val="24"/>
        </w:rPr>
        <w:t>weekly coverage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nursing;</w:t>
      </w:r>
      <w:r>
        <w:rPr>
          <w:spacing w:val="-1"/>
          <w:sz w:val="24"/>
        </w:rPr>
        <w:t xml:space="preserve"> </w:t>
      </w:r>
      <w:r>
        <w:rPr>
          <w:sz w:val="24"/>
        </w:rPr>
        <w:t>prorated upwards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beds </w:t>
      </w:r>
      <w:r>
        <w:rPr>
          <w:spacing w:val="-2"/>
          <w:sz w:val="24"/>
        </w:rPr>
        <w:t>increase.</w:t>
      </w:r>
    </w:p>
    <w:p w14:paraId="3DE09C13" w14:textId="77777777" w:rsidR="007F5196" w:rsidRDefault="00166CD1">
      <w:pPr>
        <w:pStyle w:val="ListParagraph"/>
        <w:numPr>
          <w:ilvl w:val="0"/>
          <w:numId w:val="1"/>
        </w:numPr>
        <w:tabs>
          <w:tab w:val="left" w:pos="1520"/>
        </w:tabs>
        <w:spacing w:line="293" w:lineRule="exact"/>
        <w:ind w:left="1520"/>
        <w:rPr>
          <w:sz w:val="24"/>
        </w:rPr>
      </w:pP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Managers</w:t>
      </w:r>
      <w:r>
        <w:rPr>
          <w:spacing w:val="-1"/>
          <w:sz w:val="24"/>
        </w:rPr>
        <w:t xml:space="preserve"> </w:t>
      </w:r>
      <w:r>
        <w:rPr>
          <w:sz w:val="24"/>
        </w:rPr>
        <w:t>coverage updated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weekly;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previously Monday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through </w:t>
      </w:r>
      <w:r>
        <w:rPr>
          <w:spacing w:val="-2"/>
          <w:sz w:val="24"/>
        </w:rPr>
        <w:t>Friday.</w:t>
      </w:r>
    </w:p>
    <w:p w14:paraId="6CD051C7" w14:textId="77777777" w:rsidR="007F5196" w:rsidRDefault="007F5196">
      <w:pPr>
        <w:pStyle w:val="BodyText"/>
      </w:pPr>
    </w:p>
    <w:p w14:paraId="0EDE2712" w14:textId="77777777" w:rsidR="007F5196" w:rsidRDefault="00166CD1">
      <w:pPr>
        <w:pStyle w:val="Heading1"/>
        <w:rPr>
          <w:u w:val="none"/>
        </w:rPr>
      </w:pPr>
      <w:r>
        <w:t>Key</w:t>
      </w:r>
      <w:r>
        <w:rPr>
          <w:spacing w:val="-4"/>
        </w:rPr>
        <w:t xml:space="preserve"> </w:t>
      </w:r>
      <w:r>
        <w:t>Updates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Acute</w:t>
      </w:r>
      <w:r>
        <w:rPr>
          <w:spacing w:val="-3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Staffing</w:t>
      </w:r>
      <w:r>
        <w:rPr>
          <w:spacing w:val="-1"/>
        </w:rPr>
        <w:t xml:space="preserve"> </w:t>
      </w:r>
      <w:r>
        <w:rPr>
          <w:spacing w:val="-2"/>
        </w:rPr>
        <w:t>Standards:</w:t>
      </w:r>
    </w:p>
    <w:p w14:paraId="7B8DA70A" w14:textId="77777777" w:rsidR="007F5196" w:rsidRDefault="007F5196">
      <w:pPr>
        <w:pStyle w:val="BodyText"/>
        <w:spacing w:before="11"/>
        <w:rPr>
          <w:b/>
          <w:sz w:val="23"/>
        </w:rPr>
      </w:pPr>
    </w:p>
    <w:p w14:paraId="044E321B" w14:textId="77777777" w:rsidR="007F5196" w:rsidRDefault="00166CD1">
      <w:pPr>
        <w:pStyle w:val="ListParagraph"/>
        <w:numPr>
          <w:ilvl w:val="0"/>
          <w:numId w:val="1"/>
        </w:numPr>
        <w:tabs>
          <w:tab w:val="left" w:pos="1520"/>
        </w:tabs>
        <w:ind w:left="1520" w:right="1254"/>
        <w:rPr>
          <w:sz w:val="24"/>
        </w:rPr>
      </w:pP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shift,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shifts</w:t>
      </w:r>
      <w:r>
        <w:rPr>
          <w:spacing w:val="-3"/>
          <w:sz w:val="24"/>
        </w:rPr>
        <w:t xml:space="preserve"> </w:t>
      </w:r>
      <w:r>
        <w:rPr>
          <w:sz w:val="24"/>
        </w:rPr>
        <w:t>daily,</w:t>
      </w:r>
      <w:r>
        <w:rPr>
          <w:spacing w:val="-3"/>
          <w:sz w:val="24"/>
        </w:rPr>
        <w:t xml:space="preserve"> </w:t>
      </w:r>
      <w:r>
        <w:rPr>
          <w:sz w:val="24"/>
        </w:rPr>
        <w:t>seven</w:t>
      </w:r>
      <w:r>
        <w:rPr>
          <w:spacing w:val="-3"/>
          <w:sz w:val="24"/>
        </w:rPr>
        <w:t xml:space="preserve"> </w:t>
      </w:r>
      <w:r>
        <w:rPr>
          <w:sz w:val="24"/>
        </w:rPr>
        <w:t>days per week.</w:t>
      </w:r>
    </w:p>
    <w:p w14:paraId="46E4F8DF" w14:textId="77777777" w:rsidR="007F5196" w:rsidRDefault="00166CD1">
      <w:pPr>
        <w:pStyle w:val="ListParagraph"/>
        <w:numPr>
          <w:ilvl w:val="0"/>
          <w:numId w:val="1"/>
        </w:numPr>
        <w:tabs>
          <w:tab w:val="left" w:pos="1520"/>
        </w:tabs>
        <w:spacing w:line="293" w:lineRule="exact"/>
        <w:ind w:left="1520"/>
        <w:rPr>
          <w:sz w:val="24"/>
        </w:rPr>
      </w:pPr>
      <w:r>
        <w:rPr>
          <w:sz w:val="24"/>
        </w:rPr>
        <w:t>Ratio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nursing is 16:1 per</w:t>
      </w:r>
      <w:r>
        <w:rPr>
          <w:spacing w:val="-2"/>
          <w:sz w:val="24"/>
        </w:rPr>
        <w:t xml:space="preserve"> shift.</w:t>
      </w:r>
    </w:p>
    <w:p w14:paraId="592C4C4A" w14:textId="77777777" w:rsidR="007F5196" w:rsidRDefault="007F5196">
      <w:pPr>
        <w:pStyle w:val="BodyText"/>
        <w:spacing w:before="10"/>
        <w:rPr>
          <w:sz w:val="23"/>
        </w:rPr>
      </w:pPr>
    </w:p>
    <w:p w14:paraId="1377A574" w14:textId="77777777" w:rsidR="007F5196" w:rsidRDefault="00166CD1">
      <w:pPr>
        <w:pStyle w:val="BodyText"/>
        <w:spacing w:before="1"/>
        <w:ind w:left="800" w:right="1178"/>
      </w:pPr>
      <w:r>
        <w:t>BSAS understands the updates to the sub-regulatory staffing standards may be complicated. Licensed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licensing inspector and contract manager.</w:t>
      </w:r>
    </w:p>
    <w:p w14:paraId="7012FC33" w14:textId="77777777" w:rsidR="007F5196" w:rsidRDefault="007F5196">
      <w:pPr>
        <w:sectPr w:rsidR="007F5196">
          <w:pgSz w:w="12240" w:h="15840"/>
          <w:pgMar w:top="1640" w:right="260" w:bottom="280" w:left="640" w:header="720" w:footer="720" w:gutter="0"/>
          <w:cols w:space="720"/>
        </w:sectPr>
      </w:pPr>
    </w:p>
    <w:p w14:paraId="23621F0C" w14:textId="77777777" w:rsidR="007F5196" w:rsidRDefault="00166CD1">
      <w:pPr>
        <w:pStyle w:val="Heading1"/>
        <w:spacing w:before="79"/>
        <w:rPr>
          <w:u w:val="none"/>
        </w:rPr>
      </w:pPr>
      <w:r>
        <w:lastRenderedPageBreak/>
        <w:t>Regional</w:t>
      </w:r>
      <w:r>
        <w:rPr>
          <w:spacing w:val="-3"/>
        </w:rPr>
        <w:t xml:space="preserve"> </w:t>
      </w:r>
      <w:r>
        <w:t>Licensing</w:t>
      </w:r>
      <w:r>
        <w:rPr>
          <w:spacing w:val="-2"/>
        </w:rPr>
        <w:t xml:space="preserve"> </w:t>
      </w:r>
      <w:r>
        <w:t>Inspectors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Information</w:t>
      </w:r>
    </w:p>
    <w:p w14:paraId="064DE635" w14:textId="77777777" w:rsidR="007F5196" w:rsidRDefault="00166CD1">
      <w:pPr>
        <w:pStyle w:val="BodyText"/>
        <w:ind w:left="800" w:right="1650"/>
      </w:pPr>
      <w:r>
        <w:t>For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t>inspectors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here:</w:t>
      </w:r>
      <w:r>
        <w:rPr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https://www.mass.gov/info-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details/information-for-licensed-substance-use-disorder-treatment-programs</w:t>
        </w:r>
      </w:hyperlink>
    </w:p>
    <w:p w14:paraId="7585205F" w14:textId="77777777" w:rsidR="007F5196" w:rsidRDefault="007F5196">
      <w:pPr>
        <w:pStyle w:val="BodyText"/>
        <w:spacing w:before="2"/>
        <w:rPr>
          <w:sz w:val="16"/>
        </w:rPr>
      </w:pPr>
    </w:p>
    <w:p w14:paraId="0F37C14B" w14:textId="77777777" w:rsidR="007F5196" w:rsidRDefault="00166CD1">
      <w:pPr>
        <w:spacing w:before="90"/>
        <w:ind w:left="800" w:right="4720"/>
        <w:rPr>
          <w:sz w:val="24"/>
        </w:rPr>
      </w:pPr>
      <w:r>
        <w:rPr>
          <w:b/>
          <w:sz w:val="24"/>
          <w:u w:val="single"/>
        </w:rPr>
        <w:t>Regional Contract Managers Contact Information</w:t>
      </w:r>
      <w:r>
        <w:rPr>
          <w:b/>
          <w:sz w:val="24"/>
        </w:rPr>
        <w:t xml:space="preserve"> </w:t>
      </w:r>
      <w:r>
        <w:rPr>
          <w:sz w:val="24"/>
        </w:rPr>
        <w:t xml:space="preserve">Boston Region: Nathaly Diaz - </w:t>
      </w:r>
      <w:hyperlink r:id="rId14">
        <w:r>
          <w:rPr>
            <w:color w:val="0000FF"/>
            <w:sz w:val="24"/>
            <w:u w:val="single" w:color="0000FF"/>
          </w:rPr>
          <w:t>nathaly.diaz@mass.gov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Northeast</w:t>
      </w:r>
      <w:r>
        <w:rPr>
          <w:spacing w:val="-7"/>
          <w:sz w:val="24"/>
        </w:rPr>
        <w:t xml:space="preserve"> </w:t>
      </w:r>
      <w:r>
        <w:rPr>
          <w:sz w:val="24"/>
        </w:rPr>
        <w:t>Region:</w:t>
      </w:r>
      <w:r>
        <w:rPr>
          <w:spacing w:val="-7"/>
          <w:sz w:val="24"/>
        </w:rPr>
        <w:t xml:space="preserve"> </w:t>
      </w:r>
      <w:r>
        <w:rPr>
          <w:sz w:val="24"/>
        </w:rPr>
        <w:t>Jessica</w:t>
      </w:r>
      <w:r>
        <w:rPr>
          <w:spacing w:val="-8"/>
          <w:sz w:val="24"/>
        </w:rPr>
        <w:t xml:space="preserve"> </w:t>
      </w:r>
      <w:r>
        <w:rPr>
          <w:sz w:val="24"/>
        </w:rPr>
        <w:t>Hudon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jessica.hudon@mass.gov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MetroWest Region: Kim Burnett - </w:t>
      </w:r>
      <w:hyperlink r:id="rId16">
        <w:r>
          <w:rPr>
            <w:color w:val="0000FF"/>
            <w:sz w:val="24"/>
            <w:u w:val="single" w:color="0000FF"/>
          </w:rPr>
          <w:t>kim.burnett@mass.gov</w:t>
        </w:r>
      </w:hyperlink>
    </w:p>
    <w:p w14:paraId="68FF198F" w14:textId="77777777" w:rsidR="007F5196" w:rsidRDefault="00166CD1">
      <w:pPr>
        <w:pStyle w:val="BodyText"/>
        <w:ind w:left="800" w:right="4200"/>
      </w:pPr>
      <w:r>
        <w:t>Southeast</w:t>
      </w:r>
      <w:r>
        <w:rPr>
          <w:spacing w:val="-8"/>
        </w:rPr>
        <w:t xml:space="preserve"> </w:t>
      </w:r>
      <w:r>
        <w:t>Region:</w:t>
      </w:r>
      <w:r>
        <w:rPr>
          <w:spacing w:val="-8"/>
        </w:rPr>
        <w:t xml:space="preserve"> </w:t>
      </w:r>
      <w:r>
        <w:t>Deryk</w:t>
      </w:r>
      <w:r>
        <w:rPr>
          <w:spacing w:val="-8"/>
        </w:rPr>
        <w:t xml:space="preserve"> </w:t>
      </w:r>
      <w:r>
        <w:t>Meehan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hyperlink r:id="rId17">
        <w:r>
          <w:rPr>
            <w:color w:val="0000FF"/>
            <w:u w:val="single" w:color="0000FF"/>
          </w:rPr>
          <w:t>deryk.meehan@mass.gov</w:t>
        </w:r>
      </w:hyperlink>
      <w:r>
        <w:rPr>
          <w:color w:val="0000FF"/>
        </w:rPr>
        <w:t xml:space="preserve"> </w:t>
      </w:r>
      <w:r>
        <w:t xml:space="preserve">Central Region: Luisa Fundora - </w:t>
      </w:r>
      <w:hyperlink r:id="rId18">
        <w:r>
          <w:rPr>
            <w:color w:val="0000FF"/>
            <w:u w:val="single" w:color="0000FF"/>
          </w:rPr>
          <w:t>luisa.fundora@mass.gov</w:t>
        </w:r>
      </w:hyperlink>
      <w:r>
        <w:rPr>
          <w:color w:val="0000FF"/>
        </w:rPr>
        <w:t xml:space="preserve"> </w:t>
      </w:r>
      <w:r>
        <w:t xml:space="preserve">Western Region: Aimee Letson - </w:t>
      </w:r>
      <w:hyperlink r:id="rId19">
        <w:r>
          <w:rPr>
            <w:color w:val="0000FF"/>
            <w:u w:val="single" w:color="0000FF"/>
          </w:rPr>
          <w:t>aimee.j.letson@mass.gov</w:t>
        </w:r>
      </w:hyperlink>
    </w:p>
    <w:sectPr w:rsidR="007F5196">
      <w:pgSz w:w="12240" w:h="15840"/>
      <w:pgMar w:top="1360" w:right="2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672CA"/>
    <w:multiLevelType w:val="hybridMultilevel"/>
    <w:tmpl w:val="E9F4F30A"/>
    <w:lvl w:ilvl="0" w:tplc="79B80BC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F66C34"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6AA474E6">
      <w:numFmt w:val="bullet"/>
      <w:lvlText w:val=""/>
      <w:lvlJc w:val="left"/>
      <w:pPr>
        <w:ind w:left="30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3BC5F9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 w:tplc="0E647660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D54AF400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4922F96E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7" w:tplc="89E0CBE6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B37409E4">
      <w:numFmt w:val="bullet"/>
      <w:lvlText w:val="•"/>
      <w:lvlJc w:val="left"/>
      <w:pPr>
        <w:ind w:left="9260" w:hanging="360"/>
      </w:pPr>
      <w:rPr>
        <w:rFonts w:hint="default"/>
        <w:lang w:val="en-US" w:eastAsia="en-US" w:bidi="ar-SA"/>
      </w:rPr>
    </w:lvl>
  </w:abstractNum>
  <w:num w:numId="1" w16cid:durableId="196176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96"/>
    <w:rsid w:val="00166CD1"/>
    <w:rsid w:val="007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1BA7"/>
  <w15:docId w15:val="{DABE0EAC-C590-45EC-824D-FAD41AE5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8" w:line="414" w:lineRule="exact"/>
      <w:ind w:left="118" w:right="15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info-details/information-for-licensed-substance-use-disorder-treatment-programs" TargetMode="External"/><Relationship Id="rId18" Type="http://schemas.openxmlformats.org/officeDocument/2006/relationships/hyperlink" Target="mailto:luisa.fundora@mass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information-for-licensed-substance-use-disorder-treatment-programs" TargetMode="External"/><Relationship Id="rId17" Type="http://schemas.openxmlformats.org/officeDocument/2006/relationships/hyperlink" Target="mailto:deryk.meehan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im.burnett@mass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substance-use-disorder-treatment-services-bulletin-11-supervision-and-staffing-requirements-for-substance-use-disorder-treatment-providers-corrected-0/download" TargetMode="External"/><Relationship Id="rId5" Type="http://schemas.openxmlformats.org/officeDocument/2006/relationships/styles" Target="styles.xml"/><Relationship Id="rId15" Type="http://schemas.openxmlformats.org/officeDocument/2006/relationships/hyperlink" Target="mailto:jessica.hudon@mass.gov" TargetMode="External"/><Relationship Id="rId10" Type="http://schemas.openxmlformats.org/officeDocument/2006/relationships/hyperlink" Target="https://www.mass.gov/doc/substance-use-disorder-treatment-services-bulletin-11-supervision-and-staffing-requirements-for-substance-use-disorder-treatment-providers-corrected-0/download" TargetMode="External"/><Relationship Id="rId19" Type="http://schemas.openxmlformats.org/officeDocument/2006/relationships/hyperlink" Target="mailto:aimee.j.letson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ss.gov/dph" TargetMode="External"/><Relationship Id="rId14" Type="http://schemas.openxmlformats.org/officeDocument/2006/relationships/hyperlink" Target="mailto:nathaly.diaz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0506D-FD28-4285-9073-311054118250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86E4D48A-945D-411D-AEB1-8FD3D9077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ECF47-CBA2-426C-8EC3-551AB6D78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Harrison, Deborah (EHS)</cp:lastModifiedBy>
  <cp:revision>2</cp:revision>
  <dcterms:created xsi:type="dcterms:W3CDTF">2023-10-30T18:38:00Z</dcterms:created>
  <dcterms:modified xsi:type="dcterms:W3CDTF">2023-10-30T18:38:00Z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0x010100ABFEDB9F107C6446B43D25A543876226</vt:lpwstr>
  </property>
  <property fmtid="{D5CDD505-2E9C-101B-9397-08002B2CF9AE}" pid="7" name="MediaServiceImageTags">
    <vt:lpwstr/>
  </property>
</Properties>
</file>