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546DDC" w:rsidRDefault="00056632" w:rsidP="00056632">
      <w:pPr>
        <w:jc w:val="center"/>
        <w:rPr>
          <w:b/>
        </w:rPr>
      </w:pPr>
      <w:r w:rsidRPr="00546DDC">
        <w:rPr>
          <w:b/>
        </w:rPr>
        <w:t>COMMONWEALTH OF MASSACHUSETTS</w:t>
      </w:r>
    </w:p>
    <w:p w:rsidR="00056632" w:rsidRPr="00546DDC" w:rsidRDefault="00056632" w:rsidP="00056632">
      <w:pPr>
        <w:rPr>
          <w:b/>
        </w:rPr>
      </w:pPr>
    </w:p>
    <w:p w:rsidR="00056632" w:rsidRPr="00546DDC" w:rsidRDefault="00056632" w:rsidP="00056632">
      <w:pPr>
        <w:rPr>
          <w:b/>
        </w:rPr>
      </w:pPr>
      <w:r w:rsidRPr="00546DDC">
        <w:rPr>
          <w:b/>
        </w:rPr>
        <w:t xml:space="preserve">SUFFOLK, ss. </w:t>
      </w:r>
      <w:r w:rsidRPr="00546DDC">
        <w:rPr>
          <w:b/>
        </w:rPr>
        <w:tab/>
      </w:r>
      <w:r w:rsidRPr="00546DDC">
        <w:rPr>
          <w:b/>
        </w:rPr>
        <w:tab/>
      </w:r>
      <w:r w:rsidRPr="00546DDC">
        <w:rPr>
          <w:b/>
        </w:rPr>
        <w:tab/>
      </w:r>
      <w:r w:rsidRPr="00546DDC">
        <w:rPr>
          <w:b/>
        </w:rPr>
        <w:tab/>
        <w:t xml:space="preserve">                BUILDING CODE APPEALS BOARD</w:t>
      </w:r>
      <w:r w:rsidRPr="00546DDC">
        <w:rPr>
          <w:b/>
        </w:rPr>
        <w:tab/>
      </w:r>
      <w:r w:rsidRPr="00546DDC">
        <w:rPr>
          <w:b/>
        </w:rPr>
        <w:tab/>
      </w:r>
      <w:r w:rsidRPr="00546DDC">
        <w:rPr>
          <w:b/>
        </w:rPr>
        <w:tab/>
      </w:r>
      <w:r w:rsidRPr="00546DDC">
        <w:rPr>
          <w:b/>
        </w:rPr>
        <w:tab/>
      </w:r>
      <w:r w:rsidRPr="00546DDC">
        <w:rPr>
          <w:b/>
        </w:rPr>
        <w:tab/>
      </w:r>
      <w:r w:rsidRPr="00546DDC">
        <w:rPr>
          <w:b/>
        </w:rPr>
        <w:tab/>
      </w:r>
      <w:r w:rsidRPr="00546DDC">
        <w:rPr>
          <w:b/>
        </w:rPr>
        <w:tab/>
      </w:r>
      <w:r w:rsidRPr="00546DDC">
        <w:rPr>
          <w:b/>
        </w:rPr>
        <w:tab/>
        <w:t xml:space="preserve">    DOCKET NO.: </w:t>
      </w:r>
      <w:r w:rsidR="00407F78" w:rsidRPr="00546DDC">
        <w:rPr>
          <w:b/>
        </w:rPr>
        <w:t>11-9</w:t>
      </w:r>
      <w:r w:rsidR="00C00B93" w:rsidRPr="00546DDC">
        <w:rPr>
          <w:b/>
        </w:rPr>
        <w:t>6</w:t>
      </w:r>
      <w:r w:rsidR="00150134" w:rsidRPr="00546DDC">
        <w:rPr>
          <w:b/>
        </w:rPr>
        <w:t>1</w:t>
      </w:r>
    </w:p>
    <w:p w:rsidR="00056632" w:rsidRPr="00546DDC" w:rsidRDefault="00056632" w:rsidP="00056632">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rPr>
          <w:b/>
        </w:rPr>
        <w:softHyphen/>
      </w:r>
      <w:r w:rsidRPr="00546DDC">
        <w:t>______________________________</w:t>
      </w:r>
    </w:p>
    <w:p w:rsidR="00A312BA" w:rsidRPr="00546DDC" w:rsidRDefault="00A312BA" w:rsidP="00056632">
      <w:r w:rsidRPr="00546DDC">
        <w:t xml:space="preserve"> </w:t>
      </w:r>
      <w:r w:rsidRPr="00546DDC">
        <w:tab/>
      </w:r>
      <w:r w:rsidRPr="00546DDC">
        <w:tab/>
      </w:r>
      <w:r w:rsidRPr="00546DDC">
        <w:tab/>
      </w:r>
      <w:r w:rsidRPr="00546DDC">
        <w:tab/>
      </w:r>
      <w:r w:rsidRPr="00546DDC">
        <w:tab/>
        <w:t>)</w:t>
      </w:r>
    </w:p>
    <w:p w:rsidR="00056632" w:rsidRPr="00546DDC" w:rsidRDefault="008F75AA" w:rsidP="0051519F">
      <w:r w:rsidRPr="00546DDC">
        <w:t>Fintan Murtagh</w:t>
      </w:r>
      <w:r w:rsidR="00EF220F" w:rsidRPr="00546DDC">
        <w:t>,</w:t>
      </w:r>
      <w:r w:rsidRPr="00546DDC">
        <w:tab/>
      </w:r>
      <w:r w:rsidR="002D4CBA" w:rsidRPr="00546DDC">
        <w:tab/>
      </w:r>
      <w:r w:rsidR="00AA3F2E" w:rsidRPr="00546DDC">
        <w:tab/>
      </w:r>
      <w:r w:rsidR="00056632" w:rsidRPr="00546DDC">
        <w:t>)</w:t>
      </w:r>
    </w:p>
    <w:p w:rsidR="00056632" w:rsidRPr="00546DDC" w:rsidRDefault="00647050" w:rsidP="00056632">
      <w:r w:rsidRPr="00546DDC">
        <w:t>Appellant</w:t>
      </w:r>
      <w:r w:rsidR="00056632" w:rsidRPr="00546DDC">
        <w:t xml:space="preserve"> </w:t>
      </w:r>
      <w:r w:rsidR="00056632" w:rsidRPr="00546DDC">
        <w:tab/>
      </w:r>
      <w:r w:rsidR="00056632" w:rsidRPr="00546DDC">
        <w:tab/>
      </w:r>
      <w:r w:rsidRPr="00546DDC">
        <w:t xml:space="preserve">                        </w:t>
      </w:r>
      <w:r w:rsidR="00056632" w:rsidRPr="00546DDC">
        <w:t>)</w:t>
      </w:r>
    </w:p>
    <w:p w:rsidR="00056632" w:rsidRPr="00546DDC" w:rsidRDefault="00056632" w:rsidP="00056632">
      <w:r w:rsidRPr="00546DDC">
        <w:tab/>
      </w:r>
      <w:r w:rsidRPr="00546DDC">
        <w:tab/>
      </w:r>
      <w:r w:rsidRPr="00546DDC">
        <w:tab/>
      </w:r>
      <w:r w:rsidRPr="00546DDC">
        <w:tab/>
      </w:r>
      <w:r w:rsidRPr="00546DDC">
        <w:tab/>
        <w:t>)</w:t>
      </w:r>
    </w:p>
    <w:p w:rsidR="0048437C" w:rsidRPr="00546DDC" w:rsidRDefault="00056632" w:rsidP="00056632">
      <w:r w:rsidRPr="00546DDC">
        <w:t>v.</w:t>
      </w:r>
      <w:r w:rsidRPr="00546DDC">
        <w:tab/>
      </w:r>
      <w:r w:rsidRPr="00546DDC">
        <w:tab/>
      </w:r>
      <w:r w:rsidR="0048437C" w:rsidRPr="00546DDC">
        <w:tab/>
      </w:r>
      <w:r w:rsidR="0048437C" w:rsidRPr="00546DDC">
        <w:tab/>
      </w:r>
      <w:r w:rsidR="0048437C" w:rsidRPr="00546DDC">
        <w:tab/>
        <w:t>)</w:t>
      </w:r>
    </w:p>
    <w:p w:rsidR="00056632" w:rsidRPr="00546DDC" w:rsidRDefault="0048437C" w:rsidP="00056632">
      <w:r w:rsidRPr="00546DDC">
        <w:tab/>
      </w:r>
      <w:r w:rsidRPr="00546DDC">
        <w:tab/>
      </w:r>
      <w:r w:rsidR="00056632" w:rsidRPr="00546DDC">
        <w:tab/>
      </w:r>
      <w:r w:rsidR="00056632" w:rsidRPr="00546DDC">
        <w:tab/>
      </w:r>
      <w:r w:rsidR="00056632" w:rsidRPr="00546DDC">
        <w:tab/>
        <w:t>)</w:t>
      </w:r>
      <w:r w:rsidR="00056632" w:rsidRPr="00546DDC">
        <w:tab/>
      </w:r>
      <w:r w:rsidR="00056632" w:rsidRPr="00546DDC">
        <w:tab/>
      </w:r>
      <w:r w:rsidR="00056632" w:rsidRPr="00546DDC">
        <w:tab/>
      </w:r>
      <w:r w:rsidR="00056632" w:rsidRPr="00546DDC">
        <w:tab/>
        <w:t xml:space="preserve"> </w:t>
      </w:r>
    </w:p>
    <w:p w:rsidR="00056632" w:rsidRPr="00546DDC" w:rsidRDefault="008F75AA" w:rsidP="00056632">
      <w:r w:rsidRPr="00546DDC">
        <w:t>City of Boston</w:t>
      </w:r>
      <w:r w:rsidR="007C751A" w:rsidRPr="00546DDC">
        <w:t>,</w:t>
      </w:r>
      <w:r w:rsidR="00407CCD" w:rsidRPr="00546DDC">
        <w:tab/>
      </w:r>
      <w:r w:rsidR="00647050" w:rsidRPr="00546DDC">
        <w:t xml:space="preserve">   </w:t>
      </w:r>
      <w:r w:rsidR="00A312BA" w:rsidRPr="00546DDC">
        <w:t xml:space="preserve">         </w:t>
      </w:r>
      <w:r w:rsidR="0048437C" w:rsidRPr="00546DDC">
        <w:tab/>
        <w:t>)</w:t>
      </w:r>
    </w:p>
    <w:p w:rsidR="00056632" w:rsidRPr="00546DDC" w:rsidRDefault="00056632" w:rsidP="00056632">
      <w:r w:rsidRPr="00546DDC">
        <w:t>Appellees</w:t>
      </w:r>
      <w:r w:rsidRPr="00546DDC">
        <w:tab/>
      </w:r>
      <w:r w:rsidRPr="00546DDC">
        <w:tab/>
      </w:r>
      <w:r w:rsidR="007C751A" w:rsidRPr="00546DDC">
        <w:t xml:space="preserve">                        </w:t>
      </w:r>
      <w:r w:rsidRPr="00546DDC">
        <w:t>)</w:t>
      </w:r>
    </w:p>
    <w:p w:rsidR="00056632" w:rsidRPr="00546DDC" w:rsidRDefault="00056632" w:rsidP="00056632">
      <w:r w:rsidRPr="00546DDC">
        <w:t>______________________________)</w:t>
      </w:r>
    </w:p>
    <w:p w:rsidR="00056632" w:rsidRPr="00546DDC" w:rsidRDefault="00056632" w:rsidP="00056632"/>
    <w:p w:rsidR="003D2210" w:rsidRPr="00546DDC" w:rsidRDefault="003D2210" w:rsidP="003D2210">
      <w:pPr>
        <w:jc w:val="center"/>
        <w:rPr>
          <w:b/>
          <w:u w:val="single"/>
        </w:rPr>
      </w:pPr>
      <w:r w:rsidRPr="00546DDC">
        <w:rPr>
          <w:b/>
          <w:u w:val="single"/>
        </w:rPr>
        <w:t>BOARD’S RULING ON APPEAL</w:t>
      </w:r>
    </w:p>
    <w:p w:rsidR="00647050" w:rsidRPr="00546DDC" w:rsidRDefault="00647050" w:rsidP="00647050">
      <w:pPr>
        <w:jc w:val="center"/>
        <w:rPr>
          <w:b/>
          <w:u w:val="single"/>
        </w:rPr>
      </w:pPr>
    </w:p>
    <w:p w:rsidR="00647050" w:rsidRPr="00546DDC" w:rsidRDefault="00647050" w:rsidP="00647050">
      <w:pPr>
        <w:jc w:val="center"/>
        <w:rPr>
          <w:b/>
          <w:u w:val="single"/>
        </w:rPr>
      </w:pPr>
      <w:r w:rsidRPr="00546DDC">
        <w:rPr>
          <w:b/>
          <w:u w:val="single"/>
        </w:rPr>
        <w:t>Introduction</w:t>
      </w:r>
    </w:p>
    <w:p w:rsidR="00647050" w:rsidRPr="00546DDC" w:rsidRDefault="00647050" w:rsidP="00647050">
      <w:pPr>
        <w:rPr>
          <w:b/>
          <w:u w:val="single"/>
        </w:rPr>
      </w:pPr>
    </w:p>
    <w:p w:rsidR="008379C1" w:rsidRPr="00546DDC" w:rsidRDefault="00647050" w:rsidP="00647050">
      <w:pPr>
        <w:rPr>
          <w:color w:val="000000"/>
        </w:rPr>
      </w:pPr>
      <w:r w:rsidRPr="00546DDC">
        <w:tab/>
      </w:r>
      <w:r w:rsidR="003D2210" w:rsidRPr="00546DDC">
        <w:rPr>
          <w:color w:val="000000"/>
        </w:rPr>
        <w:t>This matter came before the State Building Cod</w:t>
      </w:r>
      <w:r w:rsidR="00D70491" w:rsidRPr="00546DDC">
        <w:rPr>
          <w:color w:val="000000"/>
        </w:rPr>
        <w:t>e Appeals Board (“Board”) on a</w:t>
      </w:r>
      <w:r w:rsidR="003D2210" w:rsidRPr="00546DDC">
        <w:rPr>
          <w:color w:val="000000"/>
        </w:rPr>
        <w:t xml:space="preserve">ppellant’s appeal filed pursuant to G.L. c.143, §100 and 780 CMR 122.1.  In accordance with 780 CMR 122.3 the </w:t>
      </w:r>
      <w:r w:rsidR="0080063D" w:rsidRPr="00546DDC">
        <w:rPr>
          <w:color w:val="000000"/>
        </w:rPr>
        <w:t>a</w:t>
      </w:r>
      <w:r w:rsidR="003D2210" w:rsidRPr="00546DDC">
        <w:rPr>
          <w:color w:val="000000"/>
        </w:rPr>
        <w:t xml:space="preserve">ppellant petitioned the Board to </w:t>
      </w:r>
      <w:r w:rsidR="00954759" w:rsidRPr="00546DDC">
        <w:rPr>
          <w:color w:val="000000"/>
        </w:rPr>
        <w:t>grant variance</w:t>
      </w:r>
      <w:r w:rsidR="00F01ED5" w:rsidRPr="00546DDC">
        <w:rPr>
          <w:color w:val="000000"/>
        </w:rPr>
        <w:t>s</w:t>
      </w:r>
      <w:r w:rsidR="00954759" w:rsidRPr="00546DDC">
        <w:rPr>
          <w:color w:val="000000"/>
        </w:rPr>
        <w:t xml:space="preserve"> </w:t>
      </w:r>
      <w:r w:rsidR="003D2210" w:rsidRPr="00546DDC">
        <w:rPr>
          <w:color w:val="000000"/>
        </w:rPr>
        <w:t>based on the</w:t>
      </w:r>
      <w:r w:rsidR="004C16E3" w:rsidRPr="00546DDC">
        <w:rPr>
          <w:color w:val="000000"/>
        </w:rPr>
        <w:t xml:space="preserve"> </w:t>
      </w:r>
      <w:r w:rsidR="000B419A" w:rsidRPr="00546DDC">
        <w:rPr>
          <w:color w:val="000000"/>
        </w:rPr>
        <w:t>Seventh</w:t>
      </w:r>
      <w:r w:rsidR="00F20FF3" w:rsidRPr="00546DDC">
        <w:rPr>
          <w:color w:val="000000"/>
        </w:rPr>
        <w:t xml:space="preserve"> </w:t>
      </w:r>
      <w:r w:rsidR="003D2210" w:rsidRPr="00546DDC">
        <w:rPr>
          <w:color w:val="000000"/>
        </w:rPr>
        <w:t xml:space="preserve">Edition of </w:t>
      </w:r>
      <w:r w:rsidR="00B77D1C" w:rsidRPr="00546DDC">
        <w:rPr>
          <w:color w:val="000000"/>
        </w:rPr>
        <w:t>the Massachusetts</w:t>
      </w:r>
      <w:r w:rsidR="003D2210" w:rsidRPr="00546DDC">
        <w:rPr>
          <w:color w:val="000000"/>
        </w:rPr>
        <w:t xml:space="preserve"> State Building Code (“Code”).  </w:t>
      </w:r>
      <w:r w:rsidR="008379C1" w:rsidRPr="00546DDC">
        <w:rPr>
          <w:color w:val="000000"/>
        </w:rPr>
        <w:t xml:space="preserve">For the following reasons, </w:t>
      </w:r>
      <w:r w:rsidR="0051519F" w:rsidRPr="00546DDC">
        <w:rPr>
          <w:color w:val="000000"/>
        </w:rPr>
        <w:t>the variance</w:t>
      </w:r>
      <w:r w:rsidR="00F01ED5" w:rsidRPr="00546DDC">
        <w:rPr>
          <w:color w:val="000000"/>
        </w:rPr>
        <w:t>s</w:t>
      </w:r>
      <w:r w:rsidR="00CD5DF3" w:rsidRPr="00546DDC">
        <w:rPr>
          <w:color w:val="000000"/>
        </w:rPr>
        <w:t xml:space="preserve"> </w:t>
      </w:r>
      <w:r w:rsidR="00F01ED5" w:rsidRPr="00546DDC">
        <w:rPr>
          <w:color w:val="000000"/>
        </w:rPr>
        <w:t>are</w:t>
      </w:r>
      <w:r w:rsidR="0051519F" w:rsidRPr="00546DDC">
        <w:rPr>
          <w:color w:val="000000"/>
        </w:rPr>
        <w:t xml:space="preserve"> hereby </w:t>
      </w:r>
      <w:r w:rsidR="0051519F" w:rsidRPr="00546DDC">
        <w:rPr>
          <w:b/>
          <w:color w:val="000000"/>
        </w:rPr>
        <w:t>GRANTED</w:t>
      </w:r>
      <w:r w:rsidR="0051519F" w:rsidRPr="00546DDC">
        <w:rPr>
          <w:color w:val="000000"/>
        </w:rPr>
        <w:t>.</w:t>
      </w:r>
      <w:r w:rsidR="008379C1" w:rsidRPr="00546DDC">
        <w:rPr>
          <w:color w:val="000000"/>
        </w:rPr>
        <w:t xml:space="preserve">  </w:t>
      </w:r>
    </w:p>
    <w:p w:rsidR="008379C1" w:rsidRPr="00546DDC" w:rsidRDefault="008379C1" w:rsidP="00647050">
      <w:pPr>
        <w:rPr>
          <w:color w:val="000000"/>
        </w:rPr>
      </w:pPr>
    </w:p>
    <w:p w:rsidR="00647050" w:rsidRPr="00546DDC" w:rsidRDefault="00A76749" w:rsidP="00647050">
      <w:pPr>
        <w:rPr>
          <w:color w:val="000000"/>
        </w:rPr>
      </w:pPr>
      <w:r w:rsidRPr="00546DDC">
        <w:rPr>
          <w:color w:val="000000"/>
        </w:rPr>
        <w:tab/>
        <w:t>The a</w:t>
      </w:r>
      <w:r w:rsidR="00647050" w:rsidRPr="00546DDC">
        <w:rPr>
          <w:color w:val="000000"/>
        </w:rPr>
        <w:t>ppellant</w:t>
      </w:r>
      <w:r w:rsidR="003D2210" w:rsidRPr="00546DDC">
        <w:rPr>
          <w:color w:val="000000"/>
        </w:rPr>
        <w:t xml:space="preserve"> </w:t>
      </w:r>
      <w:r w:rsidR="00647050" w:rsidRPr="00546DDC">
        <w:rPr>
          <w:color w:val="000000"/>
        </w:rPr>
        <w:t xml:space="preserve">requested that the Board </w:t>
      </w:r>
      <w:r w:rsidR="008B05AA" w:rsidRPr="00546DDC">
        <w:rPr>
          <w:color w:val="000000"/>
        </w:rPr>
        <w:t>grant</w:t>
      </w:r>
      <w:r w:rsidR="00E97FDA" w:rsidRPr="00546DDC">
        <w:rPr>
          <w:color w:val="000000"/>
        </w:rPr>
        <w:t xml:space="preserve"> </w:t>
      </w:r>
      <w:r w:rsidR="00EF220F" w:rsidRPr="00546DDC">
        <w:rPr>
          <w:color w:val="000000"/>
        </w:rPr>
        <w:t xml:space="preserve">a </w:t>
      </w:r>
      <w:r w:rsidR="00E97FDA" w:rsidRPr="00546DDC">
        <w:rPr>
          <w:color w:val="000000"/>
        </w:rPr>
        <w:t>variance</w:t>
      </w:r>
      <w:r w:rsidR="00954759" w:rsidRPr="00546DDC">
        <w:rPr>
          <w:color w:val="000000"/>
        </w:rPr>
        <w:t xml:space="preserve"> </w:t>
      </w:r>
      <w:r w:rsidR="0091768D" w:rsidRPr="00546DDC">
        <w:rPr>
          <w:color w:val="000000"/>
        </w:rPr>
        <w:t>f</w:t>
      </w:r>
      <w:r w:rsidR="004C16E3" w:rsidRPr="00546DDC">
        <w:rPr>
          <w:color w:val="000000"/>
        </w:rPr>
        <w:t>rom</w:t>
      </w:r>
      <w:r w:rsidR="006006DD" w:rsidRPr="00546DDC">
        <w:rPr>
          <w:color w:val="000000"/>
        </w:rPr>
        <w:t xml:space="preserve"> </w:t>
      </w:r>
      <w:r w:rsidR="004C16E3" w:rsidRPr="00546DDC">
        <w:rPr>
          <w:color w:val="000000"/>
        </w:rPr>
        <w:t>780 CMR</w:t>
      </w:r>
      <w:r w:rsidR="008B05AA" w:rsidRPr="00546DDC">
        <w:rPr>
          <w:color w:val="000000"/>
        </w:rPr>
        <w:t xml:space="preserve"> </w:t>
      </w:r>
      <w:r w:rsidR="00EF220F" w:rsidRPr="00546DDC">
        <w:rPr>
          <w:color w:val="000000"/>
        </w:rPr>
        <w:t>Section</w:t>
      </w:r>
      <w:r w:rsidR="008F75AA" w:rsidRPr="00546DDC">
        <w:rPr>
          <w:color w:val="000000"/>
        </w:rPr>
        <w:t>s</w:t>
      </w:r>
      <w:r w:rsidR="00FB2F00" w:rsidRPr="00546DDC">
        <w:rPr>
          <w:color w:val="000000"/>
        </w:rPr>
        <w:t xml:space="preserve"> </w:t>
      </w:r>
      <w:r w:rsidR="000B419A" w:rsidRPr="00546DDC">
        <w:rPr>
          <w:color w:val="000000"/>
        </w:rPr>
        <w:t>1013.2</w:t>
      </w:r>
      <w:r w:rsidR="008F75AA" w:rsidRPr="00546DDC">
        <w:rPr>
          <w:color w:val="000000"/>
        </w:rPr>
        <w:t>, 1022.4, 1022.6, and 1023.3</w:t>
      </w:r>
      <w:r w:rsidR="000B419A" w:rsidRPr="00546DDC">
        <w:rPr>
          <w:color w:val="000000"/>
        </w:rPr>
        <w:t xml:space="preserve">.  </w:t>
      </w:r>
      <w:r w:rsidR="008F75AA" w:rsidRPr="00546DDC">
        <w:rPr>
          <w:color w:val="000000"/>
        </w:rPr>
        <w:t xml:space="preserve">Attorney George Morancy </w:t>
      </w:r>
      <w:r w:rsidR="009578E4" w:rsidRPr="00546DDC">
        <w:rPr>
          <w:color w:val="000000"/>
        </w:rPr>
        <w:t>appeared</w:t>
      </w:r>
      <w:r w:rsidR="00AA3F2E" w:rsidRPr="00546DDC">
        <w:rPr>
          <w:color w:val="000000"/>
        </w:rPr>
        <w:t xml:space="preserve"> </w:t>
      </w:r>
      <w:r w:rsidR="00735450" w:rsidRPr="00546DDC">
        <w:rPr>
          <w:color w:val="000000"/>
        </w:rPr>
        <w:t>on behalf of</w:t>
      </w:r>
      <w:r w:rsidR="00461877" w:rsidRPr="00546DDC">
        <w:rPr>
          <w:color w:val="000000"/>
        </w:rPr>
        <w:t xml:space="preserve"> the appellant</w:t>
      </w:r>
      <w:r w:rsidR="00FA7148" w:rsidRPr="00546DDC">
        <w:rPr>
          <w:color w:val="000000"/>
        </w:rPr>
        <w:t>.</w:t>
      </w:r>
      <w:r w:rsidR="00980111" w:rsidRPr="00546DDC">
        <w:rPr>
          <w:color w:val="000000"/>
        </w:rPr>
        <w:t xml:space="preserve">  No building official</w:t>
      </w:r>
      <w:r w:rsidR="00FB2F00" w:rsidRPr="00546DDC">
        <w:rPr>
          <w:color w:val="000000"/>
        </w:rPr>
        <w:t xml:space="preserve"> </w:t>
      </w:r>
      <w:r w:rsidR="00F01ED5" w:rsidRPr="00546DDC">
        <w:rPr>
          <w:color w:val="000000"/>
        </w:rPr>
        <w:t xml:space="preserve">from the City </w:t>
      </w:r>
      <w:r w:rsidR="00FB2F00" w:rsidRPr="00546DDC">
        <w:rPr>
          <w:color w:val="000000"/>
        </w:rPr>
        <w:t>was present</w:t>
      </w:r>
      <w:r w:rsidR="0072453F" w:rsidRPr="00546DDC">
        <w:rPr>
          <w:color w:val="000000"/>
        </w:rPr>
        <w:t>.</w:t>
      </w:r>
      <w:r w:rsidR="00FA7148" w:rsidRPr="00546DDC">
        <w:rPr>
          <w:color w:val="000000"/>
        </w:rPr>
        <w:t xml:space="preserve">  </w:t>
      </w:r>
      <w:r w:rsidR="00647050" w:rsidRPr="00546DDC">
        <w:rPr>
          <w:color w:val="000000"/>
        </w:rPr>
        <w:t xml:space="preserve">All witnesses were duly sworn.  </w:t>
      </w:r>
    </w:p>
    <w:p w:rsidR="003A03CA" w:rsidRPr="00546DDC" w:rsidRDefault="003A03CA" w:rsidP="00056632"/>
    <w:p w:rsidR="00197811" w:rsidRPr="00546DDC" w:rsidRDefault="00197811" w:rsidP="00BB03EA">
      <w:pPr>
        <w:jc w:val="center"/>
        <w:rPr>
          <w:b/>
          <w:u w:val="single"/>
        </w:rPr>
      </w:pPr>
      <w:r w:rsidRPr="00546DDC">
        <w:rPr>
          <w:b/>
          <w:u w:val="single"/>
        </w:rPr>
        <w:t>Procedural History</w:t>
      </w:r>
    </w:p>
    <w:p w:rsidR="00375B2C" w:rsidRPr="00546DDC" w:rsidRDefault="00375B2C" w:rsidP="00BB03EA">
      <w:pPr>
        <w:jc w:val="center"/>
        <w:rPr>
          <w:b/>
          <w:u w:val="single"/>
        </w:rPr>
      </w:pPr>
    </w:p>
    <w:p w:rsidR="00FA6BD9" w:rsidRPr="00546DDC" w:rsidRDefault="00056632" w:rsidP="003A518E">
      <w:pPr>
        <w:ind w:firstLine="720"/>
      </w:pPr>
      <w:r w:rsidRPr="00546DDC">
        <w:t xml:space="preserve">The Board convened a public hearing on </w:t>
      </w:r>
      <w:r w:rsidR="00407F78" w:rsidRPr="00546DDC">
        <w:t>January 6, 2011,</w:t>
      </w:r>
      <w:r w:rsidRPr="00546DDC">
        <w:t xml:space="preserve"> i</w:t>
      </w:r>
      <w:r w:rsidR="009A258D" w:rsidRPr="00546DDC">
        <w:t xml:space="preserve">n </w:t>
      </w:r>
      <w:r w:rsidR="00A6650A" w:rsidRPr="00546DDC">
        <w:t>accordance with G</w:t>
      </w:r>
      <w:r w:rsidR="00253E7B" w:rsidRPr="00546DDC">
        <w:t>.</w:t>
      </w:r>
      <w:r w:rsidR="00A6650A" w:rsidRPr="00546DDC">
        <w:t>L</w:t>
      </w:r>
      <w:r w:rsidR="00253E7B" w:rsidRPr="00546DDC">
        <w:t>.</w:t>
      </w:r>
      <w:r w:rsidR="00A6650A" w:rsidRPr="00546DDC">
        <w:t>c. 3</w:t>
      </w:r>
      <w:r w:rsidR="00D51A92" w:rsidRPr="00546DDC">
        <w:t>0</w:t>
      </w:r>
      <w:r w:rsidR="00A6650A" w:rsidRPr="00546DDC">
        <w:t xml:space="preserve">A, §§10 </w:t>
      </w:r>
      <w:r w:rsidR="0076051C" w:rsidRPr="00546DDC">
        <w:t>&amp;</w:t>
      </w:r>
      <w:r w:rsidR="00A6650A" w:rsidRPr="00546DDC">
        <w:t xml:space="preserve"> 11; G</w:t>
      </w:r>
      <w:r w:rsidR="00253E7B" w:rsidRPr="00546DDC">
        <w:t>.</w:t>
      </w:r>
      <w:r w:rsidR="00A6650A" w:rsidRPr="00546DDC">
        <w:t>L</w:t>
      </w:r>
      <w:r w:rsidR="00253E7B" w:rsidRPr="00546DDC">
        <w:t>.</w:t>
      </w:r>
      <w:r w:rsidR="00A6650A" w:rsidRPr="00546DDC">
        <w:t>c. 143, §100; 801 CMR 1.02; an</w:t>
      </w:r>
      <w:r w:rsidR="00C96098" w:rsidRPr="00546DDC">
        <w:t>d 780 CMR 122.3</w:t>
      </w:r>
      <w:r w:rsidRPr="00546DDC">
        <w:t>.  A</w:t>
      </w:r>
      <w:r w:rsidR="00A6650A" w:rsidRPr="00546DDC">
        <w:t>ll interested parties were provided with an opportunity to testify and present evidence to the Board.</w:t>
      </w:r>
    </w:p>
    <w:p w:rsidR="00D53774" w:rsidRPr="00546DDC" w:rsidRDefault="00D53774" w:rsidP="00FA6BD9">
      <w:r w:rsidRPr="00546DDC">
        <w:tab/>
      </w:r>
    </w:p>
    <w:p w:rsidR="00647050" w:rsidRPr="00546DDC" w:rsidRDefault="00647050" w:rsidP="00647050">
      <w:pPr>
        <w:jc w:val="center"/>
        <w:rPr>
          <w:b/>
          <w:color w:val="000000"/>
          <w:u w:val="single"/>
        </w:rPr>
      </w:pPr>
      <w:r w:rsidRPr="00546DDC">
        <w:rPr>
          <w:b/>
          <w:color w:val="000000"/>
          <w:u w:val="single"/>
        </w:rPr>
        <w:t>Findings of Fact</w:t>
      </w:r>
    </w:p>
    <w:p w:rsidR="00647050" w:rsidRPr="00546DDC" w:rsidRDefault="00647050" w:rsidP="00647050">
      <w:pPr>
        <w:jc w:val="center"/>
        <w:rPr>
          <w:b/>
          <w:color w:val="000000"/>
          <w:u w:val="single"/>
        </w:rPr>
      </w:pPr>
    </w:p>
    <w:p w:rsidR="0051519F" w:rsidRPr="00546DDC" w:rsidRDefault="00647050" w:rsidP="00647050">
      <w:r w:rsidRPr="00546DDC">
        <w:tab/>
        <w:t>The facts of this matter are largely not in dispute.  Instead, this matter turns on the review of the applicable provisio</w:t>
      </w:r>
      <w:r w:rsidR="00C8363A" w:rsidRPr="00546DDC">
        <w:t xml:space="preserve">ns of the State Building Code.  </w:t>
      </w:r>
      <w:r w:rsidRPr="00546DDC">
        <w:t>The Board bases the following findings upon the testimony presented at the hearing.  There is substantial evidence to support the following findings:</w:t>
      </w:r>
    </w:p>
    <w:p w:rsidR="008245B3" w:rsidRPr="00546DDC" w:rsidRDefault="008245B3" w:rsidP="00647050"/>
    <w:p w:rsidR="008F75AA" w:rsidRPr="00546DDC" w:rsidRDefault="0051519F" w:rsidP="00F01ED5">
      <w:pPr>
        <w:numPr>
          <w:ilvl w:val="0"/>
          <w:numId w:val="7"/>
        </w:numPr>
      </w:pPr>
      <w:r w:rsidRPr="00546DDC">
        <w:t xml:space="preserve">The property at issue </w:t>
      </w:r>
      <w:r w:rsidR="002B27DF" w:rsidRPr="00546DDC">
        <w:t>is</w:t>
      </w:r>
      <w:r w:rsidR="001E25BD" w:rsidRPr="00546DDC">
        <w:t xml:space="preserve"> </w:t>
      </w:r>
      <w:r w:rsidR="00B06DDB" w:rsidRPr="00546DDC">
        <w:t>located at</w:t>
      </w:r>
      <w:r w:rsidR="008F75AA" w:rsidRPr="00546DDC">
        <w:t xml:space="preserve"> 37 Old Harbor Street, South Boston, MA.</w:t>
      </w:r>
    </w:p>
    <w:p w:rsidR="00F01ED5" w:rsidRPr="00546DDC" w:rsidRDefault="00F01ED5" w:rsidP="00150134">
      <w:pPr>
        <w:numPr>
          <w:ilvl w:val="0"/>
          <w:numId w:val="7"/>
        </w:numPr>
      </w:pPr>
      <w:r w:rsidRPr="00546DDC">
        <w:t>The subject property is an e</w:t>
      </w:r>
      <w:r w:rsidR="00BE0FD9" w:rsidRPr="00546DDC">
        <w:t xml:space="preserve">xisting 4 family </w:t>
      </w:r>
      <w:r w:rsidRPr="00546DDC">
        <w:t>dwelling located on a</w:t>
      </w:r>
      <w:r w:rsidR="00BE0FD9" w:rsidRPr="00546DDC">
        <w:t xml:space="preserve"> 2250 square foot lot in S</w:t>
      </w:r>
      <w:r w:rsidRPr="00546DDC">
        <w:t>outh B</w:t>
      </w:r>
      <w:r w:rsidR="00BE0FD9" w:rsidRPr="00546DDC">
        <w:t>oston</w:t>
      </w:r>
      <w:r w:rsidRPr="00546DDC">
        <w:t xml:space="preserve"> that is undergoing renovations.</w:t>
      </w:r>
    </w:p>
    <w:p w:rsidR="00F01ED5" w:rsidRPr="00546DDC" w:rsidRDefault="00F01ED5" w:rsidP="00150134">
      <w:pPr>
        <w:numPr>
          <w:ilvl w:val="0"/>
          <w:numId w:val="7"/>
        </w:numPr>
      </w:pPr>
      <w:r w:rsidRPr="00546DDC">
        <w:t>The subject property is over 100 years old.</w:t>
      </w:r>
    </w:p>
    <w:p w:rsidR="00564FFA" w:rsidRPr="00546DDC" w:rsidRDefault="00564FFA" w:rsidP="00150134">
      <w:pPr>
        <w:numPr>
          <w:ilvl w:val="0"/>
          <w:numId w:val="7"/>
        </w:numPr>
      </w:pPr>
      <w:r w:rsidRPr="00546DDC">
        <w:t xml:space="preserve">The subject property was </w:t>
      </w:r>
      <w:r w:rsidR="00BE0FD9" w:rsidRPr="00546DDC">
        <w:t>purchased by</w:t>
      </w:r>
      <w:r w:rsidRPr="00546DDC">
        <w:t xml:space="preserve"> the current owner in 2009.</w:t>
      </w:r>
    </w:p>
    <w:p w:rsidR="00564FFA" w:rsidRPr="00546DDC" w:rsidRDefault="00564FFA" w:rsidP="00150134">
      <w:pPr>
        <w:numPr>
          <w:ilvl w:val="0"/>
          <w:numId w:val="7"/>
        </w:numPr>
      </w:pPr>
      <w:r w:rsidRPr="00546DDC">
        <w:t xml:space="preserve">The current owner is </w:t>
      </w:r>
      <w:r w:rsidR="00BE0FD9" w:rsidRPr="00546DDC">
        <w:t>engaged in $185,000</w:t>
      </w:r>
      <w:r w:rsidRPr="00546DDC">
        <w:t xml:space="preserve"> worth of</w:t>
      </w:r>
      <w:r w:rsidR="001F3C58" w:rsidRPr="00546DDC">
        <w:t xml:space="preserve"> renovation</w:t>
      </w:r>
      <w:r w:rsidRPr="00546DDC">
        <w:t>s.</w:t>
      </w:r>
    </w:p>
    <w:p w:rsidR="00564FFA" w:rsidRPr="00546DDC" w:rsidRDefault="00564FFA" w:rsidP="00150134">
      <w:pPr>
        <w:numPr>
          <w:ilvl w:val="0"/>
          <w:numId w:val="7"/>
        </w:numPr>
      </w:pPr>
      <w:r w:rsidRPr="00546DDC">
        <w:t>A</w:t>
      </w:r>
      <w:r w:rsidR="001F3C58" w:rsidRPr="00546DDC">
        <w:t>t</w:t>
      </w:r>
      <w:r w:rsidRPr="00546DDC">
        <w:t xml:space="preserve"> the time the current owner purchased the property it was not sprinklered, the </w:t>
      </w:r>
      <w:r w:rsidR="00BE0FD9" w:rsidRPr="00546DDC">
        <w:t xml:space="preserve">secondary </w:t>
      </w:r>
      <w:r w:rsidRPr="00546DDC">
        <w:t xml:space="preserve">means of </w:t>
      </w:r>
      <w:r w:rsidR="00BE0FD9" w:rsidRPr="00546DDC">
        <w:t>egress from</w:t>
      </w:r>
      <w:r w:rsidRPr="00546DDC">
        <w:t xml:space="preserve"> the</w:t>
      </w:r>
      <w:r w:rsidR="00BE0FD9" w:rsidRPr="00546DDC">
        <w:t xml:space="preserve"> basement, first and second floors </w:t>
      </w:r>
      <w:r w:rsidRPr="00546DDC">
        <w:t>was achieved from an unprotected interior</w:t>
      </w:r>
      <w:r w:rsidR="00BE0FD9" w:rsidRPr="00546DDC">
        <w:t xml:space="preserve"> no</w:t>
      </w:r>
      <w:r w:rsidRPr="00546DDC">
        <w:t xml:space="preserve">nconforming stairway that was </w:t>
      </w:r>
      <w:r w:rsidR="00BE0FD9" w:rsidRPr="00546DDC">
        <w:t>30 inch</w:t>
      </w:r>
      <w:r w:rsidRPr="00546DDC">
        <w:t>es wide and led to a</w:t>
      </w:r>
      <w:r w:rsidR="00BE0FD9" w:rsidRPr="00546DDC">
        <w:t xml:space="preserve"> door to</w:t>
      </w:r>
      <w:r w:rsidRPr="00546DDC">
        <w:t xml:space="preserve"> the rear</w:t>
      </w:r>
      <w:r w:rsidR="00BE0FD9" w:rsidRPr="00546DDC">
        <w:t xml:space="preserve"> exterior of</w:t>
      </w:r>
      <w:r w:rsidRPr="00546DDC">
        <w:t xml:space="preserve"> the building.</w:t>
      </w:r>
      <w:r w:rsidR="00BE0FD9" w:rsidRPr="00546DDC">
        <w:t xml:space="preserve"> </w:t>
      </w:r>
    </w:p>
    <w:p w:rsidR="00564FFA" w:rsidRPr="00546DDC" w:rsidRDefault="00564FFA" w:rsidP="00150134">
      <w:pPr>
        <w:numPr>
          <w:ilvl w:val="0"/>
          <w:numId w:val="7"/>
        </w:numPr>
      </w:pPr>
      <w:r w:rsidRPr="00546DDC">
        <w:t xml:space="preserve">The new rear exit </w:t>
      </w:r>
      <w:r w:rsidR="00BE0FD9" w:rsidRPr="00546DDC">
        <w:t xml:space="preserve">is 9 feet farther from </w:t>
      </w:r>
      <w:r w:rsidRPr="00546DDC">
        <w:t xml:space="preserve">the </w:t>
      </w:r>
      <w:r w:rsidR="00BE0FD9" w:rsidRPr="00546DDC">
        <w:t>rear wall</w:t>
      </w:r>
      <w:r w:rsidRPr="00546DDC">
        <w:t xml:space="preserve"> than the original.</w:t>
      </w:r>
    </w:p>
    <w:p w:rsidR="00564FFA" w:rsidRPr="00546DDC" w:rsidRDefault="00564FFA" w:rsidP="00150134">
      <w:pPr>
        <w:numPr>
          <w:ilvl w:val="0"/>
          <w:numId w:val="7"/>
        </w:numPr>
      </w:pPr>
      <w:r w:rsidRPr="00546DDC">
        <w:t>The</w:t>
      </w:r>
      <w:r w:rsidR="00BE0FD9" w:rsidRPr="00546DDC">
        <w:t xml:space="preserve"> secondary </w:t>
      </w:r>
      <w:r w:rsidRPr="00546DDC">
        <w:t xml:space="preserve">means of </w:t>
      </w:r>
      <w:r w:rsidR="00BE0FD9" w:rsidRPr="00546DDC">
        <w:t xml:space="preserve">egress from </w:t>
      </w:r>
      <w:r w:rsidRPr="00546DDC">
        <w:t xml:space="preserve">the </w:t>
      </w:r>
      <w:r w:rsidR="00BE0FD9" w:rsidRPr="00546DDC">
        <w:t>3</w:t>
      </w:r>
      <w:r w:rsidR="00BE0FD9" w:rsidRPr="00546DDC">
        <w:rPr>
          <w:vertAlign w:val="superscript"/>
        </w:rPr>
        <w:t>rd</w:t>
      </w:r>
      <w:r w:rsidR="00BE0FD9" w:rsidRPr="00546DDC">
        <w:t xml:space="preserve"> floor </w:t>
      </w:r>
      <w:r w:rsidRPr="00546DDC">
        <w:t xml:space="preserve">of the original building was from an exterior side fire escape </w:t>
      </w:r>
      <w:r w:rsidR="00BE0FD9" w:rsidRPr="00546DDC">
        <w:t xml:space="preserve">erected </w:t>
      </w:r>
      <w:r w:rsidRPr="00546DDC">
        <w:t>in 1953 that is no longer in a safe condition.</w:t>
      </w:r>
    </w:p>
    <w:p w:rsidR="00BE0FD9" w:rsidRPr="00546DDC" w:rsidRDefault="00564FFA" w:rsidP="00150134">
      <w:pPr>
        <w:numPr>
          <w:ilvl w:val="0"/>
          <w:numId w:val="7"/>
        </w:numPr>
      </w:pPr>
      <w:r w:rsidRPr="00546DDC">
        <w:lastRenderedPageBreak/>
        <w:t xml:space="preserve">The proposed renovations to the </w:t>
      </w:r>
      <w:r w:rsidR="00BE0FD9" w:rsidRPr="00546DDC">
        <w:t>b</w:t>
      </w:r>
      <w:r w:rsidR="001F3C58" w:rsidRPr="00546DDC">
        <w:t>ui</w:t>
      </w:r>
      <w:r w:rsidR="00BE0FD9" w:rsidRPr="00546DDC">
        <w:t>l</w:t>
      </w:r>
      <w:r w:rsidR="001F3C58" w:rsidRPr="00546DDC">
        <w:t>din</w:t>
      </w:r>
      <w:r w:rsidRPr="00546DDC">
        <w:t>g include a</w:t>
      </w:r>
      <w:r w:rsidR="00BE0FD9" w:rsidRPr="00546DDC">
        <w:t xml:space="preserve"> 6 x 18 extension on </w:t>
      </w:r>
      <w:r w:rsidRPr="00546DDC">
        <w:t xml:space="preserve">the </w:t>
      </w:r>
      <w:r w:rsidR="00BE0FD9" w:rsidRPr="00546DDC">
        <w:t>r</w:t>
      </w:r>
      <w:r w:rsidRPr="00546DDC">
        <w:t>ight rear portion, upgrading the building with a</w:t>
      </w:r>
      <w:r w:rsidR="00BE0FD9" w:rsidRPr="00546DDC">
        <w:t xml:space="preserve"> new </w:t>
      </w:r>
      <w:r w:rsidR="001F3C58" w:rsidRPr="00546DDC">
        <w:t>fire suppression system</w:t>
      </w:r>
      <w:r w:rsidRPr="00546DDC">
        <w:t>, sprinklering the building</w:t>
      </w:r>
      <w:r w:rsidR="001F3C58" w:rsidRPr="00546DDC">
        <w:t xml:space="preserve"> through</w:t>
      </w:r>
      <w:r w:rsidRPr="00546DDC">
        <w:t>out including exterior deluge heads on the rear decks, removing the</w:t>
      </w:r>
      <w:r w:rsidR="00BE0FD9" w:rsidRPr="00546DDC">
        <w:t xml:space="preserve"> f</w:t>
      </w:r>
      <w:r w:rsidRPr="00546DDC">
        <w:t xml:space="preserve">ire escape and creating new </w:t>
      </w:r>
      <w:r w:rsidR="00BE0FD9" w:rsidRPr="00546DDC">
        <w:t xml:space="preserve">secondary </w:t>
      </w:r>
      <w:r w:rsidRPr="00546DDC">
        <w:t xml:space="preserve">mans of </w:t>
      </w:r>
      <w:r w:rsidR="00BE0FD9" w:rsidRPr="00546DDC">
        <w:t xml:space="preserve">egress </w:t>
      </w:r>
      <w:r w:rsidRPr="00546DDC">
        <w:t xml:space="preserve">on each floor from a door in a </w:t>
      </w:r>
      <w:r w:rsidR="00BE0FD9" w:rsidRPr="00546DDC">
        <w:t>ro</w:t>
      </w:r>
      <w:r w:rsidR="001F3C58" w:rsidRPr="00546DDC">
        <w:t>o</w:t>
      </w:r>
      <w:r w:rsidR="00BE0FD9" w:rsidRPr="00546DDC">
        <w:t xml:space="preserve">m </w:t>
      </w:r>
      <w:r w:rsidRPr="00546DDC">
        <w:t>in the rear of the units leading to a rear deck with exterior</w:t>
      </w:r>
      <w:r w:rsidR="00BE0FD9" w:rsidRPr="00546DDC">
        <w:t xml:space="preserve"> stairs down to </w:t>
      </w:r>
      <w:r w:rsidRPr="00546DDC">
        <w:t xml:space="preserve">the </w:t>
      </w:r>
      <w:r w:rsidR="00BE0FD9" w:rsidRPr="00546DDC">
        <w:t>rear yard</w:t>
      </w:r>
      <w:r w:rsidRPr="00546DDC">
        <w:t>.</w:t>
      </w:r>
    </w:p>
    <w:p w:rsidR="003B4A87" w:rsidRPr="00546DDC" w:rsidRDefault="003B4A87" w:rsidP="008F75AA"/>
    <w:p w:rsidR="00912C01" w:rsidRPr="00546DDC" w:rsidRDefault="00912C01" w:rsidP="00912C01">
      <w:pPr>
        <w:jc w:val="center"/>
        <w:rPr>
          <w:b/>
          <w:color w:val="000000"/>
          <w:u w:val="single"/>
        </w:rPr>
      </w:pPr>
      <w:r w:rsidRPr="00546DDC">
        <w:rPr>
          <w:b/>
          <w:color w:val="000000"/>
          <w:u w:val="single"/>
        </w:rPr>
        <w:t>Exhibits</w:t>
      </w:r>
    </w:p>
    <w:p w:rsidR="00E05E59" w:rsidRDefault="00E05E59" w:rsidP="00E05E59"/>
    <w:p w:rsidR="00912C01" w:rsidRPr="00546DDC" w:rsidRDefault="00912C01" w:rsidP="00E05E59">
      <w:pPr>
        <w:ind w:firstLine="720"/>
      </w:pPr>
      <w:r w:rsidRPr="00546DDC">
        <w:t>The following Exhibits were entered into evidence at the hearing on this matter and reviewed by the Board:</w:t>
      </w:r>
    </w:p>
    <w:p w:rsidR="00912C01" w:rsidRPr="00546DDC" w:rsidRDefault="00912C01" w:rsidP="00912C01">
      <w:pPr>
        <w:ind w:left="1080"/>
        <w:rPr>
          <w:b/>
          <w:color w:val="000000"/>
          <w:u w:val="single"/>
        </w:rPr>
      </w:pPr>
    </w:p>
    <w:p w:rsidR="00912C01" w:rsidRPr="00546DDC" w:rsidRDefault="00912C01" w:rsidP="00912C01">
      <w:pPr>
        <w:ind w:left="1080"/>
        <w:rPr>
          <w:color w:val="000000"/>
        </w:rPr>
      </w:pPr>
      <w:r w:rsidRPr="00546DDC">
        <w:rPr>
          <w:color w:val="000000"/>
        </w:rPr>
        <w:t>Exhibit 1:  Application for Appeal</w:t>
      </w:r>
      <w:r w:rsidR="001E7BA6" w:rsidRPr="00546DDC">
        <w:rPr>
          <w:color w:val="000000"/>
        </w:rPr>
        <w:t>.</w:t>
      </w:r>
    </w:p>
    <w:p w:rsidR="00825B39" w:rsidRPr="00546DDC" w:rsidRDefault="00FA7148" w:rsidP="000A6D26">
      <w:pPr>
        <w:ind w:left="1080"/>
        <w:rPr>
          <w:color w:val="000000"/>
        </w:rPr>
      </w:pPr>
      <w:r w:rsidRPr="00546DDC">
        <w:rPr>
          <w:color w:val="000000"/>
        </w:rPr>
        <w:t>Exhibit 2</w:t>
      </w:r>
      <w:r w:rsidR="00980111" w:rsidRPr="00546DDC">
        <w:rPr>
          <w:color w:val="000000"/>
        </w:rPr>
        <w:t>:</w:t>
      </w:r>
      <w:r w:rsidR="00FB2F00" w:rsidRPr="00546DDC">
        <w:rPr>
          <w:color w:val="000000"/>
        </w:rPr>
        <w:t xml:space="preserve">  </w:t>
      </w:r>
      <w:r w:rsidR="00546DDC" w:rsidRPr="00546DDC">
        <w:rPr>
          <w:color w:val="000000"/>
        </w:rPr>
        <w:t xml:space="preserve">10 pages of </w:t>
      </w:r>
      <w:r w:rsidR="007E1F92" w:rsidRPr="00546DDC">
        <w:rPr>
          <w:color w:val="000000"/>
        </w:rPr>
        <w:t>various documents</w:t>
      </w:r>
      <w:r w:rsidR="00546DDC" w:rsidRPr="00546DDC">
        <w:rPr>
          <w:color w:val="000000"/>
        </w:rPr>
        <w:t xml:space="preserve"> and plans titled “In the Matter of 37 Old Harbor Street, South Boston, Docket No. 11-961, dated January 6, 2011.”</w:t>
      </w:r>
    </w:p>
    <w:p w:rsidR="007E1F92" w:rsidRPr="00546DDC" w:rsidRDefault="007E1F92" w:rsidP="000A6D26">
      <w:pPr>
        <w:ind w:left="1080"/>
        <w:rPr>
          <w:color w:val="000000"/>
        </w:rPr>
      </w:pPr>
    </w:p>
    <w:p w:rsidR="006E3E0E" w:rsidRPr="00546DDC" w:rsidRDefault="00647050" w:rsidP="00AC1A3E">
      <w:pPr>
        <w:jc w:val="center"/>
        <w:rPr>
          <w:b/>
          <w:color w:val="000000"/>
          <w:u w:val="single"/>
        </w:rPr>
      </w:pPr>
      <w:r w:rsidRPr="00546DDC">
        <w:rPr>
          <w:b/>
          <w:color w:val="000000"/>
          <w:u w:val="single"/>
        </w:rPr>
        <w:t>Analysis</w:t>
      </w:r>
    </w:p>
    <w:p w:rsidR="00EF220F" w:rsidRPr="00546DDC" w:rsidRDefault="00EF220F" w:rsidP="00A76749">
      <w:pPr>
        <w:rPr>
          <w:color w:val="000000"/>
        </w:rPr>
      </w:pPr>
    </w:p>
    <w:p w:rsidR="00647050" w:rsidRPr="00546DDC" w:rsidRDefault="00647050" w:rsidP="00647050">
      <w:pPr>
        <w:pStyle w:val="Default"/>
        <w:numPr>
          <w:ilvl w:val="0"/>
          <w:numId w:val="4"/>
        </w:numPr>
        <w:rPr>
          <w:u w:val="single"/>
        </w:rPr>
      </w:pPr>
      <w:r w:rsidRPr="00546DDC">
        <w:t xml:space="preserve"> </w:t>
      </w:r>
      <w:r w:rsidRPr="00546DDC">
        <w:rPr>
          <w:u w:val="single"/>
        </w:rPr>
        <w:t>Jurisdiction of the Board</w:t>
      </w:r>
    </w:p>
    <w:p w:rsidR="00647050" w:rsidRPr="00546DDC" w:rsidRDefault="00647050" w:rsidP="00647050">
      <w:pPr>
        <w:pStyle w:val="Default"/>
        <w:ind w:left="1080"/>
      </w:pPr>
    </w:p>
    <w:p w:rsidR="00C8363A" w:rsidRPr="00546DDC" w:rsidRDefault="00ED4DDC" w:rsidP="00E05E59">
      <w:pPr>
        <w:pStyle w:val="Default"/>
        <w:ind w:firstLine="720"/>
      </w:pPr>
      <w:r w:rsidRPr="00546DDC">
        <w:t>There is no question that the Board has jurisdiction to hear this case.</w:t>
      </w:r>
      <w:r w:rsidR="00C8363A" w:rsidRPr="00546DDC">
        <w:t xml:space="preserve"> The governing statute provides that:</w:t>
      </w:r>
    </w:p>
    <w:p w:rsidR="00C8363A" w:rsidRPr="00546DDC" w:rsidRDefault="00C8363A" w:rsidP="00C8363A">
      <w:pPr>
        <w:pStyle w:val="Default"/>
      </w:pPr>
      <w:r w:rsidRPr="00546DDC">
        <w:t xml:space="preserve"> </w:t>
      </w:r>
    </w:p>
    <w:p w:rsidR="00ED4DDC" w:rsidRPr="00546DDC" w:rsidRDefault="00C8363A" w:rsidP="00E05E59">
      <w:pPr>
        <w:pStyle w:val="Default"/>
        <w:ind w:left="720" w:right="720"/>
      </w:pPr>
      <w:r w:rsidRPr="00546DDC">
        <w:t xml:space="preserve">Whoever is aggrieved by an interpretation, order, requirement, direction or failure to act by any state or local agency or any person or state or local agency charged with the administration or enforcement of the state building code or any of its rules and regulations, except any specialized codes as described in section ninety-six, may within forty-five days after the service of notice thereof appeal from such interpretation, order, requirement, direction, or failure to </w:t>
      </w:r>
      <w:r w:rsidR="00ED4DDC" w:rsidRPr="00546DDC">
        <w:t xml:space="preserve">act to the appeals board.      </w:t>
      </w:r>
      <w:r w:rsidRPr="00546DDC">
        <w:t xml:space="preserve">G.L. c.143, </w:t>
      </w:r>
      <w:bookmarkStart w:id="0" w:name="OLE_LINK1"/>
      <w:bookmarkStart w:id="1" w:name="OLE_LINK2"/>
      <w:r w:rsidRPr="00546DDC">
        <w:t>§</w:t>
      </w:r>
      <w:bookmarkEnd w:id="0"/>
      <w:bookmarkEnd w:id="1"/>
      <w:r w:rsidRPr="00546DDC">
        <w:t xml:space="preserve">100.  </w:t>
      </w:r>
    </w:p>
    <w:p w:rsidR="00E05E59" w:rsidRDefault="00E05E59" w:rsidP="00E05E59">
      <w:pPr>
        <w:pStyle w:val="Default"/>
        <w:ind w:firstLine="720"/>
      </w:pPr>
    </w:p>
    <w:p w:rsidR="00647050" w:rsidRPr="00546DDC" w:rsidRDefault="00D93001" w:rsidP="00E05E59">
      <w:pPr>
        <w:pStyle w:val="Default"/>
        <w:ind w:left="720"/>
      </w:pPr>
      <w:r w:rsidRPr="00546DDC">
        <w:t>T</w:t>
      </w:r>
      <w:r w:rsidR="00C8363A" w:rsidRPr="00546DDC">
        <w:t>he issues giving rise to this matter directly implicate provisions of the Code.  As such, this Board has jurisdiction to decide this case pursuant to G.L. c. 143, §100.</w:t>
      </w:r>
    </w:p>
    <w:p w:rsidR="00647050" w:rsidRPr="00546DDC" w:rsidRDefault="00647050" w:rsidP="00647050">
      <w:pPr>
        <w:pStyle w:val="Default"/>
      </w:pPr>
    </w:p>
    <w:p w:rsidR="00647050" w:rsidRPr="00546DDC" w:rsidRDefault="00647050" w:rsidP="00E05E59">
      <w:pPr>
        <w:pStyle w:val="Default"/>
        <w:numPr>
          <w:ilvl w:val="0"/>
          <w:numId w:val="4"/>
        </w:numPr>
        <w:rPr>
          <w:u w:val="single"/>
        </w:rPr>
      </w:pPr>
      <w:r w:rsidRPr="00546DDC">
        <w:rPr>
          <w:u w:val="single"/>
        </w:rPr>
        <w:t>State Building Code requirements</w:t>
      </w:r>
    </w:p>
    <w:p w:rsidR="004B5759" w:rsidRPr="00546DDC" w:rsidRDefault="004B5759" w:rsidP="004B5759">
      <w:pPr>
        <w:pStyle w:val="Default"/>
        <w:rPr>
          <w:u w:val="single"/>
        </w:rPr>
      </w:pPr>
    </w:p>
    <w:p w:rsidR="00546DDC" w:rsidRPr="00546DDC" w:rsidRDefault="00A9795B" w:rsidP="00E05E59">
      <w:pPr>
        <w:ind w:firstLine="720"/>
        <w:rPr>
          <w:color w:val="000000"/>
        </w:rPr>
      </w:pPr>
      <w:r w:rsidRPr="00546DDC">
        <w:rPr>
          <w:color w:val="000000"/>
        </w:rPr>
        <w:t xml:space="preserve">The issue is whether to </w:t>
      </w:r>
      <w:r w:rsidR="00546DDC" w:rsidRPr="00546DDC">
        <w:rPr>
          <w:color w:val="000000"/>
        </w:rPr>
        <w:t xml:space="preserve">grant </w:t>
      </w:r>
      <w:r w:rsidR="00E05E59">
        <w:rPr>
          <w:color w:val="000000"/>
        </w:rPr>
        <w:t>4 separate variances to 780 CMR 1013.2, 780 CMR 1022.4, 780 CMR 1022.6, and 780 CMR 1023.3.</w:t>
      </w:r>
    </w:p>
    <w:p w:rsidR="00E05E59" w:rsidRDefault="00E05E59" w:rsidP="00E05E59">
      <w:pPr>
        <w:rPr>
          <w:color w:val="000000"/>
        </w:rPr>
      </w:pPr>
    </w:p>
    <w:p w:rsidR="00546DDC" w:rsidRDefault="00546DDC" w:rsidP="00E05E59">
      <w:pPr>
        <w:rPr>
          <w:color w:val="000000"/>
          <w:u w:val="single"/>
        </w:rPr>
      </w:pPr>
      <w:r w:rsidRPr="00546DDC">
        <w:rPr>
          <w:color w:val="000000"/>
          <w:u w:val="single"/>
        </w:rPr>
        <w:t>Variance Request #1: 780 CMR 1013.2</w:t>
      </w:r>
    </w:p>
    <w:p w:rsidR="00E05E59" w:rsidRDefault="00E05E59" w:rsidP="00E05E59">
      <w:pPr>
        <w:rPr>
          <w:color w:val="000000"/>
          <w:u w:val="single"/>
        </w:rPr>
      </w:pPr>
    </w:p>
    <w:p w:rsidR="00546DDC" w:rsidRDefault="00546DDC" w:rsidP="00E05E59">
      <w:pPr>
        <w:rPr>
          <w:color w:val="000000"/>
        </w:rPr>
      </w:pPr>
      <w:r>
        <w:rPr>
          <w:color w:val="000000"/>
        </w:rPr>
        <w:t xml:space="preserve">The applicable regulation states that </w:t>
      </w:r>
      <w:r w:rsidR="00E05E59">
        <w:rPr>
          <w:color w:val="000000"/>
        </w:rPr>
        <w:t xml:space="preserve">an </w:t>
      </w:r>
      <w:r>
        <w:rPr>
          <w:color w:val="000000"/>
        </w:rPr>
        <w:t xml:space="preserve">egress may not pass through intervening spaces.  See 780 CMR 1013.2.  The City Building Official’s refusal letter stated that the secondary means of egress was to pass through a bedroom.  </w:t>
      </w:r>
    </w:p>
    <w:p w:rsidR="00E05E59" w:rsidRDefault="00E05E59" w:rsidP="00E05E59">
      <w:pPr>
        <w:rPr>
          <w:color w:val="000000"/>
        </w:rPr>
      </w:pPr>
    </w:p>
    <w:p w:rsidR="00546DDC" w:rsidRDefault="00546DDC" w:rsidP="00E05E59">
      <w:pPr>
        <w:rPr>
          <w:color w:val="000000"/>
        </w:rPr>
      </w:pPr>
      <w:r>
        <w:rPr>
          <w:color w:val="000000"/>
        </w:rPr>
        <w:t>The appellant testified that in the original plans the egress was through a bedroom.  The appellant asserted that the architect changed the design plan and resubmitted them to the City but that the same refusal letter was issued with a different date.  The appellant noted through its submission of Exhibit 2 that the egresses do not pass through intervening spaces and stated that the renovation complies with this section of the Code.</w:t>
      </w:r>
    </w:p>
    <w:p w:rsidR="00E05E59" w:rsidRDefault="00E05E59" w:rsidP="00E05E59">
      <w:pPr>
        <w:rPr>
          <w:color w:val="000000"/>
        </w:rPr>
      </w:pPr>
    </w:p>
    <w:p w:rsidR="00546DDC" w:rsidRDefault="00546DDC" w:rsidP="00E05E59">
      <w:pPr>
        <w:rPr>
          <w:color w:val="000000"/>
          <w:u w:val="single"/>
        </w:rPr>
      </w:pPr>
      <w:r w:rsidRPr="00546DDC">
        <w:rPr>
          <w:color w:val="000000"/>
          <w:u w:val="single"/>
        </w:rPr>
        <w:t>Variance Request #2: 780 CMR 1022.4</w:t>
      </w:r>
    </w:p>
    <w:p w:rsidR="00E05E59" w:rsidRDefault="00E05E59" w:rsidP="00E05E59">
      <w:pPr>
        <w:rPr>
          <w:color w:val="000000"/>
          <w:u w:val="single"/>
        </w:rPr>
      </w:pPr>
    </w:p>
    <w:p w:rsidR="00E05E59" w:rsidRDefault="00546DDC" w:rsidP="00E05E59">
      <w:pPr>
        <w:rPr>
          <w:color w:val="000000"/>
        </w:rPr>
      </w:pPr>
      <w:r>
        <w:rPr>
          <w:color w:val="000000"/>
        </w:rPr>
        <w:t>The applicable regulation states, “</w:t>
      </w:r>
      <w:r w:rsidR="00AE444B" w:rsidRPr="00AE444B">
        <w:rPr>
          <w:color w:val="000000"/>
        </w:rPr>
        <w:t>The open areas adjoining exterior exit ramps or stairways shall be either yards, courts or public ways; the remaining sides are permitted to be enclosed by the exterior walls of the building.</w:t>
      </w:r>
      <w:r>
        <w:rPr>
          <w:color w:val="000000"/>
        </w:rPr>
        <w:t xml:space="preserve">” 780 CMR 1022.4.  </w:t>
      </w:r>
    </w:p>
    <w:p w:rsidR="00E05E59" w:rsidRDefault="00E05E59" w:rsidP="00E05E59">
      <w:pPr>
        <w:rPr>
          <w:color w:val="000000"/>
        </w:rPr>
      </w:pPr>
    </w:p>
    <w:p w:rsidR="00AE444B" w:rsidRPr="00546DDC" w:rsidRDefault="00546DDC" w:rsidP="00E05E59">
      <w:pPr>
        <w:rPr>
          <w:color w:val="000000"/>
        </w:rPr>
      </w:pPr>
      <w:r>
        <w:rPr>
          <w:color w:val="000000"/>
        </w:rPr>
        <w:t xml:space="preserve">The appellant </w:t>
      </w:r>
      <w:r w:rsidR="00E05E59">
        <w:rPr>
          <w:color w:val="000000"/>
        </w:rPr>
        <w:t>testified</w:t>
      </w:r>
      <w:r>
        <w:rPr>
          <w:color w:val="000000"/>
        </w:rPr>
        <w:t xml:space="preserve"> that the open area next to the proposed exterior stairs from the rear deck is a public way.  The Board determined that the alleyway connects to the street and is a pre-existing condition that has been there since the building was built.  The appellant testified that this meets the intent of the Code.</w:t>
      </w:r>
    </w:p>
    <w:p w:rsidR="00E05E59" w:rsidRDefault="00E05E59" w:rsidP="00E05E59">
      <w:pPr>
        <w:rPr>
          <w:color w:val="000000"/>
        </w:rPr>
      </w:pPr>
    </w:p>
    <w:p w:rsidR="00546DDC" w:rsidRPr="00AE444B" w:rsidRDefault="00546DDC" w:rsidP="00E05E59">
      <w:pPr>
        <w:rPr>
          <w:color w:val="000000"/>
          <w:u w:val="single"/>
        </w:rPr>
      </w:pPr>
      <w:r w:rsidRPr="00546DDC">
        <w:rPr>
          <w:color w:val="000000"/>
          <w:u w:val="single"/>
        </w:rPr>
        <w:lastRenderedPageBreak/>
        <w:t>Variance Request #3: 780 CMR 1022.6</w:t>
      </w:r>
    </w:p>
    <w:p w:rsidR="00E05E59" w:rsidRDefault="00E05E59" w:rsidP="00E05E59">
      <w:pPr>
        <w:rPr>
          <w:color w:val="000000"/>
        </w:rPr>
      </w:pPr>
    </w:p>
    <w:p w:rsidR="00E05E59" w:rsidRDefault="00546DDC" w:rsidP="00E05E59">
      <w:pPr>
        <w:rPr>
          <w:color w:val="000000"/>
        </w:rPr>
      </w:pPr>
      <w:r>
        <w:rPr>
          <w:color w:val="000000"/>
        </w:rPr>
        <w:t>The relevant section of the Code states, “</w:t>
      </w:r>
      <w:r w:rsidR="00AE444B" w:rsidRPr="00546DDC">
        <w:rPr>
          <w:color w:val="000000"/>
        </w:rPr>
        <w:t>Exterior exit ramps and stairways shall be separated from the interior of the building as required in 780 CMR 1019.1. Openings shall be limited to those necessary for egress from normally occupied spaces.</w:t>
      </w:r>
      <w:r>
        <w:rPr>
          <w:color w:val="000000"/>
        </w:rPr>
        <w:t xml:space="preserve">” 780 CMR 1022.6.  </w:t>
      </w:r>
    </w:p>
    <w:p w:rsidR="00E05E59" w:rsidRDefault="00E05E59" w:rsidP="00E05E59">
      <w:pPr>
        <w:rPr>
          <w:color w:val="000000"/>
        </w:rPr>
      </w:pPr>
    </w:p>
    <w:p w:rsidR="00AE444B" w:rsidRPr="00546DDC" w:rsidRDefault="00546DDC" w:rsidP="00E05E59">
      <w:pPr>
        <w:rPr>
          <w:color w:val="000000"/>
        </w:rPr>
      </w:pPr>
      <w:r>
        <w:rPr>
          <w:color w:val="000000"/>
        </w:rPr>
        <w:t>The appellant testified that the exterior stairs are separated by a rear deck and that the rear deck and the interior of the entire building has been sprinkled as an alternative to compliance with this provision.</w:t>
      </w:r>
      <w:r w:rsidR="00E05E59">
        <w:rPr>
          <w:color w:val="000000"/>
        </w:rPr>
        <w:t xml:space="preserve">  </w:t>
      </w:r>
    </w:p>
    <w:p w:rsidR="00E05E59" w:rsidRDefault="00E05E59" w:rsidP="00E05E59">
      <w:pPr>
        <w:rPr>
          <w:color w:val="000000"/>
        </w:rPr>
      </w:pPr>
    </w:p>
    <w:p w:rsidR="00546DDC" w:rsidRPr="00546DDC" w:rsidRDefault="00546DDC" w:rsidP="00E05E59">
      <w:pPr>
        <w:rPr>
          <w:color w:val="000000"/>
          <w:u w:val="single"/>
        </w:rPr>
      </w:pPr>
      <w:r w:rsidRPr="00546DDC">
        <w:rPr>
          <w:color w:val="000000"/>
          <w:u w:val="single"/>
        </w:rPr>
        <w:t>Variance Request #4: 780 CMR 1023.3</w:t>
      </w:r>
    </w:p>
    <w:p w:rsidR="00E05E59" w:rsidRDefault="00E05E59" w:rsidP="00E05E59">
      <w:pPr>
        <w:rPr>
          <w:color w:val="000000"/>
        </w:rPr>
      </w:pPr>
    </w:p>
    <w:p w:rsidR="00E05E59" w:rsidRDefault="00E05E59" w:rsidP="00E05E59">
      <w:pPr>
        <w:rPr>
          <w:bCs/>
          <w:color w:val="000000"/>
        </w:rPr>
      </w:pPr>
      <w:r>
        <w:rPr>
          <w:bCs/>
          <w:color w:val="000000"/>
        </w:rPr>
        <w:t>The regulation states that the exterior stairways must be more than ten feet from the adjacent lot line.  See 780 CMR 1023.3.</w:t>
      </w:r>
    </w:p>
    <w:p w:rsidR="00E05E59" w:rsidRDefault="00E05E59" w:rsidP="00E05E59">
      <w:pPr>
        <w:rPr>
          <w:bCs/>
          <w:color w:val="000000"/>
        </w:rPr>
      </w:pPr>
    </w:p>
    <w:p w:rsidR="00564FFA" w:rsidRPr="00E05E59" w:rsidRDefault="00E05E59" w:rsidP="00E05E59">
      <w:pPr>
        <w:rPr>
          <w:bCs/>
          <w:color w:val="000000"/>
        </w:rPr>
      </w:pPr>
      <w:r>
        <w:rPr>
          <w:bCs/>
          <w:color w:val="000000"/>
        </w:rPr>
        <w:t>The appellant testified that they are constrained by the small size of the lot and that the original exit discharge was closer to the lot line than 10 feet. The appellant also stated that because of all of the additional proposed renovations that there is actually an improvement in life safety conditions even though they do not comply with this provision of the Code.</w:t>
      </w:r>
    </w:p>
    <w:p w:rsidR="00564FFA" w:rsidRPr="00546DDC" w:rsidRDefault="00564FFA" w:rsidP="00564FFA"/>
    <w:p w:rsidR="0091768D" w:rsidRPr="00546DDC" w:rsidRDefault="00BE4DDF" w:rsidP="009A6C76">
      <w:pPr>
        <w:jc w:val="center"/>
        <w:rPr>
          <w:b/>
          <w:u w:val="single"/>
        </w:rPr>
      </w:pPr>
      <w:r w:rsidRPr="00546DDC">
        <w:rPr>
          <w:b/>
          <w:u w:val="single"/>
        </w:rPr>
        <w:t>C</w:t>
      </w:r>
      <w:r w:rsidR="00E034A4" w:rsidRPr="00546DDC">
        <w:rPr>
          <w:b/>
          <w:u w:val="single"/>
        </w:rPr>
        <w:t>onclusion</w:t>
      </w:r>
    </w:p>
    <w:p w:rsidR="00DB674C" w:rsidRPr="00546DDC" w:rsidRDefault="00DB674C" w:rsidP="008743FB"/>
    <w:p w:rsidR="00512457" w:rsidRPr="00546DDC" w:rsidRDefault="002B3B78" w:rsidP="00754789">
      <w:pPr>
        <w:ind w:firstLine="720"/>
        <w:rPr>
          <w:color w:val="000000"/>
        </w:rPr>
      </w:pPr>
      <w:r w:rsidRPr="00546DDC">
        <w:t>A motion was made by</w:t>
      </w:r>
      <w:r w:rsidR="006E6031" w:rsidRPr="00546DDC">
        <w:t xml:space="preserve"> </w:t>
      </w:r>
      <w:r w:rsidR="000B419A" w:rsidRPr="00546DDC">
        <w:t>Jacob Nunnemacher</w:t>
      </w:r>
      <w:r w:rsidR="006E6031" w:rsidRPr="00546DDC">
        <w:t xml:space="preserve"> and seconded by </w:t>
      </w:r>
      <w:r w:rsidR="000B419A" w:rsidRPr="00546DDC">
        <w:t>Alexander MacLeod</w:t>
      </w:r>
      <w:r w:rsidR="006E6031" w:rsidRPr="00546DDC">
        <w:t xml:space="preserve"> to</w:t>
      </w:r>
      <w:r w:rsidR="00020AEF" w:rsidRPr="00546DDC">
        <w:t xml:space="preserve"> do the following: 1)</w:t>
      </w:r>
      <w:r w:rsidR="006E6031" w:rsidRPr="00546DDC">
        <w:t xml:space="preserve"> </w:t>
      </w:r>
      <w:r w:rsidR="00CE2EB4" w:rsidRPr="00546DDC">
        <w:rPr>
          <w:b/>
          <w:color w:val="000000"/>
        </w:rPr>
        <w:t>GRANT</w:t>
      </w:r>
      <w:r w:rsidR="00754789" w:rsidRPr="00546DDC">
        <w:rPr>
          <w:b/>
          <w:color w:val="000000"/>
        </w:rPr>
        <w:t xml:space="preserve"> </w:t>
      </w:r>
      <w:r w:rsidR="00754789" w:rsidRPr="00546DDC">
        <w:rPr>
          <w:color w:val="000000"/>
        </w:rPr>
        <w:t xml:space="preserve">the </w:t>
      </w:r>
      <w:r w:rsidR="00980111" w:rsidRPr="00546DDC">
        <w:rPr>
          <w:color w:val="000000"/>
        </w:rPr>
        <w:t>variance</w:t>
      </w:r>
      <w:r w:rsidR="00FB2F00" w:rsidRPr="00546DDC">
        <w:rPr>
          <w:color w:val="000000"/>
        </w:rPr>
        <w:t xml:space="preserve"> to 780 CMR </w:t>
      </w:r>
      <w:r w:rsidR="000B419A" w:rsidRPr="00546DDC">
        <w:rPr>
          <w:color w:val="000000"/>
        </w:rPr>
        <w:t xml:space="preserve">1013.2-Egress through </w:t>
      </w:r>
      <w:r w:rsidR="00020AEF" w:rsidRPr="00546DDC">
        <w:rPr>
          <w:color w:val="000000"/>
        </w:rPr>
        <w:t xml:space="preserve">intervening </w:t>
      </w:r>
      <w:r w:rsidR="000B419A" w:rsidRPr="00546DDC">
        <w:rPr>
          <w:color w:val="000000"/>
        </w:rPr>
        <w:t>spaces-</w:t>
      </w:r>
      <w:r w:rsidR="00020AEF" w:rsidRPr="00546DDC">
        <w:rPr>
          <w:color w:val="000000"/>
        </w:rPr>
        <w:t>looked at proposed conditions and that the interpretation of the board is that egress through intervening spaces does not take place and plans with respect to 1013.2 are in compliance with the code</w:t>
      </w:r>
      <w:r w:rsidR="000B419A" w:rsidRPr="00546DDC">
        <w:rPr>
          <w:color w:val="000000"/>
        </w:rPr>
        <w:t xml:space="preserve"> 2)</w:t>
      </w:r>
      <w:r w:rsidR="00020AEF" w:rsidRPr="00546DDC">
        <w:rPr>
          <w:color w:val="000000"/>
        </w:rPr>
        <w:t xml:space="preserve"> </w:t>
      </w:r>
      <w:r w:rsidR="00020AEF" w:rsidRPr="00546DDC">
        <w:rPr>
          <w:b/>
          <w:color w:val="000000"/>
        </w:rPr>
        <w:t>GRANT</w:t>
      </w:r>
      <w:r w:rsidR="00020AEF" w:rsidRPr="00546DDC">
        <w:rPr>
          <w:color w:val="000000"/>
        </w:rPr>
        <w:t xml:space="preserve"> a variance to 780 CMR</w:t>
      </w:r>
      <w:r w:rsidR="000B419A" w:rsidRPr="00546DDC">
        <w:rPr>
          <w:color w:val="000000"/>
        </w:rPr>
        <w:t xml:space="preserve"> 1022.4 </w:t>
      </w:r>
      <w:r w:rsidR="00020AEF" w:rsidRPr="00546DDC">
        <w:rPr>
          <w:color w:val="000000"/>
        </w:rPr>
        <w:t xml:space="preserve">side yard </w:t>
      </w:r>
      <w:r w:rsidR="000B419A" w:rsidRPr="00546DDC">
        <w:rPr>
          <w:color w:val="000000"/>
        </w:rPr>
        <w:t>bec</w:t>
      </w:r>
      <w:r w:rsidR="00020AEF" w:rsidRPr="00546DDC">
        <w:rPr>
          <w:color w:val="000000"/>
        </w:rPr>
        <w:t>ause the proposed plan shows an existing</w:t>
      </w:r>
      <w:r w:rsidR="000B419A" w:rsidRPr="00546DDC">
        <w:rPr>
          <w:color w:val="000000"/>
        </w:rPr>
        <w:t xml:space="preserve"> </w:t>
      </w:r>
      <w:r w:rsidR="00020AEF" w:rsidRPr="00546DDC">
        <w:rPr>
          <w:color w:val="000000"/>
        </w:rPr>
        <w:t xml:space="preserve">alleyway that has been there since building was built and that it </w:t>
      </w:r>
      <w:r w:rsidR="000B419A" w:rsidRPr="00546DDC">
        <w:rPr>
          <w:color w:val="000000"/>
        </w:rPr>
        <w:t>meets the intent of the</w:t>
      </w:r>
      <w:r w:rsidR="00020AEF" w:rsidRPr="00546DDC">
        <w:rPr>
          <w:color w:val="000000"/>
        </w:rPr>
        <w:t xml:space="preserve"> code</w:t>
      </w:r>
      <w:r w:rsidR="000B419A" w:rsidRPr="00546DDC">
        <w:rPr>
          <w:color w:val="000000"/>
        </w:rPr>
        <w:t xml:space="preserve">; 3) </w:t>
      </w:r>
      <w:r w:rsidR="00020AEF" w:rsidRPr="00546DDC">
        <w:rPr>
          <w:b/>
          <w:color w:val="000000"/>
        </w:rPr>
        <w:t>GRANT</w:t>
      </w:r>
      <w:r w:rsidR="00020AEF" w:rsidRPr="00546DDC">
        <w:rPr>
          <w:color w:val="000000"/>
        </w:rPr>
        <w:t xml:space="preserve"> a variance to 780 CMR</w:t>
      </w:r>
      <w:r w:rsidR="000B419A" w:rsidRPr="00546DDC">
        <w:rPr>
          <w:color w:val="000000"/>
        </w:rPr>
        <w:t xml:space="preserve"> 1022.6 based on the fact that they ha</w:t>
      </w:r>
      <w:r w:rsidR="00020AEF" w:rsidRPr="00546DDC">
        <w:rPr>
          <w:color w:val="000000"/>
        </w:rPr>
        <w:t xml:space="preserve">ve sprinklered the back deck as an alternative; and 4) </w:t>
      </w:r>
      <w:r w:rsidR="00020AEF" w:rsidRPr="00546DDC">
        <w:rPr>
          <w:b/>
          <w:color w:val="000000"/>
        </w:rPr>
        <w:t xml:space="preserve">GRANT </w:t>
      </w:r>
      <w:r w:rsidR="00020AEF" w:rsidRPr="00546DDC">
        <w:rPr>
          <w:color w:val="000000"/>
        </w:rPr>
        <w:t>a variance to 780 CMR</w:t>
      </w:r>
      <w:r w:rsidR="000B419A" w:rsidRPr="00546DDC">
        <w:rPr>
          <w:color w:val="000000"/>
        </w:rPr>
        <w:t xml:space="preserve"> 1023.3 due to the difficulty of putting </w:t>
      </w:r>
      <w:r w:rsidR="00020AEF" w:rsidRPr="00546DDC">
        <w:rPr>
          <w:color w:val="000000"/>
        </w:rPr>
        <w:t>an exit discharge within</w:t>
      </w:r>
      <w:r w:rsidR="000B419A" w:rsidRPr="00546DDC">
        <w:rPr>
          <w:color w:val="000000"/>
        </w:rPr>
        <w:t xml:space="preserve"> 10 feet of the property line</w:t>
      </w:r>
      <w:r w:rsidR="00020AEF" w:rsidRPr="00546DDC">
        <w:rPr>
          <w:color w:val="000000"/>
        </w:rPr>
        <w:t>.</w:t>
      </w:r>
    </w:p>
    <w:p w:rsidR="00020AEF" w:rsidRPr="00546DDC" w:rsidRDefault="00020AEF" w:rsidP="00754789">
      <w:pPr>
        <w:ind w:firstLine="720"/>
        <w:rPr>
          <w:color w:val="000000"/>
        </w:rPr>
      </w:pPr>
    </w:p>
    <w:p w:rsidR="00020AEF" w:rsidRPr="00546DDC" w:rsidRDefault="00020AEF" w:rsidP="00754789">
      <w:pPr>
        <w:ind w:firstLine="720"/>
        <w:rPr>
          <w:color w:val="000000"/>
        </w:rPr>
      </w:pPr>
    </w:p>
    <w:p w:rsidR="00FA33E3" w:rsidRDefault="00FA33E3" w:rsidP="00DB7D58">
      <w:pPr>
        <w:jc w:val="center"/>
      </w:pPr>
    </w:p>
    <w:p w:rsidR="00FA33E3" w:rsidRDefault="00FA33E3" w:rsidP="00DB7D58">
      <w:pPr>
        <w:jc w:val="center"/>
      </w:pPr>
    </w:p>
    <w:p w:rsidR="00FA33E3" w:rsidRDefault="00FA33E3" w:rsidP="00DB7D58">
      <w:pPr>
        <w:jc w:val="center"/>
      </w:pPr>
    </w:p>
    <w:p w:rsidR="00FA33E3" w:rsidRDefault="00FA33E3" w:rsidP="00DB7D58">
      <w:pPr>
        <w:jc w:val="center"/>
      </w:pPr>
      <w:r>
        <w:t xml:space="preserve">                </w:t>
      </w:r>
      <w:r>
        <w:rPr>
          <w:noProof/>
        </w:rPr>
        <w:drawing>
          <wp:inline distT="0" distB="0" distL="0" distR="0">
            <wp:extent cx="1790700" cy="619125"/>
            <wp:effectExtent l="19050" t="0" r="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790700" cy="619125"/>
                    </a:xfrm>
                    <a:prstGeom prst="rect">
                      <a:avLst/>
                    </a:prstGeom>
                    <a:noFill/>
                    <a:ln w="9525">
                      <a:noFill/>
                      <a:miter lim="800000"/>
                      <a:headEnd/>
                      <a:tailEnd/>
                    </a:ln>
                  </pic:spPr>
                </pic:pic>
              </a:graphicData>
            </a:graphic>
          </wp:inline>
        </w:drawing>
      </w:r>
    </w:p>
    <w:p w:rsidR="00A923A0" w:rsidRPr="00546DDC" w:rsidRDefault="00461877" w:rsidP="00DB7D58">
      <w:pPr>
        <w:jc w:val="center"/>
        <w:rPr>
          <w:color w:val="FF0000"/>
        </w:rPr>
      </w:pPr>
      <w:r w:rsidRPr="00546DDC">
        <w:t>_______________________</w:t>
      </w:r>
      <w:r w:rsidR="00C426A0" w:rsidRPr="00546DDC">
        <w:rPr>
          <w:color w:val="FF0000"/>
        </w:rPr>
        <w:t xml:space="preserve"> </w:t>
      </w:r>
      <w:r w:rsidRPr="00546DDC">
        <w:rPr>
          <w:color w:val="FF0000"/>
        </w:rPr>
        <w:tab/>
      </w:r>
      <w:r w:rsidR="00C426A0" w:rsidRPr="00546DDC">
        <w:rPr>
          <w:color w:val="FF0000"/>
        </w:rPr>
        <w:t xml:space="preserve">  </w:t>
      </w:r>
      <w:r w:rsidRPr="00546DDC">
        <w:t>_______________________</w:t>
      </w:r>
      <w:r w:rsidR="00C426A0" w:rsidRPr="00546DDC">
        <w:rPr>
          <w:color w:val="FF0000"/>
        </w:rPr>
        <w:t xml:space="preserve">   </w:t>
      </w:r>
      <w:r w:rsidRPr="00546DDC">
        <w:t>__________________</w:t>
      </w:r>
    </w:p>
    <w:p w:rsidR="00700826" w:rsidRPr="00546DDC" w:rsidRDefault="006D75B3" w:rsidP="006D75B3">
      <w:pPr>
        <w:ind w:left="720" w:firstLine="720"/>
      </w:pPr>
      <w:r w:rsidRPr="00546DDC">
        <w:t>Jacob Nunnemacher</w:t>
      </w:r>
      <w:r w:rsidR="00EF220F" w:rsidRPr="00546DDC">
        <w:tab/>
      </w:r>
      <w:r w:rsidR="00407CCD" w:rsidRPr="00546DDC">
        <w:tab/>
      </w:r>
      <w:r w:rsidR="00461877" w:rsidRPr="00546DDC">
        <w:t>Alexander MacLeod</w:t>
      </w:r>
      <w:r w:rsidRPr="00546DDC">
        <w:tab/>
      </w:r>
      <w:r w:rsidRPr="00546DDC">
        <w:tab/>
        <w:t>Doug Semple</w:t>
      </w:r>
    </w:p>
    <w:p w:rsidR="00DB7D58" w:rsidRPr="00546DDC" w:rsidRDefault="00DB7D58" w:rsidP="00700826">
      <w:pPr>
        <w:tabs>
          <w:tab w:val="left" w:pos="0"/>
        </w:tabs>
        <w:suppressAutoHyphens/>
        <w:rPr>
          <w:i/>
          <w:color w:val="000000"/>
        </w:rPr>
      </w:pPr>
    </w:p>
    <w:p w:rsidR="00700826" w:rsidRPr="00546DDC" w:rsidRDefault="00700826" w:rsidP="00700826">
      <w:pPr>
        <w:tabs>
          <w:tab w:val="left" w:pos="0"/>
        </w:tabs>
        <w:suppressAutoHyphens/>
        <w:rPr>
          <w:i/>
          <w:color w:val="000000"/>
        </w:rPr>
      </w:pPr>
      <w:r w:rsidRPr="00546DDC">
        <w:rPr>
          <w:i/>
          <w:color w:val="000000"/>
        </w:rPr>
        <w:t xml:space="preserve">Any person aggrieved by a decision of the State Building Code Appeals Board may appeal to </w:t>
      </w:r>
      <w:r w:rsidR="00C70D0A" w:rsidRPr="00546DDC">
        <w:rPr>
          <w:i/>
          <w:color w:val="000000"/>
        </w:rPr>
        <w:t>Superior Court</w:t>
      </w:r>
      <w:r w:rsidRPr="00546DDC">
        <w:rPr>
          <w:i/>
          <w:color w:val="000000"/>
        </w:rPr>
        <w:t xml:space="preserve"> in accordance with G.L. c.30A, §14 within 30 days of receipt of this decision.</w:t>
      </w:r>
    </w:p>
    <w:p w:rsidR="00700826" w:rsidRPr="00546DDC" w:rsidRDefault="00700826" w:rsidP="005107E3">
      <w:pPr>
        <w:rPr>
          <w:b/>
        </w:rPr>
      </w:pPr>
    </w:p>
    <w:p w:rsidR="00241DCA" w:rsidRPr="00546DDC" w:rsidRDefault="00241DCA" w:rsidP="005107E3">
      <w:pPr>
        <w:rPr>
          <w:b/>
        </w:rPr>
      </w:pPr>
    </w:p>
    <w:p w:rsidR="00241DCA" w:rsidRPr="00546DDC" w:rsidRDefault="00C70D0A" w:rsidP="005107E3">
      <w:r w:rsidRPr="00546DDC">
        <w:t xml:space="preserve">DATED:  </w:t>
      </w:r>
      <w:r w:rsidR="00FA33E3">
        <w:t>February 8</w:t>
      </w:r>
      <w:r w:rsidR="002818C8" w:rsidRPr="00546DDC">
        <w:t>, 2011</w:t>
      </w:r>
    </w:p>
    <w:p w:rsidR="009808CF" w:rsidRPr="00546DDC" w:rsidRDefault="009808CF"/>
    <w:sectPr w:rsidR="009808CF" w:rsidRPr="00546DDC"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3D0" w:rsidRDefault="008363D0">
      <w:r>
        <w:separator/>
      </w:r>
    </w:p>
  </w:endnote>
  <w:endnote w:type="continuationSeparator" w:id="1">
    <w:p w:rsidR="008363D0" w:rsidRDefault="00836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11" w:rsidRDefault="00980111"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0111" w:rsidRDefault="009801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11" w:rsidRDefault="00980111"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33E3">
      <w:rPr>
        <w:rStyle w:val="PageNumber"/>
        <w:noProof/>
      </w:rPr>
      <w:t>2</w:t>
    </w:r>
    <w:r>
      <w:rPr>
        <w:rStyle w:val="PageNumber"/>
      </w:rPr>
      <w:fldChar w:fldCharType="end"/>
    </w:r>
  </w:p>
  <w:p w:rsidR="00980111" w:rsidRDefault="009801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3D0" w:rsidRDefault="008363D0">
      <w:r>
        <w:separator/>
      </w:r>
    </w:p>
  </w:footnote>
  <w:footnote w:type="continuationSeparator" w:id="1">
    <w:p w:rsidR="008363D0" w:rsidRDefault="00836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16"/>
  </w:num>
  <w:num w:numId="5">
    <w:abstractNumId w:val="4"/>
  </w:num>
  <w:num w:numId="6">
    <w:abstractNumId w:val="1"/>
  </w:num>
  <w:num w:numId="7">
    <w:abstractNumId w:val="3"/>
  </w:num>
  <w:num w:numId="8">
    <w:abstractNumId w:val="8"/>
  </w:num>
  <w:num w:numId="9">
    <w:abstractNumId w:val="13"/>
  </w:num>
  <w:num w:numId="10">
    <w:abstractNumId w:val="11"/>
  </w:num>
  <w:num w:numId="11">
    <w:abstractNumId w:val="14"/>
  </w:num>
  <w:num w:numId="12">
    <w:abstractNumId w:val="10"/>
  </w:num>
  <w:num w:numId="13">
    <w:abstractNumId w:val="0"/>
  </w:num>
  <w:num w:numId="14">
    <w:abstractNumId w:val="9"/>
  </w:num>
  <w:num w:numId="15">
    <w:abstractNumId w:val="5"/>
  </w:num>
  <w:num w:numId="16">
    <w:abstractNumId w:val="7"/>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4098"/>
  </w:hdrShapeDefaults>
  <w:footnotePr>
    <w:footnote w:id="0"/>
    <w:footnote w:id="1"/>
  </w:footnotePr>
  <w:endnotePr>
    <w:endnote w:id="0"/>
    <w:endnote w:id="1"/>
  </w:endnotePr>
  <w:compat/>
  <w:rsids>
    <w:rsidRoot w:val="00AF01A5"/>
    <w:rsid w:val="00003260"/>
    <w:rsid w:val="00003961"/>
    <w:rsid w:val="00003E17"/>
    <w:rsid w:val="000079BD"/>
    <w:rsid w:val="0001200D"/>
    <w:rsid w:val="000164B9"/>
    <w:rsid w:val="000167BB"/>
    <w:rsid w:val="0002013A"/>
    <w:rsid w:val="00020AEF"/>
    <w:rsid w:val="0002258C"/>
    <w:rsid w:val="0002517F"/>
    <w:rsid w:val="00025963"/>
    <w:rsid w:val="000300AB"/>
    <w:rsid w:val="0003268C"/>
    <w:rsid w:val="000338A8"/>
    <w:rsid w:val="00033E8E"/>
    <w:rsid w:val="00034483"/>
    <w:rsid w:val="00034EB3"/>
    <w:rsid w:val="00036C98"/>
    <w:rsid w:val="00043E50"/>
    <w:rsid w:val="00044638"/>
    <w:rsid w:val="00045DA6"/>
    <w:rsid w:val="0004720F"/>
    <w:rsid w:val="000500D5"/>
    <w:rsid w:val="000519C4"/>
    <w:rsid w:val="000525A5"/>
    <w:rsid w:val="000531B7"/>
    <w:rsid w:val="00054A11"/>
    <w:rsid w:val="0005551C"/>
    <w:rsid w:val="00056632"/>
    <w:rsid w:val="00056B5D"/>
    <w:rsid w:val="000571C9"/>
    <w:rsid w:val="000765AC"/>
    <w:rsid w:val="000774D1"/>
    <w:rsid w:val="00077E5B"/>
    <w:rsid w:val="0008147E"/>
    <w:rsid w:val="00084282"/>
    <w:rsid w:val="00084A3F"/>
    <w:rsid w:val="00084E37"/>
    <w:rsid w:val="00087689"/>
    <w:rsid w:val="00087A7A"/>
    <w:rsid w:val="000906E1"/>
    <w:rsid w:val="00092828"/>
    <w:rsid w:val="00093047"/>
    <w:rsid w:val="000942CF"/>
    <w:rsid w:val="0009544C"/>
    <w:rsid w:val="000A3C34"/>
    <w:rsid w:val="000A5470"/>
    <w:rsid w:val="000A64ED"/>
    <w:rsid w:val="000A6D26"/>
    <w:rsid w:val="000A6FE8"/>
    <w:rsid w:val="000A7717"/>
    <w:rsid w:val="000B025F"/>
    <w:rsid w:val="000B09E4"/>
    <w:rsid w:val="000B419A"/>
    <w:rsid w:val="000B62E9"/>
    <w:rsid w:val="000C02EB"/>
    <w:rsid w:val="000C080D"/>
    <w:rsid w:val="000C0EB2"/>
    <w:rsid w:val="000C4AAD"/>
    <w:rsid w:val="000C6D6E"/>
    <w:rsid w:val="000C7501"/>
    <w:rsid w:val="000D2B54"/>
    <w:rsid w:val="000D53FE"/>
    <w:rsid w:val="000D65D5"/>
    <w:rsid w:val="000D77C8"/>
    <w:rsid w:val="000E4384"/>
    <w:rsid w:val="000E45EE"/>
    <w:rsid w:val="000E4BEE"/>
    <w:rsid w:val="000E6A2E"/>
    <w:rsid w:val="000E7999"/>
    <w:rsid w:val="000E7CC6"/>
    <w:rsid w:val="000F37C7"/>
    <w:rsid w:val="000F7899"/>
    <w:rsid w:val="001002F8"/>
    <w:rsid w:val="00100858"/>
    <w:rsid w:val="00103769"/>
    <w:rsid w:val="00106CE4"/>
    <w:rsid w:val="00107EB2"/>
    <w:rsid w:val="00111EE7"/>
    <w:rsid w:val="0011383C"/>
    <w:rsid w:val="00114360"/>
    <w:rsid w:val="001160A7"/>
    <w:rsid w:val="001179C0"/>
    <w:rsid w:val="00122419"/>
    <w:rsid w:val="00122F1C"/>
    <w:rsid w:val="0012388A"/>
    <w:rsid w:val="00124435"/>
    <w:rsid w:val="00126161"/>
    <w:rsid w:val="001266C3"/>
    <w:rsid w:val="0013149E"/>
    <w:rsid w:val="00131EC8"/>
    <w:rsid w:val="00132031"/>
    <w:rsid w:val="001320F7"/>
    <w:rsid w:val="00133E80"/>
    <w:rsid w:val="00134BFF"/>
    <w:rsid w:val="00136638"/>
    <w:rsid w:val="00140641"/>
    <w:rsid w:val="00144CF3"/>
    <w:rsid w:val="001456C8"/>
    <w:rsid w:val="00146571"/>
    <w:rsid w:val="00147FAB"/>
    <w:rsid w:val="00150134"/>
    <w:rsid w:val="00150E7C"/>
    <w:rsid w:val="00152920"/>
    <w:rsid w:val="00154E7A"/>
    <w:rsid w:val="001561D6"/>
    <w:rsid w:val="00156953"/>
    <w:rsid w:val="0015722B"/>
    <w:rsid w:val="00165163"/>
    <w:rsid w:val="001665D8"/>
    <w:rsid w:val="00167ACE"/>
    <w:rsid w:val="001711C5"/>
    <w:rsid w:val="00171792"/>
    <w:rsid w:val="00173912"/>
    <w:rsid w:val="001771BA"/>
    <w:rsid w:val="0017766F"/>
    <w:rsid w:val="00181732"/>
    <w:rsid w:val="00183C11"/>
    <w:rsid w:val="001846CA"/>
    <w:rsid w:val="00185BBE"/>
    <w:rsid w:val="00186022"/>
    <w:rsid w:val="00191805"/>
    <w:rsid w:val="00193BF2"/>
    <w:rsid w:val="001949AB"/>
    <w:rsid w:val="00194F2E"/>
    <w:rsid w:val="00197811"/>
    <w:rsid w:val="001A0A61"/>
    <w:rsid w:val="001A4757"/>
    <w:rsid w:val="001A4ADD"/>
    <w:rsid w:val="001A5D19"/>
    <w:rsid w:val="001B33AA"/>
    <w:rsid w:val="001B6C81"/>
    <w:rsid w:val="001B78D0"/>
    <w:rsid w:val="001C033B"/>
    <w:rsid w:val="001C399B"/>
    <w:rsid w:val="001C3AF4"/>
    <w:rsid w:val="001C5685"/>
    <w:rsid w:val="001C7827"/>
    <w:rsid w:val="001D20F8"/>
    <w:rsid w:val="001D23EA"/>
    <w:rsid w:val="001D2619"/>
    <w:rsid w:val="001D30B0"/>
    <w:rsid w:val="001D36DA"/>
    <w:rsid w:val="001D4C49"/>
    <w:rsid w:val="001E09E7"/>
    <w:rsid w:val="001E25BD"/>
    <w:rsid w:val="001E7BA6"/>
    <w:rsid w:val="001F3C58"/>
    <w:rsid w:val="001F3F1F"/>
    <w:rsid w:val="00201C05"/>
    <w:rsid w:val="0020655B"/>
    <w:rsid w:val="002100A4"/>
    <w:rsid w:val="002103C0"/>
    <w:rsid w:val="00210B02"/>
    <w:rsid w:val="00213944"/>
    <w:rsid w:val="00220413"/>
    <w:rsid w:val="00221722"/>
    <w:rsid w:val="00221D33"/>
    <w:rsid w:val="00227DBD"/>
    <w:rsid w:val="00233631"/>
    <w:rsid w:val="002355A4"/>
    <w:rsid w:val="002416F1"/>
    <w:rsid w:val="00241C77"/>
    <w:rsid w:val="00241DCA"/>
    <w:rsid w:val="002443D0"/>
    <w:rsid w:val="00244685"/>
    <w:rsid w:val="00245005"/>
    <w:rsid w:val="00246177"/>
    <w:rsid w:val="002468EE"/>
    <w:rsid w:val="002512F6"/>
    <w:rsid w:val="0025241B"/>
    <w:rsid w:val="00252922"/>
    <w:rsid w:val="00253E7B"/>
    <w:rsid w:val="00257C3D"/>
    <w:rsid w:val="00257FFC"/>
    <w:rsid w:val="00264EF0"/>
    <w:rsid w:val="00270DA0"/>
    <w:rsid w:val="00273AFC"/>
    <w:rsid w:val="002753E8"/>
    <w:rsid w:val="00277FE0"/>
    <w:rsid w:val="002803EE"/>
    <w:rsid w:val="00280CCD"/>
    <w:rsid w:val="002818C8"/>
    <w:rsid w:val="00282CB0"/>
    <w:rsid w:val="00283660"/>
    <w:rsid w:val="00283E10"/>
    <w:rsid w:val="00284CD4"/>
    <w:rsid w:val="00284D96"/>
    <w:rsid w:val="00285A6E"/>
    <w:rsid w:val="00286265"/>
    <w:rsid w:val="00286CF8"/>
    <w:rsid w:val="00290F79"/>
    <w:rsid w:val="0029194A"/>
    <w:rsid w:val="00294AE7"/>
    <w:rsid w:val="002954E0"/>
    <w:rsid w:val="002959FF"/>
    <w:rsid w:val="002973A6"/>
    <w:rsid w:val="0029796E"/>
    <w:rsid w:val="002A4D89"/>
    <w:rsid w:val="002B27DF"/>
    <w:rsid w:val="002B3303"/>
    <w:rsid w:val="002B3B78"/>
    <w:rsid w:val="002B4B0B"/>
    <w:rsid w:val="002C1BB0"/>
    <w:rsid w:val="002C2358"/>
    <w:rsid w:val="002C4A91"/>
    <w:rsid w:val="002C5C75"/>
    <w:rsid w:val="002D0E5B"/>
    <w:rsid w:val="002D333C"/>
    <w:rsid w:val="002D3FAF"/>
    <w:rsid w:val="002D4CBA"/>
    <w:rsid w:val="002D57F9"/>
    <w:rsid w:val="002E365A"/>
    <w:rsid w:val="002E3A99"/>
    <w:rsid w:val="002E5B5D"/>
    <w:rsid w:val="002E655D"/>
    <w:rsid w:val="002E798E"/>
    <w:rsid w:val="002E7C92"/>
    <w:rsid w:val="002F3434"/>
    <w:rsid w:val="002F3BB3"/>
    <w:rsid w:val="002F6034"/>
    <w:rsid w:val="002F6536"/>
    <w:rsid w:val="00307C41"/>
    <w:rsid w:val="00311FD7"/>
    <w:rsid w:val="00312701"/>
    <w:rsid w:val="00313FFB"/>
    <w:rsid w:val="00316E1F"/>
    <w:rsid w:val="00317A15"/>
    <w:rsid w:val="00320ABD"/>
    <w:rsid w:val="00325EED"/>
    <w:rsid w:val="00330663"/>
    <w:rsid w:val="003321D5"/>
    <w:rsid w:val="003321D7"/>
    <w:rsid w:val="00332D92"/>
    <w:rsid w:val="003371F6"/>
    <w:rsid w:val="00337208"/>
    <w:rsid w:val="003425F8"/>
    <w:rsid w:val="0034262F"/>
    <w:rsid w:val="003444AD"/>
    <w:rsid w:val="00350A51"/>
    <w:rsid w:val="00350B13"/>
    <w:rsid w:val="00353488"/>
    <w:rsid w:val="00353B25"/>
    <w:rsid w:val="00354887"/>
    <w:rsid w:val="00357EB0"/>
    <w:rsid w:val="00360C28"/>
    <w:rsid w:val="003622EE"/>
    <w:rsid w:val="003661F7"/>
    <w:rsid w:val="0036746F"/>
    <w:rsid w:val="00371567"/>
    <w:rsid w:val="003739F2"/>
    <w:rsid w:val="00373E2C"/>
    <w:rsid w:val="003751CD"/>
    <w:rsid w:val="00375776"/>
    <w:rsid w:val="00375B2C"/>
    <w:rsid w:val="00377BF5"/>
    <w:rsid w:val="003800F4"/>
    <w:rsid w:val="00381B85"/>
    <w:rsid w:val="0038297C"/>
    <w:rsid w:val="003865CA"/>
    <w:rsid w:val="0039001B"/>
    <w:rsid w:val="00396404"/>
    <w:rsid w:val="003A03CA"/>
    <w:rsid w:val="003A17A9"/>
    <w:rsid w:val="003A518E"/>
    <w:rsid w:val="003B11A0"/>
    <w:rsid w:val="003B1276"/>
    <w:rsid w:val="003B4A87"/>
    <w:rsid w:val="003B6F71"/>
    <w:rsid w:val="003C3E9C"/>
    <w:rsid w:val="003D2210"/>
    <w:rsid w:val="003D41F6"/>
    <w:rsid w:val="003D754B"/>
    <w:rsid w:val="003D7BAE"/>
    <w:rsid w:val="003E38DB"/>
    <w:rsid w:val="003F07BC"/>
    <w:rsid w:val="003F2551"/>
    <w:rsid w:val="003F37A1"/>
    <w:rsid w:val="003F381D"/>
    <w:rsid w:val="00402952"/>
    <w:rsid w:val="0040491F"/>
    <w:rsid w:val="00407CCD"/>
    <w:rsid w:val="00407F78"/>
    <w:rsid w:val="004114CA"/>
    <w:rsid w:val="00411622"/>
    <w:rsid w:val="00412C22"/>
    <w:rsid w:val="00413232"/>
    <w:rsid w:val="004205C5"/>
    <w:rsid w:val="004215B0"/>
    <w:rsid w:val="00421A68"/>
    <w:rsid w:val="004275EA"/>
    <w:rsid w:val="004304DB"/>
    <w:rsid w:val="00430D9F"/>
    <w:rsid w:val="00431896"/>
    <w:rsid w:val="00432011"/>
    <w:rsid w:val="004366B7"/>
    <w:rsid w:val="0043727E"/>
    <w:rsid w:val="004430BF"/>
    <w:rsid w:val="00444123"/>
    <w:rsid w:val="00446CB0"/>
    <w:rsid w:val="00452590"/>
    <w:rsid w:val="004531ED"/>
    <w:rsid w:val="00453407"/>
    <w:rsid w:val="004578D0"/>
    <w:rsid w:val="00461877"/>
    <w:rsid w:val="00462528"/>
    <w:rsid w:val="0046484A"/>
    <w:rsid w:val="0046513F"/>
    <w:rsid w:val="004709B3"/>
    <w:rsid w:val="00470C4F"/>
    <w:rsid w:val="004737A2"/>
    <w:rsid w:val="0047693C"/>
    <w:rsid w:val="00477C64"/>
    <w:rsid w:val="00480368"/>
    <w:rsid w:val="0048437C"/>
    <w:rsid w:val="00493AB5"/>
    <w:rsid w:val="00496409"/>
    <w:rsid w:val="004A0840"/>
    <w:rsid w:val="004A1E8D"/>
    <w:rsid w:val="004A5834"/>
    <w:rsid w:val="004A7B7E"/>
    <w:rsid w:val="004B5759"/>
    <w:rsid w:val="004C11F3"/>
    <w:rsid w:val="004C16A5"/>
    <w:rsid w:val="004C16E3"/>
    <w:rsid w:val="004C17A1"/>
    <w:rsid w:val="004C1805"/>
    <w:rsid w:val="004C2193"/>
    <w:rsid w:val="004C44BD"/>
    <w:rsid w:val="004D1A60"/>
    <w:rsid w:val="004D2D66"/>
    <w:rsid w:val="004D6E42"/>
    <w:rsid w:val="004D7CAD"/>
    <w:rsid w:val="004E1236"/>
    <w:rsid w:val="004E2328"/>
    <w:rsid w:val="004E44DE"/>
    <w:rsid w:val="004E4682"/>
    <w:rsid w:val="004E4766"/>
    <w:rsid w:val="004E49D7"/>
    <w:rsid w:val="004E4EBE"/>
    <w:rsid w:val="004F0799"/>
    <w:rsid w:val="004F083B"/>
    <w:rsid w:val="004F32BC"/>
    <w:rsid w:val="004F3A89"/>
    <w:rsid w:val="004F551B"/>
    <w:rsid w:val="0050185A"/>
    <w:rsid w:val="00502381"/>
    <w:rsid w:val="00505B9A"/>
    <w:rsid w:val="00506637"/>
    <w:rsid w:val="00507041"/>
    <w:rsid w:val="005107E3"/>
    <w:rsid w:val="00510C5B"/>
    <w:rsid w:val="00512457"/>
    <w:rsid w:val="0051509C"/>
    <w:rsid w:val="0051519F"/>
    <w:rsid w:val="00515AC1"/>
    <w:rsid w:val="00515B74"/>
    <w:rsid w:val="00516B57"/>
    <w:rsid w:val="005176B8"/>
    <w:rsid w:val="00521EE1"/>
    <w:rsid w:val="005230BF"/>
    <w:rsid w:val="00523D89"/>
    <w:rsid w:val="00524368"/>
    <w:rsid w:val="00526ECA"/>
    <w:rsid w:val="00530DDC"/>
    <w:rsid w:val="0053159A"/>
    <w:rsid w:val="005325C0"/>
    <w:rsid w:val="00532899"/>
    <w:rsid w:val="00535027"/>
    <w:rsid w:val="00536023"/>
    <w:rsid w:val="005443B6"/>
    <w:rsid w:val="00546DDC"/>
    <w:rsid w:val="005553A4"/>
    <w:rsid w:val="0055563D"/>
    <w:rsid w:val="00556C0A"/>
    <w:rsid w:val="005571BE"/>
    <w:rsid w:val="00560FC2"/>
    <w:rsid w:val="0056359D"/>
    <w:rsid w:val="0056398F"/>
    <w:rsid w:val="00564FFA"/>
    <w:rsid w:val="00565101"/>
    <w:rsid w:val="005670E2"/>
    <w:rsid w:val="00574EA8"/>
    <w:rsid w:val="0057569C"/>
    <w:rsid w:val="00575E37"/>
    <w:rsid w:val="0057695F"/>
    <w:rsid w:val="00580384"/>
    <w:rsid w:val="0058165A"/>
    <w:rsid w:val="0058480B"/>
    <w:rsid w:val="005860A5"/>
    <w:rsid w:val="005863DE"/>
    <w:rsid w:val="00586FD3"/>
    <w:rsid w:val="00587B51"/>
    <w:rsid w:val="00587BAF"/>
    <w:rsid w:val="00591417"/>
    <w:rsid w:val="00592EFE"/>
    <w:rsid w:val="00597284"/>
    <w:rsid w:val="005A464C"/>
    <w:rsid w:val="005A724D"/>
    <w:rsid w:val="005B1DD2"/>
    <w:rsid w:val="005C2DC2"/>
    <w:rsid w:val="005C4B46"/>
    <w:rsid w:val="005C7AC9"/>
    <w:rsid w:val="005D0244"/>
    <w:rsid w:val="005D507A"/>
    <w:rsid w:val="005D7164"/>
    <w:rsid w:val="005D7E38"/>
    <w:rsid w:val="005E1123"/>
    <w:rsid w:val="005E49D3"/>
    <w:rsid w:val="005E59E6"/>
    <w:rsid w:val="005E6763"/>
    <w:rsid w:val="005E692B"/>
    <w:rsid w:val="005E78CA"/>
    <w:rsid w:val="005F2715"/>
    <w:rsid w:val="005F5AC6"/>
    <w:rsid w:val="005F5DF5"/>
    <w:rsid w:val="006006DD"/>
    <w:rsid w:val="006021DB"/>
    <w:rsid w:val="00604E3E"/>
    <w:rsid w:val="006058EB"/>
    <w:rsid w:val="00606643"/>
    <w:rsid w:val="00607BFB"/>
    <w:rsid w:val="00607DAB"/>
    <w:rsid w:val="00610853"/>
    <w:rsid w:val="00612CDE"/>
    <w:rsid w:val="00616BB9"/>
    <w:rsid w:val="00616C5F"/>
    <w:rsid w:val="006174DB"/>
    <w:rsid w:val="00620922"/>
    <w:rsid w:val="006225E6"/>
    <w:rsid w:val="00626C0F"/>
    <w:rsid w:val="0063118F"/>
    <w:rsid w:val="00634731"/>
    <w:rsid w:val="006371F1"/>
    <w:rsid w:val="00637666"/>
    <w:rsid w:val="006430C2"/>
    <w:rsid w:val="00643803"/>
    <w:rsid w:val="00643CD4"/>
    <w:rsid w:val="00644672"/>
    <w:rsid w:val="006447C4"/>
    <w:rsid w:val="006449E7"/>
    <w:rsid w:val="00644E71"/>
    <w:rsid w:val="00646AFF"/>
    <w:rsid w:val="00647050"/>
    <w:rsid w:val="0064774E"/>
    <w:rsid w:val="006478C7"/>
    <w:rsid w:val="00650989"/>
    <w:rsid w:val="006541DF"/>
    <w:rsid w:val="006556DD"/>
    <w:rsid w:val="00662429"/>
    <w:rsid w:val="00664229"/>
    <w:rsid w:val="00665B79"/>
    <w:rsid w:val="00674002"/>
    <w:rsid w:val="0068034C"/>
    <w:rsid w:val="00681CDF"/>
    <w:rsid w:val="006828E2"/>
    <w:rsid w:val="00686792"/>
    <w:rsid w:val="006867E4"/>
    <w:rsid w:val="00687386"/>
    <w:rsid w:val="00694E0E"/>
    <w:rsid w:val="006A5FF6"/>
    <w:rsid w:val="006A6043"/>
    <w:rsid w:val="006B37F5"/>
    <w:rsid w:val="006B4563"/>
    <w:rsid w:val="006B6E28"/>
    <w:rsid w:val="006C6283"/>
    <w:rsid w:val="006C73F5"/>
    <w:rsid w:val="006D0434"/>
    <w:rsid w:val="006D2648"/>
    <w:rsid w:val="006D4F14"/>
    <w:rsid w:val="006D59E6"/>
    <w:rsid w:val="006D6E6F"/>
    <w:rsid w:val="006D75B3"/>
    <w:rsid w:val="006D7D24"/>
    <w:rsid w:val="006E3E0E"/>
    <w:rsid w:val="006E6031"/>
    <w:rsid w:val="006F3283"/>
    <w:rsid w:val="006F3966"/>
    <w:rsid w:val="006F525F"/>
    <w:rsid w:val="006F5279"/>
    <w:rsid w:val="006F7828"/>
    <w:rsid w:val="00700826"/>
    <w:rsid w:val="00701C81"/>
    <w:rsid w:val="00702BB3"/>
    <w:rsid w:val="00705964"/>
    <w:rsid w:val="007060FA"/>
    <w:rsid w:val="0070693F"/>
    <w:rsid w:val="007075AB"/>
    <w:rsid w:val="007136E5"/>
    <w:rsid w:val="007161E4"/>
    <w:rsid w:val="00716DD9"/>
    <w:rsid w:val="00717E3C"/>
    <w:rsid w:val="007206B3"/>
    <w:rsid w:val="00723D6B"/>
    <w:rsid w:val="0072453F"/>
    <w:rsid w:val="007258B8"/>
    <w:rsid w:val="00732392"/>
    <w:rsid w:val="007325C6"/>
    <w:rsid w:val="00732D8A"/>
    <w:rsid w:val="00735450"/>
    <w:rsid w:val="00737046"/>
    <w:rsid w:val="007420AE"/>
    <w:rsid w:val="0074375D"/>
    <w:rsid w:val="00751D16"/>
    <w:rsid w:val="00753159"/>
    <w:rsid w:val="00753978"/>
    <w:rsid w:val="00754789"/>
    <w:rsid w:val="00755C21"/>
    <w:rsid w:val="0075693E"/>
    <w:rsid w:val="0076051C"/>
    <w:rsid w:val="007629B8"/>
    <w:rsid w:val="00762BDF"/>
    <w:rsid w:val="00763671"/>
    <w:rsid w:val="00766531"/>
    <w:rsid w:val="00766995"/>
    <w:rsid w:val="007727D2"/>
    <w:rsid w:val="007728B3"/>
    <w:rsid w:val="00773189"/>
    <w:rsid w:val="0077518D"/>
    <w:rsid w:val="00781A41"/>
    <w:rsid w:val="007849ED"/>
    <w:rsid w:val="00785636"/>
    <w:rsid w:val="0078666B"/>
    <w:rsid w:val="007876C6"/>
    <w:rsid w:val="0079082F"/>
    <w:rsid w:val="00793F25"/>
    <w:rsid w:val="007963B2"/>
    <w:rsid w:val="007A08F1"/>
    <w:rsid w:val="007A629D"/>
    <w:rsid w:val="007B0624"/>
    <w:rsid w:val="007B142F"/>
    <w:rsid w:val="007B2197"/>
    <w:rsid w:val="007C11F8"/>
    <w:rsid w:val="007C198C"/>
    <w:rsid w:val="007C265C"/>
    <w:rsid w:val="007C4781"/>
    <w:rsid w:val="007C4C49"/>
    <w:rsid w:val="007C6516"/>
    <w:rsid w:val="007C751A"/>
    <w:rsid w:val="007D44CD"/>
    <w:rsid w:val="007D45A9"/>
    <w:rsid w:val="007D66EE"/>
    <w:rsid w:val="007D7310"/>
    <w:rsid w:val="007D769F"/>
    <w:rsid w:val="007E0FB2"/>
    <w:rsid w:val="007E16A6"/>
    <w:rsid w:val="007E1F92"/>
    <w:rsid w:val="007E3100"/>
    <w:rsid w:val="007E3DB3"/>
    <w:rsid w:val="007E4B49"/>
    <w:rsid w:val="007F0DE4"/>
    <w:rsid w:val="007F1D3F"/>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203D7"/>
    <w:rsid w:val="008207EE"/>
    <w:rsid w:val="00823B0D"/>
    <w:rsid w:val="00823D0C"/>
    <w:rsid w:val="008245B3"/>
    <w:rsid w:val="00825B39"/>
    <w:rsid w:val="00830103"/>
    <w:rsid w:val="008302BF"/>
    <w:rsid w:val="00831ADF"/>
    <w:rsid w:val="0083280D"/>
    <w:rsid w:val="0083306D"/>
    <w:rsid w:val="008357D4"/>
    <w:rsid w:val="008363D0"/>
    <w:rsid w:val="00836689"/>
    <w:rsid w:val="008368AD"/>
    <w:rsid w:val="008379C1"/>
    <w:rsid w:val="00840348"/>
    <w:rsid w:val="00840532"/>
    <w:rsid w:val="008405AC"/>
    <w:rsid w:val="0084395D"/>
    <w:rsid w:val="00850166"/>
    <w:rsid w:val="008502EB"/>
    <w:rsid w:val="0085066B"/>
    <w:rsid w:val="00851B35"/>
    <w:rsid w:val="00852301"/>
    <w:rsid w:val="00853AD9"/>
    <w:rsid w:val="0085499D"/>
    <w:rsid w:val="008576DD"/>
    <w:rsid w:val="0085770D"/>
    <w:rsid w:val="00862613"/>
    <w:rsid w:val="00865CA6"/>
    <w:rsid w:val="0086784F"/>
    <w:rsid w:val="0087031E"/>
    <w:rsid w:val="0087252F"/>
    <w:rsid w:val="00873B3F"/>
    <w:rsid w:val="008743FB"/>
    <w:rsid w:val="00874DB4"/>
    <w:rsid w:val="00876ED3"/>
    <w:rsid w:val="00880773"/>
    <w:rsid w:val="00880A06"/>
    <w:rsid w:val="00887E5B"/>
    <w:rsid w:val="008908FA"/>
    <w:rsid w:val="00891CA6"/>
    <w:rsid w:val="00893C2B"/>
    <w:rsid w:val="0089418F"/>
    <w:rsid w:val="008A2739"/>
    <w:rsid w:val="008A3C67"/>
    <w:rsid w:val="008A4F07"/>
    <w:rsid w:val="008A67A2"/>
    <w:rsid w:val="008B05AA"/>
    <w:rsid w:val="008B177D"/>
    <w:rsid w:val="008B2127"/>
    <w:rsid w:val="008C32C1"/>
    <w:rsid w:val="008C47AA"/>
    <w:rsid w:val="008C689C"/>
    <w:rsid w:val="008C6914"/>
    <w:rsid w:val="008D0629"/>
    <w:rsid w:val="008D0FA3"/>
    <w:rsid w:val="008D2FCC"/>
    <w:rsid w:val="008D49A6"/>
    <w:rsid w:val="008D601B"/>
    <w:rsid w:val="008E0077"/>
    <w:rsid w:val="008E3EB8"/>
    <w:rsid w:val="008E5600"/>
    <w:rsid w:val="008E609D"/>
    <w:rsid w:val="008E7B53"/>
    <w:rsid w:val="008F002A"/>
    <w:rsid w:val="008F1113"/>
    <w:rsid w:val="008F127D"/>
    <w:rsid w:val="008F1C97"/>
    <w:rsid w:val="008F1CBC"/>
    <w:rsid w:val="008F3911"/>
    <w:rsid w:val="008F55EE"/>
    <w:rsid w:val="008F59F9"/>
    <w:rsid w:val="008F75AA"/>
    <w:rsid w:val="0090057E"/>
    <w:rsid w:val="00901FAC"/>
    <w:rsid w:val="00902A67"/>
    <w:rsid w:val="009038CE"/>
    <w:rsid w:val="00904584"/>
    <w:rsid w:val="00905053"/>
    <w:rsid w:val="00905256"/>
    <w:rsid w:val="00905609"/>
    <w:rsid w:val="00906B51"/>
    <w:rsid w:val="00907347"/>
    <w:rsid w:val="00911BF9"/>
    <w:rsid w:val="00912C01"/>
    <w:rsid w:val="00912FA0"/>
    <w:rsid w:val="0091453F"/>
    <w:rsid w:val="0091768D"/>
    <w:rsid w:val="009263D6"/>
    <w:rsid w:val="00934347"/>
    <w:rsid w:val="00935A98"/>
    <w:rsid w:val="00937F72"/>
    <w:rsid w:val="009404AB"/>
    <w:rsid w:val="00942523"/>
    <w:rsid w:val="0094297C"/>
    <w:rsid w:val="00943374"/>
    <w:rsid w:val="00943453"/>
    <w:rsid w:val="00945DD8"/>
    <w:rsid w:val="00947444"/>
    <w:rsid w:val="00950E44"/>
    <w:rsid w:val="009536BE"/>
    <w:rsid w:val="009542D1"/>
    <w:rsid w:val="00954759"/>
    <w:rsid w:val="00954A1D"/>
    <w:rsid w:val="00956D2E"/>
    <w:rsid w:val="009578E4"/>
    <w:rsid w:val="0096102C"/>
    <w:rsid w:val="009635CC"/>
    <w:rsid w:val="00964ADA"/>
    <w:rsid w:val="00966BE4"/>
    <w:rsid w:val="0097050A"/>
    <w:rsid w:val="00970753"/>
    <w:rsid w:val="0097253A"/>
    <w:rsid w:val="00972A0B"/>
    <w:rsid w:val="00973580"/>
    <w:rsid w:val="00974B78"/>
    <w:rsid w:val="00975C95"/>
    <w:rsid w:val="00976E7B"/>
    <w:rsid w:val="00980111"/>
    <w:rsid w:val="009808CF"/>
    <w:rsid w:val="00982741"/>
    <w:rsid w:val="009831CE"/>
    <w:rsid w:val="009833CB"/>
    <w:rsid w:val="00984911"/>
    <w:rsid w:val="00984947"/>
    <w:rsid w:val="009869A4"/>
    <w:rsid w:val="0098718D"/>
    <w:rsid w:val="00987786"/>
    <w:rsid w:val="00991A44"/>
    <w:rsid w:val="00991AA9"/>
    <w:rsid w:val="009949E3"/>
    <w:rsid w:val="009976D6"/>
    <w:rsid w:val="009A098E"/>
    <w:rsid w:val="009A258D"/>
    <w:rsid w:val="009A419A"/>
    <w:rsid w:val="009A475C"/>
    <w:rsid w:val="009A5AEE"/>
    <w:rsid w:val="009A6C76"/>
    <w:rsid w:val="009A7DCC"/>
    <w:rsid w:val="009B3AA1"/>
    <w:rsid w:val="009B4D3F"/>
    <w:rsid w:val="009B6CC6"/>
    <w:rsid w:val="009C02C2"/>
    <w:rsid w:val="009C04F9"/>
    <w:rsid w:val="009C1952"/>
    <w:rsid w:val="009D0406"/>
    <w:rsid w:val="009D435B"/>
    <w:rsid w:val="009D4458"/>
    <w:rsid w:val="009D4713"/>
    <w:rsid w:val="009D4AEE"/>
    <w:rsid w:val="009D5C8B"/>
    <w:rsid w:val="009D67BC"/>
    <w:rsid w:val="009E2124"/>
    <w:rsid w:val="009E3496"/>
    <w:rsid w:val="009E3E25"/>
    <w:rsid w:val="009E45AE"/>
    <w:rsid w:val="009E788D"/>
    <w:rsid w:val="009F181B"/>
    <w:rsid w:val="009F1DB3"/>
    <w:rsid w:val="009F5BF1"/>
    <w:rsid w:val="009F7C15"/>
    <w:rsid w:val="00A00109"/>
    <w:rsid w:val="00A01437"/>
    <w:rsid w:val="00A05B6B"/>
    <w:rsid w:val="00A064DA"/>
    <w:rsid w:val="00A069BE"/>
    <w:rsid w:val="00A07440"/>
    <w:rsid w:val="00A07A09"/>
    <w:rsid w:val="00A1474F"/>
    <w:rsid w:val="00A16D37"/>
    <w:rsid w:val="00A17C23"/>
    <w:rsid w:val="00A25261"/>
    <w:rsid w:val="00A26F01"/>
    <w:rsid w:val="00A312BA"/>
    <w:rsid w:val="00A32E6E"/>
    <w:rsid w:val="00A33D1C"/>
    <w:rsid w:val="00A34A70"/>
    <w:rsid w:val="00A40D3A"/>
    <w:rsid w:val="00A437F1"/>
    <w:rsid w:val="00A47668"/>
    <w:rsid w:val="00A47C7B"/>
    <w:rsid w:val="00A51501"/>
    <w:rsid w:val="00A52C1F"/>
    <w:rsid w:val="00A53715"/>
    <w:rsid w:val="00A55731"/>
    <w:rsid w:val="00A573D1"/>
    <w:rsid w:val="00A60759"/>
    <w:rsid w:val="00A62ACC"/>
    <w:rsid w:val="00A63E9C"/>
    <w:rsid w:val="00A64CA6"/>
    <w:rsid w:val="00A6650A"/>
    <w:rsid w:val="00A70EBF"/>
    <w:rsid w:val="00A72618"/>
    <w:rsid w:val="00A73994"/>
    <w:rsid w:val="00A73D03"/>
    <w:rsid w:val="00A74975"/>
    <w:rsid w:val="00A76085"/>
    <w:rsid w:val="00A76749"/>
    <w:rsid w:val="00A803BF"/>
    <w:rsid w:val="00A8093A"/>
    <w:rsid w:val="00A82BE5"/>
    <w:rsid w:val="00A83713"/>
    <w:rsid w:val="00A850B0"/>
    <w:rsid w:val="00A905ED"/>
    <w:rsid w:val="00A9204A"/>
    <w:rsid w:val="00A923A0"/>
    <w:rsid w:val="00A92F22"/>
    <w:rsid w:val="00A9795B"/>
    <w:rsid w:val="00AA28E0"/>
    <w:rsid w:val="00AA3F2E"/>
    <w:rsid w:val="00AA564C"/>
    <w:rsid w:val="00AA6340"/>
    <w:rsid w:val="00AA6BBD"/>
    <w:rsid w:val="00AB02CF"/>
    <w:rsid w:val="00AB0F93"/>
    <w:rsid w:val="00AC1A3E"/>
    <w:rsid w:val="00AC2CC8"/>
    <w:rsid w:val="00AC2E75"/>
    <w:rsid w:val="00AC6AD2"/>
    <w:rsid w:val="00AC7437"/>
    <w:rsid w:val="00AC7E6D"/>
    <w:rsid w:val="00AD05C6"/>
    <w:rsid w:val="00AD18F7"/>
    <w:rsid w:val="00AD1F61"/>
    <w:rsid w:val="00AD33FB"/>
    <w:rsid w:val="00AD5044"/>
    <w:rsid w:val="00AE444B"/>
    <w:rsid w:val="00AE6E31"/>
    <w:rsid w:val="00AE6E99"/>
    <w:rsid w:val="00AE6F02"/>
    <w:rsid w:val="00AF01A5"/>
    <w:rsid w:val="00AF1652"/>
    <w:rsid w:val="00AF7928"/>
    <w:rsid w:val="00B01A0F"/>
    <w:rsid w:val="00B03D49"/>
    <w:rsid w:val="00B04B8A"/>
    <w:rsid w:val="00B05452"/>
    <w:rsid w:val="00B05942"/>
    <w:rsid w:val="00B06D44"/>
    <w:rsid w:val="00B06DDB"/>
    <w:rsid w:val="00B06F6E"/>
    <w:rsid w:val="00B1000B"/>
    <w:rsid w:val="00B10D78"/>
    <w:rsid w:val="00B13C92"/>
    <w:rsid w:val="00B153A5"/>
    <w:rsid w:val="00B15463"/>
    <w:rsid w:val="00B25A2A"/>
    <w:rsid w:val="00B26A87"/>
    <w:rsid w:val="00B322E2"/>
    <w:rsid w:val="00B32A3B"/>
    <w:rsid w:val="00B36C23"/>
    <w:rsid w:val="00B443BD"/>
    <w:rsid w:val="00B456C0"/>
    <w:rsid w:val="00B45C72"/>
    <w:rsid w:val="00B501BA"/>
    <w:rsid w:val="00B52A33"/>
    <w:rsid w:val="00B536D6"/>
    <w:rsid w:val="00B540EB"/>
    <w:rsid w:val="00B56E12"/>
    <w:rsid w:val="00B570DB"/>
    <w:rsid w:val="00B6460C"/>
    <w:rsid w:val="00B64BC2"/>
    <w:rsid w:val="00B67FCE"/>
    <w:rsid w:val="00B7213C"/>
    <w:rsid w:val="00B72E58"/>
    <w:rsid w:val="00B73BB2"/>
    <w:rsid w:val="00B756E3"/>
    <w:rsid w:val="00B761D1"/>
    <w:rsid w:val="00B77D1C"/>
    <w:rsid w:val="00B83AC6"/>
    <w:rsid w:val="00B854D8"/>
    <w:rsid w:val="00B87B71"/>
    <w:rsid w:val="00B901BB"/>
    <w:rsid w:val="00B910D3"/>
    <w:rsid w:val="00B917B8"/>
    <w:rsid w:val="00B922DE"/>
    <w:rsid w:val="00B964EE"/>
    <w:rsid w:val="00BA454A"/>
    <w:rsid w:val="00BA58FC"/>
    <w:rsid w:val="00BA5C05"/>
    <w:rsid w:val="00BA5D38"/>
    <w:rsid w:val="00BA757E"/>
    <w:rsid w:val="00BB03EA"/>
    <w:rsid w:val="00BB12A9"/>
    <w:rsid w:val="00BB2CD2"/>
    <w:rsid w:val="00BB320F"/>
    <w:rsid w:val="00BB63B0"/>
    <w:rsid w:val="00BC1C4C"/>
    <w:rsid w:val="00BC2337"/>
    <w:rsid w:val="00BC2D1A"/>
    <w:rsid w:val="00BC4CFF"/>
    <w:rsid w:val="00BC61AC"/>
    <w:rsid w:val="00BD2FC3"/>
    <w:rsid w:val="00BD42BF"/>
    <w:rsid w:val="00BD49B2"/>
    <w:rsid w:val="00BD54DD"/>
    <w:rsid w:val="00BD60D5"/>
    <w:rsid w:val="00BD67C3"/>
    <w:rsid w:val="00BD6EE4"/>
    <w:rsid w:val="00BE0FD9"/>
    <w:rsid w:val="00BE3754"/>
    <w:rsid w:val="00BE4DDF"/>
    <w:rsid w:val="00BE6999"/>
    <w:rsid w:val="00BF0A60"/>
    <w:rsid w:val="00BF1306"/>
    <w:rsid w:val="00BF1D99"/>
    <w:rsid w:val="00BF38BE"/>
    <w:rsid w:val="00BF52D4"/>
    <w:rsid w:val="00C0098B"/>
    <w:rsid w:val="00C00B93"/>
    <w:rsid w:val="00C021C8"/>
    <w:rsid w:val="00C02647"/>
    <w:rsid w:val="00C04CF7"/>
    <w:rsid w:val="00C04D4E"/>
    <w:rsid w:val="00C127BF"/>
    <w:rsid w:val="00C12F81"/>
    <w:rsid w:val="00C13F68"/>
    <w:rsid w:val="00C15508"/>
    <w:rsid w:val="00C17156"/>
    <w:rsid w:val="00C23D83"/>
    <w:rsid w:val="00C248C3"/>
    <w:rsid w:val="00C24D61"/>
    <w:rsid w:val="00C26E19"/>
    <w:rsid w:val="00C2788A"/>
    <w:rsid w:val="00C30F1D"/>
    <w:rsid w:val="00C31A82"/>
    <w:rsid w:val="00C33A4F"/>
    <w:rsid w:val="00C36521"/>
    <w:rsid w:val="00C37072"/>
    <w:rsid w:val="00C372CF"/>
    <w:rsid w:val="00C40910"/>
    <w:rsid w:val="00C41224"/>
    <w:rsid w:val="00C426A0"/>
    <w:rsid w:val="00C45338"/>
    <w:rsid w:val="00C46B99"/>
    <w:rsid w:val="00C46BB5"/>
    <w:rsid w:val="00C472D7"/>
    <w:rsid w:val="00C5011F"/>
    <w:rsid w:val="00C56D97"/>
    <w:rsid w:val="00C56E0B"/>
    <w:rsid w:val="00C61DC8"/>
    <w:rsid w:val="00C6422E"/>
    <w:rsid w:val="00C6473F"/>
    <w:rsid w:val="00C661F9"/>
    <w:rsid w:val="00C66BE8"/>
    <w:rsid w:val="00C70832"/>
    <w:rsid w:val="00C70D0A"/>
    <w:rsid w:val="00C710F4"/>
    <w:rsid w:val="00C746AB"/>
    <w:rsid w:val="00C74F5A"/>
    <w:rsid w:val="00C76527"/>
    <w:rsid w:val="00C76927"/>
    <w:rsid w:val="00C816B7"/>
    <w:rsid w:val="00C81F45"/>
    <w:rsid w:val="00C82ED4"/>
    <w:rsid w:val="00C831E7"/>
    <w:rsid w:val="00C8363A"/>
    <w:rsid w:val="00C8653A"/>
    <w:rsid w:val="00C925B2"/>
    <w:rsid w:val="00C928F3"/>
    <w:rsid w:val="00C942BF"/>
    <w:rsid w:val="00C95989"/>
    <w:rsid w:val="00C96098"/>
    <w:rsid w:val="00CA1512"/>
    <w:rsid w:val="00CA2718"/>
    <w:rsid w:val="00CA27E0"/>
    <w:rsid w:val="00CA6406"/>
    <w:rsid w:val="00CB359A"/>
    <w:rsid w:val="00CB580E"/>
    <w:rsid w:val="00CB6766"/>
    <w:rsid w:val="00CB74E3"/>
    <w:rsid w:val="00CB7997"/>
    <w:rsid w:val="00CC2E51"/>
    <w:rsid w:val="00CC35AA"/>
    <w:rsid w:val="00CC4FD3"/>
    <w:rsid w:val="00CC662C"/>
    <w:rsid w:val="00CD1F0A"/>
    <w:rsid w:val="00CD5DF3"/>
    <w:rsid w:val="00CD7DB8"/>
    <w:rsid w:val="00CE048D"/>
    <w:rsid w:val="00CE0AAC"/>
    <w:rsid w:val="00CE1044"/>
    <w:rsid w:val="00CE2EB4"/>
    <w:rsid w:val="00CE3B3E"/>
    <w:rsid w:val="00CE4546"/>
    <w:rsid w:val="00CE6E40"/>
    <w:rsid w:val="00CE7230"/>
    <w:rsid w:val="00CE7C57"/>
    <w:rsid w:val="00CF0B5A"/>
    <w:rsid w:val="00CF138D"/>
    <w:rsid w:val="00CF2A13"/>
    <w:rsid w:val="00CF2E82"/>
    <w:rsid w:val="00CF464D"/>
    <w:rsid w:val="00CF630D"/>
    <w:rsid w:val="00D00FAB"/>
    <w:rsid w:val="00D04376"/>
    <w:rsid w:val="00D05C3D"/>
    <w:rsid w:val="00D106D2"/>
    <w:rsid w:val="00D11F10"/>
    <w:rsid w:val="00D12FFF"/>
    <w:rsid w:val="00D1369D"/>
    <w:rsid w:val="00D15556"/>
    <w:rsid w:val="00D205B8"/>
    <w:rsid w:val="00D21F8E"/>
    <w:rsid w:val="00D2235B"/>
    <w:rsid w:val="00D228A6"/>
    <w:rsid w:val="00D25595"/>
    <w:rsid w:val="00D2567E"/>
    <w:rsid w:val="00D25DA4"/>
    <w:rsid w:val="00D2683A"/>
    <w:rsid w:val="00D273C1"/>
    <w:rsid w:val="00D278E8"/>
    <w:rsid w:val="00D3355C"/>
    <w:rsid w:val="00D33861"/>
    <w:rsid w:val="00D34C22"/>
    <w:rsid w:val="00D34EF7"/>
    <w:rsid w:val="00D42CD7"/>
    <w:rsid w:val="00D43034"/>
    <w:rsid w:val="00D45A75"/>
    <w:rsid w:val="00D46078"/>
    <w:rsid w:val="00D461C5"/>
    <w:rsid w:val="00D51182"/>
    <w:rsid w:val="00D51A92"/>
    <w:rsid w:val="00D51F49"/>
    <w:rsid w:val="00D53482"/>
    <w:rsid w:val="00D53774"/>
    <w:rsid w:val="00D65BB0"/>
    <w:rsid w:val="00D65D46"/>
    <w:rsid w:val="00D66BDF"/>
    <w:rsid w:val="00D70491"/>
    <w:rsid w:val="00D71AF9"/>
    <w:rsid w:val="00D736E1"/>
    <w:rsid w:val="00D7484B"/>
    <w:rsid w:val="00D74D5A"/>
    <w:rsid w:val="00D76377"/>
    <w:rsid w:val="00D76CD0"/>
    <w:rsid w:val="00D778D7"/>
    <w:rsid w:val="00D801F7"/>
    <w:rsid w:val="00D84A19"/>
    <w:rsid w:val="00D85BB0"/>
    <w:rsid w:val="00D93001"/>
    <w:rsid w:val="00D95521"/>
    <w:rsid w:val="00DA47D4"/>
    <w:rsid w:val="00DA54DD"/>
    <w:rsid w:val="00DA5D02"/>
    <w:rsid w:val="00DA63C9"/>
    <w:rsid w:val="00DB2029"/>
    <w:rsid w:val="00DB28AA"/>
    <w:rsid w:val="00DB2975"/>
    <w:rsid w:val="00DB4BBF"/>
    <w:rsid w:val="00DB5889"/>
    <w:rsid w:val="00DB590F"/>
    <w:rsid w:val="00DB5C6B"/>
    <w:rsid w:val="00DB674C"/>
    <w:rsid w:val="00DB6CB0"/>
    <w:rsid w:val="00DB7D58"/>
    <w:rsid w:val="00DC107E"/>
    <w:rsid w:val="00DC3E5B"/>
    <w:rsid w:val="00DC4F30"/>
    <w:rsid w:val="00DC62DA"/>
    <w:rsid w:val="00DC6E03"/>
    <w:rsid w:val="00DC7B3E"/>
    <w:rsid w:val="00DC7B9D"/>
    <w:rsid w:val="00DD1CB2"/>
    <w:rsid w:val="00DD31E8"/>
    <w:rsid w:val="00DE0A44"/>
    <w:rsid w:val="00DE2F0A"/>
    <w:rsid w:val="00DE3BBE"/>
    <w:rsid w:val="00DE4801"/>
    <w:rsid w:val="00DE75A9"/>
    <w:rsid w:val="00DF0A92"/>
    <w:rsid w:val="00DF1600"/>
    <w:rsid w:val="00DF5075"/>
    <w:rsid w:val="00DF5E37"/>
    <w:rsid w:val="00E02D05"/>
    <w:rsid w:val="00E034A4"/>
    <w:rsid w:val="00E05E59"/>
    <w:rsid w:val="00E075D7"/>
    <w:rsid w:val="00E075E7"/>
    <w:rsid w:val="00E11F82"/>
    <w:rsid w:val="00E12C81"/>
    <w:rsid w:val="00E14E9F"/>
    <w:rsid w:val="00E14EF9"/>
    <w:rsid w:val="00E15902"/>
    <w:rsid w:val="00E200FF"/>
    <w:rsid w:val="00E21895"/>
    <w:rsid w:val="00E21BF6"/>
    <w:rsid w:val="00E22C1E"/>
    <w:rsid w:val="00E24140"/>
    <w:rsid w:val="00E2520C"/>
    <w:rsid w:val="00E2687B"/>
    <w:rsid w:val="00E339DA"/>
    <w:rsid w:val="00E350D3"/>
    <w:rsid w:val="00E40B09"/>
    <w:rsid w:val="00E45EE6"/>
    <w:rsid w:val="00E51281"/>
    <w:rsid w:val="00E52A88"/>
    <w:rsid w:val="00E52CCB"/>
    <w:rsid w:val="00E53C73"/>
    <w:rsid w:val="00E53CC4"/>
    <w:rsid w:val="00E55664"/>
    <w:rsid w:val="00E60031"/>
    <w:rsid w:val="00E6666C"/>
    <w:rsid w:val="00E66A3E"/>
    <w:rsid w:val="00E67DD1"/>
    <w:rsid w:val="00E733FE"/>
    <w:rsid w:val="00E769A9"/>
    <w:rsid w:val="00E8125F"/>
    <w:rsid w:val="00E82E06"/>
    <w:rsid w:val="00E90ECD"/>
    <w:rsid w:val="00E91B78"/>
    <w:rsid w:val="00E92B3C"/>
    <w:rsid w:val="00E93C91"/>
    <w:rsid w:val="00E95FE4"/>
    <w:rsid w:val="00E96446"/>
    <w:rsid w:val="00E97FDA"/>
    <w:rsid w:val="00EA515C"/>
    <w:rsid w:val="00EA551C"/>
    <w:rsid w:val="00EA64E5"/>
    <w:rsid w:val="00EA6BBD"/>
    <w:rsid w:val="00EA7FC2"/>
    <w:rsid w:val="00EB05EA"/>
    <w:rsid w:val="00EB27FC"/>
    <w:rsid w:val="00EB574B"/>
    <w:rsid w:val="00EC414B"/>
    <w:rsid w:val="00EC66A9"/>
    <w:rsid w:val="00EC7E84"/>
    <w:rsid w:val="00ED4DDC"/>
    <w:rsid w:val="00ED7A7C"/>
    <w:rsid w:val="00EE0BCF"/>
    <w:rsid w:val="00EE0C88"/>
    <w:rsid w:val="00EE2770"/>
    <w:rsid w:val="00EE281B"/>
    <w:rsid w:val="00EE4848"/>
    <w:rsid w:val="00EE4BEF"/>
    <w:rsid w:val="00EE56C4"/>
    <w:rsid w:val="00EE6D2B"/>
    <w:rsid w:val="00EE709F"/>
    <w:rsid w:val="00EE7C96"/>
    <w:rsid w:val="00EF0B4C"/>
    <w:rsid w:val="00EF220F"/>
    <w:rsid w:val="00EF5268"/>
    <w:rsid w:val="00F01ED5"/>
    <w:rsid w:val="00F01F75"/>
    <w:rsid w:val="00F026FB"/>
    <w:rsid w:val="00F0323D"/>
    <w:rsid w:val="00F0362B"/>
    <w:rsid w:val="00F05052"/>
    <w:rsid w:val="00F05A97"/>
    <w:rsid w:val="00F068C9"/>
    <w:rsid w:val="00F06B26"/>
    <w:rsid w:val="00F11974"/>
    <w:rsid w:val="00F128B9"/>
    <w:rsid w:val="00F12BE5"/>
    <w:rsid w:val="00F177CB"/>
    <w:rsid w:val="00F20775"/>
    <w:rsid w:val="00F20FF3"/>
    <w:rsid w:val="00F22B05"/>
    <w:rsid w:val="00F260A6"/>
    <w:rsid w:val="00F31EBA"/>
    <w:rsid w:val="00F360CE"/>
    <w:rsid w:val="00F36B94"/>
    <w:rsid w:val="00F43D8B"/>
    <w:rsid w:val="00F44F6D"/>
    <w:rsid w:val="00F456BE"/>
    <w:rsid w:val="00F47F3B"/>
    <w:rsid w:val="00F50111"/>
    <w:rsid w:val="00F525C8"/>
    <w:rsid w:val="00F54A3E"/>
    <w:rsid w:val="00F55281"/>
    <w:rsid w:val="00F57633"/>
    <w:rsid w:val="00F57D07"/>
    <w:rsid w:val="00F60893"/>
    <w:rsid w:val="00F617FA"/>
    <w:rsid w:val="00F61E4E"/>
    <w:rsid w:val="00F6460C"/>
    <w:rsid w:val="00F656E6"/>
    <w:rsid w:val="00F67AA6"/>
    <w:rsid w:val="00F70FC0"/>
    <w:rsid w:val="00F735F2"/>
    <w:rsid w:val="00F736BA"/>
    <w:rsid w:val="00F76B9A"/>
    <w:rsid w:val="00F813BA"/>
    <w:rsid w:val="00F81472"/>
    <w:rsid w:val="00F8156D"/>
    <w:rsid w:val="00F81C02"/>
    <w:rsid w:val="00F83283"/>
    <w:rsid w:val="00F866E0"/>
    <w:rsid w:val="00F86EE2"/>
    <w:rsid w:val="00F8701C"/>
    <w:rsid w:val="00F872A0"/>
    <w:rsid w:val="00F91389"/>
    <w:rsid w:val="00F96A98"/>
    <w:rsid w:val="00FA034F"/>
    <w:rsid w:val="00FA067D"/>
    <w:rsid w:val="00FA0AFF"/>
    <w:rsid w:val="00FA211F"/>
    <w:rsid w:val="00FA338B"/>
    <w:rsid w:val="00FA33E3"/>
    <w:rsid w:val="00FA3C2A"/>
    <w:rsid w:val="00FA6BD9"/>
    <w:rsid w:val="00FA7148"/>
    <w:rsid w:val="00FA77AA"/>
    <w:rsid w:val="00FA7B3F"/>
    <w:rsid w:val="00FB245A"/>
    <w:rsid w:val="00FB2F00"/>
    <w:rsid w:val="00FB3843"/>
    <w:rsid w:val="00FB52C5"/>
    <w:rsid w:val="00FC3436"/>
    <w:rsid w:val="00FC48BA"/>
    <w:rsid w:val="00FC4980"/>
    <w:rsid w:val="00FC6AB7"/>
    <w:rsid w:val="00FC7876"/>
    <w:rsid w:val="00FD08CB"/>
    <w:rsid w:val="00FD1B8A"/>
    <w:rsid w:val="00FD2180"/>
    <w:rsid w:val="00FD33C2"/>
    <w:rsid w:val="00FD389D"/>
    <w:rsid w:val="00FD4153"/>
    <w:rsid w:val="00FD5107"/>
    <w:rsid w:val="00FD7E90"/>
    <w:rsid w:val="00FE48FD"/>
    <w:rsid w:val="00FE65FF"/>
    <w:rsid w:val="00FE7370"/>
    <w:rsid w:val="00FF1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D0EE-B3A0-414D-AAEC-F5C9B497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7859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2011-02-08T15:27:00Z</dcterms:created>
  <dc:creator>dps</dc:creator>
  <lastModifiedBy>pbarry</lastModifiedBy>
  <lastPrinted>2011-02-08T15:25:00Z</lastPrinted>
  <dcterms:modified xsi:type="dcterms:W3CDTF">2011-02-08T15:27:00Z</dcterms:modified>
  <revision>2</revision>
  <dc:title>COMMONWEALTH OF MASSACHUSETTS</dc:title>
</coreProperties>
</file>