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11-9</w:t>
      </w:r>
      <w:r w:rsidR="0038777C">
        <w:rPr>
          <w:b/>
        </w:rPr>
        <w:t>7</w:t>
      </w:r>
      <w:r w:rsidR="00DC63DE">
        <w:rPr>
          <w:b/>
        </w:rPr>
        <w:t>4</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t>)</w:t>
      </w:r>
    </w:p>
    <w:p w:rsidR="00056632" w:rsidRPr="00381C48" w:rsidRDefault="00DC63DE" w:rsidP="0051519F">
      <w:r>
        <w:t>Donald Rushford</w:t>
      </w:r>
      <w:r w:rsidR="00F92137">
        <w:t>,</w:t>
      </w:r>
      <w:r w:rsidR="008F75AA" w:rsidRPr="00381C48">
        <w:tab/>
      </w:r>
      <w:r w:rsidR="002D4CBA" w:rsidRPr="00381C48">
        <w:tab/>
      </w:r>
      <w:r w:rsidR="00AA3F2E" w:rsidRPr="00381C48">
        <w:tab/>
      </w:r>
      <w:r w:rsidR="00056632" w:rsidRPr="00381C48">
        <w:t>)</w:t>
      </w:r>
    </w:p>
    <w:p w:rsidR="00056632" w:rsidRPr="00381C48" w:rsidRDefault="00647050" w:rsidP="00056632">
      <w:r w:rsidRPr="00381C48">
        <w:t>Appellant</w:t>
      </w:r>
      <w:r w:rsidR="00056632" w:rsidRPr="00381C48">
        <w:t xml:space="preserve"> </w:t>
      </w:r>
      <w:r w:rsidR="00056632" w:rsidRPr="00381C48">
        <w:tab/>
      </w:r>
      <w:r w:rsidR="00056632" w:rsidRPr="00381C48">
        <w:tab/>
      </w:r>
      <w:r w:rsidRPr="00381C48">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t>)</w:t>
      </w:r>
    </w:p>
    <w:p w:rsidR="0048437C" w:rsidRPr="00381C48" w:rsidRDefault="00056632" w:rsidP="00056632">
      <w:r w:rsidRPr="00381C48">
        <w:t>v.</w:t>
      </w:r>
      <w:r w:rsidRPr="00381C48">
        <w:tab/>
      </w:r>
      <w:r w:rsidRPr="00381C48">
        <w:tab/>
      </w:r>
      <w:r w:rsidR="0048437C" w:rsidRPr="00381C48">
        <w:tab/>
      </w:r>
      <w:r w:rsidR="0048437C" w:rsidRPr="00381C48">
        <w:tab/>
      </w:r>
      <w:r w:rsidR="0048437C" w:rsidRPr="00381C48">
        <w:tab/>
        <w:t>)</w:t>
      </w:r>
    </w:p>
    <w:p w:rsidR="00056632" w:rsidRPr="00381C48" w:rsidRDefault="0048437C" w:rsidP="00056632">
      <w:r w:rsidRPr="00381C48">
        <w:tab/>
      </w:r>
      <w:r w:rsidRPr="00381C48">
        <w:tab/>
      </w:r>
      <w:r w:rsidR="00056632" w:rsidRPr="00381C48">
        <w:tab/>
      </w:r>
      <w:r w:rsidR="00056632" w:rsidRPr="00381C48">
        <w:tab/>
      </w:r>
      <w:r w:rsidR="00056632" w:rsidRPr="00381C48">
        <w:tab/>
        <w:t>)</w:t>
      </w:r>
      <w:r w:rsidR="00056632" w:rsidRPr="00381C48">
        <w:tab/>
      </w:r>
      <w:r w:rsidR="00056632" w:rsidRPr="00381C48">
        <w:tab/>
      </w:r>
      <w:r w:rsidR="00056632" w:rsidRPr="00381C48">
        <w:tab/>
      </w:r>
      <w:r w:rsidR="00056632" w:rsidRPr="00381C48">
        <w:tab/>
        <w:t xml:space="preserve"> </w:t>
      </w:r>
    </w:p>
    <w:p w:rsidR="00056632" w:rsidRPr="00381C48" w:rsidRDefault="0038777C" w:rsidP="00056632">
      <w:r>
        <w:t>Town of</w:t>
      </w:r>
      <w:r w:rsidR="00DC63DE">
        <w:t xml:space="preserve"> Ashland</w:t>
      </w:r>
      <w:r w:rsidR="007C751A" w:rsidRPr="00381C48">
        <w:t>,</w:t>
      </w:r>
      <w:r w:rsidR="00DC63DE">
        <w:tab/>
      </w:r>
      <w:r>
        <w:tab/>
      </w:r>
      <w:r w:rsidR="00647050" w:rsidRPr="00381C48">
        <w:t xml:space="preserve">  </w:t>
      </w:r>
      <w:r w:rsidR="00A312BA" w:rsidRPr="00381C48">
        <w:t xml:space="preserve">         </w:t>
      </w:r>
      <w:r w:rsidR="0048437C" w:rsidRPr="00381C48">
        <w:tab/>
        <w:t>)</w:t>
      </w:r>
    </w:p>
    <w:p w:rsidR="00056632" w:rsidRPr="00381C48" w:rsidRDefault="00056632" w:rsidP="00056632">
      <w:r w:rsidRPr="00381C48">
        <w:t>Appellees</w:t>
      </w:r>
      <w:r w:rsidRPr="00381C48">
        <w:tab/>
      </w:r>
      <w:r w:rsidRPr="00381C48">
        <w:tab/>
      </w:r>
      <w:r w:rsidR="007C751A" w:rsidRPr="00381C48">
        <w:t xml:space="preserve">                        </w:t>
      </w:r>
      <w:r w:rsidRPr="00381C48">
        <w:t>)</w:t>
      </w:r>
    </w:p>
    <w:p w:rsidR="00056632" w:rsidRPr="00381C48" w:rsidRDefault="00056632" w:rsidP="00056632">
      <w:r w:rsidRPr="00381C48">
        <w:t>______________________________)</w:t>
      </w:r>
    </w:p>
    <w:p w:rsidR="00056632" w:rsidRPr="00381C48" w:rsidRDefault="00056632" w:rsidP="00056632"/>
    <w:p w:rsidR="003D2210" w:rsidRPr="00381C48" w:rsidRDefault="003D2210" w:rsidP="003D2210">
      <w:pPr>
        <w:jc w:val="center"/>
        <w:rPr>
          <w:b/>
          <w:u w:val="single"/>
        </w:rPr>
      </w:pPr>
      <w:r w:rsidRPr="00381C48">
        <w:rPr>
          <w:b/>
          <w:u w:val="single"/>
        </w:rPr>
        <w:t>BOARD’S RULING 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8379C1" w:rsidRPr="00381C48" w:rsidRDefault="00647050" w:rsidP="00647050">
      <w:r w:rsidRPr="00381C48">
        <w:tab/>
      </w:r>
      <w:r w:rsidR="003D2210" w:rsidRPr="00381C48">
        <w:t>This matter came before the State Building Cod</w:t>
      </w:r>
      <w:r w:rsidR="00D70491" w:rsidRPr="00381C48">
        <w:t>e Appeals Board (“Board”) on a</w:t>
      </w:r>
      <w:r w:rsidR="003D2210" w:rsidRPr="00381C48">
        <w:t xml:space="preserve">ppellant’s appeal filed pursuant to G.L. c.143, §100 and 780 CMR 122.1.  In accordance with 780 CMR 122.3 the </w:t>
      </w:r>
      <w:r w:rsidR="0080063D" w:rsidRPr="00381C48">
        <w:t>a</w:t>
      </w:r>
      <w:r w:rsidR="003D2210" w:rsidRPr="00381C48">
        <w:t xml:space="preserve">ppellant petitioned the Board to </w:t>
      </w:r>
      <w:r w:rsidR="00860E9B">
        <w:t xml:space="preserve">grant a variance </w:t>
      </w:r>
      <w:r w:rsidR="003D2210" w:rsidRPr="00381C48">
        <w:t>based on the</w:t>
      </w:r>
      <w:r w:rsidR="004C16E3" w:rsidRPr="00381C48">
        <w:t xml:space="preserve"> </w:t>
      </w:r>
      <w:r w:rsidR="000B419A" w:rsidRPr="00381C48">
        <w:t>Seventh</w:t>
      </w:r>
      <w:r w:rsidR="00F20FF3" w:rsidRPr="00381C48">
        <w:t xml:space="preserve"> </w:t>
      </w:r>
      <w:r w:rsidR="003D2210" w:rsidRPr="00381C48">
        <w:t xml:space="preserve">Edition of </w:t>
      </w:r>
      <w:r w:rsidR="00B77D1C" w:rsidRPr="00381C48">
        <w:t>the Massachusetts</w:t>
      </w:r>
      <w:r w:rsidR="00503C21">
        <w:t xml:space="preserve"> State Building Code (“Code”)</w:t>
      </w:r>
      <w:r w:rsidR="0051519F" w:rsidRPr="00381C48">
        <w:t>.</w:t>
      </w:r>
      <w:r w:rsidR="008379C1" w:rsidRPr="00381C48">
        <w:t xml:space="preserve">  </w:t>
      </w:r>
    </w:p>
    <w:p w:rsidR="008379C1" w:rsidRPr="00381C48" w:rsidRDefault="008379C1" w:rsidP="00647050"/>
    <w:p w:rsidR="00822138" w:rsidRPr="00381C48" w:rsidRDefault="00A76749" w:rsidP="00647050">
      <w:r w:rsidRPr="00381C48">
        <w:tab/>
        <w:t>The a</w:t>
      </w:r>
      <w:r w:rsidR="00647050" w:rsidRPr="00381C48">
        <w:t>ppellant</w:t>
      </w:r>
      <w:r w:rsidR="003D2210" w:rsidRPr="00381C48">
        <w:t xml:space="preserve"> </w:t>
      </w:r>
      <w:r w:rsidR="00647050" w:rsidRPr="00381C48">
        <w:t xml:space="preserve">requested </w:t>
      </w:r>
      <w:r w:rsidR="003C6B78">
        <w:t>that the Board</w:t>
      </w:r>
      <w:r w:rsidR="00647050" w:rsidRPr="00381C48">
        <w:t xml:space="preserve"> </w:t>
      </w:r>
      <w:r w:rsidR="009421D2">
        <w:t>grant a variance to 780 CMR</w:t>
      </w:r>
      <w:r w:rsidR="00E55C0B">
        <w:t xml:space="preserve"> </w:t>
      </w:r>
      <w:r w:rsidR="00DC63DE">
        <w:t>Chapter 7, Section 904.7.</w:t>
      </w:r>
      <w:r w:rsidR="00E55C0B">
        <w:t xml:space="preserve"> </w:t>
      </w:r>
      <w:r w:rsidR="0038777C">
        <w:t xml:space="preserve">The appellant </w:t>
      </w:r>
      <w:r w:rsidR="00DC63DE">
        <w:t xml:space="preserve">appeared for the hearing </w:t>
      </w:r>
      <w:r w:rsidR="00DC63DE">
        <w:rPr>
          <w:i/>
        </w:rPr>
        <w:t>pro se</w:t>
      </w:r>
      <w:r w:rsidR="00DC63DE">
        <w:t>.</w:t>
      </w:r>
      <w:r w:rsidR="0038777C">
        <w:t xml:space="preserve"> </w:t>
      </w:r>
      <w:r w:rsidR="00DC63DE">
        <w:t xml:space="preserve"> Ed Morini, </w:t>
      </w:r>
      <w:r w:rsidR="0038777C">
        <w:t xml:space="preserve">Building </w:t>
      </w:r>
      <w:r w:rsidR="00302DCD">
        <w:t>C</w:t>
      </w:r>
      <w:r w:rsidR="003C6B78">
        <w:t>ommissioner</w:t>
      </w:r>
      <w:r w:rsidR="00DC63DE">
        <w:t xml:space="preserve"> for the Town </w:t>
      </w:r>
      <w:r w:rsidR="0038777C">
        <w:t>of</w:t>
      </w:r>
      <w:r w:rsidR="00DC63DE">
        <w:t xml:space="preserve"> Ashland,</w:t>
      </w:r>
      <w:r w:rsidR="0038777C">
        <w:t xml:space="preserve"> appeared on behalf of the appellees</w:t>
      </w:r>
      <w:r w:rsidR="0072453F" w:rsidRPr="00381C48">
        <w:t>.</w:t>
      </w:r>
      <w:r w:rsidR="00FA7148" w:rsidRPr="00381C48">
        <w:t xml:space="preserve">  </w:t>
      </w:r>
      <w:r w:rsidR="00647050" w:rsidRPr="00381C48">
        <w:t xml:space="preserve">All witnesses were duly sworn.  </w:t>
      </w:r>
    </w:p>
    <w:p w:rsidR="003A03CA" w:rsidRPr="00381C48" w:rsidRDefault="003A03CA"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FA6BD9" w:rsidRPr="00381C48" w:rsidRDefault="00056632" w:rsidP="003A518E">
      <w:pPr>
        <w:ind w:firstLine="720"/>
      </w:pPr>
      <w:r w:rsidRPr="00381C48">
        <w:t xml:space="preserve">The Board convened a public hearing on </w:t>
      </w:r>
      <w:r w:rsidR="00DC63DE">
        <w:t>March 3, 2011</w:t>
      </w:r>
      <w:r w:rsidR="00407F78" w:rsidRPr="00381C48">
        <w:t>,</w:t>
      </w:r>
      <w:r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Pr="00381C48">
        <w:t>.  A</w:t>
      </w:r>
      <w:r w:rsidR="00A6650A" w:rsidRPr="00381C48">
        <w:t>ll interested parties were provided with an opportunity to testify and present evidence to the Board.</w:t>
      </w:r>
    </w:p>
    <w:p w:rsidR="00D53774" w:rsidRPr="00381C48" w:rsidRDefault="00D53774" w:rsidP="00FA6BD9">
      <w:r w:rsidRPr="00381C48">
        <w:tab/>
      </w:r>
    </w:p>
    <w:p w:rsidR="00647050" w:rsidRPr="00381C48" w:rsidRDefault="00647050" w:rsidP="00647050">
      <w:pPr>
        <w:jc w:val="center"/>
        <w:rPr>
          <w:b/>
          <w:u w:val="single"/>
        </w:rPr>
      </w:pPr>
      <w:r w:rsidRPr="00381C48">
        <w:rPr>
          <w:b/>
          <w:u w:val="single"/>
        </w:rPr>
        <w:t>Findings of Fact</w:t>
      </w:r>
    </w:p>
    <w:p w:rsidR="00647050" w:rsidRPr="00381C48" w:rsidRDefault="00647050" w:rsidP="00647050">
      <w:pPr>
        <w:jc w:val="center"/>
        <w:rPr>
          <w:b/>
          <w:u w:val="single"/>
        </w:rPr>
      </w:pPr>
    </w:p>
    <w:p w:rsidR="0051519F" w:rsidRPr="00381C48" w:rsidRDefault="00647050" w:rsidP="00647050">
      <w:r w:rsidRPr="00381C48">
        <w:tab/>
      </w:r>
      <w:r w:rsidR="003E02E2">
        <w:t>T</w:t>
      </w:r>
      <w:r w:rsidRPr="00381C48">
        <w:t>his matter turns on the review of the applicable provisio</w:t>
      </w:r>
      <w:r w:rsidR="00C8363A" w:rsidRPr="00381C48">
        <w:t xml:space="preserve">ns of the State Building Code.  </w:t>
      </w:r>
      <w:r w:rsidRPr="00381C48">
        <w:t>The Board bases the following findings upon the testimony presented at the hearing.  There is substantial evidence to support the following findings:</w:t>
      </w:r>
    </w:p>
    <w:p w:rsidR="008245B3" w:rsidRPr="00381C48" w:rsidRDefault="008245B3" w:rsidP="00647050"/>
    <w:p w:rsidR="00416558" w:rsidRDefault="0051519F" w:rsidP="00DC63DE">
      <w:pPr>
        <w:numPr>
          <w:ilvl w:val="0"/>
          <w:numId w:val="7"/>
        </w:numPr>
      </w:pPr>
      <w:r w:rsidRPr="00381C48">
        <w:t xml:space="preserve">The property at issue </w:t>
      </w:r>
      <w:r w:rsidR="002B27DF" w:rsidRPr="00381C48">
        <w:t>is</w:t>
      </w:r>
      <w:r w:rsidR="001E25BD" w:rsidRPr="00381C48">
        <w:t xml:space="preserve"> </w:t>
      </w:r>
      <w:r w:rsidR="00B06DDB" w:rsidRPr="00381C48">
        <w:t>located at</w:t>
      </w:r>
      <w:r w:rsidR="008F75AA" w:rsidRPr="00381C48">
        <w:t xml:space="preserve"> </w:t>
      </w:r>
      <w:r w:rsidR="00DC63DE">
        <w:t>48 Cherry St., Ashland, MA.</w:t>
      </w:r>
    </w:p>
    <w:p w:rsidR="00827CAA" w:rsidRDefault="00DC63DE" w:rsidP="00DC63DE">
      <w:pPr>
        <w:numPr>
          <w:ilvl w:val="0"/>
          <w:numId w:val="7"/>
        </w:numPr>
      </w:pPr>
      <w:r>
        <w:t xml:space="preserve"> </w:t>
      </w:r>
      <w:r w:rsidR="00827CAA">
        <w:t>The appellant/owner is r</w:t>
      </w:r>
      <w:r w:rsidR="006B7F17">
        <w:t xml:space="preserve">emodeling </w:t>
      </w:r>
      <w:r w:rsidR="00827CAA">
        <w:t xml:space="preserve">the </w:t>
      </w:r>
      <w:r w:rsidR="006B7F17">
        <w:t>garage space into living space</w:t>
      </w:r>
      <w:r w:rsidR="00827CAA">
        <w:t>.</w:t>
      </w:r>
    </w:p>
    <w:p w:rsidR="00827CAA" w:rsidRDefault="00827CAA" w:rsidP="00DC63DE">
      <w:pPr>
        <w:numPr>
          <w:ilvl w:val="0"/>
          <w:numId w:val="7"/>
        </w:numPr>
      </w:pPr>
      <w:r>
        <w:t>The appellant currently lives on the second story of the garage space.</w:t>
      </w:r>
    </w:p>
    <w:p w:rsidR="00827CAA" w:rsidRDefault="00827CAA" w:rsidP="00DC63DE">
      <w:pPr>
        <w:numPr>
          <w:ilvl w:val="0"/>
          <w:numId w:val="7"/>
        </w:numPr>
      </w:pPr>
      <w:r>
        <w:t xml:space="preserve">The second story of the garage space was </w:t>
      </w:r>
      <w:r w:rsidR="006B7F17">
        <w:t xml:space="preserve">built </w:t>
      </w:r>
      <w:r>
        <w:t>pursuant to a variance granted by the local Z</w:t>
      </w:r>
      <w:r w:rsidR="006B7F17">
        <w:t>oning board</w:t>
      </w:r>
      <w:r>
        <w:t>.</w:t>
      </w:r>
    </w:p>
    <w:p w:rsidR="004A603D" w:rsidRDefault="004A603D" w:rsidP="00DC63DE">
      <w:pPr>
        <w:numPr>
          <w:ilvl w:val="0"/>
          <w:numId w:val="7"/>
        </w:numPr>
      </w:pPr>
      <w:r>
        <w:t>The appellant applied for and received a building permit for the renovation.</w:t>
      </w:r>
    </w:p>
    <w:p w:rsidR="004A603D" w:rsidRDefault="004A603D" w:rsidP="00827CAA">
      <w:pPr>
        <w:ind w:left="1080"/>
      </w:pPr>
    </w:p>
    <w:p w:rsidR="006E3E0E" w:rsidRPr="00381C48" w:rsidRDefault="00647050" w:rsidP="00AC1A3E">
      <w:pPr>
        <w:jc w:val="center"/>
        <w:rPr>
          <w:b/>
          <w:u w:val="single"/>
        </w:rPr>
      </w:pPr>
      <w:r w:rsidRPr="00381C48">
        <w:rPr>
          <w:b/>
          <w:u w:val="single"/>
        </w:rPr>
        <w:t>Analysis</w:t>
      </w:r>
    </w:p>
    <w:p w:rsidR="00EF220F" w:rsidRPr="00381C48" w:rsidRDefault="00EF220F" w:rsidP="00A76749"/>
    <w:p w:rsidR="00647050" w:rsidRPr="00381C48" w:rsidRDefault="00647050" w:rsidP="00647050">
      <w:pPr>
        <w:pStyle w:val="Default"/>
        <w:numPr>
          <w:ilvl w:val="0"/>
          <w:numId w:val="4"/>
        </w:numPr>
        <w:rPr>
          <w:color w:val="auto"/>
          <w:u w:val="single"/>
        </w:rPr>
      </w:pPr>
      <w:r w:rsidRPr="00381C48">
        <w:rPr>
          <w:color w:val="auto"/>
        </w:rPr>
        <w:t xml:space="preserve"> </w:t>
      </w:r>
      <w:r w:rsidRPr="00381C48">
        <w:rPr>
          <w:color w:val="auto"/>
          <w:u w:val="single"/>
        </w:rPr>
        <w:t>Jurisdiction of the Board</w:t>
      </w:r>
    </w:p>
    <w:p w:rsidR="00647050" w:rsidRPr="00381C48" w:rsidRDefault="00647050" w:rsidP="00647050">
      <w:pPr>
        <w:pStyle w:val="Default"/>
        <w:ind w:left="1080"/>
        <w:rPr>
          <w:color w:val="auto"/>
        </w:rPr>
      </w:pPr>
    </w:p>
    <w:p w:rsidR="00C8363A" w:rsidRPr="00381C48" w:rsidRDefault="00ED4DDC" w:rsidP="00E05E59">
      <w:pPr>
        <w:pStyle w:val="Default"/>
        <w:ind w:firstLine="720"/>
        <w:rPr>
          <w:color w:val="auto"/>
        </w:rPr>
      </w:pPr>
      <w:r w:rsidRPr="00381C48">
        <w:rPr>
          <w:color w:val="auto"/>
        </w:rPr>
        <w:t>There is no question that the Board has jurisdiction to hear this case.</w:t>
      </w:r>
      <w:r w:rsidR="00C8363A" w:rsidRPr="00381C48">
        <w:rPr>
          <w:color w:val="auto"/>
        </w:rPr>
        <w:t xml:space="preserve"> The governing statute provides that:</w:t>
      </w:r>
    </w:p>
    <w:p w:rsidR="00C8363A" w:rsidRPr="00381C48" w:rsidRDefault="00C8363A" w:rsidP="00C8363A">
      <w:pPr>
        <w:pStyle w:val="Default"/>
        <w:rPr>
          <w:color w:val="auto"/>
        </w:rPr>
      </w:pPr>
      <w:r w:rsidRPr="00381C48">
        <w:rPr>
          <w:color w:val="auto"/>
        </w:rPr>
        <w:t xml:space="preserve"> </w:t>
      </w:r>
    </w:p>
    <w:p w:rsidR="00ED4DDC" w:rsidRPr="00381C48" w:rsidRDefault="00C8363A" w:rsidP="00E05E59">
      <w:pPr>
        <w:pStyle w:val="Default"/>
        <w:ind w:left="720" w:right="720"/>
        <w:rPr>
          <w:color w:val="auto"/>
        </w:rPr>
      </w:pPr>
      <w:r w:rsidRPr="00381C48">
        <w:rPr>
          <w:color w:val="auto"/>
        </w:rPr>
        <w:t xml:space="preserve">Whoever is aggrieved by an interpretation, order, requirement, direction or failure to act by any state or local agency or any person or state or local agency charged with the administration or enforcement of the state building code or any of its rules and </w:t>
      </w:r>
      <w:r w:rsidRPr="00381C48">
        <w:rPr>
          <w:color w:val="auto"/>
        </w:rPr>
        <w:lastRenderedPageBreak/>
        <w:t xml:space="preserve">regulations, except any specialized codes as described in section ninety-six, may within forty-five days after the service of notice thereof appeal from such interpretation, order, requirement, direction, or failure to </w:t>
      </w:r>
      <w:r w:rsidR="00ED4DDC" w:rsidRPr="00381C48">
        <w:rPr>
          <w:color w:val="auto"/>
        </w:rPr>
        <w:t xml:space="preserve">act to the appeals board.      </w:t>
      </w:r>
      <w:r w:rsidRPr="00381C48">
        <w:rPr>
          <w:color w:val="auto"/>
        </w:rPr>
        <w:t xml:space="preserve">G.L. c.143, </w:t>
      </w:r>
      <w:bookmarkStart w:id="0" w:name="OLE_LINK1"/>
      <w:bookmarkStart w:id="1" w:name="OLE_LINK2"/>
      <w:r w:rsidRPr="00381C48">
        <w:rPr>
          <w:color w:val="auto"/>
        </w:rPr>
        <w:t>§</w:t>
      </w:r>
      <w:bookmarkEnd w:id="0"/>
      <w:bookmarkEnd w:id="1"/>
      <w:r w:rsidRPr="00381C48">
        <w:rPr>
          <w:color w:val="auto"/>
        </w:rPr>
        <w:t xml:space="preserve">100.  </w:t>
      </w:r>
    </w:p>
    <w:p w:rsidR="00E05E59" w:rsidRPr="00381C48" w:rsidRDefault="00E05E59" w:rsidP="00E05E59">
      <w:pPr>
        <w:pStyle w:val="Default"/>
        <w:ind w:firstLine="720"/>
        <w:rPr>
          <w:color w:val="auto"/>
        </w:rPr>
      </w:pPr>
    </w:p>
    <w:p w:rsidR="00647050" w:rsidRPr="00381C48" w:rsidRDefault="00D93001" w:rsidP="00E05E59">
      <w:pPr>
        <w:pStyle w:val="Default"/>
        <w:ind w:left="720"/>
        <w:rPr>
          <w:color w:val="auto"/>
        </w:rPr>
      </w:pPr>
      <w:r w:rsidRPr="00381C48">
        <w:rPr>
          <w:color w:val="auto"/>
        </w:rPr>
        <w:t>T</w:t>
      </w:r>
      <w:r w:rsidR="00C8363A" w:rsidRPr="00381C48">
        <w:rPr>
          <w:color w:val="auto"/>
        </w:rPr>
        <w:t>he issues giving rise to this matter directly implicate provisions of the Code.  As such, this Board has jurisdiction to decide this case pursuant to G.L. c. 143, §100.</w:t>
      </w:r>
    </w:p>
    <w:p w:rsidR="00647050" w:rsidRPr="00381C48" w:rsidRDefault="00647050" w:rsidP="00647050">
      <w:pPr>
        <w:pStyle w:val="Default"/>
        <w:rPr>
          <w:color w:val="auto"/>
        </w:rPr>
      </w:pPr>
    </w:p>
    <w:p w:rsidR="00647050" w:rsidRPr="00381C48" w:rsidRDefault="00647050" w:rsidP="00E05E59">
      <w:pPr>
        <w:pStyle w:val="Default"/>
        <w:numPr>
          <w:ilvl w:val="0"/>
          <w:numId w:val="4"/>
        </w:numPr>
        <w:rPr>
          <w:color w:val="auto"/>
          <w:u w:val="single"/>
        </w:rPr>
      </w:pPr>
      <w:r w:rsidRPr="00381C48">
        <w:rPr>
          <w:color w:val="auto"/>
          <w:u w:val="single"/>
        </w:rPr>
        <w:t>State Building Code requirements</w:t>
      </w:r>
    </w:p>
    <w:p w:rsidR="004B5759" w:rsidRDefault="004B5759" w:rsidP="004B5759">
      <w:pPr>
        <w:pStyle w:val="Default"/>
        <w:rPr>
          <w:color w:val="auto"/>
          <w:u w:val="single"/>
        </w:rPr>
      </w:pPr>
    </w:p>
    <w:p w:rsidR="0015782A" w:rsidRDefault="00DD45C7" w:rsidP="006C1737">
      <w:pPr>
        <w:ind w:left="720" w:firstLine="360"/>
      </w:pPr>
      <w:r>
        <w:t>The issue</w:t>
      </w:r>
      <w:r w:rsidR="0015782A">
        <w:t xml:space="preserve"> in this case is whether or not the appellant must sprinkler the entire property.  The appellant testified that he received a building permit with the stipulation that he would sprinkler the 2 rooms being renovated and provide a fire separation between the 5</w:t>
      </w:r>
      <w:r w:rsidR="0015782A" w:rsidRPr="0015782A">
        <w:rPr>
          <w:vertAlign w:val="superscript"/>
        </w:rPr>
        <w:t>th</w:t>
      </w:r>
      <w:r w:rsidR="0015782A">
        <w:t xml:space="preserve"> unit and the rest of the units.</w:t>
      </w:r>
    </w:p>
    <w:p w:rsidR="0015782A" w:rsidRDefault="0015782A" w:rsidP="0015782A">
      <w:pPr>
        <w:ind w:left="720" w:firstLine="720"/>
      </w:pPr>
    </w:p>
    <w:p w:rsidR="0015782A" w:rsidRDefault="0015782A" w:rsidP="006C1737">
      <w:pPr>
        <w:ind w:left="720"/>
      </w:pPr>
      <w:r>
        <w:t xml:space="preserve">The Building Commissioner testified that </w:t>
      </w:r>
      <w:r w:rsidR="006C1737">
        <w:t>the renovation and the change to an R2 use group does require that the entire property meet the Code, meaning the entire property should be sprinklered.  However, the Building Commissioner testified that when the appellant bought the property it had already been converted into a 4 family unit and that it was allowed by the prior building officials, zoning board, and fire officials without that requirement.  Therefore, the Building Commissioner testified that when he received the permit for this renovation he stated that at a minimum he would require a fire separation between the new 5</w:t>
      </w:r>
      <w:r w:rsidR="006C1737" w:rsidRPr="006C1737">
        <w:rPr>
          <w:vertAlign w:val="superscript"/>
        </w:rPr>
        <w:t>th</w:t>
      </w:r>
      <w:r w:rsidR="006C1737">
        <w:t xml:space="preserve"> unit and the 4</w:t>
      </w:r>
      <w:r w:rsidR="006C1737" w:rsidRPr="006C1737">
        <w:rPr>
          <w:vertAlign w:val="superscript"/>
        </w:rPr>
        <w:t>th</w:t>
      </w:r>
      <w:r w:rsidR="006C1737">
        <w:t xml:space="preserve"> unit and that those units be sprinklered.</w:t>
      </w:r>
    </w:p>
    <w:p w:rsidR="006C1737" w:rsidRDefault="006C1737" w:rsidP="006C1737">
      <w:pPr>
        <w:ind w:left="720"/>
      </w:pPr>
    </w:p>
    <w:p w:rsidR="006C1737" w:rsidRDefault="006C1737" w:rsidP="006C1737">
      <w:pPr>
        <w:ind w:left="720"/>
      </w:pPr>
      <w:r>
        <w:t>Both the appellant and the Building Commissioner testified that this was agreeable and that it was at the time the fire department got involved, after the project was ¾ completed that they stated the entire building must be sprinklered.  The appellant and the Building Commissioner testified that by coming to this Board they were seeking relief and that although they understand that even if this Board grants a variance that the fire department still has the authority to impose additional requirements if they so choose.</w:t>
      </w:r>
    </w:p>
    <w:p w:rsidR="004A603D" w:rsidRDefault="004A603D" w:rsidP="006C1737"/>
    <w:p w:rsidR="0091768D" w:rsidRPr="00381C48" w:rsidRDefault="00BE4DDF" w:rsidP="009A6C76">
      <w:pPr>
        <w:jc w:val="center"/>
        <w:rPr>
          <w:b/>
          <w:u w:val="single"/>
        </w:rPr>
      </w:pPr>
      <w:r w:rsidRPr="00381C48">
        <w:rPr>
          <w:b/>
          <w:u w:val="single"/>
        </w:rPr>
        <w:t>C</w:t>
      </w:r>
      <w:r w:rsidR="00E034A4" w:rsidRPr="00381C48">
        <w:rPr>
          <w:b/>
          <w:u w:val="single"/>
        </w:rPr>
        <w:t>onclusion</w:t>
      </w:r>
    </w:p>
    <w:p w:rsidR="00B37EAE" w:rsidRDefault="00B37EAE" w:rsidP="008D7AAF"/>
    <w:p w:rsidR="00B37EAE" w:rsidRDefault="002B3B78" w:rsidP="00DC63DE">
      <w:pPr>
        <w:ind w:firstLine="720"/>
      </w:pPr>
      <w:r w:rsidRPr="00F92137">
        <w:t>A motion was made by</w:t>
      </w:r>
      <w:r w:rsidR="006E6031" w:rsidRPr="00F92137">
        <w:t xml:space="preserve"> </w:t>
      </w:r>
      <w:r w:rsidR="0038777C" w:rsidRPr="00F92137">
        <w:t>Alexander MacLeod</w:t>
      </w:r>
      <w:r w:rsidR="000A16D9" w:rsidRPr="00F92137">
        <w:t xml:space="preserve"> </w:t>
      </w:r>
      <w:r w:rsidR="009421D2" w:rsidRPr="00F92137">
        <w:t xml:space="preserve">and seconded by </w:t>
      </w:r>
      <w:r w:rsidR="00DC63DE">
        <w:t>Jeff Putnam</w:t>
      </w:r>
      <w:r w:rsidR="009421D2" w:rsidRPr="00F92137">
        <w:t xml:space="preserve"> </w:t>
      </w:r>
      <w:r w:rsidR="00B37EAE">
        <w:t xml:space="preserve">that </w:t>
      </w:r>
      <w:r w:rsidR="00DC63DE">
        <w:t xml:space="preserve">based on the testimony presented that the appellant must comply with what the building commissioner has </w:t>
      </w:r>
      <w:r w:rsidR="006C1737">
        <w:t>stated is agreeable-</w:t>
      </w:r>
      <w:r w:rsidR="00DC63DE">
        <w:t>that he must sprinkler the 5</w:t>
      </w:r>
      <w:r w:rsidR="00DC63DE" w:rsidRPr="00DC63DE">
        <w:rPr>
          <w:vertAlign w:val="superscript"/>
        </w:rPr>
        <w:t>th</w:t>
      </w:r>
      <w:r w:rsidR="00DC63DE">
        <w:t xml:space="preserve"> unit and make a fire separation wall between the existing unit and the fifth unit this is allowed due to the hardship and the fact that the whole house is up to code with carbon monoxide detectors and hardwired smoke detectors.</w:t>
      </w:r>
    </w:p>
    <w:p w:rsidR="006C1737" w:rsidRDefault="006C1737" w:rsidP="00DC63DE">
      <w:pPr>
        <w:ind w:firstLine="720"/>
      </w:pPr>
    </w:p>
    <w:p w:rsidR="006C1737" w:rsidRPr="00F92137" w:rsidRDefault="00FC182E" w:rsidP="00DC63DE">
      <w:pPr>
        <w:ind w:firstLine="720"/>
      </w:pPr>
      <w:r>
        <w:t xml:space="preserve">                                                    </w:t>
      </w:r>
      <w:r>
        <w:rPr>
          <w:noProof/>
        </w:rPr>
        <w:drawing>
          <wp:inline distT="0" distB="0" distL="0" distR="0">
            <wp:extent cx="1685925" cy="514350"/>
            <wp:effectExtent l="19050" t="0" r="9525"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85925" cy="514350"/>
                    </a:xfrm>
                    <a:prstGeom prst="rect">
                      <a:avLst/>
                    </a:prstGeom>
                    <a:noFill/>
                    <a:ln w="9525">
                      <a:noFill/>
                      <a:miter lim="800000"/>
                      <a:headEnd/>
                      <a:tailEnd/>
                    </a:ln>
                  </pic:spPr>
                </pic:pic>
              </a:graphicData>
            </a:graphic>
          </wp:inline>
        </w:drawing>
      </w:r>
    </w:p>
    <w:p w:rsidR="00A923A0" w:rsidRPr="00381C48" w:rsidRDefault="00461877" w:rsidP="00DB7D58">
      <w:pPr>
        <w:jc w:val="center"/>
      </w:pPr>
      <w:r w:rsidRPr="00381C48">
        <w:t>_______________________</w:t>
      </w:r>
      <w:r w:rsidR="00C426A0" w:rsidRPr="00381C48">
        <w:t xml:space="preserve"> </w:t>
      </w:r>
      <w:r w:rsidRPr="00381C48">
        <w:tab/>
      </w:r>
      <w:r w:rsidR="00C426A0" w:rsidRPr="00381C48">
        <w:t xml:space="preserve">  </w:t>
      </w:r>
      <w:r w:rsidRPr="00381C48">
        <w:t>_______________________</w:t>
      </w:r>
      <w:r w:rsidR="00C426A0" w:rsidRPr="00381C48">
        <w:t xml:space="preserve">   </w:t>
      </w:r>
      <w:r w:rsidRPr="00381C48">
        <w:t>__________________</w:t>
      </w:r>
    </w:p>
    <w:p w:rsidR="00700826" w:rsidRPr="00381C48" w:rsidRDefault="00DC63DE" w:rsidP="006D75B3">
      <w:pPr>
        <w:ind w:left="720" w:firstLine="720"/>
      </w:pPr>
      <w:r>
        <w:t>Jeff Putnam</w:t>
      </w:r>
      <w:r>
        <w:tab/>
      </w:r>
      <w:r w:rsidR="00EF220F" w:rsidRPr="00381C48">
        <w:tab/>
      </w:r>
      <w:r w:rsidR="00407CCD" w:rsidRPr="00381C48">
        <w:tab/>
      </w:r>
      <w:r w:rsidR="0038777C">
        <w:t>Alexander MacLeod</w:t>
      </w:r>
      <w:r w:rsidR="00023D53" w:rsidRPr="00381C48">
        <w:tab/>
      </w:r>
      <w:r w:rsidR="0038777C">
        <w:tab/>
      </w:r>
      <w:r>
        <w:t>Doug Semple</w:t>
      </w:r>
    </w:p>
    <w:p w:rsidR="00DB7D58" w:rsidRPr="00381C48" w:rsidRDefault="00DB7D58"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6777D4">
        <w:t>March 1</w:t>
      </w:r>
      <w:r w:rsidR="00FC182E">
        <w:t>7</w:t>
      </w:r>
      <w:r w:rsidR="00365644">
        <w:t>, 2011</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90A" w:rsidRDefault="0097690A">
      <w:r>
        <w:separator/>
      </w:r>
    </w:p>
  </w:endnote>
  <w:endnote w:type="continuationSeparator" w:id="1">
    <w:p w:rsidR="0097690A" w:rsidRDefault="00976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47CD" w:rsidRDefault="009C4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CD" w:rsidRDefault="009C47CD"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182E">
      <w:rPr>
        <w:rStyle w:val="PageNumber"/>
        <w:noProof/>
      </w:rPr>
      <w:t>3</w:t>
    </w:r>
    <w:r>
      <w:rPr>
        <w:rStyle w:val="PageNumber"/>
      </w:rPr>
      <w:fldChar w:fldCharType="end"/>
    </w:r>
  </w:p>
  <w:p w:rsidR="009C47CD" w:rsidRDefault="009C4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90A" w:rsidRDefault="0097690A">
      <w:r>
        <w:separator/>
      </w:r>
    </w:p>
  </w:footnote>
  <w:footnote w:type="continuationSeparator" w:id="1">
    <w:p w:rsidR="0097690A" w:rsidRDefault="00976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7"/>
  </w:num>
  <w:num w:numId="5">
    <w:abstractNumId w:val="4"/>
  </w:num>
  <w:num w:numId="6">
    <w:abstractNumId w:val="1"/>
  </w:num>
  <w:num w:numId="7">
    <w:abstractNumId w:val="3"/>
  </w:num>
  <w:num w:numId="8">
    <w:abstractNumId w:val="8"/>
  </w:num>
  <w:num w:numId="9">
    <w:abstractNumId w:val="14"/>
  </w:num>
  <w:num w:numId="10">
    <w:abstractNumId w:val="11"/>
  </w:num>
  <w:num w:numId="11">
    <w:abstractNumId w:val="15"/>
  </w:num>
  <w:num w:numId="12">
    <w:abstractNumId w:val="10"/>
  </w:num>
  <w:num w:numId="13">
    <w:abstractNumId w:val="0"/>
  </w:num>
  <w:num w:numId="14">
    <w:abstractNumId w:val="9"/>
  </w:num>
  <w:num w:numId="15">
    <w:abstractNumId w:val="5"/>
  </w:num>
  <w:num w:numId="16">
    <w:abstractNumId w:val="7"/>
  </w:num>
  <w:num w:numId="17">
    <w:abstractNumId w:val="1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4098"/>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200D"/>
    <w:rsid w:val="00012024"/>
    <w:rsid w:val="000164B9"/>
    <w:rsid w:val="000167BB"/>
    <w:rsid w:val="0002013A"/>
    <w:rsid w:val="00020AEF"/>
    <w:rsid w:val="0002258C"/>
    <w:rsid w:val="00023D53"/>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19C4"/>
    <w:rsid w:val="000525A5"/>
    <w:rsid w:val="000531B7"/>
    <w:rsid w:val="00054A11"/>
    <w:rsid w:val="0005551C"/>
    <w:rsid w:val="000555EF"/>
    <w:rsid w:val="00056632"/>
    <w:rsid w:val="00056B5D"/>
    <w:rsid w:val="000571C9"/>
    <w:rsid w:val="000765AC"/>
    <w:rsid w:val="000774D1"/>
    <w:rsid w:val="00077E5B"/>
    <w:rsid w:val="0008147E"/>
    <w:rsid w:val="00081892"/>
    <w:rsid w:val="00084282"/>
    <w:rsid w:val="00084A3F"/>
    <w:rsid w:val="00084E37"/>
    <w:rsid w:val="00087689"/>
    <w:rsid w:val="00087A7A"/>
    <w:rsid w:val="000906E1"/>
    <w:rsid w:val="00092828"/>
    <w:rsid w:val="00093047"/>
    <w:rsid w:val="000942CF"/>
    <w:rsid w:val="0009544C"/>
    <w:rsid w:val="000A16D9"/>
    <w:rsid w:val="000A3C34"/>
    <w:rsid w:val="000A5470"/>
    <w:rsid w:val="000A62DA"/>
    <w:rsid w:val="000A64ED"/>
    <w:rsid w:val="000A6D26"/>
    <w:rsid w:val="000A6FE8"/>
    <w:rsid w:val="000A7717"/>
    <w:rsid w:val="000B025F"/>
    <w:rsid w:val="000B09E4"/>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EE7"/>
    <w:rsid w:val="0011383C"/>
    <w:rsid w:val="00114360"/>
    <w:rsid w:val="001160A7"/>
    <w:rsid w:val="001179C0"/>
    <w:rsid w:val="0012198B"/>
    <w:rsid w:val="00122419"/>
    <w:rsid w:val="00122F1C"/>
    <w:rsid w:val="0012388A"/>
    <w:rsid w:val="00124435"/>
    <w:rsid w:val="00126161"/>
    <w:rsid w:val="001266C3"/>
    <w:rsid w:val="00127C06"/>
    <w:rsid w:val="0013149E"/>
    <w:rsid w:val="00131EC8"/>
    <w:rsid w:val="00132031"/>
    <w:rsid w:val="001320F7"/>
    <w:rsid w:val="00133E80"/>
    <w:rsid w:val="00134BFF"/>
    <w:rsid w:val="00136638"/>
    <w:rsid w:val="00140641"/>
    <w:rsid w:val="0014147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4757"/>
    <w:rsid w:val="001A4ADD"/>
    <w:rsid w:val="001A5D19"/>
    <w:rsid w:val="001B33AA"/>
    <w:rsid w:val="001B6C81"/>
    <w:rsid w:val="001B78D0"/>
    <w:rsid w:val="001B7AF4"/>
    <w:rsid w:val="001C033B"/>
    <w:rsid w:val="001C1BA2"/>
    <w:rsid w:val="001C399B"/>
    <w:rsid w:val="001C3AF4"/>
    <w:rsid w:val="001C5685"/>
    <w:rsid w:val="001C7827"/>
    <w:rsid w:val="001D20F8"/>
    <w:rsid w:val="001D23EA"/>
    <w:rsid w:val="001D2619"/>
    <w:rsid w:val="001D30B0"/>
    <w:rsid w:val="001D36DA"/>
    <w:rsid w:val="001D4C49"/>
    <w:rsid w:val="001D6543"/>
    <w:rsid w:val="001D750C"/>
    <w:rsid w:val="001E09E7"/>
    <w:rsid w:val="001E25BD"/>
    <w:rsid w:val="001E7BA6"/>
    <w:rsid w:val="001F3C58"/>
    <w:rsid w:val="001F3F1F"/>
    <w:rsid w:val="001F69C3"/>
    <w:rsid w:val="00200C69"/>
    <w:rsid w:val="00201C05"/>
    <w:rsid w:val="0020655B"/>
    <w:rsid w:val="002100A4"/>
    <w:rsid w:val="002103C0"/>
    <w:rsid w:val="00210B02"/>
    <w:rsid w:val="00213944"/>
    <w:rsid w:val="002145A2"/>
    <w:rsid w:val="00220413"/>
    <w:rsid w:val="00221722"/>
    <w:rsid w:val="00221D33"/>
    <w:rsid w:val="0022263F"/>
    <w:rsid w:val="00227C43"/>
    <w:rsid w:val="00227DBD"/>
    <w:rsid w:val="00233631"/>
    <w:rsid w:val="00233998"/>
    <w:rsid w:val="002355A4"/>
    <w:rsid w:val="002416F1"/>
    <w:rsid w:val="00241C77"/>
    <w:rsid w:val="00241DCA"/>
    <w:rsid w:val="002443D0"/>
    <w:rsid w:val="00244685"/>
    <w:rsid w:val="00245005"/>
    <w:rsid w:val="00246177"/>
    <w:rsid w:val="002468EE"/>
    <w:rsid w:val="002512F6"/>
    <w:rsid w:val="0025241B"/>
    <w:rsid w:val="00252922"/>
    <w:rsid w:val="00253E7B"/>
    <w:rsid w:val="00255B40"/>
    <w:rsid w:val="00257C3D"/>
    <w:rsid w:val="00257FFC"/>
    <w:rsid w:val="0026345E"/>
    <w:rsid w:val="00264EF0"/>
    <w:rsid w:val="00270DA0"/>
    <w:rsid w:val="002739D8"/>
    <w:rsid w:val="00273AFC"/>
    <w:rsid w:val="00274FD1"/>
    <w:rsid w:val="002753E8"/>
    <w:rsid w:val="00277FE0"/>
    <w:rsid w:val="002803EE"/>
    <w:rsid w:val="00280CCD"/>
    <w:rsid w:val="002818C8"/>
    <w:rsid w:val="00282CB0"/>
    <w:rsid w:val="00283660"/>
    <w:rsid w:val="00283E10"/>
    <w:rsid w:val="00284CD4"/>
    <w:rsid w:val="00284D96"/>
    <w:rsid w:val="00285A6E"/>
    <w:rsid w:val="00286265"/>
    <w:rsid w:val="00286CF8"/>
    <w:rsid w:val="00290F79"/>
    <w:rsid w:val="0029194A"/>
    <w:rsid w:val="00294AE7"/>
    <w:rsid w:val="002954E0"/>
    <w:rsid w:val="002959FF"/>
    <w:rsid w:val="002973A6"/>
    <w:rsid w:val="0029796E"/>
    <w:rsid w:val="002A025F"/>
    <w:rsid w:val="002A4D89"/>
    <w:rsid w:val="002B27DF"/>
    <w:rsid w:val="002B3303"/>
    <w:rsid w:val="002B3B78"/>
    <w:rsid w:val="002B4B0B"/>
    <w:rsid w:val="002C1BB0"/>
    <w:rsid w:val="002C2358"/>
    <w:rsid w:val="002C4A91"/>
    <w:rsid w:val="002C5C75"/>
    <w:rsid w:val="002D0E5B"/>
    <w:rsid w:val="002D333C"/>
    <w:rsid w:val="002D3FAF"/>
    <w:rsid w:val="002D4555"/>
    <w:rsid w:val="002D4CBA"/>
    <w:rsid w:val="002D57F9"/>
    <w:rsid w:val="002E03D8"/>
    <w:rsid w:val="002E365A"/>
    <w:rsid w:val="002E3A99"/>
    <w:rsid w:val="002E5B5D"/>
    <w:rsid w:val="002E655D"/>
    <w:rsid w:val="002E798E"/>
    <w:rsid w:val="002E7C92"/>
    <w:rsid w:val="002F3434"/>
    <w:rsid w:val="002F3BB3"/>
    <w:rsid w:val="002F6034"/>
    <w:rsid w:val="002F6536"/>
    <w:rsid w:val="00302DCD"/>
    <w:rsid w:val="00307C41"/>
    <w:rsid w:val="00311FD7"/>
    <w:rsid w:val="00312701"/>
    <w:rsid w:val="00313FFB"/>
    <w:rsid w:val="00316E1F"/>
    <w:rsid w:val="00317367"/>
    <w:rsid w:val="00317A15"/>
    <w:rsid w:val="00320ABD"/>
    <w:rsid w:val="00325EED"/>
    <w:rsid w:val="00330663"/>
    <w:rsid w:val="003321D5"/>
    <w:rsid w:val="003321D7"/>
    <w:rsid w:val="00332D92"/>
    <w:rsid w:val="003339C1"/>
    <w:rsid w:val="003371F6"/>
    <w:rsid w:val="00337208"/>
    <w:rsid w:val="003425F8"/>
    <w:rsid w:val="0034262F"/>
    <w:rsid w:val="003444AD"/>
    <w:rsid w:val="00350A51"/>
    <w:rsid w:val="00350B13"/>
    <w:rsid w:val="00350FE5"/>
    <w:rsid w:val="00353488"/>
    <w:rsid w:val="00353B25"/>
    <w:rsid w:val="00354887"/>
    <w:rsid w:val="00357EB0"/>
    <w:rsid w:val="003601A2"/>
    <w:rsid w:val="00360C28"/>
    <w:rsid w:val="003622EE"/>
    <w:rsid w:val="00362C46"/>
    <w:rsid w:val="00365644"/>
    <w:rsid w:val="003661F7"/>
    <w:rsid w:val="0036746F"/>
    <w:rsid w:val="00371567"/>
    <w:rsid w:val="003739F2"/>
    <w:rsid w:val="00373E2C"/>
    <w:rsid w:val="003751CD"/>
    <w:rsid w:val="00375776"/>
    <w:rsid w:val="00375B2C"/>
    <w:rsid w:val="00376D8C"/>
    <w:rsid w:val="00377BF5"/>
    <w:rsid w:val="003800F4"/>
    <w:rsid w:val="00381B85"/>
    <w:rsid w:val="00381C48"/>
    <w:rsid w:val="0038297C"/>
    <w:rsid w:val="003865CA"/>
    <w:rsid w:val="0038777C"/>
    <w:rsid w:val="0039001B"/>
    <w:rsid w:val="00396404"/>
    <w:rsid w:val="003A0082"/>
    <w:rsid w:val="003A03CA"/>
    <w:rsid w:val="003A17A9"/>
    <w:rsid w:val="003A518E"/>
    <w:rsid w:val="003B11A0"/>
    <w:rsid w:val="003B1276"/>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7A1"/>
    <w:rsid w:val="003F381D"/>
    <w:rsid w:val="003F727D"/>
    <w:rsid w:val="00402952"/>
    <w:rsid w:val="0040491F"/>
    <w:rsid w:val="00407CCD"/>
    <w:rsid w:val="00407F78"/>
    <w:rsid w:val="004114CA"/>
    <w:rsid w:val="00411622"/>
    <w:rsid w:val="00412C22"/>
    <w:rsid w:val="00413232"/>
    <w:rsid w:val="00414346"/>
    <w:rsid w:val="00416558"/>
    <w:rsid w:val="004205C5"/>
    <w:rsid w:val="004215B0"/>
    <w:rsid w:val="00421A68"/>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37BD"/>
    <w:rsid w:val="0048437C"/>
    <w:rsid w:val="00493AB5"/>
    <w:rsid w:val="00496409"/>
    <w:rsid w:val="004A0840"/>
    <w:rsid w:val="004A1E8D"/>
    <w:rsid w:val="004A5834"/>
    <w:rsid w:val="004A603D"/>
    <w:rsid w:val="004A7B7E"/>
    <w:rsid w:val="004B5759"/>
    <w:rsid w:val="004C11F3"/>
    <w:rsid w:val="004C16A5"/>
    <w:rsid w:val="004C16E3"/>
    <w:rsid w:val="004C17A1"/>
    <w:rsid w:val="004C1805"/>
    <w:rsid w:val="004C2193"/>
    <w:rsid w:val="004C44BD"/>
    <w:rsid w:val="004D1A60"/>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1EE1"/>
    <w:rsid w:val="005230BF"/>
    <w:rsid w:val="00523D89"/>
    <w:rsid w:val="00524368"/>
    <w:rsid w:val="00526ECA"/>
    <w:rsid w:val="00530DDC"/>
    <w:rsid w:val="0053159A"/>
    <w:rsid w:val="005324F8"/>
    <w:rsid w:val="005325C0"/>
    <w:rsid w:val="00532899"/>
    <w:rsid w:val="00535027"/>
    <w:rsid w:val="00536023"/>
    <w:rsid w:val="005443B6"/>
    <w:rsid w:val="00545EB7"/>
    <w:rsid w:val="00546DDC"/>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7284"/>
    <w:rsid w:val="005A3F7F"/>
    <w:rsid w:val="005A464C"/>
    <w:rsid w:val="005A724D"/>
    <w:rsid w:val="005A7DC7"/>
    <w:rsid w:val="005B1DD2"/>
    <w:rsid w:val="005C2DC2"/>
    <w:rsid w:val="005C4B46"/>
    <w:rsid w:val="005C7AC9"/>
    <w:rsid w:val="005D0244"/>
    <w:rsid w:val="005D0765"/>
    <w:rsid w:val="005D086C"/>
    <w:rsid w:val="005D507A"/>
    <w:rsid w:val="005D7164"/>
    <w:rsid w:val="005D7E38"/>
    <w:rsid w:val="005E0905"/>
    <w:rsid w:val="005E1123"/>
    <w:rsid w:val="005E3C8D"/>
    <w:rsid w:val="005E49D3"/>
    <w:rsid w:val="005E59E6"/>
    <w:rsid w:val="005E6763"/>
    <w:rsid w:val="005E692B"/>
    <w:rsid w:val="005E78CA"/>
    <w:rsid w:val="005F2715"/>
    <w:rsid w:val="005F51F3"/>
    <w:rsid w:val="005F5AC6"/>
    <w:rsid w:val="005F5DF5"/>
    <w:rsid w:val="006006DD"/>
    <w:rsid w:val="00601604"/>
    <w:rsid w:val="006021DB"/>
    <w:rsid w:val="00604E3E"/>
    <w:rsid w:val="006058EB"/>
    <w:rsid w:val="00606643"/>
    <w:rsid w:val="00606909"/>
    <w:rsid w:val="00607BFB"/>
    <w:rsid w:val="00607DAB"/>
    <w:rsid w:val="00610853"/>
    <w:rsid w:val="00612CDE"/>
    <w:rsid w:val="00616399"/>
    <w:rsid w:val="00616BB9"/>
    <w:rsid w:val="00616C5F"/>
    <w:rsid w:val="006174DB"/>
    <w:rsid w:val="00617F3C"/>
    <w:rsid w:val="00620922"/>
    <w:rsid w:val="006225E6"/>
    <w:rsid w:val="00626C0F"/>
    <w:rsid w:val="0063118F"/>
    <w:rsid w:val="0063251B"/>
    <w:rsid w:val="006344FC"/>
    <w:rsid w:val="00634731"/>
    <w:rsid w:val="006371F1"/>
    <w:rsid w:val="00637666"/>
    <w:rsid w:val="006430C2"/>
    <w:rsid w:val="006436CF"/>
    <w:rsid w:val="00643803"/>
    <w:rsid w:val="00643CD4"/>
    <w:rsid w:val="00644672"/>
    <w:rsid w:val="006447C4"/>
    <w:rsid w:val="006449E7"/>
    <w:rsid w:val="00644E71"/>
    <w:rsid w:val="00646AFF"/>
    <w:rsid w:val="00647050"/>
    <w:rsid w:val="0064774E"/>
    <w:rsid w:val="006478C7"/>
    <w:rsid w:val="00650989"/>
    <w:rsid w:val="006541DF"/>
    <w:rsid w:val="006556DD"/>
    <w:rsid w:val="006559AA"/>
    <w:rsid w:val="00662429"/>
    <w:rsid w:val="00664229"/>
    <w:rsid w:val="00665B79"/>
    <w:rsid w:val="00670739"/>
    <w:rsid w:val="00674002"/>
    <w:rsid w:val="006777D4"/>
    <w:rsid w:val="0068034C"/>
    <w:rsid w:val="00681CDF"/>
    <w:rsid w:val="006828E2"/>
    <w:rsid w:val="00686792"/>
    <w:rsid w:val="006867E4"/>
    <w:rsid w:val="00687386"/>
    <w:rsid w:val="006924B7"/>
    <w:rsid w:val="00694E0E"/>
    <w:rsid w:val="006A0F79"/>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E0CED"/>
    <w:rsid w:val="006E3E0E"/>
    <w:rsid w:val="006E6031"/>
    <w:rsid w:val="006F26C6"/>
    <w:rsid w:val="006F3283"/>
    <w:rsid w:val="006F3966"/>
    <w:rsid w:val="006F525F"/>
    <w:rsid w:val="006F5279"/>
    <w:rsid w:val="006F7192"/>
    <w:rsid w:val="006F7828"/>
    <w:rsid w:val="00700826"/>
    <w:rsid w:val="00701C81"/>
    <w:rsid w:val="00702BB3"/>
    <w:rsid w:val="00705964"/>
    <w:rsid w:val="007060FA"/>
    <w:rsid w:val="0070693F"/>
    <w:rsid w:val="007075AB"/>
    <w:rsid w:val="00711114"/>
    <w:rsid w:val="007136E5"/>
    <w:rsid w:val="007161E4"/>
    <w:rsid w:val="00716DD9"/>
    <w:rsid w:val="00717E3C"/>
    <w:rsid w:val="007206B3"/>
    <w:rsid w:val="00723D6B"/>
    <w:rsid w:val="0072453F"/>
    <w:rsid w:val="007258B8"/>
    <w:rsid w:val="00730DDA"/>
    <w:rsid w:val="00732392"/>
    <w:rsid w:val="007325C6"/>
    <w:rsid w:val="00732D8A"/>
    <w:rsid w:val="00735450"/>
    <w:rsid w:val="00736504"/>
    <w:rsid w:val="00737046"/>
    <w:rsid w:val="00737BF5"/>
    <w:rsid w:val="007420AE"/>
    <w:rsid w:val="0074375D"/>
    <w:rsid w:val="00751D16"/>
    <w:rsid w:val="00753159"/>
    <w:rsid w:val="00753978"/>
    <w:rsid w:val="00754789"/>
    <w:rsid w:val="00755C21"/>
    <w:rsid w:val="0075693E"/>
    <w:rsid w:val="0076051C"/>
    <w:rsid w:val="0076250D"/>
    <w:rsid w:val="007629B8"/>
    <w:rsid w:val="00762BDF"/>
    <w:rsid w:val="00763671"/>
    <w:rsid w:val="00766531"/>
    <w:rsid w:val="00766995"/>
    <w:rsid w:val="007727D2"/>
    <w:rsid w:val="007728B3"/>
    <w:rsid w:val="00773189"/>
    <w:rsid w:val="0077518D"/>
    <w:rsid w:val="00781A41"/>
    <w:rsid w:val="007849ED"/>
    <w:rsid w:val="00785636"/>
    <w:rsid w:val="0078666B"/>
    <w:rsid w:val="007876C6"/>
    <w:rsid w:val="0079082F"/>
    <w:rsid w:val="00793F25"/>
    <w:rsid w:val="007963B2"/>
    <w:rsid w:val="00797708"/>
    <w:rsid w:val="007A08F1"/>
    <w:rsid w:val="007A1966"/>
    <w:rsid w:val="007A2EC6"/>
    <w:rsid w:val="007A629D"/>
    <w:rsid w:val="007A6924"/>
    <w:rsid w:val="007A6CFB"/>
    <w:rsid w:val="007B0624"/>
    <w:rsid w:val="007B142F"/>
    <w:rsid w:val="007B2197"/>
    <w:rsid w:val="007B4DBC"/>
    <w:rsid w:val="007B5EB0"/>
    <w:rsid w:val="007B6BCC"/>
    <w:rsid w:val="007C11F8"/>
    <w:rsid w:val="007C198C"/>
    <w:rsid w:val="007C265C"/>
    <w:rsid w:val="007C2E8B"/>
    <w:rsid w:val="007C4781"/>
    <w:rsid w:val="007C4BDB"/>
    <w:rsid w:val="007C4C49"/>
    <w:rsid w:val="007C6516"/>
    <w:rsid w:val="007C751A"/>
    <w:rsid w:val="007D44CD"/>
    <w:rsid w:val="007D45A9"/>
    <w:rsid w:val="007D66EE"/>
    <w:rsid w:val="007D7310"/>
    <w:rsid w:val="007D769F"/>
    <w:rsid w:val="007E0FB2"/>
    <w:rsid w:val="007E16A6"/>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7AD6"/>
    <w:rsid w:val="008203D7"/>
    <w:rsid w:val="008207EE"/>
    <w:rsid w:val="00822138"/>
    <w:rsid w:val="00823B0D"/>
    <w:rsid w:val="00823D0C"/>
    <w:rsid w:val="008245B3"/>
    <w:rsid w:val="00825B39"/>
    <w:rsid w:val="00827CAA"/>
    <w:rsid w:val="00830103"/>
    <w:rsid w:val="008302BF"/>
    <w:rsid w:val="00831ADF"/>
    <w:rsid w:val="0083280D"/>
    <w:rsid w:val="0083306D"/>
    <w:rsid w:val="008357D4"/>
    <w:rsid w:val="008363D0"/>
    <w:rsid w:val="00836689"/>
    <w:rsid w:val="008368AD"/>
    <w:rsid w:val="008379C1"/>
    <w:rsid w:val="00840348"/>
    <w:rsid w:val="00840532"/>
    <w:rsid w:val="008405AC"/>
    <w:rsid w:val="0084395D"/>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CA6"/>
    <w:rsid w:val="00867624"/>
    <w:rsid w:val="0086784F"/>
    <w:rsid w:val="0087031E"/>
    <w:rsid w:val="0087252F"/>
    <w:rsid w:val="00873B3F"/>
    <w:rsid w:val="008743FB"/>
    <w:rsid w:val="00874DB4"/>
    <w:rsid w:val="00876ED3"/>
    <w:rsid w:val="00880773"/>
    <w:rsid w:val="00880A06"/>
    <w:rsid w:val="00887E5B"/>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2127"/>
    <w:rsid w:val="008B7546"/>
    <w:rsid w:val="008C1841"/>
    <w:rsid w:val="008C32C1"/>
    <w:rsid w:val="008C47AA"/>
    <w:rsid w:val="008C689C"/>
    <w:rsid w:val="008C6914"/>
    <w:rsid w:val="008D0629"/>
    <w:rsid w:val="008D0FA3"/>
    <w:rsid w:val="008D2FCC"/>
    <w:rsid w:val="008D3EB3"/>
    <w:rsid w:val="008D49A6"/>
    <w:rsid w:val="008D601B"/>
    <w:rsid w:val="008D7AAF"/>
    <w:rsid w:val="008E0077"/>
    <w:rsid w:val="008E00AB"/>
    <w:rsid w:val="008E3EB8"/>
    <w:rsid w:val="008E5600"/>
    <w:rsid w:val="008E609D"/>
    <w:rsid w:val="008E7B53"/>
    <w:rsid w:val="008F002A"/>
    <w:rsid w:val="008F1113"/>
    <w:rsid w:val="008F127D"/>
    <w:rsid w:val="008F1C97"/>
    <w:rsid w:val="008F1CBC"/>
    <w:rsid w:val="008F3911"/>
    <w:rsid w:val="008F55EE"/>
    <w:rsid w:val="008F59F9"/>
    <w:rsid w:val="008F732D"/>
    <w:rsid w:val="008F75AA"/>
    <w:rsid w:val="0090057E"/>
    <w:rsid w:val="00901FAC"/>
    <w:rsid w:val="0090289A"/>
    <w:rsid w:val="00902A67"/>
    <w:rsid w:val="00903465"/>
    <w:rsid w:val="009038CE"/>
    <w:rsid w:val="00904584"/>
    <w:rsid w:val="00905053"/>
    <w:rsid w:val="00905256"/>
    <w:rsid w:val="00905609"/>
    <w:rsid w:val="00906B51"/>
    <w:rsid w:val="00907347"/>
    <w:rsid w:val="00911BF9"/>
    <w:rsid w:val="00911D86"/>
    <w:rsid w:val="00912C01"/>
    <w:rsid w:val="00912FA0"/>
    <w:rsid w:val="009130CB"/>
    <w:rsid w:val="0091453F"/>
    <w:rsid w:val="0091768D"/>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7444"/>
    <w:rsid w:val="00950E44"/>
    <w:rsid w:val="009536BE"/>
    <w:rsid w:val="009542D1"/>
    <w:rsid w:val="00954759"/>
    <w:rsid w:val="00954A1D"/>
    <w:rsid w:val="00956D2E"/>
    <w:rsid w:val="009578E4"/>
    <w:rsid w:val="0096102C"/>
    <w:rsid w:val="009635CC"/>
    <w:rsid w:val="00964ADA"/>
    <w:rsid w:val="00966BE4"/>
    <w:rsid w:val="0097050A"/>
    <w:rsid w:val="00970753"/>
    <w:rsid w:val="009724AA"/>
    <w:rsid w:val="0097253A"/>
    <w:rsid w:val="00972A0B"/>
    <w:rsid w:val="00973580"/>
    <w:rsid w:val="00974B78"/>
    <w:rsid w:val="00975C95"/>
    <w:rsid w:val="0097690A"/>
    <w:rsid w:val="00976E7B"/>
    <w:rsid w:val="00980111"/>
    <w:rsid w:val="009808CF"/>
    <w:rsid w:val="00982741"/>
    <w:rsid w:val="009831CE"/>
    <w:rsid w:val="009833CB"/>
    <w:rsid w:val="00984911"/>
    <w:rsid w:val="00984947"/>
    <w:rsid w:val="009869A4"/>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3AA1"/>
    <w:rsid w:val="009B4D3F"/>
    <w:rsid w:val="009B500B"/>
    <w:rsid w:val="009B6CC6"/>
    <w:rsid w:val="009C02C2"/>
    <w:rsid w:val="009C04F9"/>
    <w:rsid w:val="009C1952"/>
    <w:rsid w:val="009C47CD"/>
    <w:rsid w:val="009D0406"/>
    <w:rsid w:val="009D3C10"/>
    <w:rsid w:val="009D435B"/>
    <w:rsid w:val="009D4458"/>
    <w:rsid w:val="009D4713"/>
    <w:rsid w:val="009D4AEE"/>
    <w:rsid w:val="009D5C8B"/>
    <w:rsid w:val="009D67BC"/>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5B6B"/>
    <w:rsid w:val="00A064DA"/>
    <w:rsid w:val="00A069BE"/>
    <w:rsid w:val="00A07440"/>
    <w:rsid w:val="00A07A09"/>
    <w:rsid w:val="00A13B6C"/>
    <w:rsid w:val="00A1474F"/>
    <w:rsid w:val="00A16D37"/>
    <w:rsid w:val="00A17C23"/>
    <w:rsid w:val="00A21940"/>
    <w:rsid w:val="00A24708"/>
    <w:rsid w:val="00A25261"/>
    <w:rsid w:val="00A26F01"/>
    <w:rsid w:val="00A312BA"/>
    <w:rsid w:val="00A32E6E"/>
    <w:rsid w:val="00A33D1C"/>
    <w:rsid w:val="00A34A70"/>
    <w:rsid w:val="00A40D3A"/>
    <w:rsid w:val="00A40E48"/>
    <w:rsid w:val="00A437F1"/>
    <w:rsid w:val="00A47668"/>
    <w:rsid w:val="00A47C7B"/>
    <w:rsid w:val="00A51501"/>
    <w:rsid w:val="00A52C1F"/>
    <w:rsid w:val="00A53715"/>
    <w:rsid w:val="00A55731"/>
    <w:rsid w:val="00A573D1"/>
    <w:rsid w:val="00A60759"/>
    <w:rsid w:val="00A6176A"/>
    <w:rsid w:val="00A62ACC"/>
    <w:rsid w:val="00A63A8D"/>
    <w:rsid w:val="00A63AD3"/>
    <w:rsid w:val="00A63B5B"/>
    <w:rsid w:val="00A63E9C"/>
    <w:rsid w:val="00A64CA6"/>
    <w:rsid w:val="00A6650A"/>
    <w:rsid w:val="00A70EBF"/>
    <w:rsid w:val="00A72618"/>
    <w:rsid w:val="00A727E6"/>
    <w:rsid w:val="00A73994"/>
    <w:rsid w:val="00A73D03"/>
    <w:rsid w:val="00A74975"/>
    <w:rsid w:val="00A76085"/>
    <w:rsid w:val="00A76236"/>
    <w:rsid w:val="00A76749"/>
    <w:rsid w:val="00A76BA5"/>
    <w:rsid w:val="00A803BF"/>
    <w:rsid w:val="00A8093A"/>
    <w:rsid w:val="00A82BE5"/>
    <w:rsid w:val="00A83310"/>
    <w:rsid w:val="00A83713"/>
    <w:rsid w:val="00A850B0"/>
    <w:rsid w:val="00A905ED"/>
    <w:rsid w:val="00A909A9"/>
    <w:rsid w:val="00A9204A"/>
    <w:rsid w:val="00A923A0"/>
    <w:rsid w:val="00A92F22"/>
    <w:rsid w:val="00A947B2"/>
    <w:rsid w:val="00A95CA7"/>
    <w:rsid w:val="00A9795B"/>
    <w:rsid w:val="00AA2161"/>
    <w:rsid w:val="00AA28E0"/>
    <w:rsid w:val="00AA3F2E"/>
    <w:rsid w:val="00AA54A6"/>
    <w:rsid w:val="00AA564C"/>
    <w:rsid w:val="00AA6340"/>
    <w:rsid w:val="00AA6BBD"/>
    <w:rsid w:val="00AB02CF"/>
    <w:rsid w:val="00AB0F93"/>
    <w:rsid w:val="00AB2D49"/>
    <w:rsid w:val="00AC139C"/>
    <w:rsid w:val="00AC1A3E"/>
    <w:rsid w:val="00AC2180"/>
    <w:rsid w:val="00AC2CC8"/>
    <w:rsid w:val="00AC2E75"/>
    <w:rsid w:val="00AC6AD2"/>
    <w:rsid w:val="00AC7437"/>
    <w:rsid w:val="00AC74FC"/>
    <w:rsid w:val="00AC7E6D"/>
    <w:rsid w:val="00AD05C6"/>
    <w:rsid w:val="00AD18F7"/>
    <w:rsid w:val="00AD1F61"/>
    <w:rsid w:val="00AD33FB"/>
    <w:rsid w:val="00AD5044"/>
    <w:rsid w:val="00AE444B"/>
    <w:rsid w:val="00AE6E31"/>
    <w:rsid w:val="00AE6E99"/>
    <w:rsid w:val="00AE6F02"/>
    <w:rsid w:val="00AE7085"/>
    <w:rsid w:val="00AF01A5"/>
    <w:rsid w:val="00AF1652"/>
    <w:rsid w:val="00AF6CA4"/>
    <w:rsid w:val="00AF7928"/>
    <w:rsid w:val="00B00F8C"/>
    <w:rsid w:val="00B01A0F"/>
    <w:rsid w:val="00B02353"/>
    <w:rsid w:val="00B03D49"/>
    <w:rsid w:val="00B04B8A"/>
    <w:rsid w:val="00B05452"/>
    <w:rsid w:val="00B05942"/>
    <w:rsid w:val="00B06D44"/>
    <w:rsid w:val="00B06DDB"/>
    <w:rsid w:val="00B06F6E"/>
    <w:rsid w:val="00B1000B"/>
    <w:rsid w:val="00B10D78"/>
    <w:rsid w:val="00B11CE7"/>
    <w:rsid w:val="00B13C92"/>
    <w:rsid w:val="00B153A5"/>
    <w:rsid w:val="00B15463"/>
    <w:rsid w:val="00B25A2A"/>
    <w:rsid w:val="00B26A87"/>
    <w:rsid w:val="00B322E2"/>
    <w:rsid w:val="00B32A3B"/>
    <w:rsid w:val="00B36C23"/>
    <w:rsid w:val="00B37EAE"/>
    <w:rsid w:val="00B41BAC"/>
    <w:rsid w:val="00B443BD"/>
    <w:rsid w:val="00B456C0"/>
    <w:rsid w:val="00B45C72"/>
    <w:rsid w:val="00B501BA"/>
    <w:rsid w:val="00B52A33"/>
    <w:rsid w:val="00B536D6"/>
    <w:rsid w:val="00B540EB"/>
    <w:rsid w:val="00B56E12"/>
    <w:rsid w:val="00B570DB"/>
    <w:rsid w:val="00B603D4"/>
    <w:rsid w:val="00B63E9D"/>
    <w:rsid w:val="00B6460C"/>
    <w:rsid w:val="00B64BC2"/>
    <w:rsid w:val="00B67FCE"/>
    <w:rsid w:val="00B7213C"/>
    <w:rsid w:val="00B72B8F"/>
    <w:rsid w:val="00B72E58"/>
    <w:rsid w:val="00B73BB2"/>
    <w:rsid w:val="00B756E3"/>
    <w:rsid w:val="00B761D1"/>
    <w:rsid w:val="00B77D1C"/>
    <w:rsid w:val="00B83AC6"/>
    <w:rsid w:val="00B854D8"/>
    <w:rsid w:val="00B864FA"/>
    <w:rsid w:val="00B87B71"/>
    <w:rsid w:val="00B901BB"/>
    <w:rsid w:val="00B910D3"/>
    <w:rsid w:val="00B917B8"/>
    <w:rsid w:val="00B922DE"/>
    <w:rsid w:val="00B964EE"/>
    <w:rsid w:val="00B966FE"/>
    <w:rsid w:val="00B97877"/>
    <w:rsid w:val="00BA454A"/>
    <w:rsid w:val="00BA58FC"/>
    <w:rsid w:val="00BA5C05"/>
    <w:rsid w:val="00BA5D38"/>
    <w:rsid w:val="00BA757E"/>
    <w:rsid w:val="00BB03EA"/>
    <w:rsid w:val="00BB12A9"/>
    <w:rsid w:val="00BB2CD2"/>
    <w:rsid w:val="00BB320F"/>
    <w:rsid w:val="00BB40C2"/>
    <w:rsid w:val="00BB63B0"/>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A82"/>
    <w:rsid w:val="00C33A4F"/>
    <w:rsid w:val="00C36521"/>
    <w:rsid w:val="00C37072"/>
    <w:rsid w:val="00C372CF"/>
    <w:rsid w:val="00C40910"/>
    <w:rsid w:val="00C41224"/>
    <w:rsid w:val="00C426A0"/>
    <w:rsid w:val="00C43EBB"/>
    <w:rsid w:val="00C45338"/>
    <w:rsid w:val="00C46B99"/>
    <w:rsid w:val="00C46BB5"/>
    <w:rsid w:val="00C472D7"/>
    <w:rsid w:val="00C5011F"/>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927"/>
    <w:rsid w:val="00C816B7"/>
    <w:rsid w:val="00C81F45"/>
    <w:rsid w:val="00C82ED4"/>
    <w:rsid w:val="00C831E7"/>
    <w:rsid w:val="00C8363A"/>
    <w:rsid w:val="00C8653A"/>
    <w:rsid w:val="00C925B2"/>
    <w:rsid w:val="00C928F3"/>
    <w:rsid w:val="00C942BF"/>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E51"/>
    <w:rsid w:val="00CC35AA"/>
    <w:rsid w:val="00CC4FD3"/>
    <w:rsid w:val="00CC662C"/>
    <w:rsid w:val="00CD1F0A"/>
    <w:rsid w:val="00CD5DF3"/>
    <w:rsid w:val="00CD659B"/>
    <w:rsid w:val="00CD7DB8"/>
    <w:rsid w:val="00CE048D"/>
    <w:rsid w:val="00CE0AAC"/>
    <w:rsid w:val="00CE1044"/>
    <w:rsid w:val="00CE2EB4"/>
    <w:rsid w:val="00CE3B3E"/>
    <w:rsid w:val="00CE4546"/>
    <w:rsid w:val="00CE5116"/>
    <w:rsid w:val="00CE6E40"/>
    <w:rsid w:val="00CE7230"/>
    <w:rsid w:val="00CE7C57"/>
    <w:rsid w:val="00CF0B5A"/>
    <w:rsid w:val="00CF138D"/>
    <w:rsid w:val="00CF2A13"/>
    <w:rsid w:val="00CF2E82"/>
    <w:rsid w:val="00CF464D"/>
    <w:rsid w:val="00CF630D"/>
    <w:rsid w:val="00D00114"/>
    <w:rsid w:val="00D00FAB"/>
    <w:rsid w:val="00D04376"/>
    <w:rsid w:val="00D05C3D"/>
    <w:rsid w:val="00D106D2"/>
    <w:rsid w:val="00D1090E"/>
    <w:rsid w:val="00D11F10"/>
    <w:rsid w:val="00D124C3"/>
    <w:rsid w:val="00D12FFF"/>
    <w:rsid w:val="00D1369D"/>
    <w:rsid w:val="00D15556"/>
    <w:rsid w:val="00D205B8"/>
    <w:rsid w:val="00D21F8E"/>
    <w:rsid w:val="00D2235B"/>
    <w:rsid w:val="00D228A6"/>
    <w:rsid w:val="00D25595"/>
    <w:rsid w:val="00D2567E"/>
    <w:rsid w:val="00D25DA4"/>
    <w:rsid w:val="00D2683A"/>
    <w:rsid w:val="00D273C1"/>
    <w:rsid w:val="00D278E8"/>
    <w:rsid w:val="00D322BE"/>
    <w:rsid w:val="00D3355C"/>
    <w:rsid w:val="00D33861"/>
    <w:rsid w:val="00D34C22"/>
    <w:rsid w:val="00D34EF7"/>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3001"/>
    <w:rsid w:val="00D95521"/>
    <w:rsid w:val="00DA2530"/>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1E8"/>
    <w:rsid w:val="00DD45C7"/>
    <w:rsid w:val="00DD7939"/>
    <w:rsid w:val="00DE0A44"/>
    <w:rsid w:val="00DE2F0A"/>
    <w:rsid w:val="00DE3BBE"/>
    <w:rsid w:val="00DE4144"/>
    <w:rsid w:val="00DE4801"/>
    <w:rsid w:val="00DE75A9"/>
    <w:rsid w:val="00DF0A92"/>
    <w:rsid w:val="00DF1600"/>
    <w:rsid w:val="00DF5075"/>
    <w:rsid w:val="00DF5E37"/>
    <w:rsid w:val="00E02D05"/>
    <w:rsid w:val="00E034A4"/>
    <w:rsid w:val="00E05E59"/>
    <w:rsid w:val="00E075D7"/>
    <w:rsid w:val="00E075E7"/>
    <w:rsid w:val="00E11F82"/>
    <w:rsid w:val="00E12C81"/>
    <w:rsid w:val="00E1480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1281"/>
    <w:rsid w:val="00E52A88"/>
    <w:rsid w:val="00E52CCB"/>
    <w:rsid w:val="00E53C73"/>
    <w:rsid w:val="00E53CC4"/>
    <w:rsid w:val="00E55664"/>
    <w:rsid w:val="00E55C0B"/>
    <w:rsid w:val="00E562AD"/>
    <w:rsid w:val="00E60031"/>
    <w:rsid w:val="00E6666C"/>
    <w:rsid w:val="00E66A3E"/>
    <w:rsid w:val="00E67DD1"/>
    <w:rsid w:val="00E733FE"/>
    <w:rsid w:val="00E769A9"/>
    <w:rsid w:val="00E8125F"/>
    <w:rsid w:val="00E82E06"/>
    <w:rsid w:val="00E90ECD"/>
    <w:rsid w:val="00E91B78"/>
    <w:rsid w:val="00E92B3C"/>
    <w:rsid w:val="00E93C91"/>
    <w:rsid w:val="00E95FE4"/>
    <w:rsid w:val="00E96446"/>
    <w:rsid w:val="00E97FDA"/>
    <w:rsid w:val="00EA1E5D"/>
    <w:rsid w:val="00EA515C"/>
    <w:rsid w:val="00EA551C"/>
    <w:rsid w:val="00EA64E5"/>
    <w:rsid w:val="00EA6BBD"/>
    <w:rsid w:val="00EA7FC2"/>
    <w:rsid w:val="00EB05EA"/>
    <w:rsid w:val="00EB27FC"/>
    <w:rsid w:val="00EB574B"/>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28B9"/>
    <w:rsid w:val="00F12BE5"/>
    <w:rsid w:val="00F177CB"/>
    <w:rsid w:val="00F20775"/>
    <w:rsid w:val="00F20FF3"/>
    <w:rsid w:val="00F22B05"/>
    <w:rsid w:val="00F22E6A"/>
    <w:rsid w:val="00F260A6"/>
    <w:rsid w:val="00F31BE6"/>
    <w:rsid w:val="00F31EBA"/>
    <w:rsid w:val="00F360CE"/>
    <w:rsid w:val="00F36B94"/>
    <w:rsid w:val="00F4011A"/>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2C5"/>
    <w:rsid w:val="00FC182E"/>
    <w:rsid w:val="00FC2018"/>
    <w:rsid w:val="00FC3436"/>
    <w:rsid w:val="00FC48BA"/>
    <w:rsid w:val="00FC4980"/>
    <w:rsid w:val="00FC6AB7"/>
    <w:rsid w:val="00FC7876"/>
    <w:rsid w:val="00FD08CB"/>
    <w:rsid w:val="00FD1B8A"/>
    <w:rsid w:val="00FD2180"/>
    <w:rsid w:val="00FD33C2"/>
    <w:rsid w:val="00FD389D"/>
    <w:rsid w:val="00FD4153"/>
    <w:rsid w:val="00FD5107"/>
    <w:rsid w:val="00FD7E90"/>
    <w:rsid w:val="00FE48FD"/>
    <w:rsid w:val="00FE618E"/>
    <w:rsid w:val="00FE65FF"/>
    <w:rsid w:val="00FE7370"/>
    <w:rsid w:val="00FF05B4"/>
    <w:rsid w:val="00FF145D"/>
    <w:rsid w:val="00FF3050"/>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68D9-00F1-4EE4-AD61-D026BA0D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5178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2011-03-17T18:42:00Z</dcterms:created>
  <dc:creator>dps</dc:creator>
  <lastModifiedBy>pbarry</lastModifiedBy>
  <lastPrinted>2011-03-17T18:35:00Z</lastPrinted>
  <dcterms:modified xsi:type="dcterms:W3CDTF">2011-03-17T18:42:00Z</dcterms:modified>
  <revision>2</revision>
  <dc:title>COMMONWEALTH OF MASSACHUSETTS</dc:title>
</coreProperties>
</file>