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4A164" w14:textId="13EC30D4" w:rsidR="000D1437" w:rsidRPr="007302B1" w:rsidRDefault="008107FB">
      <w:pPr>
        <w:jc w:val="center"/>
        <w:rPr>
          <w:rFonts w:ascii="Bookman" w:hAnsi="Bookman"/>
          <w:i/>
          <w:iCs/>
          <w:color w:val="333399"/>
          <w:sz w:val="28"/>
        </w:rPr>
      </w:pPr>
      <w:r w:rsidRPr="005F2412">
        <w:rPr>
          <w:noProof/>
        </w:rPr>
        <w:drawing>
          <wp:anchor distT="0" distB="0" distL="114300" distR="114300" simplePos="0" relativeHeight="251659264" behindDoc="1" locked="0" layoutInCell="1" allowOverlap="1" wp14:anchorId="36DC4D56" wp14:editId="30216752">
            <wp:simplePos x="0" y="0"/>
            <wp:positionH relativeFrom="column">
              <wp:posOffset>5534660</wp:posOffset>
            </wp:positionH>
            <wp:positionV relativeFrom="paragraph">
              <wp:posOffset>161925</wp:posOffset>
            </wp:positionV>
            <wp:extent cx="1097280" cy="548640"/>
            <wp:effectExtent l="0" t="0" r="0" b="0"/>
            <wp:wrapNone/>
            <wp:docPr id="11" name="Picture 11"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ssHealth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2412">
        <w:rPr>
          <w:noProof/>
          <w:sz w:val="20"/>
        </w:rPr>
        <w:drawing>
          <wp:anchor distT="0" distB="0" distL="114300" distR="114300" simplePos="0" relativeHeight="251657216" behindDoc="1" locked="0" layoutInCell="1" allowOverlap="1" wp14:anchorId="3C8FB4CF" wp14:editId="0F3E2ADC">
            <wp:simplePos x="0" y="0"/>
            <wp:positionH relativeFrom="column">
              <wp:posOffset>-139700</wp:posOffset>
            </wp:positionH>
            <wp:positionV relativeFrom="paragraph">
              <wp:posOffset>-80645</wp:posOffset>
            </wp:positionV>
            <wp:extent cx="914400" cy="1109345"/>
            <wp:effectExtent l="0" t="0" r="0" b="0"/>
            <wp:wrapNone/>
            <wp:docPr id="4" name="Picture 4" descr="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eal of the Commonwealth of Massachuset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5F2412">
        <w:rPr>
          <w:rFonts w:ascii="Bookman" w:hAnsi="Bookman"/>
          <w:iCs/>
          <w:color w:val="333399"/>
          <w:sz w:val="28"/>
        </w:rPr>
        <w:t>The Commonwealth of Massachusetts</w:t>
      </w:r>
    </w:p>
    <w:p w14:paraId="5E803618" w14:textId="77777777" w:rsidR="000D1437" w:rsidRPr="005F2412" w:rsidRDefault="000D1437">
      <w:pPr>
        <w:jc w:val="center"/>
        <w:rPr>
          <w:rFonts w:ascii="Bookman" w:hAnsi="Bookman"/>
          <w:iCs/>
          <w:color w:val="333399"/>
          <w:sz w:val="28"/>
        </w:rPr>
      </w:pPr>
      <w:r w:rsidRPr="005F2412">
        <w:rPr>
          <w:rFonts w:ascii="Bookman" w:hAnsi="Bookman"/>
          <w:iCs/>
          <w:color w:val="333399"/>
          <w:sz w:val="28"/>
        </w:rPr>
        <w:t>Executive Office of Health and Human Services</w:t>
      </w:r>
    </w:p>
    <w:p w14:paraId="77A81C78" w14:textId="77777777" w:rsidR="00E14F3E" w:rsidRDefault="00E14F3E" w:rsidP="00C31BCC">
      <w:pPr>
        <w:pStyle w:val="Heading2"/>
        <w:rPr>
          <w:i w:val="0"/>
        </w:rPr>
      </w:pPr>
      <w:r>
        <w:rPr>
          <w:i w:val="0"/>
        </w:rPr>
        <w:t>Office of Medicaid</w:t>
      </w:r>
    </w:p>
    <w:p w14:paraId="07591B10" w14:textId="77777777" w:rsidR="00C31BCC" w:rsidRPr="005F2412" w:rsidRDefault="008747C6" w:rsidP="00C31BCC">
      <w:pPr>
        <w:pStyle w:val="Heading2"/>
        <w:rPr>
          <w:i w:val="0"/>
        </w:rPr>
      </w:pPr>
      <w:r w:rsidRPr="005F2412">
        <w:rPr>
          <w:i w:val="0"/>
        </w:rPr>
        <w:t>One Ashburton Place, Room 1109</w:t>
      </w:r>
    </w:p>
    <w:p w14:paraId="006FE4D9" w14:textId="77777777" w:rsidR="008747C6" w:rsidRPr="005F2412" w:rsidRDefault="008747C6">
      <w:pPr>
        <w:pStyle w:val="Heading2"/>
        <w:rPr>
          <w:i w:val="0"/>
        </w:rPr>
      </w:pPr>
      <w:r w:rsidRPr="005F2412">
        <w:rPr>
          <w:i w:val="0"/>
        </w:rPr>
        <w:t>Boston</w:t>
      </w:r>
      <w:r w:rsidR="00FC1F58" w:rsidRPr="005F2412">
        <w:rPr>
          <w:i w:val="0"/>
        </w:rPr>
        <w:t>, Massachusetts</w:t>
      </w:r>
      <w:r w:rsidR="00311FEC" w:rsidRPr="005F2412">
        <w:rPr>
          <w:i w:val="0"/>
        </w:rPr>
        <w:t xml:space="preserve"> </w:t>
      </w:r>
      <w:r w:rsidR="000F2FB3" w:rsidRPr="005F2412">
        <w:rPr>
          <w:i w:val="0"/>
        </w:rPr>
        <w:t>02</w:t>
      </w:r>
      <w:r w:rsidR="004B2B19" w:rsidRPr="005F2412">
        <w:rPr>
          <w:i w:val="0"/>
        </w:rPr>
        <w:t>1</w:t>
      </w:r>
      <w:r w:rsidRPr="005F2412">
        <w:rPr>
          <w:i w:val="0"/>
        </w:rPr>
        <w:t>08</w:t>
      </w:r>
    </w:p>
    <w:p w14:paraId="5FAAF681" w14:textId="3F9B1707" w:rsidR="000D1437" w:rsidRPr="00386BCD" w:rsidRDefault="008107FB">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14:anchorId="7018377F" wp14:editId="36002BBF">
                <wp:simplePos x="0" y="0"/>
                <wp:positionH relativeFrom="column">
                  <wp:posOffset>5228590</wp:posOffset>
                </wp:positionH>
                <wp:positionV relativeFrom="paragraph">
                  <wp:posOffset>188595</wp:posOffset>
                </wp:positionV>
                <wp:extent cx="1626235" cy="1217295"/>
                <wp:effectExtent l="0" t="3175" r="317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6AB8C" w14:textId="77777777" w:rsidR="007802E3" w:rsidRPr="007802E3" w:rsidRDefault="007802E3" w:rsidP="007802E3">
                            <w:pPr>
                              <w:jc w:val="center"/>
                              <w:rPr>
                                <w:rFonts w:ascii="Bookman" w:hAnsi="Bookman"/>
                                <w:color w:val="333399"/>
                                <w:sz w:val="16"/>
                                <w:szCs w:val="16"/>
                              </w:rPr>
                            </w:pPr>
                          </w:p>
                          <w:p w14:paraId="05F0156C" w14:textId="77777777" w:rsidR="00D9168C" w:rsidRDefault="007E1DF5" w:rsidP="00D9168C">
                            <w:pPr>
                              <w:jc w:val="center"/>
                              <w:rPr>
                                <w:rFonts w:ascii="Bookman" w:hAnsi="Bookman"/>
                                <w:color w:val="333399"/>
                                <w:sz w:val="16"/>
                                <w:szCs w:val="16"/>
                              </w:rPr>
                            </w:pPr>
                            <w:r>
                              <w:rPr>
                                <w:rFonts w:ascii="Bookman" w:hAnsi="Bookman"/>
                                <w:color w:val="333399"/>
                                <w:sz w:val="16"/>
                                <w:szCs w:val="16"/>
                              </w:rPr>
                              <w:t>AMANDA CASSEL KRAFT</w:t>
                            </w:r>
                          </w:p>
                          <w:p w14:paraId="66727180" w14:textId="77777777" w:rsidR="00D9168C" w:rsidRDefault="000B626F" w:rsidP="00D9168C">
                            <w:pPr>
                              <w:jc w:val="center"/>
                              <w:rPr>
                                <w:rFonts w:ascii="Bookman" w:hAnsi="Bookman"/>
                                <w:color w:val="333399"/>
                                <w:sz w:val="16"/>
                                <w:szCs w:val="16"/>
                              </w:rPr>
                            </w:pPr>
                            <w:r>
                              <w:rPr>
                                <w:rFonts w:ascii="Bookman" w:hAnsi="Bookman"/>
                                <w:color w:val="333399"/>
                                <w:sz w:val="16"/>
                                <w:szCs w:val="16"/>
                              </w:rPr>
                              <w:t>Assistant Secretary for MassHealth</w:t>
                            </w:r>
                          </w:p>
                          <w:p w14:paraId="4F792E37" w14:textId="77777777" w:rsidR="00D9168C" w:rsidRDefault="00D9168C" w:rsidP="007802E3">
                            <w:pPr>
                              <w:jc w:val="center"/>
                              <w:rPr>
                                <w:rFonts w:ascii="Bookman" w:hAnsi="Bookman"/>
                                <w:color w:val="333399"/>
                                <w:sz w:val="16"/>
                                <w:szCs w:val="16"/>
                              </w:rPr>
                            </w:pPr>
                          </w:p>
                          <w:p w14:paraId="76EED157" w14:textId="77777777" w:rsidR="001145CC" w:rsidRDefault="001145CC" w:rsidP="007802E3">
                            <w:pPr>
                              <w:jc w:val="center"/>
                              <w:rPr>
                                <w:rFonts w:ascii="Bookman" w:hAnsi="Bookman"/>
                                <w:color w:val="333399"/>
                                <w:sz w:val="16"/>
                                <w:szCs w:val="16"/>
                              </w:rPr>
                            </w:pPr>
                          </w:p>
                          <w:p w14:paraId="63DD41F1" w14:textId="77777777" w:rsidR="008E376E" w:rsidRDefault="008E376E" w:rsidP="007802E3">
                            <w:pPr>
                              <w:jc w:val="center"/>
                              <w:rPr>
                                <w:rFonts w:ascii="Bookman" w:hAnsi="Bookman"/>
                                <w:color w:val="333399"/>
                                <w:sz w:val="16"/>
                                <w:szCs w:val="16"/>
                              </w:rPr>
                            </w:pPr>
                          </w:p>
                          <w:p w14:paraId="05666269" w14:textId="77777777" w:rsidR="008E376E" w:rsidRDefault="008E376E" w:rsidP="007802E3">
                            <w:pPr>
                              <w:jc w:val="center"/>
                              <w:rPr>
                                <w:rFonts w:ascii="Bookman" w:hAnsi="Bookman"/>
                                <w:color w:val="333399"/>
                                <w:sz w:val="16"/>
                                <w:szCs w:val="16"/>
                              </w:rPr>
                            </w:pPr>
                          </w:p>
                          <w:p w14:paraId="50BEEA1A" w14:textId="3A37AFF7"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14:paraId="4727C960" w14:textId="77777777" w:rsidR="007F7071" w:rsidRDefault="007F7071" w:rsidP="00F243E6">
                            <w:pPr>
                              <w:rPr>
                                <w:rFonts w:ascii="Bookman" w:hAnsi="Bookman"/>
                                <w:color w:val="333399"/>
                                <w:sz w:val="16"/>
                                <w:szCs w:val="16"/>
                              </w:rPr>
                            </w:pPr>
                          </w:p>
                          <w:p w14:paraId="5C655139" w14:textId="77777777"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8377F"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" filled="f" stroked="f">
                <v:textbox>
                  <w:txbxContent>
                    <w:p w14:paraId="6706AB8C" w14:textId="77777777" w:rsidR="007802E3" w:rsidRPr="007802E3" w:rsidRDefault="007802E3" w:rsidP="007802E3">
                      <w:pPr>
                        <w:jc w:val="center"/>
                        <w:rPr>
                          <w:rFonts w:ascii="Bookman" w:hAnsi="Bookman"/>
                          <w:color w:val="333399"/>
                          <w:sz w:val="16"/>
                          <w:szCs w:val="16"/>
                        </w:rPr>
                      </w:pPr>
                    </w:p>
                    <w:p w14:paraId="05F0156C" w14:textId="77777777" w:rsidR="00D9168C" w:rsidRDefault="007E1DF5" w:rsidP="00D9168C">
                      <w:pPr>
                        <w:jc w:val="center"/>
                        <w:rPr>
                          <w:rFonts w:ascii="Bookman" w:hAnsi="Bookman"/>
                          <w:color w:val="333399"/>
                          <w:sz w:val="16"/>
                          <w:szCs w:val="16"/>
                        </w:rPr>
                      </w:pPr>
                      <w:r>
                        <w:rPr>
                          <w:rFonts w:ascii="Bookman" w:hAnsi="Bookman"/>
                          <w:color w:val="333399"/>
                          <w:sz w:val="16"/>
                          <w:szCs w:val="16"/>
                        </w:rPr>
                        <w:t>AMANDA CASSEL KRAFT</w:t>
                      </w:r>
                    </w:p>
                    <w:p w14:paraId="66727180" w14:textId="77777777" w:rsidR="00D9168C" w:rsidRDefault="000B626F" w:rsidP="00D9168C">
                      <w:pPr>
                        <w:jc w:val="center"/>
                        <w:rPr>
                          <w:rFonts w:ascii="Bookman" w:hAnsi="Bookman"/>
                          <w:color w:val="333399"/>
                          <w:sz w:val="16"/>
                          <w:szCs w:val="16"/>
                        </w:rPr>
                      </w:pPr>
                      <w:r>
                        <w:rPr>
                          <w:rFonts w:ascii="Bookman" w:hAnsi="Bookman"/>
                          <w:color w:val="333399"/>
                          <w:sz w:val="16"/>
                          <w:szCs w:val="16"/>
                        </w:rPr>
                        <w:t>Assistant Secretary for MassHealth</w:t>
                      </w:r>
                    </w:p>
                    <w:p w14:paraId="4F792E37" w14:textId="77777777" w:rsidR="00D9168C" w:rsidRDefault="00D9168C" w:rsidP="007802E3">
                      <w:pPr>
                        <w:jc w:val="center"/>
                        <w:rPr>
                          <w:rFonts w:ascii="Bookman" w:hAnsi="Bookman"/>
                          <w:color w:val="333399"/>
                          <w:sz w:val="16"/>
                          <w:szCs w:val="16"/>
                        </w:rPr>
                      </w:pPr>
                    </w:p>
                    <w:p w14:paraId="76EED157" w14:textId="77777777" w:rsidR="001145CC" w:rsidRDefault="001145CC" w:rsidP="007802E3">
                      <w:pPr>
                        <w:jc w:val="center"/>
                        <w:rPr>
                          <w:rFonts w:ascii="Bookman" w:hAnsi="Bookman"/>
                          <w:color w:val="333399"/>
                          <w:sz w:val="16"/>
                          <w:szCs w:val="16"/>
                        </w:rPr>
                      </w:pPr>
                    </w:p>
                    <w:p w14:paraId="63DD41F1" w14:textId="77777777" w:rsidR="008E376E" w:rsidRDefault="008E376E" w:rsidP="007802E3">
                      <w:pPr>
                        <w:jc w:val="center"/>
                        <w:rPr>
                          <w:rFonts w:ascii="Bookman" w:hAnsi="Bookman"/>
                          <w:color w:val="333399"/>
                          <w:sz w:val="16"/>
                          <w:szCs w:val="16"/>
                        </w:rPr>
                      </w:pPr>
                    </w:p>
                    <w:p w14:paraId="05666269" w14:textId="77777777" w:rsidR="008E376E" w:rsidRDefault="008E376E" w:rsidP="007802E3">
                      <w:pPr>
                        <w:jc w:val="center"/>
                        <w:rPr>
                          <w:rFonts w:ascii="Bookman" w:hAnsi="Bookman"/>
                          <w:color w:val="333399"/>
                          <w:sz w:val="16"/>
                          <w:szCs w:val="16"/>
                        </w:rPr>
                      </w:pPr>
                    </w:p>
                    <w:p w14:paraId="50BEEA1A" w14:textId="3A37AFF7"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14:paraId="4727C960" w14:textId="77777777" w:rsidR="007F7071" w:rsidRDefault="007F7071" w:rsidP="00F243E6">
                      <w:pPr>
                        <w:rPr>
                          <w:rFonts w:ascii="Bookman" w:hAnsi="Bookman"/>
                          <w:color w:val="333399"/>
                          <w:sz w:val="16"/>
                          <w:szCs w:val="16"/>
                        </w:rPr>
                      </w:pPr>
                    </w:p>
                    <w:p w14:paraId="5C655139" w14:textId="77777777"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14:paraId="3CBF8A02" w14:textId="4ACFB398" w:rsidR="004B6AAF" w:rsidRDefault="008107FB" w:rsidP="004B6AAF">
      <w:pPr>
        <w:rPr>
          <w:rFonts w:ascii="Bookman" w:hAnsi="Bookman"/>
          <w:iCs/>
          <w:color w:val="4451C8"/>
          <w:sz w:val="24"/>
          <w:szCs w:val="24"/>
        </w:rPr>
      </w:pPr>
      <w:r w:rsidRPr="00386BCD">
        <w:rPr>
          <w:i/>
          <w:noProof/>
        </w:rPr>
        <mc:AlternateContent>
          <mc:Choice Requires="wps">
            <w:drawing>
              <wp:anchor distT="0" distB="0" distL="114300" distR="114300" simplePos="0" relativeHeight="251656192" behindDoc="1" locked="0" layoutInCell="1" allowOverlap="1" wp14:anchorId="6C15FC38" wp14:editId="7E48D2E6">
                <wp:simplePos x="0" y="0"/>
                <wp:positionH relativeFrom="column">
                  <wp:posOffset>-471170</wp:posOffset>
                </wp:positionH>
                <wp:positionV relativeFrom="paragraph">
                  <wp:posOffset>17780</wp:posOffset>
                </wp:positionV>
                <wp:extent cx="1545590" cy="1217295"/>
                <wp:effectExtent l="0" t="3175"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1DFEC" w14:textId="77777777" w:rsidR="00FC1F58" w:rsidRPr="007802E3" w:rsidRDefault="00FC1F58" w:rsidP="007802E3">
                            <w:pPr>
                              <w:jc w:val="center"/>
                              <w:rPr>
                                <w:rFonts w:ascii="Bookman" w:hAnsi="Bookman"/>
                                <w:color w:val="333399"/>
                                <w:sz w:val="16"/>
                                <w:szCs w:val="16"/>
                              </w:rPr>
                            </w:pPr>
                          </w:p>
                          <w:p w14:paraId="28085626" w14:textId="77777777"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14:paraId="62DDBB7B" w14:textId="77777777"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14:paraId="6F6E490E" w14:textId="77777777" w:rsidR="007802E3" w:rsidRDefault="007802E3" w:rsidP="007802E3">
                            <w:pPr>
                              <w:jc w:val="center"/>
                              <w:rPr>
                                <w:rFonts w:ascii="Bookman" w:hAnsi="Bookman"/>
                                <w:color w:val="333399"/>
                                <w:sz w:val="16"/>
                                <w:szCs w:val="16"/>
                              </w:rPr>
                            </w:pPr>
                          </w:p>
                          <w:p w14:paraId="74F58316"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14:paraId="09B2DD81"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14:paraId="2DE850BE" w14:textId="77777777" w:rsidR="007802E3" w:rsidRPr="007802E3" w:rsidRDefault="007802E3" w:rsidP="007802E3">
                            <w:pPr>
                              <w:jc w:val="center"/>
                              <w:rPr>
                                <w:rFonts w:ascii="Bookman" w:hAnsi="Bookman"/>
                                <w:color w:val="333399"/>
                                <w:sz w:val="16"/>
                                <w:szCs w:val="16"/>
                              </w:rPr>
                            </w:pPr>
                          </w:p>
                          <w:p w14:paraId="446E4950" w14:textId="77777777"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14:paraId="55FF560E" w14:textId="77777777"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14:paraId="3F9548AD" w14:textId="77777777"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5FC38"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" filled="f" stroked="f">
                <v:textbox>
                  <w:txbxContent>
                    <w:p w14:paraId="6851DFEC" w14:textId="77777777" w:rsidR="00FC1F58" w:rsidRPr="007802E3" w:rsidRDefault="00FC1F58" w:rsidP="007802E3">
                      <w:pPr>
                        <w:jc w:val="center"/>
                        <w:rPr>
                          <w:rFonts w:ascii="Bookman" w:hAnsi="Bookman"/>
                          <w:color w:val="333399"/>
                          <w:sz w:val="16"/>
                          <w:szCs w:val="16"/>
                        </w:rPr>
                      </w:pPr>
                    </w:p>
                    <w:p w14:paraId="28085626" w14:textId="77777777"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14:paraId="62DDBB7B" w14:textId="77777777"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14:paraId="6F6E490E" w14:textId="77777777" w:rsidR="007802E3" w:rsidRDefault="007802E3" w:rsidP="007802E3">
                      <w:pPr>
                        <w:jc w:val="center"/>
                        <w:rPr>
                          <w:rFonts w:ascii="Bookman" w:hAnsi="Bookman"/>
                          <w:color w:val="333399"/>
                          <w:sz w:val="16"/>
                          <w:szCs w:val="16"/>
                        </w:rPr>
                      </w:pPr>
                    </w:p>
                    <w:p w14:paraId="74F58316"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14:paraId="09B2DD81"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14:paraId="2DE850BE" w14:textId="77777777" w:rsidR="007802E3" w:rsidRPr="007802E3" w:rsidRDefault="007802E3" w:rsidP="007802E3">
                      <w:pPr>
                        <w:jc w:val="center"/>
                        <w:rPr>
                          <w:rFonts w:ascii="Bookman" w:hAnsi="Bookman"/>
                          <w:color w:val="333399"/>
                          <w:sz w:val="16"/>
                          <w:szCs w:val="16"/>
                        </w:rPr>
                      </w:pPr>
                    </w:p>
                    <w:p w14:paraId="446E4950" w14:textId="77777777"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14:paraId="55FF560E" w14:textId="77777777"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14:paraId="3F9548AD" w14:textId="77777777" w:rsidR="008065C3" w:rsidRDefault="008065C3" w:rsidP="007802E3">
                      <w:pPr>
                        <w:jc w:val="center"/>
                        <w:rPr>
                          <w:rFonts w:ascii="Bookman" w:hAnsi="Bookman"/>
                          <w:color w:val="333399"/>
                          <w:sz w:val="16"/>
                          <w:szCs w:val="16"/>
                        </w:rPr>
                      </w:pPr>
                    </w:p>
                  </w:txbxContent>
                </v:textbox>
              </v:shape>
            </w:pict>
          </mc:Fallback>
        </mc:AlternateContent>
      </w:r>
    </w:p>
    <w:p w14:paraId="1B1E372F" w14:textId="77777777" w:rsidR="007802E3" w:rsidRDefault="007802E3" w:rsidP="004B6AAF">
      <w:pPr>
        <w:rPr>
          <w:rFonts w:ascii="Bookman" w:hAnsi="Bookman"/>
          <w:iCs/>
          <w:color w:val="4451C8"/>
          <w:sz w:val="24"/>
          <w:szCs w:val="24"/>
        </w:rPr>
      </w:pPr>
    </w:p>
    <w:p w14:paraId="7137D259" w14:textId="77777777" w:rsidR="007802E3" w:rsidRDefault="007802E3" w:rsidP="004B6AAF">
      <w:pPr>
        <w:rPr>
          <w:rFonts w:ascii="Bookman" w:hAnsi="Bookman"/>
          <w:iCs/>
          <w:color w:val="4451C8"/>
          <w:sz w:val="24"/>
          <w:szCs w:val="24"/>
        </w:rPr>
      </w:pPr>
    </w:p>
    <w:p w14:paraId="058D9D17" w14:textId="77777777" w:rsidR="007802E3" w:rsidRPr="00FC1F58" w:rsidRDefault="007802E3" w:rsidP="004B6AAF">
      <w:pPr>
        <w:rPr>
          <w:rFonts w:ascii="Bookman Old Style" w:hAnsi="Bookman Old Style"/>
          <w:b/>
          <w:color w:val="303BA2"/>
          <w:sz w:val="16"/>
          <w:szCs w:val="16"/>
        </w:rPr>
      </w:pPr>
    </w:p>
    <w:p w14:paraId="24D03F78" w14:textId="77777777" w:rsidR="00FC1F58" w:rsidRDefault="00FC1F58" w:rsidP="00FC1F58">
      <w:pPr>
        <w:ind w:left="-110" w:hanging="220"/>
        <w:rPr>
          <w:rFonts w:ascii="Bookman" w:hAnsi="Bookman"/>
          <w:b/>
          <w:color w:val="333399"/>
          <w:sz w:val="16"/>
          <w:szCs w:val="16"/>
        </w:rPr>
      </w:pPr>
    </w:p>
    <w:p w14:paraId="641F9657" w14:textId="77777777" w:rsidR="00AE0DA5" w:rsidRDefault="00AE0DA5" w:rsidP="00962923">
      <w:pPr>
        <w:tabs>
          <w:tab w:val="left" w:pos="1440"/>
          <w:tab w:val="center" w:pos="4925"/>
        </w:tabs>
        <w:rPr>
          <w:rFonts w:ascii="Times New Roman" w:hAnsi="Times New Roman" w:cs="Times New Roman"/>
          <w:sz w:val="24"/>
          <w:szCs w:val="24"/>
        </w:rPr>
      </w:pPr>
    </w:p>
    <w:p w14:paraId="2AD766D7" w14:textId="77777777" w:rsidR="007802E3" w:rsidRDefault="007802E3" w:rsidP="00962923">
      <w:pPr>
        <w:tabs>
          <w:tab w:val="left" w:pos="1440"/>
          <w:tab w:val="center" w:pos="4925"/>
        </w:tabs>
        <w:rPr>
          <w:rFonts w:ascii="Times New Roman" w:hAnsi="Times New Roman" w:cs="Times New Roman"/>
          <w:sz w:val="24"/>
          <w:szCs w:val="24"/>
        </w:rPr>
      </w:pPr>
    </w:p>
    <w:p w14:paraId="24911AC7" w14:textId="77777777" w:rsidR="00E65CB8" w:rsidRDefault="00E65CB8" w:rsidP="00E65CB8">
      <w:pPr>
        <w:rPr>
          <w:color w:val="000000"/>
        </w:rPr>
      </w:pPr>
    </w:p>
    <w:p w14:paraId="6DBD0182" w14:textId="77777777" w:rsidR="00E14F3E" w:rsidRDefault="00E14F3E" w:rsidP="00E14F3E">
      <w:pPr>
        <w:rPr>
          <w:rFonts w:ascii="Times New Roman" w:hAnsi="Times New Roman" w:cs="Times New Roman"/>
          <w:sz w:val="24"/>
          <w:szCs w:val="24"/>
        </w:rPr>
      </w:pPr>
    </w:p>
    <w:p w14:paraId="06EFC16E" w14:textId="0B527DC8" w:rsidR="000B626F" w:rsidRPr="0022159B" w:rsidRDefault="0022159B" w:rsidP="0022159B">
      <w:pPr>
        <w:pStyle w:val="Heading2"/>
      </w:pPr>
      <w:r w:rsidRPr="0022159B">
        <w:t>MassHealth 1115 Demonstration Extension, 2022-2027</w:t>
      </w:r>
    </w:p>
    <w:p w14:paraId="76B01C52" w14:textId="50C3A98D" w:rsidR="0022159B" w:rsidRPr="0022159B" w:rsidRDefault="0022159B" w:rsidP="0022159B">
      <w:pPr>
        <w:pStyle w:val="Subtitle"/>
        <w:rPr>
          <w:rFonts w:cstheme="majorHAnsi"/>
        </w:rPr>
      </w:pPr>
      <w:r w:rsidRPr="0022159B">
        <w:rPr>
          <w:rFonts w:cstheme="majorHAnsi"/>
        </w:rPr>
        <w:t>Summary</w:t>
      </w:r>
    </w:p>
    <w:p w14:paraId="7D4C641B" w14:textId="76A9507F" w:rsidR="0022159B" w:rsidRDefault="0022159B" w:rsidP="0022159B"/>
    <w:p w14:paraId="58821F88" w14:textId="130086F1" w:rsidR="0022159B" w:rsidRDefault="0022159B" w:rsidP="0022159B"/>
    <w:p w14:paraId="1645798F" w14:textId="6C5FD31B" w:rsidR="0022159B" w:rsidRPr="004D3CEB" w:rsidRDefault="0022159B" w:rsidP="004D3CEB">
      <w:pPr>
        <w:pStyle w:val="Heading4"/>
      </w:pPr>
      <w:r w:rsidRPr="004D3CEB">
        <w:t>MassHealth’s 1115 demonstration extension represents a five-year $67.2 billion agreement supporting MassHealth reforms </w:t>
      </w:r>
    </w:p>
    <w:p w14:paraId="43B8B259" w14:textId="2DB42C4A" w:rsidR="0022159B" w:rsidRDefault="0022159B" w:rsidP="004E1468">
      <w:pPr>
        <w:spacing w:after="120"/>
        <w:rPr>
          <w:rFonts w:ascii="Times New Roman" w:hAnsi="Times New Roman" w:cs="Times New Roman"/>
        </w:rPr>
      </w:pPr>
      <w:r w:rsidRPr="0022159B">
        <w:rPr>
          <w:rFonts w:ascii="Times New Roman" w:hAnsi="Times New Roman" w:cs="Times New Roman"/>
        </w:rPr>
        <w:t>On September 28th, 2022, CMS approved a five-year extension of the MassHealth Section 1115 demonstration. Since 1997, the 1115 demonstration has been a critical tool in enabling Massachusetts to achieve and maintain near-universal coverage, sustain the Commonwealth’s safety net, expand critical behavioral health services, and implement reforms in the way that care is delivered. The new approval is effective October 1, 2022, through December 31, 2027.</w:t>
      </w:r>
    </w:p>
    <w:p w14:paraId="1F9EE3EA" w14:textId="77777777" w:rsidR="0022159B" w:rsidRPr="0022159B" w:rsidRDefault="0022159B" w:rsidP="004E1468">
      <w:pPr>
        <w:spacing w:after="120"/>
        <w:rPr>
          <w:rFonts w:ascii="Times New Roman" w:hAnsi="Times New Roman" w:cs="Times New Roman"/>
        </w:rPr>
      </w:pPr>
      <w:r w:rsidRPr="0022159B">
        <w:rPr>
          <w:rFonts w:ascii="Times New Roman" w:hAnsi="Times New Roman" w:cs="Times New Roman"/>
        </w:rPr>
        <w:t xml:space="preserve">MassHealth’s previous 1115 demonstration (2017-2022) </w:t>
      </w:r>
      <w:r w:rsidRPr="0022159B">
        <w:rPr>
          <w:rFonts w:ascii="Times New Roman" w:hAnsi="Times New Roman" w:cs="Times New Roman"/>
          <w:b/>
          <w:bCs/>
          <w:color w:val="2F5496" w:themeColor="accent1" w:themeShade="BF"/>
        </w:rPr>
        <w:t>restructured the delivery system toward integrated, value-</w:t>
      </w:r>
      <w:proofErr w:type="gramStart"/>
      <w:r w:rsidRPr="0022159B">
        <w:rPr>
          <w:rFonts w:ascii="Times New Roman" w:hAnsi="Times New Roman" w:cs="Times New Roman"/>
          <w:b/>
          <w:bCs/>
          <w:color w:val="2F5496" w:themeColor="accent1" w:themeShade="BF"/>
        </w:rPr>
        <w:t>based</w:t>
      </w:r>
      <w:proofErr w:type="gramEnd"/>
      <w:r w:rsidRPr="0022159B">
        <w:rPr>
          <w:rFonts w:ascii="Times New Roman" w:hAnsi="Times New Roman" w:cs="Times New Roman"/>
          <w:b/>
          <w:bCs/>
          <w:color w:val="2F5496" w:themeColor="accent1" w:themeShade="BF"/>
        </w:rPr>
        <w:t xml:space="preserve"> and accountable care</w:t>
      </w:r>
      <w:r w:rsidRPr="0022159B">
        <w:rPr>
          <w:rFonts w:ascii="Times New Roman" w:hAnsi="Times New Roman" w:cs="Times New Roman"/>
        </w:rPr>
        <w:t>: </w:t>
      </w:r>
    </w:p>
    <w:p w14:paraId="2D9A4AD8" w14:textId="77777777" w:rsidR="0022159B" w:rsidRPr="0022159B" w:rsidRDefault="0022159B" w:rsidP="004E1468">
      <w:pPr>
        <w:numPr>
          <w:ilvl w:val="0"/>
          <w:numId w:val="7"/>
        </w:numPr>
        <w:spacing w:after="120"/>
        <w:rPr>
          <w:rFonts w:ascii="Times New Roman" w:hAnsi="Times New Roman" w:cs="Times New Roman"/>
        </w:rPr>
      </w:pPr>
      <w:r w:rsidRPr="0022159B">
        <w:rPr>
          <w:rFonts w:ascii="Times New Roman" w:hAnsi="Times New Roman" w:cs="Times New Roman"/>
        </w:rPr>
        <w:t xml:space="preserve">&gt;1 million members (&gt;80% of eligible population) were enrolled in accountable care organizations (ACOs) paid for </w:t>
      </w:r>
      <w:r w:rsidRPr="0022159B">
        <w:rPr>
          <w:rFonts w:ascii="Times New Roman" w:hAnsi="Times New Roman" w:cs="Times New Roman"/>
          <w:b/>
          <w:bCs/>
          <w:color w:val="2F5496" w:themeColor="accent1" w:themeShade="BF"/>
        </w:rPr>
        <w:t>better health outcomes, lower cost, and improved member experience</w:t>
      </w:r>
    </w:p>
    <w:p w14:paraId="13361B36" w14:textId="77777777" w:rsidR="0022159B" w:rsidRPr="0022159B" w:rsidRDefault="0022159B" w:rsidP="004E1468">
      <w:pPr>
        <w:numPr>
          <w:ilvl w:val="0"/>
          <w:numId w:val="7"/>
        </w:numPr>
        <w:spacing w:after="120"/>
        <w:rPr>
          <w:rFonts w:ascii="Times New Roman" w:hAnsi="Times New Roman" w:cs="Times New Roman"/>
        </w:rPr>
      </w:pPr>
      <w:r w:rsidRPr="0022159B">
        <w:rPr>
          <w:rFonts w:ascii="Times New Roman" w:hAnsi="Times New Roman" w:cs="Times New Roman"/>
        </w:rPr>
        <w:t>~50,000 members with complex behavioral health and long-term services and supports needs received </w:t>
      </w:r>
      <w:r w:rsidRPr="0022159B">
        <w:rPr>
          <w:rFonts w:ascii="Times New Roman" w:hAnsi="Times New Roman" w:cs="Times New Roman"/>
          <w:b/>
          <w:bCs/>
          <w:color w:val="2F5496" w:themeColor="accent1" w:themeShade="BF"/>
        </w:rPr>
        <w:t>enhanced care coordination</w:t>
      </w:r>
      <w:r w:rsidRPr="0022159B">
        <w:rPr>
          <w:rFonts w:ascii="Times New Roman" w:hAnsi="Times New Roman" w:cs="Times New Roman"/>
        </w:rPr>
        <w:t xml:space="preserve"> from certified </w:t>
      </w:r>
      <w:r w:rsidRPr="0022159B">
        <w:rPr>
          <w:rFonts w:ascii="Times New Roman" w:hAnsi="Times New Roman" w:cs="Times New Roman"/>
          <w:b/>
          <w:bCs/>
          <w:color w:val="2F5496" w:themeColor="accent1" w:themeShade="BF"/>
        </w:rPr>
        <w:t>Community Partners</w:t>
      </w:r>
      <w:r w:rsidRPr="0022159B">
        <w:rPr>
          <w:rFonts w:ascii="Times New Roman" w:hAnsi="Times New Roman" w:cs="Times New Roman"/>
        </w:rPr>
        <w:t> </w:t>
      </w:r>
    </w:p>
    <w:p w14:paraId="1DBE98D2" w14:textId="77777777" w:rsidR="0022159B" w:rsidRPr="0022159B" w:rsidRDefault="0022159B" w:rsidP="004E1468">
      <w:pPr>
        <w:numPr>
          <w:ilvl w:val="0"/>
          <w:numId w:val="7"/>
        </w:numPr>
        <w:spacing w:after="120"/>
        <w:rPr>
          <w:rFonts w:ascii="Times New Roman" w:hAnsi="Times New Roman" w:cs="Times New Roman"/>
        </w:rPr>
      </w:pPr>
      <w:r w:rsidRPr="0022159B">
        <w:rPr>
          <w:rFonts w:ascii="Times New Roman" w:hAnsi="Times New Roman" w:cs="Times New Roman"/>
        </w:rPr>
        <w:t xml:space="preserve">Supported by one-time </w:t>
      </w:r>
      <w:r w:rsidRPr="0022159B">
        <w:rPr>
          <w:rFonts w:ascii="Times New Roman" w:hAnsi="Times New Roman" w:cs="Times New Roman"/>
          <w:b/>
          <w:bCs/>
          <w:color w:val="2F5496" w:themeColor="accent1" w:themeShade="BF"/>
        </w:rPr>
        <w:t>$1.8 billion Delivery System Reform Incentive Program</w:t>
      </w:r>
    </w:p>
    <w:p w14:paraId="33F97E97" w14:textId="77777777" w:rsidR="0022159B" w:rsidRPr="0022159B" w:rsidRDefault="0022159B" w:rsidP="004E1468">
      <w:pPr>
        <w:numPr>
          <w:ilvl w:val="0"/>
          <w:numId w:val="7"/>
        </w:numPr>
        <w:spacing w:after="120"/>
        <w:rPr>
          <w:rFonts w:ascii="Times New Roman" w:hAnsi="Times New Roman" w:cs="Times New Roman"/>
        </w:rPr>
      </w:pPr>
      <w:r w:rsidRPr="0022159B">
        <w:rPr>
          <w:rFonts w:ascii="Times New Roman" w:hAnsi="Times New Roman" w:cs="Times New Roman"/>
        </w:rPr>
        <w:t xml:space="preserve">Expanded access to substance use disorder services, sustained coverage expansions through MassHealth and the Health Connector, and provided funding for </w:t>
      </w:r>
      <w:r w:rsidRPr="0022159B">
        <w:rPr>
          <w:rFonts w:ascii="Times New Roman" w:hAnsi="Times New Roman" w:cs="Times New Roman"/>
          <w:b/>
          <w:bCs/>
          <w:color w:val="2F5496" w:themeColor="accent1" w:themeShade="BF"/>
        </w:rPr>
        <w:t>safety net providers</w:t>
      </w:r>
    </w:p>
    <w:p w14:paraId="057A3995" w14:textId="77777777" w:rsidR="0022159B" w:rsidRPr="0022159B" w:rsidRDefault="0022159B" w:rsidP="004E1468">
      <w:pPr>
        <w:spacing w:after="120"/>
        <w:rPr>
          <w:rFonts w:ascii="Times New Roman" w:hAnsi="Times New Roman" w:cs="Times New Roman"/>
        </w:rPr>
      </w:pPr>
      <w:r w:rsidRPr="0022159B">
        <w:rPr>
          <w:rFonts w:ascii="Times New Roman" w:hAnsi="Times New Roman" w:cs="Times New Roman"/>
        </w:rPr>
        <w:t>MassHealth’s new 1115 demonstration (2022-2027) builds on these reforms by continuing to support integrated, outcomes-based care for MassHealth members and bringing a new focus on advancing health equity by closing disparities in quality and access. Goals for this demonstration include:</w:t>
      </w:r>
    </w:p>
    <w:p w14:paraId="3CFFAA9F" w14:textId="77777777" w:rsidR="0022159B" w:rsidRPr="0022159B" w:rsidRDefault="0022159B" w:rsidP="004E1468">
      <w:pPr>
        <w:numPr>
          <w:ilvl w:val="0"/>
          <w:numId w:val="8"/>
        </w:numPr>
        <w:spacing w:after="120"/>
        <w:rPr>
          <w:rFonts w:ascii="Times New Roman" w:hAnsi="Times New Roman" w:cs="Times New Roman"/>
        </w:rPr>
      </w:pPr>
      <w:r w:rsidRPr="0022159B">
        <w:rPr>
          <w:rFonts w:ascii="Times New Roman" w:hAnsi="Times New Roman" w:cs="Times New Roman"/>
        </w:rPr>
        <w:t>Continues the path of restructuring and reaffirms accountable, value-based care </w:t>
      </w:r>
    </w:p>
    <w:p w14:paraId="37417705" w14:textId="77777777" w:rsidR="0022159B" w:rsidRPr="0022159B" w:rsidRDefault="0022159B" w:rsidP="004E1468">
      <w:pPr>
        <w:numPr>
          <w:ilvl w:val="0"/>
          <w:numId w:val="8"/>
        </w:numPr>
        <w:spacing w:after="120"/>
        <w:rPr>
          <w:rFonts w:ascii="Times New Roman" w:hAnsi="Times New Roman" w:cs="Times New Roman"/>
        </w:rPr>
      </w:pPr>
      <w:r w:rsidRPr="0022159B">
        <w:rPr>
          <w:rFonts w:ascii="Times New Roman" w:hAnsi="Times New Roman" w:cs="Times New Roman"/>
        </w:rPr>
        <w:t xml:space="preserve">Makes reforms and investments in primary care, behavioral </w:t>
      </w:r>
      <w:proofErr w:type="gramStart"/>
      <w:r w:rsidRPr="0022159B">
        <w:rPr>
          <w:rFonts w:ascii="Times New Roman" w:hAnsi="Times New Roman" w:cs="Times New Roman"/>
        </w:rPr>
        <w:t>health</w:t>
      </w:r>
      <w:proofErr w:type="gramEnd"/>
      <w:r w:rsidRPr="0022159B">
        <w:rPr>
          <w:rFonts w:ascii="Times New Roman" w:hAnsi="Times New Roman" w:cs="Times New Roman"/>
        </w:rPr>
        <w:t xml:space="preserve"> and pediatric care </w:t>
      </w:r>
    </w:p>
    <w:p w14:paraId="657FCBD0" w14:textId="77777777" w:rsidR="0022159B" w:rsidRPr="0022159B" w:rsidRDefault="0022159B" w:rsidP="004E1468">
      <w:pPr>
        <w:numPr>
          <w:ilvl w:val="0"/>
          <w:numId w:val="8"/>
        </w:numPr>
        <w:spacing w:after="120"/>
        <w:rPr>
          <w:rFonts w:ascii="Times New Roman" w:hAnsi="Times New Roman" w:cs="Times New Roman"/>
        </w:rPr>
      </w:pPr>
      <w:r w:rsidRPr="0022159B">
        <w:rPr>
          <w:rFonts w:ascii="Times New Roman" w:hAnsi="Times New Roman" w:cs="Times New Roman"/>
        </w:rPr>
        <w:t>Advances health equity, with a focus on initiatives addressing health-related social needs and specific disparities</w:t>
      </w:r>
    </w:p>
    <w:p w14:paraId="72BAD1F6" w14:textId="77777777" w:rsidR="0022159B" w:rsidRPr="0022159B" w:rsidRDefault="0022159B" w:rsidP="004E1468">
      <w:pPr>
        <w:numPr>
          <w:ilvl w:val="0"/>
          <w:numId w:val="8"/>
        </w:numPr>
        <w:spacing w:after="120"/>
        <w:rPr>
          <w:rFonts w:ascii="Times New Roman" w:hAnsi="Times New Roman" w:cs="Times New Roman"/>
        </w:rPr>
      </w:pPr>
      <w:r w:rsidRPr="0022159B">
        <w:rPr>
          <w:rFonts w:ascii="Times New Roman" w:hAnsi="Times New Roman" w:cs="Times New Roman"/>
        </w:rPr>
        <w:t>Sustainably supports the Commonwealth’s safety net, including level, predictable funding for safety net providers, with a continued linkage to accountable care </w:t>
      </w:r>
    </w:p>
    <w:p w14:paraId="33329D35" w14:textId="4F44EAAD" w:rsidR="0022159B" w:rsidRDefault="0022159B" w:rsidP="004E1468">
      <w:pPr>
        <w:numPr>
          <w:ilvl w:val="0"/>
          <w:numId w:val="8"/>
        </w:numPr>
        <w:spacing w:after="120"/>
        <w:rPr>
          <w:rFonts w:ascii="Times New Roman" w:hAnsi="Times New Roman" w:cs="Times New Roman"/>
        </w:rPr>
      </w:pPr>
      <w:r w:rsidRPr="004E1468">
        <w:rPr>
          <w:rFonts w:ascii="Times New Roman" w:hAnsi="Times New Roman" w:cs="Times New Roman"/>
        </w:rPr>
        <w:t>Maintains near-universal coverage, making updates to eligibility policies to support coverage and equity </w:t>
      </w:r>
    </w:p>
    <w:p w14:paraId="21EBDAE5" w14:textId="70395A2E" w:rsidR="004E1468" w:rsidRDefault="004E1468" w:rsidP="004E1468">
      <w:pPr>
        <w:spacing w:after="120"/>
        <w:rPr>
          <w:rFonts w:ascii="Times New Roman" w:hAnsi="Times New Roman" w:cs="Times New Roman"/>
        </w:rPr>
      </w:pPr>
    </w:p>
    <w:p w14:paraId="41897DD3" w14:textId="462ABDC4" w:rsidR="004D3CEB" w:rsidRDefault="004D3CEB" w:rsidP="004D3CEB">
      <w:pPr>
        <w:pStyle w:val="Heading4"/>
        <w:numPr>
          <w:ilvl w:val="0"/>
          <w:numId w:val="13"/>
        </w:numPr>
        <w:ind w:left="360"/>
        <w:rPr>
          <w:rStyle w:val="Emphasis"/>
        </w:rPr>
      </w:pPr>
      <w:r w:rsidRPr="0022159B">
        <w:lastRenderedPageBreak/>
        <w:t>Continue the path of restructuring and reaffirms accountable, value-based care</w:t>
      </w:r>
      <w:r w:rsidRPr="004D3CEB">
        <w:rPr>
          <w:rStyle w:val="Emphasis"/>
        </w:rPr>
        <w:t xml:space="preserve"> </w:t>
      </w:r>
    </w:p>
    <w:p w14:paraId="6345927E" w14:textId="6C48D7BE" w:rsidR="004E1468" w:rsidRPr="004D3CEB" w:rsidRDefault="004E1468" w:rsidP="00612330">
      <w:pPr>
        <w:spacing w:after="120"/>
        <w:ind w:left="360"/>
        <w:rPr>
          <w:rStyle w:val="Emphasis"/>
        </w:rPr>
      </w:pPr>
      <w:r w:rsidRPr="004D3CEB">
        <w:rPr>
          <w:rFonts w:ascii="Times New Roman" w:hAnsi="Times New Roman" w:cs="Times New Roman"/>
        </w:rPr>
        <w:t>The 1115 demonstration provides authority to continue the ACO, Community Partners and Flexible Services programs, and to expand Community Support Programs</w:t>
      </w:r>
      <w:r w:rsidRPr="004D3CEB">
        <w:rPr>
          <w:rStyle w:val="Emphasis"/>
        </w:rPr>
        <w:t>.</w:t>
      </w:r>
    </w:p>
    <w:p w14:paraId="26253A61" w14:textId="77777777" w:rsidR="004E1468" w:rsidRPr="004E1468" w:rsidRDefault="004E1468" w:rsidP="004E1468">
      <w:pPr>
        <w:numPr>
          <w:ilvl w:val="0"/>
          <w:numId w:val="10"/>
        </w:numPr>
        <w:spacing w:after="120"/>
        <w:rPr>
          <w:rFonts w:ascii="Times New Roman" w:hAnsi="Times New Roman" w:cs="Times New Roman"/>
        </w:rPr>
      </w:pPr>
      <w:r w:rsidRPr="004E1468">
        <w:rPr>
          <w:rFonts w:ascii="Times New Roman" w:hAnsi="Times New Roman" w:cs="Times New Roman"/>
          <w:b/>
          <w:bCs/>
          <w:color w:val="2F5496" w:themeColor="accent1" w:themeShade="BF"/>
        </w:rPr>
        <w:t>Re-procure and refine the ACO program</w:t>
      </w:r>
      <w:r w:rsidRPr="004E1468">
        <w:rPr>
          <w:rFonts w:ascii="Times New Roman" w:hAnsi="Times New Roman" w:cs="Times New Roman"/>
        </w:rPr>
        <w:t>, maintaining the same core pillars and requirements, holding ACOs accountable for high quality care, while implementing improvements based on lessons learned. </w:t>
      </w:r>
    </w:p>
    <w:p w14:paraId="7D3D6FD4" w14:textId="77777777" w:rsidR="004E1468" w:rsidRPr="004E1468" w:rsidRDefault="004E1468" w:rsidP="004E1468">
      <w:pPr>
        <w:numPr>
          <w:ilvl w:val="0"/>
          <w:numId w:val="10"/>
        </w:numPr>
        <w:spacing w:after="120"/>
        <w:rPr>
          <w:rFonts w:ascii="Times New Roman" w:hAnsi="Times New Roman" w:cs="Times New Roman"/>
        </w:rPr>
      </w:pPr>
      <w:r w:rsidRPr="004E1468">
        <w:rPr>
          <w:rFonts w:ascii="Times New Roman" w:hAnsi="Times New Roman" w:cs="Times New Roman"/>
          <w:b/>
          <w:bCs/>
          <w:color w:val="2F5496" w:themeColor="accent1" w:themeShade="BF"/>
        </w:rPr>
        <w:t>Re-procure the Behavioral Health and Long-Term Services and Supports Community Partners (CP)</w:t>
      </w:r>
      <w:r w:rsidRPr="004E1468">
        <w:rPr>
          <w:rFonts w:ascii="Times New Roman" w:hAnsi="Times New Roman" w:cs="Times New Roman"/>
        </w:rPr>
        <w:t xml:space="preserve"> program, while transitioning the program to sustainable financing and a more accountable structure.</w:t>
      </w:r>
    </w:p>
    <w:p w14:paraId="7FF82876" w14:textId="77777777" w:rsidR="004E1468" w:rsidRDefault="004E1468" w:rsidP="004E1468">
      <w:pPr>
        <w:numPr>
          <w:ilvl w:val="0"/>
          <w:numId w:val="10"/>
        </w:numPr>
        <w:spacing w:after="120"/>
        <w:rPr>
          <w:rFonts w:ascii="Times New Roman" w:hAnsi="Times New Roman" w:cs="Times New Roman"/>
        </w:rPr>
      </w:pPr>
      <w:r w:rsidRPr="004E1468">
        <w:rPr>
          <w:rFonts w:ascii="Times New Roman" w:hAnsi="Times New Roman" w:cs="Times New Roman"/>
        </w:rPr>
        <w:t xml:space="preserve">Scale successful programs by </w:t>
      </w:r>
      <w:r w:rsidRPr="004E1468">
        <w:rPr>
          <w:rFonts w:ascii="Times New Roman" w:hAnsi="Times New Roman" w:cs="Times New Roman"/>
          <w:b/>
          <w:bCs/>
          <w:color w:val="2F5496" w:themeColor="accent1" w:themeShade="BF"/>
        </w:rPr>
        <w:t>transitioning ~80% of DSRIP funding to ongoing base funding</w:t>
      </w:r>
      <w:r w:rsidRPr="004E1468">
        <w:rPr>
          <w:rFonts w:ascii="Times New Roman" w:hAnsi="Times New Roman" w:cs="Times New Roman"/>
        </w:rPr>
        <w:t xml:space="preserve"> that supports the ACO and CP programs (e.g., supports for members with disabilities, embedded community health workers and peers in primary care, CP care coordination).</w:t>
      </w:r>
    </w:p>
    <w:p w14:paraId="52888F40" w14:textId="77777777" w:rsidR="004E1468" w:rsidRDefault="004E1468" w:rsidP="004E1468">
      <w:pPr>
        <w:numPr>
          <w:ilvl w:val="0"/>
          <w:numId w:val="10"/>
        </w:numPr>
        <w:spacing w:after="120"/>
        <w:rPr>
          <w:rFonts w:ascii="Times New Roman" w:hAnsi="Times New Roman" w:cs="Times New Roman"/>
        </w:rPr>
      </w:pPr>
      <w:r w:rsidRPr="004E1468">
        <w:rPr>
          <w:rFonts w:ascii="Times New Roman" w:hAnsi="Times New Roman" w:cs="Times New Roman"/>
          <w:b/>
          <w:bCs/>
          <w:color w:val="2F5496" w:themeColor="accent1" w:themeShade="BF"/>
        </w:rPr>
        <w:t>Continue and expand the Flexible Services Program and Community Supports Programs</w:t>
      </w:r>
      <w:r w:rsidRPr="004E1468">
        <w:rPr>
          <w:rFonts w:ascii="Times New Roman" w:hAnsi="Times New Roman" w:cs="Times New Roman"/>
          <w:b/>
          <w:bCs/>
        </w:rPr>
        <w:t xml:space="preserve"> </w:t>
      </w:r>
      <w:r w:rsidRPr="004E1468">
        <w:rPr>
          <w:rFonts w:ascii="Times New Roman" w:hAnsi="Times New Roman" w:cs="Times New Roman"/>
        </w:rPr>
        <w:t>under a new framework to address and integrate health-related social needs, including: </w:t>
      </w:r>
    </w:p>
    <w:p w14:paraId="409173D7" w14:textId="77777777" w:rsidR="004E1468" w:rsidRDefault="004E1468" w:rsidP="004E1468">
      <w:pPr>
        <w:numPr>
          <w:ilvl w:val="1"/>
          <w:numId w:val="10"/>
        </w:numPr>
        <w:spacing w:after="120"/>
        <w:rPr>
          <w:rFonts w:ascii="Times New Roman" w:hAnsi="Times New Roman" w:cs="Times New Roman"/>
        </w:rPr>
      </w:pPr>
      <w:r w:rsidRPr="004E1468">
        <w:rPr>
          <w:rFonts w:ascii="Times New Roman" w:hAnsi="Times New Roman" w:cs="Times New Roman"/>
        </w:rPr>
        <w:t>targeted support to members with behavioral health needs who are experiencing or at risk of homelessness, and those recently released from jail or prison; and</w:t>
      </w:r>
    </w:p>
    <w:p w14:paraId="56210C32" w14:textId="10CD7E7F" w:rsidR="004E1468" w:rsidRDefault="004E1468" w:rsidP="004E1468">
      <w:pPr>
        <w:numPr>
          <w:ilvl w:val="1"/>
          <w:numId w:val="10"/>
        </w:numPr>
        <w:spacing w:after="120"/>
        <w:rPr>
          <w:rFonts w:ascii="Times New Roman" w:hAnsi="Times New Roman" w:cs="Times New Roman"/>
        </w:rPr>
      </w:pPr>
      <w:r w:rsidRPr="004E1468">
        <w:rPr>
          <w:rFonts w:ascii="Times New Roman" w:hAnsi="Times New Roman" w:cs="Times New Roman"/>
        </w:rPr>
        <w:t>integrating Flexible Services within the ACO program, providing evidence-based nutritional and housing supports.</w:t>
      </w:r>
    </w:p>
    <w:p w14:paraId="367A7DCB" w14:textId="77777777" w:rsidR="002F4117" w:rsidRPr="004E1468" w:rsidRDefault="002F4117" w:rsidP="002F4117">
      <w:pPr>
        <w:spacing w:after="120"/>
        <w:ind w:left="1440"/>
        <w:rPr>
          <w:rFonts w:ascii="Times New Roman" w:hAnsi="Times New Roman" w:cs="Times New Roman"/>
        </w:rPr>
      </w:pPr>
    </w:p>
    <w:p w14:paraId="4BC2ECD6" w14:textId="70BEE928" w:rsidR="004D3CEB" w:rsidRDefault="004D3CEB" w:rsidP="004D3CEB">
      <w:pPr>
        <w:pStyle w:val="Heading4"/>
        <w:numPr>
          <w:ilvl w:val="0"/>
          <w:numId w:val="13"/>
        </w:numPr>
        <w:ind w:left="360"/>
        <w:rPr>
          <w:rStyle w:val="Emphasis"/>
        </w:rPr>
      </w:pPr>
      <w:r w:rsidRPr="0022159B">
        <w:t xml:space="preserve">Make reforms and investments in primary care, behavioral </w:t>
      </w:r>
      <w:proofErr w:type="gramStart"/>
      <w:r w:rsidRPr="0022159B">
        <w:t>health</w:t>
      </w:r>
      <w:proofErr w:type="gramEnd"/>
      <w:r w:rsidRPr="0022159B">
        <w:t xml:space="preserve"> and pediatric care</w:t>
      </w:r>
      <w:r w:rsidRPr="004D3CEB">
        <w:rPr>
          <w:rStyle w:val="Emphasis"/>
        </w:rPr>
        <w:t xml:space="preserve"> </w:t>
      </w:r>
    </w:p>
    <w:p w14:paraId="2D306536" w14:textId="07EC6A13" w:rsidR="004D3CEB" w:rsidRPr="004D3CEB" w:rsidRDefault="004D3CEB" w:rsidP="00612330">
      <w:pPr>
        <w:spacing w:after="120"/>
        <w:ind w:left="360"/>
        <w:rPr>
          <w:rFonts w:ascii="Times New Roman" w:hAnsi="Times New Roman" w:cs="Times New Roman"/>
        </w:rPr>
      </w:pPr>
      <w:r w:rsidRPr="004D3CEB">
        <w:rPr>
          <w:rFonts w:ascii="Times New Roman" w:hAnsi="Times New Roman" w:cs="Times New Roman"/>
        </w:rPr>
        <w:t>The 1115 demonstration authorizes the Primary Care Sub-Capitation program, workforce investments, and continued expansion of behavioral health services</w:t>
      </w:r>
      <w:r>
        <w:rPr>
          <w:rFonts w:ascii="Times New Roman" w:hAnsi="Times New Roman" w:cs="Times New Roman"/>
        </w:rPr>
        <w:t>.</w:t>
      </w:r>
    </w:p>
    <w:p w14:paraId="6EB2DC0F" w14:textId="77777777" w:rsidR="004D3CEB" w:rsidRPr="004D3CEB" w:rsidRDefault="004D3CEB" w:rsidP="004D3CEB">
      <w:pPr>
        <w:numPr>
          <w:ilvl w:val="0"/>
          <w:numId w:val="14"/>
        </w:numPr>
        <w:spacing w:after="120"/>
        <w:rPr>
          <w:rFonts w:ascii="Times New Roman" w:hAnsi="Times New Roman" w:cs="Times New Roman"/>
        </w:rPr>
      </w:pPr>
      <w:r w:rsidRPr="004D3CEB">
        <w:rPr>
          <w:rFonts w:ascii="Times New Roman" w:hAnsi="Times New Roman" w:cs="Times New Roman"/>
        </w:rPr>
        <w:t xml:space="preserve">Invest additional $115M per year in primary care through a new </w:t>
      </w:r>
      <w:r w:rsidRPr="004D3CEB">
        <w:rPr>
          <w:rFonts w:ascii="Times New Roman" w:hAnsi="Times New Roman" w:cs="Times New Roman"/>
          <w:b/>
          <w:bCs/>
          <w:color w:val="2F5496" w:themeColor="accent1" w:themeShade="BF"/>
        </w:rPr>
        <w:t>"sub-capitation" payment model that supports enhanced care delivery</w:t>
      </w:r>
      <w:r w:rsidRPr="004D3CEB">
        <w:rPr>
          <w:rFonts w:ascii="Times New Roman" w:hAnsi="Times New Roman" w:cs="Times New Roman"/>
        </w:rPr>
        <w:t xml:space="preserve"> expectations (e.g., team-based care, behavioral health integration, specific expectations for members under 21) and more provider flexibility.</w:t>
      </w:r>
    </w:p>
    <w:p w14:paraId="5EB10DE7" w14:textId="77777777" w:rsidR="004D3CEB" w:rsidRPr="004D3CEB" w:rsidRDefault="004D3CEB" w:rsidP="004D3CEB">
      <w:pPr>
        <w:numPr>
          <w:ilvl w:val="0"/>
          <w:numId w:val="14"/>
        </w:numPr>
        <w:spacing w:after="120"/>
        <w:rPr>
          <w:rFonts w:ascii="Times New Roman" w:hAnsi="Times New Roman" w:cs="Times New Roman"/>
        </w:rPr>
      </w:pPr>
      <w:r w:rsidRPr="004D3CEB">
        <w:rPr>
          <w:rFonts w:ascii="Times New Roman" w:hAnsi="Times New Roman" w:cs="Times New Roman"/>
        </w:rPr>
        <w:t xml:space="preserve">Invest $43 million over five years to </w:t>
      </w:r>
      <w:r w:rsidRPr="004D3CEB">
        <w:rPr>
          <w:rFonts w:ascii="Times New Roman" w:hAnsi="Times New Roman" w:cs="Times New Roman"/>
          <w:b/>
          <w:bCs/>
          <w:color w:val="2F5496" w:themeColor="accent1" w:themeShade="BF"/>
        </w:rPr>
        <w:t>improve primary care and behavioral health workforce capacity and diversity</w:t>
      </w:r>
      <w:r w:rsidRPr="004D3CEB">
        <w:rPr>
          <w:rFonts w:ascii="Times New Roman" w:hAnsi="Times New Roman" w:cs="Times New Roman"/>
        </w:rPr>
        <w:t xml:space="preserve"> through loan repayment and nurse practitioner residency programs.</w:t>
      </w:r>
    </w:p>
    <w:p w14:paraId="496F4AD5" w14:textId="249C3AB5" w:rsidR="004D3CEB" w:rsidRPr="004D3CEB" w:rsidRDefault="004D3CEB" w:rsidP="004D3CEB">
      <w:pPr>
        <w:numPr>
          <w:ilvl w:val="0"/>
          <w:numId w:val="14"/>
        </w:numPr>
        <w:spacing w:after="120"/>
        <w:rPr>
          <w:rFonts w:ascii="Times New Roman" w:hAnsi="Times New Roman" w:cs="Times New Roman"/>
        </w:rPr>
      </w:pPr>
      <w:r w:rsidRPr="004D3CEB">
        <w:rPr>
          <w:rFonts w:ascii="Times New Roman" w:hAnsi="Times New Roman" w:cs="Times New Roman"/>
        </w:rPr>
        <w:t xml:space="preserve">Continue supporting </w:t>
      </w:r>
      <w:r w:rsidRPr="004D3CEB">
        <w:rPr>
          <w:rFonts w:ascii="Times New Roman" w:hAnsi="Times New Roman" w:cs="Times New Roman"/>
          <w:b/>
          <w:bCs/>
          <w:color w:val="2F5496" w:themeColor="accent1" w:themeShade="BF"/>
        </w:rPr>
        <w:t>access to behavioral health services</w:t>
      </w:r>
      <w:r w:rsidRPr="004D3CEB">
        <w:rPr>
          <w:rFonts w:ascii="Times New Roman" w:hAnsi="Times New Roman" w:cs="Times New Roman"/>
        </w:rPr>
        <w:t xml:space="preserve"> through SUD and SMI/SED</w:t>
      </w:r>
      <w:r>
        <w:rPr>
          <w:rStyle w:val="FootnoteReference"/>
          <w:rFonts w:ascii="Times New Roman" w:hAnsi="Times New Roman" w:cs="Times New Roman"/>
        </w:rPr>
        <w:footnoteReference w:id="1"/>
      </w:r>
      <w:r w:rsidRPr="004D3CEB">
        <w:rPr>
          <w:rFonts w:ascii="Times New Roman" w:hAnsi="Times New Roman" w:cs="Times New Roman"/>
        </w:rPr>
        <w:t xml:space="preserve"> waiver authorities, including </w:t>
      </w:r>
      <w:r w:rsidRPr="004D3CEB">
        <w:rPr>
          <w:rFonts w:ascii="Times New Roman" w:hAnsi="Times New Roman" w:cs="Times New Roman"/>
          <w:b/>
          <w:bCs/>
          <w:color w:val="2F5496" w:themeColor="accent1" w:themeShade="BF"/>
        </w:rPr>
        <w:t>expanding availability of diversionary behavioral health services</w:t>
      </w:r>
      <w:r w:rsidRPr="004D3CEB">
        <w:rPr>
          <w:rFonts w:ascii="Times New Roman" w:hAnsi="Times New Roman" w:cs="Times New Roman"/>
        </w:rPr>
        <w:t xml:space="preserve"> (e.g., Community Support Programs, Structured Outpatient Addiction Program) to members in MassHealth fee-for-service.</w:t>
      </w:r>
    </w:p>
    <w:p w14:paraId="586A05FE" w14:textId="4D96A724" w:rsidR="004E1468" w:rsidRPr="004D3CEB" w:rsidRDefault="004D3CEB" w:rsidP="004D3CEB">
      <w:pPr>
        <w:numPr>
          <w:ilvl w:val="0"/>
          <w:numId w:val="14"/>
        </w:numPr>
        <w:spacing w:after="120"/>
        <w:rPr>
          <w:rStyle w:val="Emphasis"/>
          <w:rFonts w:ascii="Times New Roman" w:hAnsi="Times New Roman" w:cs="Times New Roman"/>
          <w:i w:val="0"/>
          <w:iCs w:val="0"/>
        </w:rPr>
      </w:pPr>
      <w:r w:rsidRPr="004D3CEB">
        <w:rPr>
          <w:rFonts w:ascii="Times New Roman" w:hAnsi="Times New Roman" w:cs="Times New Roman"/>
          <w:b/>
          <w:bCs/>
          <w:color w:val="2F5496" w:themeColor="accent1" w:themeShade="BF"/>
        </w:rPr>
        <w:t>These authorities complement related initiatives outside the 1115 demonstration</w:t>
      </w:r>
      <w:r w:rsidRPr="004D3CEB">
        <w:rPr>
          <w:rFonts w:ascii="Times New Roman" w:hAnsi="Times New Roman" w:cs="Times New Roman"/>
        </w:rPr>
        <w:t xml:space="preserve">, such as implementation of the Roadmap for Behavioral Health Reform, substantial investments in Community Health Center and behavioral health rates, and a new Targeted Case Management benefit (“MassHealth CARES for Kids”) to support children with medical complexity </w:t>
      </w:r>
      <w:r w:rsidRPr="004D3CEB">
        <w:rPr>
          <w:rFonts w:ascii="Times New Roman" w:hAnsi="Times New Roman" w:cs="Times New Roman"/>
        </w:rPr>
        <w:br/>
      </w:r>
    </w:p>
    <w:p w14:paraId="0507CA16" w14:textId="287550B4" w:rsidR="004D3CEB" w:rsidRDefault="002F4117" w:rsidP="002F4117">
      <w:pPr>
        <w:pStyle w:val="Heading4"/>
        <w:numPr>
          <w:ilvl w:val="0"/>
          <w:numId w:val="13"/>
        </w:numPr>
        <w:ind w:left="360"/>
      </w:pPr>
      <w:r w:rsidRPr="002F4117">
        <w:t>Advance health equity, with a focus on health-related social needs, maternal health, and justice-involved populations</w:t>
      </w:r>
    </w:p>
    <w:p w14:paraId="37A5BFCA" w14:textId="326CC568" w:rsidR="00612330" w:rsidRDefault="00612330" w:rsidP="00612330">
      <w:pPr>
        <w:spacing w:after="120"/>
        <w:ind w:left="360"/>
        <w:rPr>
          <w:rFonts w:ascii="Times New Roman" w:hAnsi="Times New Roman" w:cs="Times New Roman"/>
        </w:rPr>
      </w:pPr>
      <w:r w:rsidRPr="00612330">
        <w:rPr>
          <w:rFonts w:ascii="Times New Roman" w:hAnsi="Times New Roman" w:cs="Times New Roman"/>
        </w:rPr>
        <w:t>The 1115 demonstration authorizes significant investments and policies to advance health equity</w:t>
      </w:r>
      <w:r>
        <w:rPr>
          <w:rFonts w:ascii="Times New Roman" w:hAnsi="Times New Roman" w:cs="Times New Roman"/>
        </w:rPr>
        <w:t>.</w:t>
      </w:r>
    </w:p>
    <w:p w14:paraId="4E779F63" w14:textId="77777777" w:rsidR="00612330" w:rsidRPr="00612330" w:rsidRDefault="00612330" w:rsidP="00612330">
      <w:pPr>
        <w:numPr>
          <w:ilvl w:val="0"/>
          <w:numId w:val="16"/>
        </w:numPr>
        <w:spacing w:after="120"/>
        <w:rPr>
          <w:rFonts w:ascii="Times New Roman" w:hAnsi="Times New Roman" w:cs="Times New Roman"/>
        </w:rPr>
      </w:pPr>
      <w:r w:rsidRPr="00612330">
        <w:rPr>
          <w:rFonts w:ascii="Times New Roman" w:hAnsi="Times New Roman" w:cs="Times New Roman"/>
        </w:rPr>
        <w:t xml:space="preserve">Launch </w:t>
      </w:r>
      <w:r w:rsidRPr="00612330">
        <w:rPr>
          <w:rFonts w:ascii="Times New Roman" w:hAnsi="Times New Roman" w:cs="Times New Roman"/>
          <w:b/>
          <w:bCs/>
          <w:color w:val="2F5496" w:themeColor="accent1" w:themeShade="BF"/>
        </w:rPr>
        <w:t>&gt;$2 billion initiative over five years to incentivize ACOs and ACO-participating hospitals to reduce disparities in quality and access</w:t>
      </w:r>
      <w:r w:rsidRPr="00612330">
        <w:rPr>
          <w:rFonts w:ascii="Times New Roman" w:hAnsi="Times New Roman" w:cs="Times New Roman"/>
        </w:rPr>
        <w:t>, accounting for members' clinical and social risk (including race, ethnicity, language, disability status, sexual orientation, gender identity, and health-related social needs).</w:t>
      </w:r>
    </w:p>
    <w:p w14:paraId="5E2A6743" w14:textId="77777777" w:rsidR="00612330" w:rsidRPr="00612330" w:rsidRDefault="00612330" w:rsidP="00612330">
      <w:pPr>
        <w:numPr>
          <w:ilvl w:val="0"/>
          <w:numId w:val="16"/>
        </w:numPr>
        <w:spacing w:after="120"/>
        <w:rPr>
          <w:rFonts w:ascii="Times New Roman" w:hAnsi="Times New Roman" w:cs="Times New Roman"/>
        </w:rPr>
      </w:pPr>
      <w:r w:rsidRPr="00612330">
        <w:rPr>
          <w:rFonts w:ascii="Times New Roman" w:hAnsi="Times New Roman" w:cs="Times New Roman"/>
        </w:rPr>
        <w:lastRenderedPageBreak/>
        <w:t xml:space="preserve">Provide evidence-based interventions addressing </w:t>
      </w:r>
      <w:r w:rsidRPr="00612330">
        <w:rPr>
          <w:rFonts w:ascii="Times New Roman" w:hAnsi="Times New Roman" w:cs="Times New Roman"/>
          <w:b/>
          <w:bCs/>
          <w:color w:val="2F5496" w:themeColor="accent1" w:themeShade="BF"/>
        </w:rPr>
        <w:t>housing and nutrition needs that impact health</w:t>
      </w:r>
      <w:r w:rsidRPr="00612330">
        <w:rPr>
          <w:rFonts w:ascii="Times New Roman" w:hAnsi="Times New Roman" w:cs="Times New Roman"/>
        </w:rPr>
        <w:t>, through the Flexible Services Program</w:t>
      </w:r>
    </w:p>
    <w:p w14:paraId="1BC86E6D" w14:textId="77777777" w:rsidR="00612330" w:rsidRPr="00612330" w:rsidRDefault="00612330" w:rsidP="00612330">
      <w:pPr>
        <w:numPr>
          <w:ilvl w:val="0"/>
          <w:numId w:val="16"/>
        </w:numPr>
        <w:spacing w:after="120"/>
        <w:rPr>
          <w:rFonts w:ascii="Times New Roman" w:hAnsi="Times New Roman" w:cs="Times New Roman"/>
        </w:rPr>
      </w:pPr>
      <w:r w:rsidRPr="00612330">
        <w:rPr>
          <w:rFonts w:ascii="Times New Roman" w:hAnsi="Times New Roman" w:cs="Times New Roman"/>
        </w:rPr>
        <w:t>Focus on specific populations experiencing disparities, including:</w:t>
      </w:r>
    </w:p>
    <w:p w14:paraId="1C71B3E6" w14:textId="77777777" w:rsidR="00612330" w:rsidRDefault="00612330" w:rsidP="00612330">
      <w:pPr>
        <w:numPr>
          <w:ilvl w:val="0"/>
          <w:numId w:val="16"/>
        </w:numPr>
        <w:spacing w:after="120"/>
        <w:rPr>
          <w:rFonts w:ascii="Times New Roman" w:hAnsi="Times New Roman" w:cs="Times New Roman"/>
        </w:rPr>
      </w:pPr>
      <w:r w:rsidRPr="00612330">
        <w:rPr>
          <w:rFonts w:ascii="Times New Roman" w:hAnsi="Times New Roman" w:cs="Times New Roman"/>
          <w:b/>
          <w:bCs/>
          <w:color w:val="2F5496" w:themeColor="accent1" w:themeShade="BF"/>
        </w:rPr>
        <w:t>Justice-involved members</w:t>
      </w:r>
      <w:r w:rsidRPr="00612330">
        <w:rPr>
          <w:rFonts w:ascii="Times New Roman" w:hAnsi="Times New Roman" w:cs="Times New Roman"/>
        </w:rPr>
        <w:t xml:space="preserve">: Provide post-release transition supports to improve health outcomes, including 12-month continuous eligibility </w:t>
      </w:r>
    </w:p>
    <w:p w14:paraId="22942A66" w14:textId="14585997" w:rsidR="00612330" w:rsidRPr="00612330" w:rsidRDefault="00612330" w:rsidP="00612330">
      <w:pPr>
        <w:numPr>
          <w:ilvl w:val="1"/>
          <w:numId w:val="16"/>
        </w:numPr>
        <w:spacing w:after="120"/>
        <w:rPr>
          <w:rFonts w:ascii="Times New Roman" w:hAnsi="Times New Roman" w:cs="Times New Roman"/>
        </w:rPr>
      </w:pPr>
      <w:r w:rsidRPr="00612330">
        <w:rPr>
          <w:rFonts w:ascii="Times New Roman" w:hAnsi="Times New Roman" w:cs="Times New Roman"/>
          <w:i/>
          <w:iCs/>
        </w:rPr>
        <w:t xml:space="preserve">MassHealth's proposal to provide pre-release transition supports is pending federal guidance for all states, expected in the coming months  </w:t>
      </w:r>
    </w:p>
    <w:p w14:paraId="292B5C34" w14:textId="77777777" w:rsidR="00612330" w:rsidRPr="00612330" w:rsidRDefault="00612330" w:rsidP="00612330">
      <w:pPr>
        <w:numPr>
          <w:ilvl w:val="0"/>
          <w:numId w:val="16"/>
        </w:numPr>
        <w:spacing w:after="120"/>
        <w:rPr>
          <w:rFonts w:ascii="Times New Roman" w:hAnsi="Times New Roman" w:cs="Times New Roman"/>
        </w:rPr>
      </w:pPr>
      <w:r w:rsidRPr="00612330">
        <w:rPr>
          <w:rFonts w:ascii="Times New Roman" w:hAnsi="Times New Roman" w:cs="Times New Roman"/>
          <w:b/>
          <w:bCs/>
          <w:color w:val="2F5496" w:themeColor="accent1" w:themeShade="BF"/>
        </w:rPr>
        <w:t>Members with disabilities</w:t>
      </w:r>
      <w:r w:rsidRPr="00612330">
        <w:rPr>
          <w:rFonts w:ascii="Times New Roman" w:hAnsi="Times New Roman" w:cs="Times New Roman"/>
        </w:rPr>
        <w:t>: Streamline access to CommonHealth, require focus on access and quality for members with disabilities in equity incentive program, and strengthen the LTSS CP program</w:t>
      </w:r>
    </w:p>
    <w:p w14:paraId="7F7D05DD" w14:textId="77777777" w:rsidR="00612330" w:rsidRPr="00612330" w:rsidRDefault="00612330" w:rsidP="00612330">
      <w:pPr>
        <w:numPr>
          <w:ilvl w:val="0"/>
          <w:numId w:val="16"/>
        </w:numPr>
        <w:spacing w:after="120"/>
        <w:rPr>
          <w:rFonts w:ascii="Times New Roman" w:hAnsi="Times New Roman" w:cs="Times New Roman"/>
        </w:rPr>
      </w:pPr>
      <w:r w:rsidRPr="00612330">
        <w:rPr>
          <w:rFonts w:ascii="Times New Roman" w:hAnsi="Times New Roman" w:cs="Times New Roman"/>
          <w:b/>
          <w:bCs/>
          <w:color w:val="2F5496" w:themeColor="accent1" w:themeShade="BF"/>
        </w:rPr>
        <w:t>Pregnant/postpartum members</w:t>
      </w:r>
      <w:r w:rsidRPr="00612330">
        <w:rPr>
          <w:rFonts w:ascii="Times New Roman" w:hAnsi="Times New Roman" w:cs="Times New Roman"/>
        </w:rPr>
        <w:t xml:space="preserve">: Set a health system-wide goal to reduce maternal health outcome disparities, strengthen requirements for ACOs to support members with high-risk pregnancies, expand Flexible Services for households with high-risk children and pregnant individuals. </w:t>
      </w:r>
    </w:p>
    <w:p w14:paraId="7A56DA5B" w14:textId="510F4151" w:rsidR="00612330" w:rsidRPr="00612330" w:rsidRDefault="00612330" w:rsidP="00612330">
      <w:pPr>
        <w:numPr>
          <w:ilvl w:val="1"/>
          <w:numId w:val="16"/>
        </w:numPr>
        <w:spacing w:after="120"/>
        <w:rPr>
          <w:rFonts w:ascii="Times New Roman" w:hAnsi="Times New Roman" w:cs="Times New Roman"/>
        </w:rPr>
      </w:pPr>
      <w:r w:rsidRPr="00612330">
        <w:rPr>
          <w:rFonts w:ascii="Times New Roman" w:hAnsi="Times New Roman" w:cs="Times New Roman"/>
          <w:i/>
          <w:iCs/>
        </w:rPr>
        <w:t xml:space="preserve">These changes complement initiatives outside the 1115 demonstration, including 12-month postpartum coverage and doula services. </w:t>
      </w:r>
    </w:p>
    <w:p w14:paraId="51499432" w14:textId="0EC71EDB" w:rsidR="00612330" w:rsidRDefault="00612330" w:rsidP="00612330">
      <w:pPr>
        <w:spacing w:after="120"/>
        <w:rPr>
          <w:rFonts w:ascii="Times New Roman" w:hAnsi="Times New Roman" w:cs="Times New Roman"/>
          <w:i/>
          <w:iCs/>
        </w:rPr>
      </w:pPr>
    </w:p>
    <w:p w14:paraId="758B23D9" w14:textId="788E8CC1" w:rsidR="00612330" w:rsidRPr="00612330" w:rsidRDefault="00612330" w:rsidP="00612330">
      <w:pPr>
        <w:pStyle w:val="Heading4"/>
        <w:numPr>
          <w:ilvl w:val="0"/>
          <w:numId w:val="13"/>
        </w:numPr>
        <w:ind w:left="360"/>
      </w:pPr>
      <w:r w:rsidRPr="00612330">
        <w:t>Sustainably support the Commonwealth’s safety net, including level, predictable funding</w:t>
      </w:r>
      <w:r>
        <w:t xml:space="preserve"> </w:t>
      </w:r>
      <w:r w:rsidRPr="00612330">
        <w:t>for safety net providers, with a continued linkage to accountable care</w:t>
      </w:r>
    </w:p>
    <w:p w14:paraId="331DCB88" w14:textId="016C4EB2" w:rsidR="00612330" w:rsidRDefault="00612330" w:rsidP="00612330">
      <w:pPr>
        <w:spacing w:after="120"/>
        <w:ind w:left="360"/>
        <w:rPr>
          <w:rFonts w:ascii="Times New Roman" w:hAnsi="Times New Roman" w:cs="Times New Roman"/>
        </w:rPr>
      </w:pPr>
      <w:r w:rsidRPr="00612330">
        <w:rPr>
          <w:rFonts w:ascii="Times New Roman" w:hAnsi="Times New Roman" w:cs="Times New Roman"/>
        </w:rPr>
        <w:t>The 1115 demonstration authorizes additional funding to sustainably support the Commonwealth’s safety net providers</w:t>
      </w:r>
      <w:r>
        <w:rPr>
          <w:rFonts w:ascii="Times New Roman" w:hAnsi="Times New Roman" w:cs="Times New Roman"/>
        </w:rPr>
        <w:t>.</w:t>
      </w:r>
    </w:p>
    <w:p w14:paraId="12862B46" w14:textId="77777777" w:rsidR="00612330" w:rsidRPr="00612330" w:rsidRDefault="00612330" w:rsidP="00B10AEA">
      <w:pPr>
        <w:numPr>
          <w:ilvl w:val="0"/>
          <w:numId w:val="18"/>
        </w:numPr>
        <w:spacing w:after="120"/>
        <w:rPr>
          <w:rFonts w:ascii="Times New Roman" w:hAnsi="Times New Roman" w:cs="Times New Roman"/>
        </w:rPr>
      </w:pPr>
      <w:r w:rsidRPr="00612330">
        <w:rPr>
          <w:rFonts w:ascii="Times New Roman" w:hAnsi="Times New Roman" w:cs="Times New Roman"/>
        </w:rPr>
        <w:t>Authorize key components of 5-year hospital financing package that will generate $600M+ of annual net benefit to hospitals.</w:t>
      </w:r>
    </w:p>
    <w:p w14:paraId="4036E230" w14:textId="77777777" w:rsidR="00612330" w:rsidRPr="00612330" w:rsidRDefault="00612330" w:rsidP="00B10AEA">
      <w:pPr>
        <w:numPr>
          <w:ilvl w:val="0"/>
          <w:numId w:val="18"/>
        </w:numPr>
        <w:spacing w:after="120"/>
        <w:rPr>
          <w:rFonts w:ascii="Times New Roman" w:hAnsi="Times New Roman" w:cs="Times New Roman"/>
        </w:rPr>
      </w:pPr>
      <w:r w:rsidRPr="00612330">
        <w:rPr>
          <w:rFonts w:ascii="Times New Roman" w:hAnsi="Times New Roman" w:cs="Times New Roman"/>
        </w:rPr>
        <w:t xml:space="preserve">Increase </w:t>
      </w:r>
      <w:r w:rsidRPr="00612330">
        <w:rPr>
          <w:rFonts w:ascii="Times New Roman" w:hAnsi="Times New Roman" w:cs="Times New Roman"/>
          <w:b/>
          <w:bCs/>
          <w:color w:val="2F5496" w:themeColor="accent1" w:themeShade="BF"/>
        </w:rPr>
        <w:t>Safety Net Provider funding</w:t>
      </w:r>
      <w:r w:rsidRPr="00612330">
        <w:rPr>
          <w:rFonts w:ascii="Times New Roman" w:hAnsi="Times New Roman" w:cs="Times New Roman"/>
          <w:b/>
          <w:bCs/>
        </w:rPr>
        <w:t xml:space="preserve"> </w:t>
      </w:r>
      <w:r w:rsidRPr="00612330">
        <w:rPr>
          <w:rFonts w:ascii="Times New Roman" w:hAnsi="Times New Roman" w:cs="Times New Roman"/>
        </w:rPr>
        <w:t>by $125M per year, expanding eligibility for payments to nine additional hospitals.</w:t>
      </w:r>
    </w:p>
    <w:p w14:paraId="14902967" w14:textId="77777777" w:rsidR="00612330" w:rsidRPr="00612330" w:rsidRDefault="00612330" w:rsidP="00B10AEA">
      <w:pPr>
        <w:numPr>
          <w:ilvl w:val="0"/>
          <w:numId w:val="18"/>
        </w:numPr>
        <w:spacing w:after="120"/>
        <w:rPr>
          <w:rFonts w:ascii="Times New Roman" w:hAnsi="Times New Roman" w:cs="Times New Roman"/>
        </w:rPr>
      </w:pPr>
      <w:r w:rsidRPr="00612330">
        <w:rPr>
          <w:rFonts w:ascii="Times New Roman" w:hAnsi="Times New Roman" w:cs="Times New Roman"/>
        </w:rPr>
        <w:t>Target majority of $2B health equity incentives over five years toward ACO-participating, safety net hospitals.</w:t>
      </w:r>
    </w:p>
    <w:p w14:paraId="7990FF59" w14:textId="77777777" w:rsidR="00612330" w:rsidRPr="00612330" w:rsidRDefault="00612330" w:rsidP="00B10AEA">
      <w:pPr>
        <w:numPr>
          <w:ilvl w:val="0"/>
          <w:numId w:val="18"/>
        </w:numPr>
        <w:spacing w:after="120"/>
        <w:rPr>
          <w:rFonts w:ascii="Times New Roman" w:hAnsi="Times New Roman" w:cs="Times New Roman"/>
        </w:rPr>
      </w:pPr>
      <w:r w:rsidRPr="00612330">
        <w:rPr>
          <w:rFonts w:ascii="Times New Roman" w:hAnsi="Times New Roman" w:cs="Times New Roman"/>
        </w:rPr>
        <w:t xml:space="preserve">Preserve other </w:t>
      </w:r>
      <w:r w:rsidRPr="00612330">
        <w:rPr>
          <w:rFonts w:ascii="Times New Roman" w:hAnsi="Times New Roman" w:cs="Times New Roman"/>
          <w:b/>
          <w:bCs/>
          <w:color w:val="2F5496" w:themeColor="accent1" w:themeShade="BF"/>
        </w:rPr>
        <w:t>long-time funding for the Commonwealth’s safety net</w:t>
      </w:r>
      <w:r w:rsidRPr="00612330">
        <w:rPr>
          <w:rFonts w:ascii="Times New Roman" w:hAnsi="Times New Roman" w:cs="Times New Roman"/>
        </w:rPr>
        <w:t xml:space="preserve"> (e.g., the Health Safety Net).</w:t>
      </w:r>
    </w:p>
    <w:p w14:paraId="4AA0FC9B" w14:textId="77777777" w:rsidR="00612330" w:rsidRPr="00612330" w:rsidRDefault="00612330" w:rsidP="00B10AEA">
      <w:pPr>
        <w:numPr>
          <w:ilvl w:val="0"/>
          <w:numId w:val="18"/>
        </w:numPr>
        <w:spacing w:after="120"/>
        <w:rPr>
          <w:rFonts w:ascii="Times New Roman" w:hAnsi="Times New Roman" w:cs="Times New Roman"/>
        </w:rPr>
      </w:pPr>
      <w:r w:rsidRPr="00612330">
        <w:rPr>
          <w:rFonts w:ascii="Times New Roman" w:hAnsi="Times New Roman" w:cs="Times New Roman"/>
        </w:rPr>
        <w:t>The hospital assessment has been updated and expanded to help fund these important programs and initiatives. </w:t>
      </w:r>
    </w:p>
    <w:p w14:paraId="07F75F20" w14:textId="77777777" w:rsidR="00612330" w:rsidRPr="00612330" w:rsidRDefault="00612330" w:rsidP="00612330">
      <w:pPr>
        <w:spacing w:after="120"/>
        <w:rPr>
          <w:rFonts w:ascii="Times New Roman" w:hAnsi="Times New Roman" w:cs="Times New Roman"/>
        </w:rPr>
      </w:pPr>
    </w:p>
    <w:p w14:paraId="6F50B5D2" w14:textId="4EA88140" w:rsidR="00B10AEA" w:rsidRPr="00B10AEA" w:rsidRDefault="00B10AEA" w:rsidP="00B10AEA">
      <w:pPr>
        <w:pStyle w:val="Heading4"/>
        <w:numPr>
          <w:ilvl w:val="0"/>
          <w:numId w:val="13"/>
        </w:numPr>
        <w:ind w:left="360"/>
      </w:pPr>
      <w:r w:rsidRPr="00B10AEA">
        <w:t>Maintain near-universal coverage including updates to eligibility policies to support</w:t>
      </w:r>
      <w:r>
        <w:t xml:space="preserve"> </w:t>
      </w:r>
      <w:r w:rsidRPr="00B10AEA">
        <w:t>coverage and equity</w:t>
      </w:r>
    </w:p>
    <w:p w14:paraId="0555E577" w14:textId="77777777" w:rsidR="00B10AEA" w:rsidRDefault="00B10AEA" w:rsidP="00B10AEA">
      <w:pPr>
        <w:spacing w:after="120"/>
        <w:rPr>
          <w:rFonts w:ascii="Times New Roman" w:hAnsi="Times New Roman" w:cs="Times New Roman"/>
        </w:rPr>
      </w:pPr>
      <w:r w:rsidRPr="00B10AEA">
        <w:rPr>
          <w:rFonts w:ascii="Times New Roman" w:hAnsi="Times New Roman" w:cs="Times New Roman"/>
        </w:rPr>
        <w:t>The 1115 demonstration authorizes updates to eligibility policies that will maintain and strengthen near-universal coverage and advance equity</w:t>
      </w:r>
      <w:r>
        <w:rPr>
          <w:rFonts w:ascii="Times New Roman" w:hAnsi="Times New Roman" w:cs="Times New Roman"/>
        </w:rPr>
        <w:t>.</w:t>
      </w:r>
    </w:p>
    <w:p w14:paraId="6D44ADB3" w14:textId="77777777" w:rsidR="00B10AEA" w:rsidRPr="00B10AEA" w:rsidRDefault="00B10AEA" w:rsidP="00B10AEA">
      <w:pPr>
        <w:numPr>
          <w:ilvl w:val="0"/>
          <w:numId w:val="20"/>
        </w:numPr>
        <w:spacing w:after="120"/>
        <w:rPr>
          <w:rFonts w:ascii="Times New Roman" w:hAnsi="Times New Roman" w:cs="Times New Roman"/>
        </w:rPr>
      </w:pPr>
      <w:r w:rsidRPr="00B10AEA">
        <w:rPr>
          <w:rFonts w:ascii="Times New Roman" w:hAnsi="Times New Roman" w:cs="Times New Roman"/>
          <w:b/>
          <w:bCs/>
          <w:color w:val="2F5496" w:themeColor="accent1" w:themeShade="BF"/>
        </w:rPr>
        <w:t>Maintain current coverage expansions</w:t>
      </w:r>
      <w:r w:rsidRPr="00B10AEA">
        <w:rPr>
          <w:rFonts w:ascii="Times New Roman" w:hAnsi="Times New Roman" w:cs="Times New Roman"/>
        </w:rPr>
        <w:t>, including state insurance subsidies for the Health Connector for individuals with income up to 300% of FPL (</w:t>
      </w:r>
      <w:proofErr w:type="spellStart"/>
      <w:r w:rsidRPr="00B10AEA">
        <w:rPr>
          <w:rFonts w:ascii="Times New Roman" w:hAnsi="Times New Roman" w:cs="Times New Roman"/>
          <w:b/>
          <w:bCs/>
          <w:color w:val="2F5496" w:themeColor="accent1" w:themeShade="BF"/>
        </w:rPr>
        <w:t>ConnectorCare</w:t>
      </w:r>
      <w:proofErr w:type="spellEnd"/>
      <w:r w:rsidRPr="00B10AEA">
        <w:rPr>
          <w:rFonts w:ascii="Times New Roman" w:hAnsi="Times New Roman" w:cs="Times New Roman"/>
        </w:rPr>
        <w:t xml:space="preserve"> program) </w:t>
      </w:r>
    </w:p>
    <w:p w14:paraId="7EC8AA0E" w14:textId="77777777" w:rsidR="00B10AEA" w:rsidRPr="00B10AEA" w:rsidRDefault="00B10AEA" w:rsidP="00B10AEA">
      <w:pPr>
        <w:numPr>
          <w:ilvl w:val="0"/>
          <w:numId w:val="20"/>
        </w:numPr>
        <w:spacing w:after="120"/>
        <w:rPr>
          <w:rFonts w:ascii="Times New Roman" w:hAnsi="Times New Roman" w:cs="Times New Roman"/>
        </w:rPr>
      </w:pPr>
      <w:r w:rsidRPr="00B10AEA">
        <w:rPr>
          <w:rFonts w:ascii="Times New Roman" w:hAnsi="Times New Roman" w:cs="Times New Roman"/>
        </w:rPr>
        <w:t>Make targeted updates that expand eligibility to maintain near-universal coverage and advance equity, including:</w:t>
      </w:r>
    </w:p>
    <w:p w14:paraId="7330C901" w14:textId="77777777" w:rsidR="00B10AEA" w:rsidRPr="00B10AEA" w:rsidRDefault="00B10AEA" w:rsidP="00B10AEA">
      <w:pPr>
        <w:numPr>
          <w:ilvl w:val="1"/>
          <w:numId w:val="21"/>
        </w:numPr>
        <w:spacing w:after="120"/>
        <w:rPr>
          <w:rFonts w:ascii="Times New Roman" w:hAnsi="Times New Roman" w:cs="Times New Roman"/>
        </w:rPr>
      </w:pPr>
      <w:r w:rsidRPr="00B10AEA">
        <w:rPr>
          <w:rFonts w:ascii="Times New Roman" w:hAnsi="Times New Roman" w:cs="Times New Roman"/>
          <w:b/>
          <w:bCs/>
          <w:color w:val="2F5496" w:themeColor="accent1" w:themeShade="BF"/>
        </w:rPr>
        <w:t>Streamlining access to CommonHealth</w:t>
      </w:r>
      <w:r w:rsidRPr="00B10AEA">
        <w:rPr>
          <w:rFonts w:ascii="Times New Roman" w:hAnsi="Times New Roman" w:cs="Times New Roman"/>
          <w:b/>
          <w:bCs/>
        </w:rPr>
        <w:t xml:space="preserve"> </w:t>
      </w:r>
      <w:r w:rsidRPr="00B10AEA">
        <w:rPr>
          <w:rFonts w:ascii="Times New Roman" w:hAnsi="Times New Roman" w:cs="Times New Roman"/>
        </w:rPr>
        <w:t>to cover all disabled adults under age 65 with sliding scale premiums, without a spend-down, and to cover long-time CommonHealth members over age 65 when they retire</w:t>
      </w:r>
    </w:p>
    <w:p w14:paraId="319C1730" w14:textId="77777777" w:rsidR="00B10AEA" w:rsidRPr="00B10AEA" w:rsidRDefault="00B10AEA" w:rsidP="00B10AEA">
      <w:pPr>
        <w:numPr>
          <w:ilvl w:val="1"/>
          <w:numId w:val="21"/>
        </w:numPr>
        <w:spacing w:after="120"/>
        <w:rPr>
          <w:rFonts w:ascii="Times New Roman" w:hAnsi="Times New Roman" w:cs="Times New Roman"/>
        </w:rPr>
      </w:pPr>
      <w:r w:rsidRPr="00B10AEA">
        <w:rPr>
          <w:rFonts w:ascii="Times New Roman" w:hAnsi="Times New Roman" w:cs="Times New Roman"/>
          <w:b/>
          <w:bCs/>
          <w:color w:val="2F5496" w:themeColor="accent1" w:themeShade="BF"/>
        </w:rPr>
        <w:t>Extending retroactive eligibility to 3 months for pregnant individuals and children</w:t>
      </w:r>
      <w:r w:rsidRPr="00B10AEA">
        <w:rPr>
          <w:rFonts w:ascii="Times New Roman" w:hAnsi="Times New Roman" w:cs="Times New Roman"/>
        </w:rPr>
        <w:t>, consistent with federal rules without a waiver </w:t>
      </w:r>
    </w:p>
    <w:p w14:paraId="4C324E99" w14:textId="77777777" w:rsidR="00B10AEA" w:rsidRPr="00B10AEA" w:rsidRDefault="00B10AEA" w:rsidP="00B10AEA">
      <w:pPr>
        <w:numPr>
          <w:ilvl w:val="1"/>
          <w:numId w:val="21"/>
        </w:numPr>
        <w:spacing w:after="120"/>
        <w:rPr>
          <w:rFonts w:ascii="Times New Roman" w:hAnsi="Times New Roman" w:cs="Times New Roman"/>
        </w:rPr>
      </w:pPr>
      <w:r w:rsidRPr="00B10AEA">
        <w:rPr>
          <w:rFonts w:ascii="Times New Roman" w:hAnsi="Times New Roman" w:cs="Times New Roman"/>
        </w:rPr>
        <w:lastRenderedPageBreak/>
        <w:t xml:space="preserve">Providing </w:t>
      </w:r>
      <w:r w:rsidRPr="00B10AEA">
        <w:rPr>
          <w:rFonts w:ascii="Times New Roman" w:hAnsi="Times New Roman" w:cs="Times New Roman"/>
          <w:b/>
          <w:bCs/>
          <w:color w:val="2F5496" w:themeColor="accent1" w:themeShade="BF"/>
        </w:rPr>
        <w:t>continuous eligibility for members who are homeless (24 months) or justice-involved (12 months)</w:t>
      </w:r>
    </w:p>
    <w:p w14:paraId="40FE2C55" w14:textId="77777777" w:rsidR="00B10AEA" w:rsidRPr="00B10AEA" w:rsidRDefault="00B10AEA" w:rsidP="00B10AEA">
      <w:pPr>
        <w:numPr>
          <w:ilvl w:val="1"/>
          <w:numId w:val="21"/>
        </w:numPr>
        <w:spacing w:after="120"/>
        <w:rPr>
          <w:rFonts w:ascii="Times New Roman" w:hAnsi="Times New Roman" w:cs="Times New Roman"/>
        </w:rPr>
      </w:pPr>
      <w:r w:rsidRPr="00B10AEA">
        <w:rPr>
          <w:rFonts w:ascii="Times New Roman" w:hAnsi="Times New Roman" w:cs="Times New Roman"/>
          <w:b/>
          <w:bCs/>
          <w:color w:val="2F5496" w:themeColor="accent1" w:themeShade="BF"/>
        </w:rPr>
        <w:t>Expanding access to Medicare Savings Programs</w:t>
      </w:r>
      <w:r w:rsidRPr="00B10AEA">
        <w:rPr>
          <w:rFonts w:ascii="Times New Roman" w:hAnsi="Times New Roman" w:cs="Times New Roman"/>
          <w:b/>
          <w:bCs/>
        </w:rPr>
        <w:t xml:space="preserve"> </w:t>
      </w:r>
      <w:r w:rsidRPr="00B10AEA">
        <w:rPr>
          <w:rFonts w:ascii="Times New Roman" w:hAnsi="Times New Roman" w:cs="Times New Roman"/>
        </w:rPr>
        <w:t xml:space="preserve">for members with MassHealth Standard, consistent with state law expansions </w:t>
      </w:r>
    </w:p>
    <w:p w14:paraId="11DDFFB9" w14:textId="799C17C2" w:rsidR="00612330" w:rsidRDefault="00B10AEA" w:rsidP="00612330">
      <w:pPr>
        <w:rPr>
          <w:rFonts w:ascii="Times New Roman" w:hAnsi="Times New Roman" w:cs="Times New Roman"/>
        </w:rPr>
      </w:pPr>
      <w:r w:rsidRPr="00B10AEA">
        <w:rPr>
          <w:rFonts w:ascii="Times New Roman" w:hAnsi="Times New Roman" w:cs="Times New Roman"/>
        </w:rPr>
        <w:t xml:space="preserve"> </w:t>
      </w:r>
    </w:p>
    <w:p w14:paraId="3217B9CE" w14:textId="744860B7" w:rsidR="00B10AEA" w:rsidRDefault="00B10AEA" w:rsidP="00B10AEA">
      <w:pPr>
        <w:pStyle w:val="Heading4"/>
      </w:pPr>
      <w:r w:rsidRPr="00B10AEA">
        <w:t>Massachusetts 1115 Next Steps</w:t>
      </w:r>
    </w:p>
    <w:p w14:paraId="3C0E8047" w14:textId="77777777" w:rsidR="00B10AEA" w:rsidRPr="00B10AEA" w:rsidRDefault="00B10AEA" w:rsidP="00B10AEA">
      <w:pPr>
        <w:rPr>
          <w:rFonts w:ascii="Times New Roman" w:hAnsi="Times New Roman" w:cs="Times New Roman"/>
        </w:rPr>
      </w:pPr>
      <w:r w:rsidRPr="00B10AEA">
        <w:rPr>
          <w:rFonts w:ascii="Times New Roman" w:hAnsi="Times New Roman" w:cs="Times New Roman"/>
          <w:b/>
          <w:bCs/>
        </w:rPr>
        <w:t>Fall 2022:</w:t>
      </w:r>
      <w:r w:rsidRPr="00B10AEA">
        <w:rPr>
          <w:rFonts w:ascii="Times New Roman" w:hAnsi="Times New Roman" w:cs="Times New Roman"/>
        </w:rPr>
        <w:t xml:space="preserve"> MassHealth will complete the ACO and Community Partner programs re-procurement </w:t>
      </w:r>
    </w:p>
    <w:p w14:paraId="135C09A0" w14:textId="77777777" w:rsidR="00B10AEA" w:rsidRPr="00B10AEA" w:rsidRDefault="00B10AEA" w:rsidP="00B10AEA">
      <w:pPr>
        <w:rPr>
          <w:rFonts w:ascii="Times New Roman" w:hAnsi="Times New Roman" w:cs="Times New Roman"/>
        </w:rPr>
      </w:pPr>
    </w:p>
    <w:p w14:paraId="4CE9ECD5" w14:textId="77777777" w:rsidR="00B10AEA" w:rsidRPr="00B10AEA" w:rsidRDefault="00B10AEA" w:rsidP="00B10AEA">
      <w:pPr>
        <w:rPr>
          <w:rFonts w:ascii="Times New Roman" w:hAnsi="Times New Roman" w:cs="Times New Roman"/>
          <w:b/>
          <w:bCs/>
        </w:rPr>
      </w:pPr>
      <w:r w:rsidRPr="00B10AEA">
        <w:rPr>
          <w:rFonts w:ascii="Times New Roman" w:hAnsi="Times New Roman" w:cs="Times New Roman"/>
          <w:b/>
          <w:bCs/>
        </w:rPr>
        <w:t xml:space="preserve">January 2023: </w:t>
      </w:r>
    </w:p>
    <w:p w14:paraId="452F7993" w14:textId="77777777" w:rsidR="00B10AEA" w:rsidRPr="00B10AEA" w:rsidRDefault="00B10AEA" w:rsidP="0062656C">
      <w:pPr>
        <w:numPr>
          <w:ilvl w:val="0"/>
          <w:numId w:val="23"/>
        </w:numPr>
        <w:rPr>
          <w:rFonts w:ascii="Times New Roman" w:hAnsi="Times New Roman" w:cs="Times New Roman"/>
        </w:rPr>
      </w:pPr>
      <w:r w:rsidRPr="00B10AEA">
        <w:rPr>
          <w:rFonts w:ascii="Times New Roman" w:hAnsi="Times New Roman" w:cs="Times New Roman"/>
        </w:rPr>
        <w:t>Certain diversionary behavioral health services, including IOP and SOAP, expand to the MassHealth fee-for-service population</w:t>
      </w:r>
    </w:p>
    <w:p w14:paraId="4957E035" w14:textId="77777777" w:rsidR="00B10AEA" w:rsidRPr="00B10AEA" w:rsidRDefault="00B10AEA" w:rsidP="0062656C">
      <w:pPr>
        <w:numPr>
          <w:ilvl w:val="0"/>
          <w:numId w:val="23"/>
        </w:numPr>
        <w:rPr>
          <w:rFonts w:ascii="Times New Roman" w:hAnsi="Times New Roman" w:cs="Times New Roman"/>
        </w:rPr>
      </w:pPr>
      <w:r w:rsidRPr="00B10AEA">
        <w:rPr>
          <w:rFonts w:ascii="Times New Roman" w:hAnsi="Times New Roman" w:cs="Times New Roman"/>
        </w:rPr>
        <w:t>CommonHealth and retroactive eligibility updates take effect</w:t>
      </w:r>
      <w:r w:rsidRPr="00B10AEA">
        <w:rPr>
          <w:rFonts w:ascii="Times New Roman" w:hAnsi="Times New Roman" w:cs="Times New Roman"/>
        </w:rPr>
        <w:br/>
      </w:r>
    </w:p>
    <w:p w14:paraId="4B4128FF" w14:textId="77777777" w:rsidR="00B10AEA" w:rsidRPr="00B10AEA" w:rsidRDefault="00B10AEA" w:rsidP="00B10AEA">
      <w:pPr>
        <w:rPr>
          <w:rFonts w:ascii="Times New Roman" w:hAnsi="Times New Roman" w:cs="Times New Roman"/>
          <w:b/>
          <w:bCs/>
        </w:rPr>
      </w:pPr>
      <w:r w:rsidRPr="00B10AEA">
        <w:rPr>
          <w:rFonts w:ascii="Times New Roman" w:hAnsi="Times New Roman" w:cs="Times New Roman"/>
          <w:b/>
          <w:bCs/>
        </w:rPr>
        <w:t xml:space="preserve">April 2023: </w:t>
      </w:r>
    </w:p>
    <w:p w14:paraId="1DCE8D04" w14:textId="77777777" w:rsidR="00B10AEA" w:rsidRPr="00B10AEA" w:rsidRDefault="00B10AEA" w:rsidP="0062656C">
      <w:pPr>
        <w:numPr>
          <w:ilvl w:val="0"/>
          <w:numId w:val="24"/>
        </w:numPr>
        <w:rPr>
          <w:rFonts w:ascii="Times New Roman" w:hAnsi="Times New Roman" w:cs="Times New Roman"/>
        </w:rPr>
      </w:pPr>
      <w:r w:rsidRPr="00B10AEA">
        <w:rPr>
          <w:rFonts w:ascii="Times New Roman" w:hAnsi="Times New Roman" w:cs="Times New Roman"/>
        </w:rPr>
        <w:t>New ACO and CP programs launch</w:t>
      </w:r>
    </w:p>
    <w:p w14:paraId="180485C8" w14:textId="77777777" w:rsidR="00B10AEA" w:rsidRPr="00B10AEA" w:rsidRDefault="00B10AEA" w:rsidP="0062656C">
      <w:pPr>
        <w:numPr>
          <w:ilvl w:val="0"/>
          <w:numId w:val="24"/>
        </w:numPr>
        <w:rPr>
          <w:rFonts w:ascii="Times New Roman" w:hAnsi="Times New Roman" w:cs="Times New Roman"/>
        </w:rPr>
      </w:pPr>
      <w:r w:rsidRPr="00B10AEA">
        <w:rPr>
          <w:rFonts w:ascii="Times New Roman" w:hAnsi="Times New Roman" w:cs="Times New Roman"/>
        </w:rPr>
        <w:t>CSP and CSP-JI expand to the MassHealth fee-for-service population</w:t>
      </w:r>
    </w:p>
    <w:p w14:paraId="008D0D65" w14:textId="77777777" w:rsidR="00B10AEA" w:rsidRPr="00B10AEA" w:rsidRDefault="00B10AEA" w:rsidP="0062656C">
      <w:pPr>
        <w:numPr>
          <w:ilvl w:val="0"/>
          <w:numId w:val="24"/>
        </w:numPr>
        <w:rPr>
          <w:rFonts w:ascii="Times New Roman" w:hAnsi="Times New Roman" w:cs="Times New Roman"/>
        </w:rPr>
      </w:pPr>
      <w:r w:rsidRPr="00B10AEA">
        <w:rPr>
          <w:rFonts w:ascii="Times New Roman" w:hAnsi="Times New Roman" w:cs="Times New Roman"/>
        </w:rPr>
        <w:t>New specialized CSP programs for individuals experiencing or at-risk for homelessness launch</w:t>
      </w:r>
    </w:p>
    <w:p w14:paraId="3E4796F6" w14:textId="77777777" w:rsidR="00B10AEA" w:rsidRPr="00B10AEA" w:rsidRDefault="00B10AEA" w:rsidP="00B10AEA">
      <w:pPr>
        <w:rPr>
          <w:rFonts w:ascii="Times New Roman" w:hAnsi="Times New Roman" w:cs="Times New Roman"/>
        </w:rPr>
      </w:pPr>
    </w:p>
    <w:p w14:paraId="5B7728D8" w14:textId="77777777" w:rsidR="00B10AEA" w:rsidRPr="00B10AEA" w:rsidRDefault="00B10AEA" w:rsidP="00B10AEA">
      <w:pPr>
        <w:rPr>
          <w:rFonts w:ascii="Times New Roman" w:hAnsi="Times New Roman" w:cs="Times New Roman"/>
          <w:b/>
          <w:bCs/>
        </w:rPr>
      </w:pPr>
      <w:r w:rsidRPr="00B10AEA">
        <w:rPr>
          <w:rFonts w:ascii="Times New Roman" w:hAnsi="Times New Roman" w:cs="Times New Roman"/>
          <w:b/>
          <w:bCs/>
        </w:rPr>
        <w:t>Throughout 2022 – 2023: </w:t>
      </w:r>
    </w:p>
    <w:p w14:paraId="0566C4BC" w14:textId="77777777" w:rsidR="00B10AEA" w:rsidRPr="00B10AEA" w:rsidRDefault="00B10AEA" w:rsidP="0062656C">
      <w:pPr>
        <w:numPr>
          <w:ilvl w:val="0"/>
          <w:numId w:val="25"/>
        </w:numPr>
        <w:rPr>
          <w:rFonts w:ascii="Times New Roman" w:hAnsi="Times New Roman" w:cs="Times New Roman"/>
        </w:rPr>
      </w:pPr>
      <w:r w:rsidRPr="00B10AEA">
        <w:rPr>
          <w:rFonts w:ascii="Times New Roman" w:hAnsi="Times New Roman" w:cs="Times New Roman"/>
        </w:rPr>
        <w:t>MassHealth continues to work closely with CMS on the development of Implementation Plans to advance the 1115 goals of quality and equitable care, continuous coverage, and health-related social needs. MassHealth will in parallel develop plans to monitor and evaluate progress towards key milestones that reflect overall waiver goals</w:t>
      </w:r>
    </w:p>
    <w:p w14:paraId="17B33469" w14:textId="529600BD" w:rsidR="00B10AEA" w:rsidRPr="00B10AEA" w:rsidRDefault="00B10AEA" w:rsidP="0062656C">
      <w:pPr>
        <w:numPr>
          <w:ilvl w:val="0"/>
          <w:numId w:val="25"/>
        </w:numPr>
        <w:rPr>
          <w:rFonts w:ascii="Times New Roman" w:hAnsi="Times New Roman" w:cs="Times New Roman"/>
        </w:rPr>
      </w:pPr>
      <w:r w:rsidRPr="00B10AEA">
        <w:rPr>
          <w:rFonts w:ascii="Times New Roman" w:hAnsi="Times New Roman" w:cs="Times New Roman"/>
        </w:rPr>
        <w:t>Continued opportunities for stakeholder input on 1115 implementation via public meetings and parallel engagements</w:t>
      </w:r>
    </w:p>
    <w:sectPr w:rsidR="00B10AEA" w:rsidRPr="00B10AEA" w:rsidSect="00A70935">
      <w:footerReference w:type="even" r:id="rId13"/>
      <w:footerReference w:type="default" r:id="rId14"/>
      <w:footerReference w:type="first" r:id="rId15"/>
      <w:pgSz w:w="12240" w:h="15840" w:code="1"/>
      <w:pgMar w:top="720" w:right="1080" w:bottom="81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C6CA4" w14:textId="77777777" w:rsidR="004F26BC" w:rsidRDefault="004F26BC">
      <w:r>
        <w:separator/>
      </w:r>
    </w:p>
  </w:endnote>
  <w:endnote w:type="continuationSeparator" w:id="0">
    <w:p w14:paraId="0ADB63C2" w14:textId="77777777" w:rsidR="004F26BC" w:rsidRDefault="004F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69EB"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D1CBC"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F5873"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F740C7">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0CB0F5B8"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F0CE" w14:textId="0C030118" w:rsidR="001B3F94" w:rsidRDefault="008107FB">
    <w:pPr>
      <w:pStyle w:val="Footer"/>
    </w:pPr>
    <w:r>
      <w:rPr>
        <w:noProof/>
      </w:rPr>
      <w:drawing>
        <wp:inline distT="0" distB="0" distL="0" distR="0" wp14:anchorId="27C90D0E" wp14:editId="29A726B8">
          <wp:extent cx="180975" cy="180975"/>
          <wp:effectExtent l="0" t="0" r="0" b="0"/>
          <wp:docPr id="1" name="Picture 1" descr="Recyc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cycl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9DE91" w14:textId="77777777" w:rsidR="004F26BC" w:rsidRDefault="004F26BC">
      <w:r>
        <w:separator/>
      </w:r>
    </w:p>
  </w:footnote>
  <w:footnote w:type="continuationSeparator" w:id="0">
    <w:p w14:paraId="409D60E8" w14:textId="77777777" w:rsidR="004F26BC" w:rsidRDefault="004F26BC">
      <w:r>
        <w:continuationSeparator/>
      </w:r>
    </w:p>
  </w:footnote>
  <w:footnote w:id="1">
    <w:p w14:paraId="1884FC89" w14:textId="58AD4B8B" w:rsidR="004D3CEB" w:rsidRDefault="004D3CEB">
      <w:pPr>
        <w:pStyle w:val="FootnoteText"/>
      </w:pPr>
      <w:r>
        <w:rPr>
          <w:rStyle w:val="FootnoteReference"/>
        </w:rPr>
        <w:footnoteRef/>
      </w:r>
      <w:r>
        <w:t xml:space="preserve"> </w:t>
      </w:r>
      <w:r w:rsidRPr="004D3CEB">
        <w:t>SMI/SED = Serious Mental Illness; Serious Emotional Disturbance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3F2E"/>
    <w:multiLevelType w:val="hybridMultilevel"/>
    <w:tmpl w:val="18467688"/>
    <w:lvl w:ilvl="0" w:tplc="C666AA9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F0B6E"/>
    <w:multiLevelType w:val="hybridMultilevel"/>
    <w:tmpl w:val="7EC2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A0388"/>
    <w:multiLevelType w:val="hybridMultilevel"/>
    <w:tmpl w:val="B0FC3082"/>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D4A9E"/>
    <w:multiLevelType w:val="hybridMultilevel"/>
    <w:tmpl w:val="99C00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647C13"/>
    <w:multiLevelType w:val="hybridMultilevel"/>
    <w:tmpl w:val="64629EF2"/>
    <w:lvl w:ilvl="0" w:tplc="27C28C8E">
      <w:start w:val="1"/>
      <w:numFmt w:val="bullet"/>
      <w:lvlText w:val=""/>
      <w:lvlJc w:val="left"/>
      <w:pPr>
        <w:tabs>
          <w:tab w:val="num" w:pos="720"/>
        </w:tabs>
        <w:ind w:left="720" w:hanging="360"/>
      </w:pPr>
      <w:rPr>
        <w:rFonts w:ascii="Wingdings" w:hAnsi="Wingdings" w:hint="default"/>
      </w:rPr>
    </w:lvl>
    <w:lvl w:ilvl="1" w:tplc="C2166FB8" w:tentative="1">
      <w:start w:val="1"/>
      <w:numFmt w:val="bullet"/>
      <w:lvlText w:val=""/>
      <w:lvlJc w:val="left"/>
      <w:pPr>
        <w:tabs>
          <w:tab w:val="num" w:pos="1440"/>
        </w:tabs>
        <w:ind w:left="1440" w:hanging="360"/>
      </w:pPr>
      <w:rPr>
        <w:rFonts w:ascii="Wingdings" w:hAnsi="Wingdings" w:hint="default"/>
      </w:rPr>
    </w:lvl>
    <w:lvl w:ilvl="2" w:tplc="883624B2" w:tentative="1">
      <w:start w:val="1"/>
      <w:numFmt w:val="bullet"/>
      <w:lvlText w:val=""/>
      <w:lvlJc w:val="left"/>
      <w:pPr>
        <w:tabs>
          <w:tab w:val="num" w:pos="2160"/>
        </w:tabs>
        <w:ind w:left="2160" w:hanging="360"/>
      </w:pPr>
      <w:rPr>
        <w:rFonts w:ascii="Wingdings" w:hAnsi="Wingdings" w:hint="default"/>
      </w:rPr>
    </w:lvl>
    <w:lvl w:ilvl="3" w:tplc="3BACBC14" w:tentative="1">
      <w:start w:val="1"/>
      <w:numFmt w:val="bullet"/>
      <w:lvlText w:val=""/>
      <w:lvlJc w:val="left"/>
      <w:pPr>
        <w:tabs>
          <w:tab w:val="num" w:pos="2880"/>
        </w:tabs>
        <w:ind w:left="2880" w:hanging="360"/>
      </w:pPr>
      <w:rPr>
        <w:rFonts w:ascii="Wingdings" w:hAnsi="Wingdings" w:hint="default"/>
      </w:rPr>
    </w:lvl>
    <w:lvl w:ilvl="4" w:tplc="C6486B84" w:tentative="1">
      <w:start w:val="1"/>
      <w:numFmt w:val="bullet"/>
      <w:lvlText w:val=""/>
      <w:lvlJc w:val="left"/>
      <w:pPr>
        <w:tabs>
          <w:tab w:val="num" w:pos="3600"/>
        </w:tabs>
        <w:ind w:left="3600" w:hanging="360"/>
      </w:pPr>
      <w:rPr>
        <w:rFonts w:ascii="Wingdings" w:hAnsi="Wingdings" w:hint="default"/>
      </w:rPr>
    </w:lvl>
    <w:lvl w:ilvl="5" w:tplc="2348D5F2" w:tentative="1">
      <w:start w:val="1"/>
      <w:numFmt w:val="bullet"/>
      <w:lvlText w:val=""/>
      <w:lvlJc w:val="left"/>
      <w:pPr>
        <w:tabs>
          <w:tab w:val="num" w:pos="4320"/>
        </w:tabs>
        <w:ind w:left="4320" w:hanging="360"/>
      </w:pPr>
      <w:rPr>
        <w:rFonts w:ascii="Wingdings" w:hAnsi="Wingdings" w:hint="default"/>
      </w:rPr>
    </w:lvl>
    <w:lvl w:ilvl="6" w:tplc="671040AA" w:tentative="1">
      <w:start w:val="1"/>
      <w:numFmt w:val="bullet"/>
      <w:lvlText w:val=""/>
      <w:lvlJc w:val="left"/>
      <w:pPr>
        <w:tabs>
          <w:tab w:val="num" w:pos="5040"/>
        </w:tabs>
        <w:ind w:left="5040" w:hanging="360"/>
      </w:pPr>
      <w:rPr>
        <w:rFonts w:ascii="Wingdings" w:hAnsi="Wingdings" w:hint="default"/>
      </w:rPr>
    </w:lvl>
    <w:lvl w:ilvl="7" w:tplc="293060EE" w:tentative="1">
      <w:start w:val="1"/>
      <w:numFmt w:val="bullet"/>
      <w:lvlText w:val=""/>
      <w:lvlJc w:val="left"/>
      <w:pPr>
        <w:tabs>
          <w:tab w:val="num" w:pos="5760"/>
        </w:tabs>
        <w:ind w:left="5760" w:hanging="360"/>
      </w:pPr>
      <w:rPr>
        <w:rFonts w:ascii="Wingdings" w:hAnsi="Wingdings" w:hint="default"/>
      </w:rPr>
    </w:lvl>
    <w:lvl w:ilvl="8" w:tplc="0790757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9E14E8"/>
    <w:multiLevelType w:val="hybridMultilevel"/>
    <w:tmpl w:val="9436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27BFA"/>
    <w:multiLevelType w:val="hybridMultilevel"/>
    <w:tmpl w:val="602034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DE3DAD"/>
    <w:multiLevelType w:val="hybridMultilevel"/>
    <w:tmpl w:val="945AC756"/>
    <w:lvl w:ilvl="0" w:tplc="C5062C08">
      <w:start w:val="1"/>
      <w:numFmt w:val="bullet"/>
      <w:lvlText w:val=""/>
      <w:lvlJc w:val="left"/>
      <w:pPr>
        <w:tabs>
          <w:tab w:val="num" w:pos="720"/>
        </w:tabs>
        <w:ind w:left="720" w:hanging="360"/>
      </w:pPr>
      <w:rPr>
        <w:rFonts w:ascii="Wingdings" w:hAnsi="Wingdings" w:hint="default"/>
      </w:rPr>
    </w:lvl>
    <w:lvl w:ilvl="1" w:tplc="9A4847E6" w:tentative="1">
      <w:start w:val="1"/>
      <w:numFmt w:val="bullet"/>
      <w:lvlText w:val=""/>
      <w:lvlJc w:val="left"/>
      <w:pPr>
        <w:tabs>
          <w:tab w:val="num" w:pos="1440"/>
        </w:tabs>
        <w:ind w:left="1440" w:hanging="360"/>
      </w:pPr>
      <w:rPr>
        <w:rFonts w:ascii="Wingdings" w:hAnsi="Wingdings" w:hint="default"/>
      </w:rPr>
    </w:lvl>
    <w:lvl w:ilvl="2" w:tplc="C54EECA4" w:tentative="1">
      <w:start w:val="1"/>
      <w:numFmt w:val="bullet"/>
      <w:lvlText w:val=""/>
      <w:lvlJc w:val="left"/>
      <w:pPr>
        <w:tabs>
          <w:tab w:val="num" w:pos="2160"/>
        </w:tabs>
        <w:ind w:left="2160" w:hanging="360"/>
      </w:pPr>
      <w:rPr>
        <w:rFonts w:ascii="Wingdings" w:hAnsi="Wingdings" w:hint="default"/>
      </w:rPr>
    </w:lvl>
    <w:lvl w:ilvl="3" w:tplc="147663F8" w:tentative="1">
      <w:start w:val="1"/>
      <w:numFmt w:val="bullet"/>
      <w:lvlText w:val=""/>
      <w:lvlJc w:val="left"/>
      <w:pPr>
        <w:tabs>
          <w:tab w:val="num" w:pos="2880"/>
        </w:tabs>
        <w:ind w:left="2880" w:hanging="360"/>
      </w:pPr>
      <w:rPr>
        <w:rFonts w:ascii="Wingdings" w:hAnsi="Wingdings" w:hint="default"/>
      </w:rPr>
    </w:lvl>
    <w:lvl w:ilvl="4" w:tplc="C04EF594" w:tentative="1">
      <w:start w:val="1"/>
      <w:numFmt w:val="bullet"/>
      <w:lvlText w:val=""/>
      <w:lvlJc w:val="left"/>
      <w:pPr>
        <w:tabs>
          <w:tab w:val="num" w:pos="3600"/>
        </w:tabs>
        <w:ind w:left="3600" w:hanging="360"/>
      </w:pPr>
      <w:rPr>
        <w:rFonts w:ascii="Wingdings" w:hAnsi="Wingdings" w:hint="default"/>
      </w:rPr>
    </w:lvl>
    <w:lvl w:ilvl="5" w:tplc="D188D7CC" w:tentative="1">
      <w:start w:val="1"/>
      <w:numFmt w:val="bullet"/>
      <w:lvlText w:val=""/>
      <w:lvlJc w:val="left"/>
      <w:pPr>
        <w:tabs>
          <w:tab w:val="num" w:pos="4320"/>
        </w:tabs>
        <w:ind w:left="4320" w:hanging="360"/>
      </w:pPr>
      <w:rPr>
        <w:rFonts w:ascii="Wingdings" w:hAnsi="Wingdings" w:hint="default"/>
      </w:rPr>
    </w:lvl>
    <w:lvl w:ilvl="6" w:tplc="691A7B38" w:tentative="1">
      <w:start w:val="1"/>
      <w:numFmt w:val="bullet"/>
      <w:lvlText w:val=""/>
      <w:lvlJc w:val="left"/>
      <w:pPr>
        <w:tabs>
          <w:tab w:val="num" w:pos="5040"/>
        </w:tabs>
        <w:ind w:left="5040" w:hanging="360"/>
      </w:pPr>
      <w:rPr>
        <w:rFonts w:ascii="Wingdings" w:hAnsi="Wingdings" w:hint="default"/>
      </w:rPr>
    </w:lvl>
    <w:lvl w:ilvl="7" w:tplc="87A446E6" w:tentative="1">
      <w:start w:val="1"/>
      <w:numFmt w:val="bullet"/>
      <w:lvlText w:val=""/>
      <w:lvlJc w:val="left"/>
      <w:pPr>
        <w:tabs>
          <w:tab w:val="num" w:pos="5760"/>
        </w:tabs>
        <w:ind w:left="5760" w:hanging="360"/>
      </w:pPr>
      <w:rPr>
        <w:rFonts w:ascii="Wingdings" w:hAnsi="Wingdings" w:hint="default"/>
      </w:rPr>
    </w:lvl>
    <w:lvl w:ilvl="8" w:tplc="4386E7E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A153A9"/>
    <w:multiLevelType w:val="hybridMultilevel"/>
    <w:tmpl w:val="6AC21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0F6A31"/>
    <w:multiLevelType w:val="hybridMultilevel"/>
    <w:tmpl w:val="D66A1E16"/>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D20152"/>
    <w:multiLevelType w:val="hybridMultilevel"/>
    <w:tmpl w:val="BB5657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16A2"/>
    <w:multiLevelType w:val="hybridMultilevel"/>
    <w:tmpl w:val="DD721C38"/>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56DF3"/>
    <w:multiLevelType w:val="hybridMultilevel"/>
    <w:tmpl w:val="917A84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A54A95"/>
    <w:multiLevelType w:val="hybridMultilevel"/>
    <w:tmpl w:val="0CF6B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D31387"/>
    <w:multiLevelType w:val="hybridMultilevel"/>
    <w:tmpl w:val="9AB494E4"/>
    <w:lvl w:ilvl="0" w:tplc="756E7632">
      <w:start w:val="1"/>
      <w:numFmt w:val="bullet"/>
      <w:lvlText w:val=""/>
      <w:lvlJc w:val="left"/>
      <w:pPr>
        <w:tabs>
          <w:tab w:val="num" w:pos="720"/>
        </w:tabs>
        <w:ind w:left="720" w:hanging="360"/>
      </w:pPr>
      <w:rPr>
        <w:rFonts w:ascii="Wingdings" w:hAnsi="Wingdings" w:hint="default"/>
      </w:rPr>
    </w:lvl>
    <w:lvl w:ilvl="1" w:tplc="D1507D82">
      <w:numFmt w:val="bullet"/>
      <w:lvlText w:val=""/>
      <w:lvlJc w:val="left"/>
      <w:pPr>
        <w:tabs>
          <w:tab w:val="num" w:pos="1440"/>
        </w:tabs>
        <w:ind w:left="1440" w:hanging="360"/>
      </w:pPr>
      <w:rPr>
        <w:rFonts w:ascii="Wingdings" w:hAnsi="Wingdings" w:hint="default"/>
      </w:rPr>
    </w:lvl>
    <w:lvl w:ilvl="2" w:tplc="5BFA1784" w:tentative="1">
      <w:start w:val="1"/>
      <w:numFmt w:val="bullet"/>
      <w:lvlText w:val=""/>
      <w:lvlJc w:val="left"/>
      <w:pPr>
        <w:tabs>
          <w:tab w:val="num" w:pos="2160"/>
        </w:tabs>
        <w:ind w:left="2160" w:hanging="360"/>
      </w:pPr>
      <w:rPr>
        <w:rFonts w:ascii="Wingdings" w:hAnsi="Wingdings" w:hint="default"/>
      </w:rPr>
    </w:lvl>
    <w:lvl w:ilvl="3" w:tplc="9D3A6406" w:tentative="1">
      <w:start w:val="1"/>
      <w:numFmt w:val="bullet"/>
      <w:lvlText w:val=""/>
      <w:lvlJc w:val="left"/>
      <w:pPr>
        <w:tabs>
          <w:tab w:val="num" w:pos="2880"/>
        </w:tabs>
        <w:ind w:left="2880" w:hanging="360"/>
      </w:pPr>
      <w:rPr>
        <w:rFonts w:ascii="Wingdings" w:hAnsi="Wingdings" w:hint="default"/>
      </w:rPr>
    </w:lvl>
    <w:lvl w:ilvl="4" w:tplc="9E0A928E" w:tentative="1">
      <w:start w:val="1"/>
      <w:numFmt w:val="bullet"/>
      <w:lvlText w:val=""/>
      <w:lvlJc w:val="left"/>
      <w:pPr>
        <w:tabs>
          <w:tab w:val="num" w:pos="3600"/>
        </w:tabs>
        <w:ind w:left="3600" w:hanging="360"/>
      </w:pPr>
      <w:rPr>
        <w:rFonts w:ascii="Wingdings" w:hAnsi="Wingdings" w:hint="default"/>
      </w:rPr>
    </w:lvl>
    <w:lvl w:ilvl="5" w:tplc="E0B2B1D4" w:tentative="1">
      <w:start w:val="1"/>
      <w:numFmt w:val="bullet"/>
      <w:lvlText w:val=""/>
      <w:lvlJc w:val="left"/>
      <w:pPr>
        <w:tabs>
          <w:tab w:val="num" w:pos="4320"/>
        </w:tabs>
        <w:ind w:left="4320" w:hanging="360"/>
      </w:pPr>
      <w:rPr>
        <w:rFonts w:ascii="Wingdings" w:hAnsi="Wingdings" w:hint="default"/>
      </w:rPr>
    </w:lvl>
    <w:lvl w:ilvl="6" w:tplc="92E4D8C0" w:tentative="1">
      <w:start w:val="1"/>
      <w:numFmt w:val="bullet"/>
      <w:lvlText w:val=""/>
      <w:lvlJc w:val="left"/>
      <w:pPr>
        <w:tabs>
          <w:tab w:val="num" w:pos="5040"/>
        </w:tabs>
        <w:ind w:left="5040" w:hanging="360"/>
      </w:pPr>
      <w:rPr>
        <w:rFonts w:ascii="Wingdings" w:hAnsi="Wingdings" w:hint="default"/>
      </w:rPr>
    </w:lvl>
    <w:lvl w:ilvl="7" w:tplc="DE921EA4" w:tentative="1">
      <w:start w:val="1"/>
      <w:numFmt w:val="bullet"/>
      <w:lvlText w:val=""/>
      <w:lvlJc w:val="left"/>
      <w:pPr>
        <w:tabs>
          <w:tab w:val="num" w:pos="5760"/>
        </w:tabs>
        <w:ind w:left="5760" w:hanging="360"/>
      </w:pPr>
      <w:rPr>
        <w:rFonts w:ascii="Wingdings" w:hAnsi="Wingdings" w:hint="default"/>
      </w:rPr>
    </w:lvl>
    <w:lvl w:ilvl="8" w:tplc="EEDE788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370420"/>
    <w:multiLevelType w:val="hybridMultilevel"/>
    <w:tmpl w:val="D77063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7704A8"/>
    <w:multiLevelType w:val="hybridMultilevel"/>
    <w:tmpl w:val="AD3A194E"/>
    <w:lvl w:ilvl="0" w:tplc="06C2A4CE">
      <w:start w:val="1"/>
      <w:numFmt w:val="bullet"/>
      <w:lvlText w:val=""/>
      <w:lvlJc w:val="left"/>
      <w:pPr>
        <w:tabs>
          <w:tab w:val="num" w:pos="720"/>
        </w:tabs>
        <w:ind w:left="720" w:hanging="360"/>
      </w:pPr>
      <w:rPr>
        <w:rFonts w:ascii="Wingdings" w:hAnsi="Wingdings" w:hint="default"/>
      </w:rPr>
    </w:lvl>
    <w:lvl w:ilvl="1" w:tplc="EA94C95A" w:tentative="1">
      <w:start w:val="1"/>
      <w:numFmt w:val="bullet"/>
      <w:lvlText w:val=""/>
      <w:lvlJc w:val="left"/>
      <w:pPr>
        <w:tabs>
          <w:tab w:val="num" w:pos="1440"/>
        </w:tabs>
        <w:ind w:left="1440" w:hanging="360"/>
      </w:pPr>
      <w:rPr>
        <w:rFonts w:ascii="Wingdings" w:hAnsi="Wingdings" w:hint="default"/>
      </w:rPr>
    </w:lvl>
    <w:lvl w:ilvl="2" w:tplc="2FA413C6" w:tentative="1">
      <w:start w:val="1"/>
      <w:numFmt w:val="bullet"/>
      <w:lvlText w:val=""/>
      <w:lvlJc w:val="left"/>
      <w:pPr>
        <w:tabs>
          <w:tab w:val="num" w:pos="2160"/>
        </w:tabs>
        <w:ind w:left="2160" w:hanging="360"/>
      </w:pPr>
      <w:rPr>
        <w:rFonts w:ascii="Wingdings" w:hAnsi="Wingdings" w:hint="default"/>
      </w:rPr>
    </w:lvl>
    <w:lvl w:ilvl="3" w:tplc="D11C957E" w:tentative="1">
      <w:start w:val="1"/>
      <w:numFmt w:val="bullet"/>
      <w:lvlText w:val=""/>
      <w:lvlJc w:val="left"/>
      <w:pPr>
        <w:tabs>
          <w:tab w:val="num" w:pos="2880"/>
        </w:tabs>
        <w:ind w:left="2880" w:hanging="360"/>
      </w:pPr>
      <w:rPr>
        <w:rFonts w:ascii="Wingdings" w:hAnsi="Wingdings" w:hint="default"/>
      </w:rPr>
    </w:lvl>
    <w:lvl w:ilvl="4" w:tplc="71924CDE" w:tentative="1">
      <w:start w:val="1"/>
      <w:numFmt w:val="bullet"/>
      <w:lvlText w:val=""/>
      <w:lvlJc w:val="left"/>
      <w:pPr>
        <w:tabs>
          <w:tab w:val="num" w:pos="3600"/>
        </w:tabs>
        <w:ind w:left="3600" w:hanging="360"/>
      </w:pPr>
      <w:rPr>
        <w:rFonts w:ascii="Wingdings" w:hAnsi="Wingdings" w:hint="default"/>
      </w:rPr>
    </w:lvl>
    <w:lvl w:ilvl="5" w:tplc="6EDEA200" w:tentative="1">
      <w:start w:val="1"/>
      <w:numFmt w:val="bullet"/>
      <w:lvlText w:val=""/>
      <w:lvlJc w:val="left"/>
      <w:pPr>
        <w:tabs>
          <w:tab w:val="num" w:pos="4320"/>
        </w:tabs>
        <w:ind w:left="4320" w:hanging="360"/>
      </w:pPr>
      <w:rPr>
        <w:rFonts w:ascii="Wingdings" w:hAnsi="Wingdings" w:hint="default"/>
      </w:rPr>
    </w:lvl>
    <w:lvl w:ilvl="6" w:tplc="49EC6684" w:tentative="1">
      <w:start w:val="1"/>
      <w:numFmt w:val="bullet"/>
      <w:lvlText w:val=""/>
      <w:lvlJc w:val="left"/>
      <w:pPr>
        <w:tabs>
          <w:tab w:val="num" w:pos="5040"/>
        </w:tabs>
        <w:ind w:left="5040" w:hanging="360"/>
      </w:pPr>
      <w:rPr>
        <w:rFonts w:ascii="Wingdings" w:hAnsi="Wingdings" w:hint="default"/>
      </w:rPr>
    </w:lvl>
    <w:lvl w:ilvl="7" w:tplc="6DCA5EBA" w:tentative="1">
      <w:start w:val="1"/>
      <w:numFmt w:val="bullet"/>
      <w:lvlText w:val=""/>
      <w:lvlJc w:val="left"/>
      <w:pPr>
        <w:tabs>
          <w:tab w:val="num" w:pos="5760"/>
        </w:tabs>
        <w:ind w:left="5760" w:hanging="360"/>
      </w:pPr>
      <w:rPr>
        <w:rFonts w:ascii="Wingdings" w:hAnsi="Wingdings" w:hint="default"/>
      </w:rPr>
    </w:lvl>
    <w:lvl w:ilvl="8" w:tplc="87B8055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C309C0"/>
    <w:multiLevelType w:val="hybridMultilevel"/>
    <w:tmpl w:val="5D1C5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4138AA"/>
    <w:multiLevelType w:val="hybridMultilevel"/>
    <w:tmpl w:val="43BE57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E765701"/>
    <w:multiLevelType w:val="hybridMultilevel"/>
    <w:tmpl w:val="F5CAE18C"/>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59285834">
    <w:abstractNumId w:val="23"/>
  </w:num>
  <w:num w:numId="2" w16cid:durableId="55856737">
    <w:abstractNumId w:val="4"/>
  </w:num>
  <w:num w:numId="3" w16cid:durableId="619528962">
    <w:abstractNumId w:val="10"/>
  </w:num>
  <w:num w:numId="4" w16cid:durableId="1938245189">
    <w:abstractNumId w:val="11"/>
  </w:num>
  <w:num w:numId="5" w16cid:durableId="378628523">
    <w:abstractNumId w:val="16"/>
  </w:num>
  <w:num w:numId="6" w16cid:durableId="94715493">
    <w:abstractNumId w:val="3"/>
  </w:num>
  <w:num w:numId="7" w16cid:durableId="1215967205">
    <w:abstractNumId w:val="6"/>
  </w:num>
  <w:num w:numId="8" w16cid:durableId="1550456331">
    <w:abstractNumId w:val="19"/>
  </w:num>
  <w:num w:numId="9" w16cid:durableId="1162349813">
    <w:abstractNumId w:val="18"/>
  </w:num>
  <w:num w:numId="10" w16cid:durableId="2122912374">
    <w:abstractNumId w:val="17"/>
  </w:num>
  <w:num w:numId="11" w16cid:durableId="1323200420">
    <w:abstractNumId w:val="7"/>
  </w:num>
  <w:num w:numId="12" w16cid:durableId="901016865">
    <w:abstractNumId w:val="0"/>
  </w:num>
  <w:num w:numId="13" w16cid:durableId="620186684">
    <w:abstractNumId w:val="2"/>
  </w:num>
  <w:num w:numId="14" w16cid:durableId="661274611">
    <w:abstractNumId w:val="1"/>
  </w:num>
  <w:num w:numId="15" w16cid:durableId="1784685780">
    <w:abstractNumId w:val="20"/>
  </w:num>
  <w:num w:numId="16" w16cid:durableId="700714888">
    <w:abstractNumId w:val="21"/>
  </w:num>
  <w:num w:numId="17" w16cid:durableId="1399210464">
    <w:abstractNumId w:val="5"/>
  </w:num>
  <w:num w:numId="18" w16cid:durableId="150103619">
    <w:abstractNumId w:val="14"/>
  </w:num>
  <w:num w:numId="19" w16cid:durableId="686056697">
    <w:abstractNumId w:val="8"/>
  </w:num>
  <w:num w:numId="20" w16cid:durableId="2146505795">
    <w:abstractNumId w:val="24"/>
  </w:num>
  <w:num w:numId="21" w16cid:durableId="511649286">
    <w:abstractNumId w:val="12"/>
  </w:num>
  <w:num w:numId="22" w16cid:durableId="1431315756">
    <w:abstractNumId w:val="13"/>
  </w:num>
  <w:num w:numId="23" w16cid:durableId="897323071">
    <w:abstractNumId w:val="22"/>
  </w:num>
  <w:num w:numId="24" w16cid:durableId="752706761">
    <w:abstractNumId w:val="15"/>
  </w:num>
  <w:num w:numId="25" w16cid:durableId="13925835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218F6"/>
    <w:rsid w:val="0003631E"/>
    <w:rsid w:val="00064F04"/>
    <w:rsid w:val="000B626F"/>
    <w:rsid w:val="000D1437"/>
    <w:rsid w:val="000E02D6"/>
    <w:rsid w:val="000F2FB3"/>
    <w:rsid w:val="001066DC"/>
    <w:rsid w:val="001145CC"/>
    <w:rsid w:val="0014797B"/>
    <w:rsid w:val="00151378"/>
    <w:rsid w:val="00170C17"/>
    <w:rsid w:val="00186186"/>
    <w:rsid w:val="001A4FFD"/>
    <w:rsid w:val="001B3F94"/>
    <w:rsid w:val="001C3CAB"/>
    <w:rsid w:val="001E7C3D"/>
    <w:rsid w:val="00206158"/>
    <w:rsid w:val="0020717F"/>
    <w:rsid w:val="00215CAD"/>
    <w:rsid w:val="0022159B"/>
    <w:rsid w:val="00223B9F"/>
    <w:rsid w:val="00230E81"/>
    <w:rsid w:val="002520D5"/>
    <w:rsid w:val="002539B1"/>
    <w:rsid w:val="002555B1"/>
    <w:rsid w:val="002630E2"/>
    <w:rsid w:val="00266394"/>
    <w:rsid w:val="00266A2F"/>
    <w:rsid w:val="00266AB2"/>
    <w:rsid w:val="002A53A2"/>
    <w:rsid w:val="002D360A"/>
    <w:rsid w:val="002D48AB"/>
    <w:rsid w:val="002D784B"/>
    <w:rsid w:val="002F28A5"/>
    <w:rsid w:val="002F4117"/>
    <w:rsid w:val="00306619"/>
    <w:rsid w:val="00311FEC"/>
    <w:rsid w:val="00321E6E"/>
    <w:rsid w:val="00332E59"/>
    <w:rsid w:val="00353A41"/>
    <w:rsid w:val="00386BCD"/>
    <w:rsid w:val="00395400"/>
    <w:rsid w:val="003C2E3A"/>
    <w:rsid w:val="003C770E"/>
    <w:rsid w:val="003D6EEC"/>
    <w:rsid w:val="004016AD"/>
    <w:rsid w:val="00466B35"/>
    <w:rsid w:val="00483ED8"/>
    <w:rsid w:val="004B2B19"/>
    <w:rsid w:val="004B6AAF"/>
    <w:rsid w:val="004D3CEB"/>
    <w:rsid w:val="004E1468"/>
    <w:rsid w:val="004F26BC"/>
    <w:rsid w:val="005049C6"/>
    <w:rsid w:val="0053348E"/>
    <w:rsid w:val="00535125"/>
    <w:rsid w:val="0054227E"/>
    <w:rsid w:val="0054689D"/>
    <w:rsid w:val="00556A92"/>
    <w:rsid w:val="00561E84"/>
    <w:rsid w:val="00564F8A"/>
    <w:rsid w:val="00565008"/>
    <w:rsid w:val="005A0778"/>
    <w:rsid w:val="005C5344"/>
    <w:rsid w:val="005D0C6F"/>
    <w:rsid w:val="005F2412"/>
    <w:rsid w:val="00605AAA"/>
    <w:rsid w:val="00612330"/>
    <w:rsid w:val="00613AFF"/>
    <w:rsid w:val="0062656C"/>
    <w:rsid w:val="00627028"/>
    <w:rsid w:val="006311F8"/>
    <w:rsid w:val="00655BDA"/>
    <w:rsid w:val="00685186"/>
    <w:rsid w:val="006950AA"/>
    <w:rsid w:val="006A28E7"/>
    <w:rsid w:val="006B535E"/>
    <w:rsid w:val="006C043F"/>
    <w:rsid w:val="006C2607"/>
    <w:rsid w:val="006E2D02"/>
    <w:rsid w:val="006F7489"/>
    <w:rsid w:val="007302B1"/>
    <w:rsid w:val="00742E51"/>
    <w:rsid w:val="00751EAB"/>
    <w:rsid w:val="00760514"/>
    <w:rsid w:val="00773BF3"/>
    <w:rsid w:val="007802E3"/>
    <w:rsid w:val="00790DDE"/>
    <w:rsid w:val="007A097E"/>
    <w:rsid w:val="007A44F0"/>
    <w:rsid w:val="007D326D"/>
    <w:rsid w:val="007D5150"/>
    <w:rsid w:val="007E1DF5"/>
    <w:rsid w:val="007E3366"/>
    <w:rsid w:val="007F34FB"/>
    <w:rsid w:val="007F4C57"/>
    <w:rsid w:val="007F7071"/>
    <w:rsid w:val="008065C3"/>
    <w:rsid w:val="008107FB"/>
    <w:rsid w:val="008138ED"/>
    <w:rsid w:val="0082262F"/>
    <w:rsid w:val="00846EFD"/>
    <w:rsid w:val="008746AB"/>
    <w:rsid w:val="008747C6"/>
    <w:rsid w:val="00882DB4"/>
    <w:rsid w:val="008B6C10"/>
    <w:rsid w:val="008E376E"/>
    <w:rsid w:val="009271D7"/>
    <w:rsid w:val="0093212C"/>
    <w:rsid w:val="0093489F"/>
    <w:rsid w:val="00940F32"/>
    <w:rsid w:val="00947481"/>
    <w:rsid w:val="00951C89"/>
    <w:rsid w:val="00960FD3"/>
    <w:rsid w:val="00961654"/>
    <w:rsid w:val="00962923"/>
    <w:rsid w:val="00983941"/>
    <w:rsid w:val="0099568A"/>
    <w:rsid w:val="0099721B"/>
    <w:rsid w:val="00997297"/>
    <w:rsid w:val="009B5726"/>
    <w:rsid w:val="009E5F63"/>
    <w:rsid w:val="009E7BED"/>
    <w:rsid w:val="009F243C"/>
    <w:rsid w:val="009F77FD"/>
    <w:rsid w:val="00A152D4"/>
    <w:rsid w:val="00A32FEA"/>
    <w:rsid w:val="00A42891"/>
    <w:rsid w:val="00A52D97"/>
    <w:rsid w:val="00A70935"/>
    <w:rsid w:val="00A77971"/>
    <w:rsid w:val="00A934F9"/>
    <w:rsid w:val="00AA115F"/>
    <w:rsid w:val="00AB0061"/>
    <w:rsid w:val="00AB687F"/>
    <w:rsid w:val="00AD6895"/>
    <w:rsid w:val="00AE0DA5"/>
    <w:rsid w:val="00AE3401"/>
    <w:rsid w:val="00B10AEA"/>
    <w:rsid w:val="00B308F1"/>
    <w:rsid w:val="00B43A86"/>
    <w:rsid w:val="00B67BA9"/>
    <w:rsid w:val="00B95039"/>
    <w:rsid w:val="00BA585A"/>
    <w:rsid w:val="00BB6F19"/>
    <w:rsid w:val="00C31BCC"/>
    <w:rsid w:val="00C46D18"/>
    <w:rsid w:val="00C54AED"/>
    <w:rsid w:val="00C62306"/>
    <w:rsid w:val="00C91491"/>
    <w:rsid w:val="00C95BD9"/>
    <w:rsid w:val="00CB2C18"/>
    <w:rsid w:val="00CC1031"/>
    <w:rsid w:val="00CF4258"/>
    <w:rsid w:val="00D2459B"/>
    <w:rsid w:val="00D73367"/>
    <w:rsid w:val="00D764D3"/>
    <w:rsid w:val="00D87E5A"/>
    <w:rsid w:val="00D911CD"/>
    <w:rsid w:val="00D9168C"/>
    <w:rsid w:val="00D967D8"/>
    <w:rsid w:val="00DA27AF"/>
    <w:rsid w:val="00DA39D8"/>
    <w:rsid w:val="00DB0922"/>
    <w:rsid w:val="00DC48B1"/>
    <w:rsid w:val="00DC4C74"/>
    <w:rsid w:val="00DC7E3F"/>
    <w:rsid w:val="00DE096B"/>
    <w:rsid w:val="00DE0FB9"/>
    <w:rsid w:val="00DE2B81"/>
    <w:rsid w:val="00E14F3E"/>
    <w:rsid w:val="00E20B5A"/>
    <w:rsid w:val="00E236AA"/>
    <w:rsid w:val="00E3082D"/>
    <w:rsid w:val="00E47B03"/>
    <w:rsid w:val="00E65CB8"/>
    <w:rsid w:val="00E8458C"/>
    <w:rsid w:val="00E93963"/>
    <w:rsid w:val="00EA042C"/>
    <w:rsid w:val="00EB008B"/>
    <w:rsid w:val="00EB47C8"/>
    <w:rsid w:val="00F0626C"/>
    <w:rsid w:val="00F23F8B"/>
    <w:rsid w:val="00F243E6"/>
    <w:rsid w:val="00F32956"/>
    <w:rsid w:val="00F34242"/>
    <w:rsid w:val="00F577D6"/>
    <w:rsid w:val="00F65CA3"/>
    <w:rsid w:val="00F740C7"/>
    <w:rsid w:val="00F8017E"/>
    <w:rsid w:val="00F87454"/>
    <w:rsid w:val="00FC12A0"/>
    <w:rsid w:val="00FC1F58"/>
    <w:rsid w:val="00FC25AE"/>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B4B29"/>
  <w15:chartTrackingRefBased/>
  <w15:docId w15:val="{FE471046-5EDE-47A1-ADF4-11CF7692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E65CB8"/>
    <w:rPr>
      <w:rFonts w:ascii="Tahoma" w:hAnsi="Tahoma" w:cs="Tahoma"/>
      <w:sz w:val="16"/>
      <w:szCs w:val="16"/>
    </w:rPr>
  </w:style>
  <w:style w:type="character" w:customStyle="1" w:styleId="BalloonTextChar">
    <w:name w:val="Balloon Text Char"/>
    <w:link w:val="BalloonText"/>
    <w:rsid w:val="00E65CB8"/>
    <w:rPr>
      <w:rFonts w:ascii="Tahoma" w:hAnsi="Tahoma" w:cs="Tahoma"/>
      <w:sz w:val="16"/>
      <w:szCs w:val="16"/>
    </w:rPr>
  </w:style>
  <w:style w:type="paragraph" w:styleId="ListParagraph">
    <w:name w:val="List Paragraph"/>
    <w:basedOn w:val="Normal"/>
    <w:uiPriority w:val="34"/>
    <w:qFormat/>
    <w:rsid w:val="00E14F3E"/>
    <w:pPr>
      <w:spacing w:after="160" w:line="259" w:lineRule="auto"/>
      <w:ind w:left="720"/>
      <w:contextualSpacing/>
    </w:pPr>
    <w:rPr>
      <w:rFonts w:ascii="Calibri" w:eastAsia="DengXian" w:hAnsi="Calibri" w:cs="Times New Roman"/>
      <w:szCs w:val="22"/>
      <w:lang w:eastAsia="zh-CN"/>
    </w:rPr>
  </w:style>
  <w:style w:type="character" w:styleId="UnresolvedMention">
    <w:name w:val="Unresolved Mention"/>
    <w:uiPriority w:val="99"/>
    <w:semiHidden/>
    <w:unhideWhenUsed/>
    <w:rsid w:val="00E14F3E"/>
    <w:rPr>
      <w:color w:val="605E5C"/>
      <w:shd w:val="clear" w:color="auto" w:fill="E1DFDD"/>
    </w:rPr>
  </w:style>
  <w:style w:type="paragraph" w:styleId="Title">
    <w:name w:val="Title"/>
    <w:basedOn w:val="Normal"/>
    <w:next w:val="Normal"/>
    <w:link w:val="TitleChar"/>
    <w:qFormat/>
    <w:rsid w:val="0022159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22159B"/>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2215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22159B"/>
    <w:rPr>
      <w:rFonts w:asciiTheme="majorHAnsi" w:eastAsiaTheme="majorEastAsia" w:hAnsiTheme="majorHAnsi" w:cstheme="majorBidi"/>
      <w:sz w:val="24"/>
      <w:szCs w:val="24"/>
    </w:rPr>
  </w:style>
  <w:style w:type="character" w:styleId="Emphasis">
    <w:name w:val="Emphasis"/>
    <w:basedOn w:val="DefaultParagraphFont"/>
    <w:qFormat/>
    <w:rsid w:val="004D3C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57704">
      <w:bodyDiv w:val="1"/>
      <w:marLeft w:val="0"/>
      <w:marRight w:val="0"/>
      <w:marTop w:val="0"/>
      <w:marBottom w:val="0"/>
      <w:divBdr>
        <w:top w:val="none" w:sz="0" w:space="0" w:color="auto"/>
        <w:left w:val="none" w:sz="0" w:space="0" w:color="auto"/>
        <w:bottom w:val="none" w:sz="0" w:space="0" w:color="auto"/>
        <w:right w:val="none" w:sz="0" w:space="0" w:color="auto"/>
      </w:divBdr>
    </w:div>
    <w:div w:id="176427692">
      <w:bodyDiv w:val="1"/>
      <w:marLeft w:val="0"/>
      <w:marRight w:val="0"/>
      <w:marTop w:val="0"/>
      <w:marBottom w:val="0"/>
      <w:divBdr>
        <w:top w:val="none" w:sz="0" w:space="0" w:color="auto"/>
        <w:left w:val="none" w:sz="0" w:space="0" w:color="auto"/>
        <w:bottom w:val="none" w:sz="0" w:space="0" w:color="auto"/>
        <w:right w:val="none" w:sz="0" w:space="0" w:color="auto"/>
      </w:divBdr>
    </w:div>
    <w:div w:id="216015428">
      <w:bodyDiv w:val="1"/>
      <w:marLeft w:val="0"/>
      <w:marRight w:val="0"/>
      <w:marTop w:val="0"/>
      <w:marBottom w:val="0"/>
      <w:divBdr>
        <w:top w:val="none" w:sz="0" w:space="0" w:color="auto"/>
        <w:left w:val="none" w:sz="0" w:space="0" w:color="auto"/>
        <w:bottom w:val="none" w:sz="0" w:space="0" w:color="auto"/>
        <w:right w:val="none" w:sz="0" w:space="0" w:color="auto"/>
      </w:divBdr>
      <w:divsChild>
        <w:div w:id="964383265">
          <w:marLeft w:val="720"/>
          <w:marRight w:val="0"/>
          <w:marTop w:val="0"/>
          <w:marBottom w:val="118"/>
          <w:divBdr>
            <w:top w:val="none" w:sz="0" w:space="0" w:color="auto"/>
            <w:left w:val="none" w:sz="0" w:space="0" w:color="auto"/>
            <w:bottom w:val="none" w:sz="0" w:space="0" w:color="auto"/>
            <w:right w:val="none" w:sz="0" w:space="0" w:color="auto"/>
          </w:divBdr>
        </w:div>
        <w:div w:id="1373925319">
          <w:marLeft w:val="720"/>
          <w:marRight w:val="0"/>
          <w:marTop w:val="0"/>
          <w:marBottom w:val="118"/>
          <w:divBdr>
            <w:top w:val="none" w:sz="0" w:space="0" w:color="auto"/>
            <w:left w:val="none" w:sz="0" w:space="0" w:color="auto"/>
            <w:bottom w:val="none" w:sz="0" w:space="0" w:color="auto"/>
            <w:right w:val="none" w:sz="0" w:space="0" w:color="auto"/>
          </w:divBdr>
        </w:div>
        <w:div w:id="1976180787">
          <w:marLeft w:val="720"/>
          <w:marRight w:val="0"/>
          <w:marTop w:val="0"/>
          <w:marBottom w:val="118"/>
          <w:divBdr>
            <w:top w:val="none" w:sz="0" w:space="0" w:color="auto"/>
            <w:left w:val="none" w:sz="0" w:space="0" w:color="auto"/>
            <w:bottom w:val="none" w:sz="0" w:space="0" w:color="auto"/>
            <w:right w:val="none" w:sz="0" w:space="0" w:color="auto"/>
          </w:divBdr>
        </w:div>
        <w:div w:id="858003258">
          <w:marLeft w:val="720"/>
          <w:marRight w:val="0"/>
          <w:marTop w:val="0"/>
          <w:marBottom w:val="235"/>
          <w:divBdr>
            <w:top w:val="none" w:sz="0" w:space="0" w:color="auto"/>
            <w:left w:val="none" w:sz="0" w:space="0" w:color="auto"/>
            <w:bottom w:val="none" w:sz="0" w:space="0" w:color="auto"/>
            <w:right w:val="none" w:sz="0" w:space="0" w:color="auto"/>
          </w:divBdr>
        </w:div>
        <w:div w:id="1680499720">
          <w:marLeft w:val="806"/>
          <w:marRight w:val="0"/>
          <w:marTop w:val="0"/>
          <w:marBottom w:val="118"/>
          <w:divBdr>
            <w:top w:val="none" w:sz="0" w:space="0" w:color="auto"/>
            <w:left w:val="none" w:sz="0" w:space="0" w:color="auto"/>
            <w:bottom w:val="none" w:sz="0" w:space="0" w:color="auto"/>
            <w:right w:val="none" w:sz="0" w:space="0" w:color="auto"/>
          </w:divBdr>
        </w:div>
        <w:div w:id="353583101">
          <w:marLeft w:val="806"/>
          <w:marRight w:val="0"/>
          <w:marTop w:val="0"/>
          <w:marBottom w:val="118"/>
          <w:divBdr>
            <w:top w:val="none" w:sz="0" w:space="0" w:color="auto"/>
            <w:left w:val="none" w:sz="0" w:space="0" w:color="auto"/>
            <w:bottom w:val="none" w:sz="0" w:space="0" w:color="auto"/>
            <w:right w:val="none" w:sz="0" w:space="0" w:color="auto"/>
          </w:divBdr>
        </w:div>
        <w:div w:id="938298070">
          <w:marLeft w:val="806"/>
          <w:marRight w:val="0"/>
          <w:marTop w:val="0"/>
          <w:marBottom w:val="118"/>
          <w:divBdr>
            <w:top w:val="none" w:sz="0" w:space="0" w:color="auto"/>
            <w:left w:val="none" w:sz="0" w:space="0" w:color="auto"/>
            <w:bottom w:val="none" w:sz="0" w:space="0" w:color="auto"/>
            <w:right w:val="none" w:sz="0" w:space="0" w:color="auto"/>
          </w:divBdr>
        </w:div>
        <w:div w:id="1893884149">
          <w:marLeft w:val="806"/>
          <w:marRight w:val="0"/>
          <w:marTop w:val="0"/>
          <w:marBottom w:val="118"/>
          <w:divBdr>
            <w:top w:val="none" w:sz="0" w:space="0" w:color="auto"/>
            <w:left w:val="none" w:sz="0" w:space="0" w:color="auto"/>
            <w:bottom w:val="none" w:sz="0" w:space="0" w:color="auto"/>
            <w:right w:val="none" w:sz="0" w:space="0" w:color="auto"/>
          </w:divBdr>
        </w:div>
        <w:div w:id="564411333">
          <w:marLeft w:val="806"/>
          <w:marRight w:val="0"/>
          <w:marTop w:val="0"/>
          <w:marBottom w:val="118"/>
          <w:divBdr>
            <w:top w:val="none" w:sz="0" w:space="0" w:color="auto"/>
            <w:left w:val="none" w:sz="0" w:space="0" w:color="auto"/>
            <w:bottom w:val="none" w:sz="0" w:space="0" w:color="auto"/>
            <w:right w:val="none" w:sz="0" w:space="0" w:color="auto"/>
          </w:divBdr>
        </w:div>
      </w:divsChild>
    </w:div>
    <w:div w:id="218984538">
      <w:bodyDiv w:val="1"/>
      <w:marLeft w:val="0"/>
      <w:marRight w:val="0"/>
      <w:marTop w:val="0"/>
      <w:marBottom w:val="0"/>
      <w:divBdr>
        <w:top w:val="none" w:sz="0" w:space="0" w:color="auto"/>
        <w:left w:val="none" w:sz="0" w:space="0" w:color="auto"/>
        <w:bottom w:val="none" w:sz="0" w:space="0" w:color="auto"/>
        <w:right w:val="none" w:sz="0" w:space="0" w:color="auto"/>
      </w:divBdr>
      <w:divsChild>
        <w:div w:id="63190632">
          <w:marLeft w:val="446"/>
          <w:marRight w:val="0"/>
          <w:marTop w:val="0"/>
          <w:marBottom w:val="118"/>
          <w:divBdr>
            <w:top w:val="none" w:sz="0" w:space="0" w:color="auto"/>
            <w:left w:val="none" w:sz="0" w:space="0" w:color="auto"/>
            <w:bottom w:val="none" w:sz="0" w:space="0" w:color="auto"/>
            <w:right w:val="none" w:sz="0" w:space="0" w:color="auto"/>
          </w:divBdr>
        </w:div>
        <w:div w:id="2125299581">
          <w:marLeft w:val="446"/>
          <w:marRight w:val="0"/>
          <w:marTop w:val="0"/>
          <w:marBottom w:val="118"/>
          <w:divBdr>
            <w:top w:val="none" w:sz="0" w:space="0" w:color="auto"/>
            <w:left w:val="none" w:sz="0" w:space="0" w:color="auto"/>
            <w:bottom w:val="none" w:sz="0" w:space="0" w:color="auto"/>
            <w:right w:val="none" w:sz="0" w:space="0" w:color="auto"/>
          </w:divBdr>
        </w:div>
        <w:div w:id="770854941">
          <w:marLeft w:val="446"/>
          <w:marRight w:val="0"/>
          <w:marTop w:val="0"/>
          <w:marBottom w:val="118"/>
          <w:divBdr>
            <w:top w:val="none" w:sz="0" w:space="0" w:color="auto"/>
            <w:left w:val="none" w:sz="0" w:space="0" w:color="auto"/>
            <w:bottom w:val="none" w:sz="0" w:space="0" w:color="auto"/>
            <w:right w:val="none" w:sz="0" w:space="0" w:color="auto"/>
          </w:divBdr>
        </w:div>
      </w:divsChild>
    </w:div>
    <w:div w:id="236937310">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405880657">
      <w:bodyDiv w:val="1"/>
      <w:marLeft w:val="0"/>
      <w:marRight w:val="0"/>
      <w:marTop w:val="0"/>
      <w:marBottom w:val="0"/>
      <w:divBdr>
        <w:top w:val="none" w:sz="0" w:space="0" w:color="auto"/>
        <w:left w:val="none" w:sz="0" w:space="0" w:color="auto"/>
        <w:bottom w:val="none" w:sz="0" w:space="0" w:color="auto"/>
        <w:right w:val="none" w:sz="0" w:space="0" w:color="auto"/>
      </w:divBdr>
    </w:div>
    <w:div w:id="519513070">
      <w:bodyDiv w:val="1"/>
      <w:marLeft w:val="0"/>
      <w:marRight w:val="0"/>
      <w:marTop w:val="0"/>
      <w:marBottom w:val="0"/>
      <w:divBdr>
        <w:top w:val="none" w:sz="0" w:space="0" w:color="auto"/>
        <w:left w:val="none" w:sz="0" w:space="0" w:color="auto"/>
        <w:bottom w:val="none" w:sz="0" w:space="0" w:color="auto"/>
        <w:right w:val="none" w:sz="0" w:space="0" w:color="auto"/>
      </w:divBdr>
      <w:divsChild>
        <w:div w:id="1994526844">
          <w:marLeft w:val="446"/>
          <w:marRight w:val="0"/>
          <w:marTop w:val="0"/>
          <w:marBottom w:val="118"/>
          <w:divBdr>
            <w:top w:val="none" w:sz="0" w:space="0" w:color="auto"/>
            <w:left w:val="none" w:sz="0" w:space="0" w:color="auto"/>
            <w:bottom w:val="none" w:sz="0" w:space="0" w:color="auto"/>
            <w:right w:val="none" w:sz="0" w:space="0" w:color="auto"/>
          </w:divBdr>
        </w:div>
        <w:div w:id="415252532">
          <w:marLeft w:val="446"/>
          <w:marRight w:val="0"/>
          <w:marTop w:val="0"/>
          <w:marBottom w:val="118"/>
          <w:divBdr>
            <w:top w:val="none" w:sz="0" w:space="0" w:color="auto"/>
            <w:left w:val="none" w:sz="0" w:space="0" w:color="auto"/>
            <w:bottom w:val="none" w:sz="0" w:space="0" w:color="auto"/>
            <w:right w:val="none" w:sz="0" w:space="0" w:color="auto"/>
          </w:divBdr>
        </w:div>
      </w:divsChild>
    </w:div>
    <w:div w:id="536159214">
      <w:bodyDiv w:val="1"/>
      <w:marLeft w:val="0"/>
      <w:marRight w:val="0"/>
      <w:marTop w:val="0"/>
      <w:marBottom w:val="0"/>
      <w:divBdr>
        <w:top w:val="none" w:sz="0" w:space="0" w:color="auto"/>
        <w:left w:val="none" w:sz="0" w:space="0" w:color="auto"/>
        <w:bottom w:val="none" w:sz="0" w:space="0" w:color="auto"/>
        <w:right w:val="none" w:sz="0" w:space="0" w:color="auto"/>
      </w:divBdr>
      <w:divsChild>
        <w:div w:id="2143379747">
          <w:marLeft w:val="446"/>
          <w:marRight w:val="0"/>
          <w:marTop w:val="0"/>
          <w:marBottom w:val="118"/>
          <w:divBdr>
            <w:top w:val="none" w:sz="0" w:space="0" w:color="auto"/>
            <w:left w:val="none" w:sz="0" w:space="0" w:color="auto"/>
            <w:bottom w:val="none" w:sz="0" w:space="0" w:color="auto"/>
            <w:right w:val="none" w:sz="0" w:space="0" w:color="auto"/>
          </w:divBdr>
        </w:div>
        <w:div w:id="242765371">
          <w:marLeft w:val="446"/>
          <w:marRight w:val="0"/>
          <w:marTop w:val="0"/>
          <w:marBottom w:val="118"/>
          <w:divBdr>
            <w:top w:val="none" w:sz="0" w:space="0" w:color="auto"/>
            <w:left w:val="none" w:sz="0" w:space="0" w:color="auto"/>
            <w:bottom w:val="none" w:sz="0" w:space="0" w:color="auto"/>
            <w:right w:val="none" w:sz="0" w:space="0" w:color="auto"/>
          </w:divBdr>
        </w:div>
        <w:div w:id="1731926131">
          <w:marLeft w:val="446"/>
          <w:marRight w:val="0"/>
          <w:marTop w:val="0"/>
          <w:marBottom w:val="118"/>
          <w:divBdr>
            <w:top w:val="none" w:sz="0" w:space="0" w:color="auto"/>
            <w:left w:val="none" w:sz="0" w:space="0" w:color="auto"/>
            <w:bottom w:val="none" w:sz="0" w:space="0" w:color="auto"/>
            <w:right w:val="none" w:sz="0" w:space="0" w:color="auto"/>
          </w:divBdr>
        </w:div>
        <w:div w:id="1623726106">
          <w:marLeft w:val="446"/>
          <w:marRight w:val="0"/>
          <w:marTop w:val="0"/>
          <w:marBottom w:val="118"/>
          <w:divBdr>
            <w:top w:val="none" w:sz="0" w:space="0" w:color="auto"/>
            <w:left w:val="none" w:sz="0" w:space="0" w:color="auto"/>
            <w:bottom w:val="none" w:sz="0" w:space="0" w:color="auto"/>
            <w:right w:val="none" w:sz="0" w:space="0" w:color="auto"/>
          </w:divBdr>
        </w:div>
        <w:div w:id="920915252">
          <w:marLeft w:val="446"/>
          <w:marRight w:val="0"/>
          <w:marTop w:val="0"/>
          <w:marBottom w:val="118"/>
          <w:divBdr>
            <w:top w:val="none" w:sz="0" w:space="0" w:color="auto"/>
            <w:left w:val="none" w:sz="0" w:space="0" w:color="auto"/>
            <w:bottom w:val="none" w:sz="0" w:space="0" w:color="auto"/>
            <w:right w:val="none" w:sz="0" w:space="0" w:color="auto"/>
          </w:divBdr>
        </w:div>
      </w:divsChild>
    </w:div>
    <w:div w:id="638649643">
      <w:bodyDiv w:val="1"/>
      <w:marLeft w:val="0"/>
      <w:marRight w:val="0"/>
      <w:marTop w:val="0"/>
      <w:marBottom w:val="0"/>
      <w:divBdr>
        <w:top w:val="none" w:sz="0" w:space="0" w:color="auto"/>
        <w:left w:val="none" w:sz="0" w:space="0" w:color="auto"/>
        <w:bottom w:val="none" w:sz="0" w:space="0" w:color="auto"/>
        <w:right w:val="none" w:sz="0" w:space="0" w:color="auto"/>
      </w:divBdr>
    </w:div>
    <w:div w:id="920988660">
      <w:bodyDiv w:val="1"/>
      <w:marLeft w:val="0"/>
      <w:marRight w:val="0"/>
      <w:marTop w:val="0"/>
      <w:marBottom w:val="0"/>
      <w:divBdr>
        <w:top w:val="none" w:sz="0" w:space="0" w:color="auto"/>
        <w:left w:val="none" w:sz="0" w:space="0" w:color="auto"/>
        <w:bottom w:val="none" w:sz="0" w:space="0" w:color="auto"/>
        <w:right w:val="none" w:sz="0" w:space="0" w:color="auto"/>
      </w:divBdr>
    </w:div>
    <w:div w:id="1018652432">
      <w:bodyDiv w:val="1"/>
      <w:marLeft w:val="0"/>
      <w:marRight w:val="0"/>
      <w:marTop w:val="0"/>
      <w:marBottom w:val="0"/>
      <w:divBdr>
        <w:top w:val="none" w:sz="0" w:space="0" w:color="auto"/>
        <w:left w:val="none" w:sz="0" w:space="0" w:color="auto"/>
        <w:bottom w:val="none" w:sz="0" w:space="0" w:color="auto"/>
        <w:right w:val="none" w:sz="0" w:space="0" w:color="auto"/>
      </w:divBdr>
    </w:div>
    <w:div w:id="1103919933">
      <w:bodyDiv w:val="1"/>
      <w:marLeft w:val="0"/>
      <w:marRight w:val="0"/>
      <w:marTop w:val="0"/>
      <w:marBottom w:val="0"/>
      <w:divBdr>
        <w:top w:val="none" w:sz="0" w:space="0" w:color="auto"/>
        <w:left w:val="none" w:sz="0" w:space="0" w:color="auto"/>
        <w:bottom w:val="none" w:sz="0" w:space="0" w:color="auto"/>
        <w:right w:val="none" w:sz="0" w:space="0" w:color="auto"/>
      </w:divBdr>
    </w:div>
    <w:div w:id="1186867534">
      <w:bodyDiv w:val="1"/>
      <w:marLeft w:val="0"/>
      <w:marRight w:val="0"/>
      <w:marTop w:val="0"/>
      <w:marBottom w:val="0"/>
      <w:divBdr>
        <w:top w:val="none" w:sz="0" w:space="0" w:color="auto"/>
        <w:left w:val="none" w:sz="0" w:space="0" w:color="auto"/>
        <w:bottom w:val="none" w:sz="0" w:space="0" w:color="auto"/>
        <w:right w:val="none" w:sz="0" w:space="0" w:color="auto"/>
      </w:divBdr>
    </w:div>
    <w:div w:id="1190994565">
      <w:bodyDiv w:val="1"/>
      <w:marLeft w:val="0"/>
      <w:marRight w:val="0"/>
      <w:marTop w:val="0"/>
      <w:marBottom w:val="0"/>
      <w:divBdr>
        <w:top w:val="none" w:sz="0" w:space="0" w:color="auto"/>
        <w:left w:val="none" w:sz="0" w:space="0" w:color="auto"/>
        <w:bottom w:val="none" w:sz="0" w:space="0" w:color="auto"/>
        <w:right w:val="none" w:sz="0" w:space="0" w:color="auto"/>
      </w:divBdr>
    </w:div>
    <w:div w:id="1383868470">
      <w:bodyDiv w:val="1"/>
      <w:marLeft w:val="0"/>
      <w:marRight w:val="0"/>
      <w:marTop w:val="0"/>
      <w:marBottom w:val="0"/>
      <w:divBdr>
        <w:top w:val="none" w:sz="0" w:space="0" w:color="auto"/>
        <w:left w:val="none" w:sz="0" w:space="0" w:color="auto"/>
        <w:bottom w:val="none" w:sz="0" w:space="0" w:color="auto"/>
        <w:right w:val="none" w:sz="0" w:space="0" w:color="auto"/>
      </w:divBdr>
    </w:div>
    <w:div w:id="1972324622">
      <w:bodyDiv w:val="1"/>
      <w:marLeft w:val="0"/>
      <w:marRight w:val="0"/>
      <w:marTop w:val="0"/>
      <w:marBottom w:val="0"/>
      <w:divBdr>
        <w:top w:val="none" w:sz="0" w:space="0" w:color="auto"/>
        <w:left w:val="none" w:sz="0" w:space="0" w:color="auto"/>
        <w:bottom w:val="none" w:sz="0" w:space="0" w:color="auto"/>
        <w:right w:val="none" w:sz="0" w:space="0" w:color="auto"/>
      </w:divBdr>
      <w:divsChild>
        <w:div w:id="419135051">
          <w:marLeft w:val="446"/>
          <w:marRight w:val="0"/>
          <w:marTop w:val="0"/>
          <w:marBottom w:val="118"/>
          <w:divBdr>
            <w:top w:val="none" w:sz="0" w:space="0" w:color="auto"/>
            <w:left w:val="none" w:sz="0" w:space="0" w:color="auto"/>
            <w:bottom w:val="none" w:sz="0" w:space="0" w:color="auto"/>
            <w:right w:val="none" w:sz="0" w:space="0" w:color="auto"/>
          </w:divBdr>
        </w:div>
        <w:div w:id="1485901383">
          <w:marLeft w:val="446"/>
          <w:marRight w:val="0"/>
          <w:marTop w:val="0"/>
          <w:marBottom w:val="118"/>
          <w:divBdr>
            <w:top w:val="none" w:sz="0" w:space="0" w:color="auto"/>
            <w:left w:val="none" w:sz="0" w:space="0" w:color="auto"/>
            <w:bottom w:val="none" w:sz="0" w:space="0" w:color="auto"/>
            <w:right w:val="none" w:sz="0" w:space="0" w:color="auto"/>
          </w:divBdr>
        </w:div>
        <w:div w:id="671763389">
          <w:marLeft w:val="446"/>
          <w:marRight w:val="0"/>
          <w:marTop w:val="0"/>
          <w:marBottom w:val="118"/>
          <w:divBdr>
            <w:top w:val="none" w:sz="0" w:space="0" w:color="auto"/>
            <w:left w:val="none" w:sz="0" w:space="0" w:color="auto"/>
            <w:bottom w:val="none" w:sz="0" w:space="0" w:color="auto"/>
            <w:right w:val="none" w:sz="0" w:space="0" w:color="auto"/>
          </w:divBdr>
        </w:div>
        <w:div w:id="1483346434">
          <w:marLeft w:val="446"/>
          <w:marRight w:val="0"/>
          <w:marTop w:val="0"/>
          <w:marBottom w:val="0"/>
          <w:divBdr>
            <w:top w:val="none" w:sz="0" w:space="0" w:color="auto"/>
            <w:left w:val="none" w:sz="0" w:space="0" w:color="auto"/>
            <w:bottom w:val="none" w:sz="0" w:space="0" w:color="auto"/>
            <w:right w:val="none" w:sz="0" w:space="0" w:color="auto"/>
          </w:divBdr>
        </w:div>
      </w:divsChild>
    </w:div>
    <w:div w:id="1988317375">
      <w:bodyDiv w:val="1"/>
      <w:marLeft w:val="0"/>
      <w:marRight w:val="0"/>
      <w:marTop w:val="0"/>
      <w:marBottom w:val="0"/>
      <w:divBdr>
        <w:top w:val="none" w:sz="0" w:space="0" w:color="auto"/>
        <w:left w:val="none" w:sz="0" w:space="0" w:color="auto"/>
        <w:bottom w:val="none" w:sz="0" w:space="0" w:color="auto"/>
        <w:right w:val="none" w:sz="0" w:space="0" w:color="auto"/>
      </w:divBdr>
      <w:divsChild>
        <w:div w:id="331492080">
          <w:marLeft w:val="446"/>
          <w:marRight w:val="0"/>
          <w:marTop w:val="0"/>
          <w:marBottom w:val="118"/>
          <w:divBdr>
            <w:top w:val="none" w:sz="0" w:space="0" w:color="auto"/>
            <w:left w:val="none" w:sz="0" w:space="0" w:color="auto"/>
            <w:bottom w:val="none" w:sz="0" w:space="0" w:color="auto"/>
            <w:right w:val="none" w:sz="0" w:space="0" w:color="auto"/>
          </w:divBdr>
        </w:div>
        <w:div w:id="733773645">
          <w:marLeft w:val="446"/>
          <w:marRight w:val="0"/>
          <w:marTop w:val="0"/>
          <w:marBottom w:val="118"/>
          <w:divBdr>
            <w:top w:val="none" w:sz="0" w:space="0" w:color="auto"/>
            <w:left w:val="none" w:sz="0" w:space="0" w:color="auto"/>
            <w:bottom w:val="none" w:sz="0" w:space="0" w:color="auto"/>
            <w:right w:val="none" w:sz="0" w:space="0" w:color="auto"/>
          </w:divBdr>
        </w:div>
        <w:div w:id="1137526700">
          <w:marLeft w:val="446"/>
          <w:marRight w:val="0"/>
          <w:marTop w:val="0"/>
          <w:marBottom w:val="118"/>
          <w:divBdr>
            <w:top w:val="none" w:sz="0" w:space="0" w:color="auto"/>
            <w:left w:val="none" w:sz="0" w:space="0" w:color="auto"/>
            <w:bottom w:val="none" w:sz="0" w:space="0" w:color="auto"/>
            <w:right w:val="none" w:sz="0" w:space="0" w:color="auto"/>
          </w:divBdr>
        </w:div>
        <w:div w:id="1197736833">
          <w:marLeft w:val="446"/>
          <w:marRight w:val="0"/>
          <w:marTop w:val="0"/>
          <w:marBottom w:val="118"/>
          <w:divBdr>
            <w:top w:val="none" w:sz="0" w:space="0" w:color="auto"/>
            <w:left w:val="none" w:sz="0" w:space="0" w:color="auto"/>
            <w:bottom w:val="none" w:sz="0" w:space="0" w:color="auto"/>
            <w:right w:val="none" w:sz="0" w:space="0" w:color="auto"/>
          </w:divBdr>
        </w:div>
      </w:divsChild>
    </w:div>
    <w:div w:id="207304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SharedWithUsers xmlns="46f7fc10-315f-4884-8231-57a9c90b9c56">
      <UserInfo>
        <DisplayName>Sawhney, Monica (EHS)</DisplayName>
        <AccountId>165</AccountId>
        <AccountType/>
      </UserInfo>
      <UserInfo>
        <DisplayName>Batista, Ivis (EHS)</DisplayName>
        <AccountId>100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3" ma:contentTypeDescription="Create a new document." ma:contentTypeScope="" ma:versionID="1ab4a2783161015e8b8e24c1eae5b84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7b54eaad7ec4c09ad555423db86e69bb"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29e406-5df3-4b7f-bc19-7b469b9d3fd4}"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A3353A-F7E0-4509-88DE-C1E4286F1AEC}">
  <ds:schemaRef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46f7fc10-315f-4884-8231-57a9c90b9c56"/>
    <ds:schemaRef ds:uri="http://purl.org/dc/terms/"/>
    <ds:schemaRef ds:uri="67cbf261-e971-4a38-83b4-d85e273e70b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9AD028D-7A5D-4D00-B8F5-857FB199CFA8}">
  <ds:schemaRefs>
    <ds:schemaRef ds:uri="http://schemas.microsoft.com/sharepoint/v3/contenttype/forms"/>
  </ds:schemaRefs>
</ds:datastoreItem>
</file>

<file path=customXml/itemProps3.xml><?xml version="1.0" encoding="utf-8"?>
<ds:datastoreItem xmlns:ds="http://schemas.openxmlformats.org/officeDocument/2006/customXml" ds:itemID="{C5178866-9A49-4573-A3BD-09AA496FA009}">
  <ds:schemaRefs>
    <ds:schemaRef ds:uri="http://schemas.openxmlformats.org/officeDocument/2006/bibliography"/>
  </ds:schemaRefs>
</ds:datastoreItem>
</file>

<file path=customXml/itemProps4.xml><?xml version="1.0" encoding="utf-8"?>
<ds:datastoreItem xmlns:ds="http://schemas.openxmlformats.org/officeDocument/2006/customXml" ds:itemID="{6E42BDFC-B828-48B7-9F59-AD2B4E577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subject/>
  <dc:creator>DMA</dc:creator>
  <cp:keywords/>
  <cp:lastModifiedBy>Schwarz, Ryan (EHS)</cp:lastModifiedBy>
  <cp:revision>3</cp:revision>
  <cp:lastPrinted>2019-05-09T13:57:00Z</cp:lastPrinted>
  <dcterms:created xsi:type="dcterms:W3CDTF">2022-10-28T19:27:00Z</dcterms:created>
  <dcterms:modified xsi:type="dcterms:W3CDTF">2022-11-02T00:56:00Z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MediaServiceImageTags">
    <vt:lpwstr/>
  </property>
</Properties>
</file>