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9F1D" w14:textId="30A36572" w:rsidR="00AD26BB" w:rsidRPr="00172E2E" w:rsidRDefault="00183134" w:rsidP="00172E2E">
      <w:pPr>
        <w:pStyle w:val="Heading1"/>
        <w:spacing w:line="276" w:lineRule="auto"/>
        <w:rPr>
          <w:color w:val="auto"/>
          <w:sz w:val="20"/>
          <w:szCs w:val="20"/>
        </w:rPr>
      </w:pPr>
      <w:r>
        <w:rPr>
          <w:noProof/>
          <w:sz w:val="20"/>
          <w:szCs w:val="20"/>
        </w:rPr>
        <w:object w:dxaOrig="1440" w:dyaOrig="1440" w14:anchorId="72458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tate Seal of Massachusetts" style="position:absolute;left:0;text-align:left;margin-left:506.3pt;margin-top:-35.45pt;width:55.5pt;height:52.95pt;z-index:251658240;mso-wrap-edited:f;mso-width-percent:0;mso-height-percent:0;mso-width-percent:0;mso-height-percent:0" fillcolor="#0c9">
            <v:imagedata r:id="rId11" o:title=""/>
          </v:shape>
          <o:OLEObject Type="Embed" ProgID="StaticMetafile" ShapeID="_x0000_s2050" DrawAspect="Content" ObjectID="_1725803321" r:id="rId12"/>
        </w:object>
      </w:r>
      <w:r w:rsidR="0067517F" w:rsidRPr="00172E2E">
        <w:rPr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0" wp14:anchorId="23DBDC11" wp14:editId="47BAD283">
            <wp:simplePos x="0" y="0"/>
            <wp:positionH relativeFrom="column">
              <wp:posOffset>-95416</wp:posOffset>
            </wp:positionH>
            <wp:positionV relativeFrom="paragraph">
              <wp:posOffset>-374346</wp:posOffset>
            </wp:positionV>
            <wp:extent cx="1028700" cy="508000"/>
            <wp:effectExtent l="0" t="0" r="0" b="6350"/>
            <wp:wrapNone/>
            <wp:docPr id="1" name="Picture 10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hlogo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FC">
        <w:rPr>
          <w:color w:val="auto"/>
          <w:sz w:val="20"/>
          <w:szCs w:val="20"/>
        </w:rPr>
        <w:t xml:space="preserve">Fact Sheet: </w:t>
      </w:r>
      <w:r w:rsidR="0067517F" w:rsidRPr="00172E2E">
        <w:rPr>
          <w:color w:val="auto"/>
          <w:sz w:val="20"/>
          <w:szCs w:val="20"/>
        </w:rPr>
        <w:t>MassHealth</w:t>
      </w:r>
      <w:r w:rsidR="009F4FFC">
        <w:rPr>
          <w:color w:val="auto"/>
          <w:sz w:val="20"/>
          <w:szCs w:val="20"/>
        </w:rPr>
        <w:t>’s Newly Approved</w:t>
      </w:r>
      <w:r w:rsidR="0067517F" w:rsidRPr="00172E2E">
        <w:rPr>
          <w:color w:val="auto"/>
          <w:sz w:val="20"/>
          <w:szCs w:val="20"/>
        </w:rPr>
        <w:t xml:space="preserve"> 1115 Demonstration Extension</w:t>
      </w:r>
      <w:r w:rsidR="00351CA5" w:rsidRPr="00172E2E">
        <w:rPr>
          <w:color w:val="auto"/>
          <w:sz w:val="20"/>
          <w:szCs w:val="20"/>
        </w:rPr>
        <w:t xml:space="preserve"> </w:t>
      </w:r>
    </w:p>
    <w:p w14:paraId="3EE8C270" w14:textId="699275CC" w:rsidR="0067517F" w:rsidRPr="00172E2E" w:rsidRDefault="00351CA5" w:rsidP="00172E2E">
      <w:pPr>
        <w:pStyle w:val="Heading1"/>
        <w:spacing w:line="276" w:lineRule="auto"/>
        <w:rPr>
          <w:color w:val="auto"/>
          <w:sz w:val="20"/>
          <w:szCs w:val="20"/>
        </w:rPr>
      </w:pPr>
      <w:r w:rsidRPr="00172E2E">
        <w:rPr>
          <w:color w:val="auto"/>
          <w:sz w:val="20"/>
          <w:szCs w:val="20"/>
        </w:rPr>
        <w:t>Support</w:t>
      </w:r>
      <w:r w:rsidR="009F4FFC">
        <w:rPr>
          <w:color w:val="auto"/>
          <w:sz w:val="20"/>
          <w:szCs w:val="20"/>
        </w:rPr>
        <w:t>s</w:t>
      </w:r>
      <w:r w:rsidRPr="00172E2E">
        <w:rPr>
          <w:color w:val="auto"/>
          <w:sz w:val="20"/>
          <w:szCs w:val="20"/>
        </w:rPr>
        <w:t xml:space="preserve"> Accountable</w:t>
      </w:r>
      <w:r w:rsidR="00AD26BB" w:rsidRPr="00172E2E">
        <w:rPr>
          <w:color w:val="auto"/>
          <w:sz w:val="20"/>
          <w:szCs w:val="20"/>
        </w:rPr>
        <w:t xml:space="preserve"> Care and Advanc</w:t>
      </w:r>
      <w:r w:rsidR="009F4FFC">
        <w:rPr>
          <w:color w:val="auto"/>
          <w:sz w:val="20"/>
          <w:szCs w:val="20"/>
        </w:rPr>
        <w:t>es</w:t>
      </w:r>
      <w:r w:rsidR="00AD26BB" w:rsidRPr="00172E2E">
        <w:rPr>
          <w:color w:val="auto"/>
          <w:sz w:val="20"/>
          <w:szCs w:val="20"/>
        </w:rPr>
        <w:t xml:space="preserve"> Health Equity</w:t>
      </w:r>
      <w:r w:rsidR="0067517F" w:rsidRPr="00172E2E">
        <w:rPr>
          <w:color w:val="auto"/>
          <w:sz w:val="20"/>
          <w:szCs w:val="20"/>
        </w:rPr>
        <w:t xml:space="preserve"> </w:t>
      </w:r>
    </w:p>
    <w:p w14:paraId="42A97B86" w14:textId="427536C9" w:rsidR="0067517F" w:rsidRPr="00172E2E" w:rsidRDefault="009940FE" w:rsidP="00172E2E">
      <w:pPr>
        <w:pStyle w:val="Header"/>
        <w:spacing w:before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72E2E">
        <w:rPr>
          <w:rFonts w:ascii="Arial" w:hAnsi="Arial" w:cs="Arial"/>
          <w:i/>
          <w:iCs/>
          <w:sz w:val="20"/>
          <w:szCs w:val="20"/>
        </w:rPr>
        <w:t>September 2022</w:t>
      </w:r>
    </w:p>
    <w:p w14:paraId="6A45D265" w14:textId="44D52D97" w:rsidR="00C81E76" w:rsidRPr="00172E2E" w:rsidRDefault="00C81E76" w:rsidP="00172E2E">
      <w:pPr>
        <w:spacing w:line="276" w:lineRule="auto"/>
        <w:rPr>
          <w:rFonts w:ascii="Arial" w:hAnsi="Arial" w:cs="Arial"/>
          <w:sz w:val="20"/>
          <w:szCs w:val="20"/>
        </w:rPr>
      </w:pPr>
    </w:p>
    <w:p w14:paraId="563AF5F6" w14:textId="7B6E7ACB" w:rsidR="00EC6E2D" w:rsidRPr="00172E2E" w:rsidRDefault="66094618" w:rsidP="00172E2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34512B6C">
        <w:rPr>
          <w:rFonts w:ascii="Arial" w:hAnsi="Arial" w:cs="Arial"/>
          <w:b/>
          <w:bCs/>
          <w:sz w:val="20"/>
          <w:szCs w:val="20"/>
        </w:rPr>
        <w:t>On September 28, 2022, the C</w:t>
      </w:r>
      <w:r w:rsidR="22682AC8" w:rsidRPr="34512B6C">
        <w:rPr>
          <w:rFonts w:ascii="Arial" w:hAnsi="Arial" w:cs="Arial"/>
          <w:b/>
          <w:bCs/>
          <w:sz w:val="20"/>
          <w:szCs w:val="20"/>
        </w:rPr>
        <w:t>e</w:t>
      </w:r>
      <w:r w:rsidRPr="34512B6C">
        <w:rPr>
          <w:rFonts w:ascii="Arial" w:hAnsi="Arial" w:cs="Arial"/>
          <w:b/>
          <w:bCs/>
          <w:sz w:val="20"/>
          <w:szCs w:val="20"/>
        </w:rPr>
        <w:t xml:space="preserve">nters for </w:t>
      </w:r>
      <w:proofErr w:type="gramStart"/>
      <w:r w:rsidRPr="34512B6C">
        <w:rPr>
          <w:rFonts w:ascii="Arial" w:hAnsi="Arial" w:cs="Arial"/>
          <w:b/>
          <w:bCs/>
          <w:sz w:val="20"/>
          <w:szCs w:val="20"/>
        </w:rPr>
        <w:t>Medicare</w:t>
      </w:r>
      <w:proofErr w:type="gramEnd"/>
      <w:r w:rsidRPr="34512B6C">
        <w:rPr>
          <w:rFonts w:ascii="Arial" w:hAnsi="Arial" w:cs="Arial"/>
          <w:b/>
          <w:bCs/>
          <w:sz w:val="20"/>
          <w:szCs w:val="20"/>
        </w:rPr>
        <w:t xml:space="preserve"> and Medicaid Services (CMS) approved Massachusetts’ request to extend the MassHealth Section 1115 Demonstration (“1115 waiver”).</w:t>
      </w:r>
      <w:r w:rsidRPr="34512B6C">
        <w:rPr>
          <w:rFonts w:ascii="Arial" w:hAnsi="Arial" w:cs="Arial"/>
          <w:sz w:val="20"/>
          <w:szCs w:val="20"/>
        </w:rPr>
        <w:t xml:space="preserve"> </w:t>
      </w:r>
      <w:r w:rsidR="16DF8A65" w:rsidRPr="34512B6C">
        <w:rPr>
          <w:rFonts w:ascii="Arial" w:hAnsi="Arial" w:cs="Arial"/>
          <w:sz w:val="20"/>
          <w:szCs w:val="20"/>
        </w:rPr>
        <w:t xml:space="preserve">Since 1997, the MassHealth 1115 </w:t>
      </w:r>
      <w:r w:rsidR="00087E20" w:rsidRPr="34512B6C">
        <w:rPr>
          <w:rFonts w:ascii="Arial" w:hAnsi="Arial" w:cs="Arial"/>
          <w:sz w:val="20"/>
          <w:szCs w:val="20"/>
        </w:rPr>
        <w:t>demonstration</w:t>
      </w:r>
      <w:r w:rsidR="2A1274BE" w:rsidRPr="34512B6C">
        <w:rPr>
          <w:rFonts w:ascii="Arial" w:hAnsi="Arial" w:cs="Arial"/>
          <w:sz w:val="20"/>
          <w:szCs w:val="20"/>
        </w:rPr>
        <w:t xml:space="preserve"> </w:t>
      </w:r>
      <w:r w:rsidR="16DF8A65" w:rsidRPr="34512B6C">
        <w:rPr>
          <w:rFonts w:ascii="Arial" w:hAnsi="Arial" w:cs="Arial"/>
          <w:sz w:val="20"/>
          <w:szCs w:val="20"/>
        </w:rPr>
        <w:t>has been a critical tool in enabling Massachusetts to achieve and maintain near-universal coverage, sustain the Commonwealth’s safety net, expand critical behavioral health services, and implement reforms in the way that care is delivered.</w:t>
      </w:r>
      <w:r w:rsidR="009940FE" w:rsidRPr="34512B6C">
        <w:rPr>
          <w:rFonts w:ascii="Arial" w:hAnsi="Arial" w:cs="Arial"/>
          <w:sz w:val="20"/>
          <w:szCs w:val="20"/>
        </w:rPr>
        <w:t xml:space="preserve"> </w:t>
      </w:r>
      <w:r w:rsidR="005C11EC" w:rsidRPr="34512B6C">
        <w:rPr>
          <w:rFonts w:ascii="Arial" w:hAnsi="Arial" w:cs="Arial"/>
          <w:sz w:val="20"/>
          <w:szCs w:val="20"/>
        </w:rPr>
        <w:t xml:space="preserve">The </w:t>
      </w:r>
      <w:r w:rsidR="00540844">
        <w:rPr>
          <w:rFonts w:ascii="Arial" w:hAnsi="Arial" w:cs="Arial"/>
          <w:sz w:val="20"/>
          <w:szCs w:val="20"/>
        </w:rPr>
        <w:t xml:space="preserve">$67 billion </w:t>
      </w:r>
      <w:r w:rsidR="005C11EC" w:rsidRPr="34512B6C">
        <w:rPr>
          <w:rFonts w:ascii="Arial" w:hAnsi="Arial" w:cs="Arial"/>
          <w:sz w:val="20"/>
          <w:szCs w:val="20"/>
        </w:rPr>
        <w:t xml:space="preserve">waiver is effective October 1, </w:t>
      </w:r>
      <w:proofErr w:type="gramStart"/>
      <w:r w:rsidR="005C11EC" w:rsidRPr="34512B6C">
        <w:rPr>
          <w:rFonts w:ascii="Arial" w:hAnsi="Arial" w:cs="Arial"/>
          <w:sz w:val="20"/>
          <w:szCs w:val="20"/>
        </w:rPr>
        <w:t>2022</w:t>
      </w:r>
      <w:proofErr w:type="gramEnd"/>
      <w:r w:rsidR="009105BD" w:rsidRPr="34512B6C">
        <w:rPr>
          <w:rFonts w:ascii="Arial" w:hAnsi="Arial" w:cs="Arial"/>
          <w:sz w:val="20"/>
          <w:szCs w:val="20"/>
        </w:rPr>
        <w:t xml:space="preserve"> through December 31, 2027.</w:t>
      </w:r>
    </w:p>
    <w:p w14:paraId="77EBC29E" w14:textId="48C00972" w:rsidR="1B765432" w:rsidRPr="00172E2E" w:rsidRDefault="1B765432" w:rsidP="00172E2E">
      <w:pPr>
        <w:spacing w:line="276" w:lineRule="auto"/>
        <w:rPr>
          <w:rFonts w:ascii="Arial" w:hAnsi="Arial" w:cs="Arial"/>
          <w:sz w:val="20"/>
          <w:szCs w:val="20"/>
        </w:rPr>
      </w:pPr>
    </w:p>
    <w:p w14:paraId="193D9EFA" w14:textId="1B6134B8" w:rsidR="00D94D24" w:rsidRPr="00172E2E" w:rsidRDefault="00F76528" w:rsidP="00172E2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2E2E">
        <w:rPr>
          <w:rFonts w:ascii="Arial" w:hAnsi="Arial" w:cs="Arial"/>
          <w:b/>
          <w:bCs/>
          <w:sz w:val="20"/>
          <w:szCs w:val="20"/>
        </w:rPr>
        <w:t>U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 xml:space="preserve">nder the </w:t>
      </w:r>
      <w:r w:rsidR="00F27A38" w:rsidRPr="00172E2E">
        <w:rPr>
          <w:rFonts w:ascii="Arial" w:hAnsi="Arial" w:cs="Arial"/>
          <w:b/>
          <w:bCs/>
          <w:sz w:val="20"/>
          <w:szCs w:val="20"/>
        </w:rPr>
        <w:t xml:space="preserve">2017-2022 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 xml:space="preserve">1115 </w:t>
      </w:r>
      <w:r w:rsidR="00673961" w:rsidRPr="00172E2E">
        <w:rPr>
          <w:rFonts w:ascii="Arial" w:hAnsi="Arial" w:cs="Arial"/>
          <w:b/>
          <w:bCs/>
          <w:sz w:val="20"/>
          <w:szCs w:val="20"/>
        </w:rPr>
        <w:t>demonstration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>, the Baker-</w:t>
      </w:r>
      <w:proofErr w:type="spellStart"/>
      <w:r w:rsidR="003A0294" w:rsidRPr="00172E2E">
        <w:rPr>
          <w:rFonts w:ascii="Arial" w:hAnsi="Arial" w:cs="Arial"/>
          <w:b/>
          <w:bCs/>
          <w:sz w:val="20"/>
          <w:szCs w:val="20"/>
        </w:rPr>
        <w:t>Polito</w:t>
      </w:r>
      <w:proofErr w:type="spellEnd"/>
      <w:r w:rsidR="003A0294" w:rsidRPr="00172E2E">
        <w:rPr>
          <w:rFonts w:ascii="Arial" w:hAnsi="Arial" w:cs="Arial"/>
          <w:b/>
          <w:bCs/>
          <w:sz w:val="20"/>
          <w:szCs w:val="20"/>
        </w:rPr>
        <w:t xml:space="preserve"> </w:t>
      </w:r>
      <w:r w:rsidR="00673961" w:rsidRPr="00172E2E">
        <w:rPr>
          <w:rFonts w:ascii="Arial" w:hAnsi="Arial" w:cs="Arial"/>
          <w:b/>
          <w:bCs/>
          <w:sz w:val="20"/>
          <w:szCs w:val="20"/>
        </w:rPr>
        <w:t>A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>dministration implemented the most significant delivery system reforms for MassHealth members in over two decades,</w:t>
      </w:r>
      <w:r w:rsidR="00D94D24" w:rsidRPr="00172E2E">
        <w:rPr>
          <w:rFonts w:ascii="Arial" w:hAnsi="Arial" w:cs="Arial"/>
          <w:b/>
          <w:bCs/>
          <w:sz w:val="20"/>
          <w:szCs w:val="20"/>
        </w:rPr>
        <w:t xml:space="preserve"> including: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DB89E4" w14:textId="0E5E37DB" w:rsidR="00211B0F" w:rsidRPr="00172E2E" w:rsidRDefault="00D94D24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color w:val="000000" w:themeColor="text1"/>
          <w:sz w:val="20"/>
          <w:szCs w:val="20"/>
        </w:rPr>
      </w:pPr>
      <w:r w:rsidRPr="5A561D3B">
        <w:rPr>
          <w:rStyle w:val="normaltextrun"/>
          <w:sz w:val="20"/>
          <w:szCs w:val="20"/>
        </w:rPr>
        <w:t>R</w:t>
      </w:r>
      <w:r w:rsidR="003A0294" w:rsidRPr="5A561D3B">
        <w:rPr>
          <w:rStyle w:val="normaltextrun"/>
          <w:sz w:val="20"/>
          <w:szCs w:val="20"/>
        </w:rPr>
        <w:t>estructuring the delivery system towards integrated, value-based care</w:t>
      </w:r>
      <w:r w:rsidR="00211B0F" w:rsidRPr="5A561D3B">
        <w:rPr>
          <w:rStyle w:val="normaltextrun"/>
          <w:sz w:val="20"/>
          <w:szCs w:val="20"/>
        </w:rPr>
        <w:t>, including establishing a nation-leading model of Accountable Care Organizations (ACOs) that now cover</w:t>
      </w:r>
      <w:r w:rsidR="00937D75" w:rsidRPr="5A561D3B">
        <w:rPr>
          <w:rStyle w:val="normaltextrun"/>
          <w:sz w:val="20"/>
          <w:szCs w:val="20"/>
        </w:rPr>
        <w:t>s</w:t>
      </w:r>
      <w:r w:rsidR="004D4106" w:rsidRPr="5A561D3B">
        <w:rPr>
          <w:rStyle w:val="normaltextrun"/>
          <w:sz w:val="20"/>
          <w:szCs w:val="20"/>
        </w:rPr>
        <w:t xml:space="preserve"> over </w:t>
      </w:r>
      <w:r w:rsidR="00211B0F" w:rsidRPr="5A561D3B">
        <w:rPr>
          <w:rStyle w:val="normaltextrun"/>
          <w:sz w:val="20"/>
          <w:szCs w:val="20"/>
        </w:rPr>
        <w:t xml:space="preserve">80% of eligible MassHealth </w:t>
      </w:r>
      <w:proofErr w:type="gramStart"/>
      <w:r w:rsidR="00211B0F" w:rsidRPr="5A561D3B">
        <w:rPr>
          <w:rStyle w:val="normaltextrun"/>
          <w:sz w:val="20"/>
          <w:szCs w:val="20"/>
        </w:rPr>
        <w:t>members;</w:t>
      </w:r>
      <w:proofErr w:type="gramEnd"/>
      <w:r w:rsidR="00211B0F" w:rsidRPr="5A561D3B">
        <w:rPr>
          <w:rStyle w:val="normaltextrun"/>
          <w:sz w:val="20"/>
          <w:szCs w:val="20"/>
        </w:rPr>
        <w:t xml:space="preserve"> </w:t>
      </w:r>
    </w:p>
    <w:p w14:paraId="283CDE4D" w14:textId="2BF4F0D0" w:rsidR="006C76BA" w:rsidRPr="00172E2E" w:rsidRDefault="00CD0119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color w:val="000000" w:themeColor="text1"/>
          <w:sz w:val="20"/>
          <w:szCs w:val="20"/>
        </w:rPr>
      </w:pPr>
      <w:r w:rsidRPr="00172E2E">
        <w:rPr>
          <w:rStyle w:val="normaltextrun"/>
          <w:sz w:val="20"/>
          <w:szCs w:val="20"/>
        </w:rPr>
        <w:t>I</w:t>
      </w:r>
      <w:r w:rsidR="003A0294" w:rsidRPr="00172E2E">
        <w:rPr>
          <w:rStyle w:val="normaltextrun"/>
          <w:sz w:val="20"/>
          <w:szCs w:val="20"/>
        </w:rPr>
        <w:t>mproving integration of physical</w:t>
      </w:r>
      <w:r w:rsidR="001418A5" w:rsidRPr="00172E2E">
        <w:rPr>
          <w:rStyle w:val="normaltextrun"/>
          <w:sz w:val="20"/>
          <w:szCs w:val="20"/>
        </w:rPr>
        <w:t xml:space="preserve"> health</w:t>
      </w:r>
      <w:r w:rsidR="003A0294" w:rsidRPr="00172E2E">
        <w:rPr>
          <w:rStyle w:val="normaltextrun"/>
          <w:sz w:val="20"/>
          <w:szCs w:val="20"/>
        </w:rPr>
        <w:t>, behavioral health, and long-term services</w:t>
      </w:r>
      <w:r w:rsidR="00581AEB" w:rsidRPr="00172E2E">
        <w:rPr>
          <w:rStyle w:val="normaltextrun"/>
          <w:sz w:val="20"/>
          <w:szCs w:val="20"/>
        </w:rPr>
        <w:t xml:space="preserve"> and </w:t>
      </w:r>
      <w:proofErr w:type="gramStart"/>
      <w:r w:rsidR="00581AEB" w:rsidRPr="00172E2E">
        <w:rPr>
          <w:rStyle w:val="normaltextrun"/>
          <w:sz w:val="20"/>
          <w:szCs w:val="20"/>
        </w:rPr>
        <w:t>supports</w:t>
      </w:r>
      <w:r w:rsidR="003A0294" w:rsidRPr="00172E2E">
        <w:rPr>
          <w:rStyle w:val="normaltextrun"/>
          <w:sz w:val="20"/>
          <w:szCs w:val="20"/>
        </w:rPr>
        <w:t>;</w:t>
      </w:r>
      <w:proofErr w:type="gramEnd"/>
      <w:r w:rsidR="003A0294" w:rsidRPr="00172E2E">
        <w:rPr>
          <w:rStyle w:val="normaltextrun"/>
          <w:sz w:val="20"/>
          <w:szCs w:val="20"/>
        </w:rPr>
        <w:t xml:space="preserve"> </w:t>
      </w:r>
    </w:p>
    <w:p w14:paraId="58F428BD" w14:textId="3F36FD14" w:rsidR="006C76BA" w:rsidRPr="00172E2E" w:rsidRDefault="006C76BA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color w:val="000000" w:themeColor="text1"/>
          <w:sz w:val="20"/>
          <w:szCs w:val="20"/>
        </w:rPr>
      </w:pPr>
      <w:r w:rsidRPr="00172E2E">
        <w:rPr>
          <w:rStyle w:val="normaltextrun"/>
          <w:sz w:val="20"/>
          <w:szCs w:val="20"/>
        </w:rPr>
        <w:t>A</w:t>
      </w:r>
      <w:r w:rsidR="003A0294" w:rsidRPr="00172E2E">
        <w:rPr>
          <w:rStyle w:val="normaltextrun"/>
          <w:sz w:val="20"/>
          <w:szCs w:val="20"/>
        </w:rPr>
        <w:t xml:space="preserve">ddressing the opioid crisis through expanded access to recovery-oriented </w:t>
      </w:r>
      <w:r w:rsidR="00211B0F" w:rsidRPr="00172E2E">
        <w:rPr>
          <w:rStyle w:val="normaltextrun"/>
          <w:sz w:val="20"/>
          <w:szCs w:val="20"/>
        </w:rPr>
        <w:t>addiction treatment</w:t>
      </w:r>
      <w:r w:rsidR="003A0294" w:rsidRPr="00172E2E">
        <w:rPr>
          <w:rStyle w:val="normaltextrun"/>
          <w:sz w:val="20"/>
          <w:szCs w:val="20"/>
        </w:rPr>
        <w:t xml:space="preserve"> services</w:t>
      </w:r>
      <w:r w:rsidR="46814A29" w:rsidRPr="00172E2E">
        <w:rPr>
          <w:rStyle w:val="normaltextrun"/>
          <w:sz w:val="20"/>
          <w:szCs w:val="20"/>
        </w:rPr>
        <w:t>;</w:t>
      </w:r>
      <w:r w:rsidR="003C1B20" w:rsidRPr="00172E2E">
        <w:rPr>
          <w:rStyle w:val="normaltextrun"/>
          <w:sz w:val="20"/>
          <w:szCs w:val="20"/>
        </w:rPr>
        <w:t xml:space="preserve"> and</w:t>
      </w:r>
      <w:r w:rsidR="003A0294" w:rsidRPr="00172E2E">
        <w:rPr>
          <w:rStyle w:val="normaltextrun"/>
          <w:sz w:val="20"/>
          <w:szCs w:val="20"/>
        </w:rPr>
        <w:t xml:space="preserve"> </w:t>
      </w:r>
    </w:p>
    <w:p w14:paraId="5B313EEE" w14:textId="217CE85E" w:rsidR="000551DE" w:rsidRPr="00172E2E" w:rsidRDefault="006C76BA" w:rsidP="00172E2E">
      <w:pPr>
        <w:pStyle w:val="ListParagraph"/>
        <w:numPr>
          <w:ilvl w:val="0"/>
          <w:numId w:val="7"/>
        </w:numPr>
        <w:spacing w:line="276" w:lineRule="auto"/>
        <w:rPr>
          <w:color w:val="000000" w:themeColor="text1"/>
          <w:sz w:val="20"/>
          <w:szCs w:val="20"/>
        </w:rPr>
      </w:pPr>
      <w:r w:rsidRPr="00172E2E">
        <w:rPr>
          <w:rStyle w:val="normaltextrun"/>
          <w:sz w:val="20"/>
          <w:szCs w:val="20"/>
        </w:rPr>
        <w:t>A</w:t>
      </w:r>
      <w:r w:rsidR="003A0294" w:rsidRPr="00172E2E">
        <w:rPr>
          <w:rStyle w:val="normaltextrun"/>
          <w:sz w:val="20"/>
          <w:szCs w:val="20"/>
        </w:rPr>
        <w:t>uthoriz</w:t>
      </w:r>
      <w:r w:rsidR="6B9AAA08" w:rsidRPr="00172E2E">
        <w:rPr>
          <w:rStyle w:val="normaltextrun"/>
          <w:sz w:val="20"/>
          <w:szCs w:val="20"/>
        </w:rPr>
        <w:t>ing</w:t>
      </w:r>
      <w:r w:rsidR="00ED6B71" w:rsidRPr="00172E2E">
        <w:rPr>
          <w:rStyle w:val="normaltextrun"/>
          <w:sz w:val="20"/>
          <w:szCs w:val="20"/>
        </w:rPr>
        <w:t xml:space="preserve"> </w:t>
      </w:r>
      <w:r w:rsidR="003A0294" w:rsidRPr="00172E2E">
        <w:rPr>
          <w:rStyle w:val="normaltextrun"/>
          <w:sz w:val="20"/>
          <w:szCs w:val="20"/>
        </w:rPr>
        <w:t xml:space="preserve">$1.8 billion in one-time Delivery System Reform Incentive Program (DSRIP) funding to support </w:t>
      </w:r>
      <w:r w:rsidR="001418A5" w:rsidRPr="00172E2E">
        <w:rPr>
          <w:rStyle w:val="normaltextrun"/>
          <w:sz w:val="20"/>
          <w:szCs w:val="20"/>
        </w:rPr>
        <w:t xml:space="preserve">the </w:t>
      </w:r>
      <w:r w:rsidR="003A0294" w:rsidRPr="00172E2E">
        <w:rPr>
          <w:rStyle w:val="normaltextrun"/>
          <w:sz w:val="20"/>
          <w:szCs w:val="20"/>
        </w:rPr>
        <w:t xml:space="preserve">transition </w:t>
      </w:r>
      <w:r w:rsidR="00211B0F" w:rsidRPr="00172E2E">
        <w:rPr>
          <w:rStyle w:val="normaltextrun"/>
          <w:sz w:val="20"/>
          <w:szCs w:val="20"/>
        </w:rPr>
        <w:t>to accountable care,</w:t>
      </w:r>
      <w:r w:rsidR="4281F534" w:rsidRPr="00172E2E">
        <w:rPr>
          <w:rStyle w:val="normaltextrun"/>
          <w:sz w:val="20"/>
          <w:szCs w:val="20"/>
        </w:rPr>
        <w:t xml:space="preserve"> and more than $1 billion per year in funding to support the Commonwealth’s safety net and subsidies</w:t>
      </w:r>
      <w:r w:rsidR="48E88B98" w:rsidRPr="00172E2E">
        <w:rPr>
          <w:rStyle w:val="normaltextrun"/>
          <w:sz w:val="20"/>
          <w:szCs w:val="20"/>
        </w:rPr>
        <w:t xml:space="preserve"> </w:t>
      </w:r>
      <w:r w:rsidR="00211B0F" w:rsidRPr="00172E2E">
        <w:rPr>
          <w:rStyle w:val="normaltextrun"/>
          <w:sz w:val="20"/>
          <w:szCs w:val="20"/>
        </w:rPr>
        <w:t>for</w:t>
      </w:r>
      <w:r w:rsidR="003A0294" w:rsidRPr="00172E2E">
        <w:rPr>
          <w:rStyle w:val="normaltextrun"/>
          <w:sz w:val="20"/>
          <w:szCs w:val="20"/>
        </w:rPr>
        <w:t xml:space="preserve"> affordable coverage on the Massachusetts Health Connector</w:t>
      </w:r>
      <w:r w:rsidR="00520763" w:rsidRPr="00172E2E">
        <w:rPr>
          <w:rStyle w:val="normaltextrun"/>
          <w:sz w:val="20"/>
          <w:szCs w:val="20"/>
        </w:rPr>
        <w:t>.</w:t>
      </w:r>
    </w:p>
    <w:p w14:paraId="523C25B5" w14:textId="77777777" w:rsidR="00716556" w:rsidRPr="00172E2E" w:rsidRDefault="00716556" w:rsidP="00172E2E">
      <w:pPr>
        <w:spacing w:line="276" w:lineRule="auto"/>
        <w:rPr>
          <w:rFonts w:ascii="Arial" w:hAnsi="Arial" w:cs="Arial"/>
          <w:sz w:val="20"/>
          <w:szCs w:val="20"/>
        </w:rPr>
      </w:pPr>
    </w:p>
    <w:p w14:paraId="1BCD5B37" w14:textId="5A3A3825" w:rsidR="004A4919" w:rsidRPr="00172E2E" w:rsidRDefault="007B71D2" w:rsidP="00172E2E">
      <w:pPr>
        <w:pStyle w:val="Heading2"/>
        <w:spacing w:after="0" w:line="276" w:lineRule="auto"/>
        <w:rPr>
          <w:sz w:val="20"/>
          <w:szCs w:val="20"/>
        </w:rPr>
      </w:pPr>
      <w:r w:rsidRPr="00172E2E">
        <w:rPr>
          <w:sz w:val="20"/>
          <w:szCs w:val="20"/>
        </w:rPr>
        <w:t>MassHealth</w:t>
      </w:r>
      <w:r w:rsidR="009940FE" w:rsidRPr="00172E2E">
        <w:rPr>
          <w:sz w:val="20"/>
          <w:szCs w:val="20"/>
        </w:rPr>
        <w:t>’s</w:t>
      </w:r>
      <w:r w:rsidR="004D4106" w:rsidRPr="00172E2E">
        <w:rPr>
          <w:sz w:val="20"/>
          <w:szCs w:val="20"/>
        </w:rPr>
        <w:t xml:space="preserve"> newly </w:t>
      </w:r>
      <w:r w:rsidR="009940FE" w:rsidRPr="00172E2E">
        <w:rPr>
          <w:sz w:val="20"/>
          <w:szCs w:val="20"/>
        </w:rPr>
        <w:t>approved</w:t>
      </w:r>
      <w:r w:rsidRPr="00172E2E">
        <w:rPr>
          <w:sz w:val="20"/>
          <w:szCs w:val="20"/>
        </w:rPr>
        <w:t xml:space="preserve"> </w:t>
      </w:r>
      <w:r w:rsidR="00210E75" w:rsidRPr="00172E2E">
        <w:rPr>
          <w:sz w:val="20"/>
          <w:szCs w:val="20"/>
        </w:rPr>
        <w:t xml:space="preserve">1115 </w:t>
      </w:r>
      <w:r w:rsidR="000B7C43" w:rsidRPr="00172E2E">
        <w:rPr>
          <w:sz w:val="20"/>
          <w:szCs w:val="20"/>
        </w:rPr>
        <w:t>demonstration</w:t>
      </w:r>
      <w:r w:rsidR="17A26391" w:rsidRPr="00172E2E">
        <w:rPr>
          <w:sz w:val="20"/>
          <w:szCs w:val="20"/>
        </w:rPr>
        <w:t xml:space="preserve"> </w:t>
      </w:r>
      <w:r w:rsidRPr="00172E2E">
        <w:rPr>
          <w:sz w:val="20"/>
          <w:szCs w:val="20"/>
        </w:rPr>
        <w:t xml:space="preserve">extension </w:t>
      </w:r>
      <w:r w:rsidR="009940FE" w:rsidRPr="00172E2E">
        <w:rPr>
          <w:sz w:val="20"/>
          <w:szCs w:val="20"/>
        </w:rPr>
        <w:t xml:space="preserve">will </w:t>
      </w:r>
      <w:r w:rsidR="00915001" w:rsidRPr="00172E2E">
        <w:rPr>
          <w:sz w:val="20"/>
          <w:szCs w:val="20"/>
        </w:rPr>
        <w:t xml:space="preserve">continue progress in </w:t>
      </w:r>
      <w:r w:rsidRPr="00172E2E">
        <w:rPr>
          <w:sz w:val="20"/>
          <w:szCs w:val="20"/>
        </w:rPr>
        <w:t xml:space="preserve">improving health outcomes and closing </w:t>
      </w:r>
      <w:r w:rsidR="00210E75" w:rsidRPr="00172E2E">
        <w:rPr>
          <w:sz w:val="20"/>
          <w:szCs w:val="20"/>
        </w:rPr>
        <w:t xml:space="preserve">health </w:t>
      </w:r>
      <w:r w:rsidRPr="00172E2E">
        <w:rPr>
          <w:sz w:val="20"/>
          <w:szCs w:val="20"/>
        </w:rPr>
        <w:t>disparities</w:t>
      </w:r>
      <w:r w:rsidR="001668E3" w:rsidRPr="00172E2E">
        <w:rPr>
          <w:sz w:val="20"/>
          <w:szCs w:val="20"/>
        </w:rPr>
        <w:t xml:space="preserve"> for members</w:t>
      </w:r>
      <w:r w:rsidR="009940FE" w:rsidRPr="00172E2E">
        <w:rPr>
          <w:sz w:val="20"/>
          <w:szCs w:val="20"/>
        </w:rPr>
        <w:t>, in concert with other MassHealth efforts</w:t>
      </w:r>
      <w:r w:rsidR="001418A5" w:rsidRPr="00172E2E">
        <w:rPr>
          <w:sz w:val="20"/>
          <w:szCs w:val="20"/>
        </w:rPr>
        <w:t>.</w:t>
      </w:r>
      <w:r w:rsidR="001668E3" w:rsidRPr="00172E2E">
        <w:rPr>
          <w:sz w:val="20"/>
          <w:szCs w:val="20"/>
        </w:rPr>
        <w:t xml:space="preserve"> </w:t>
      </w:r>
      <w:r w:rsidR="00546EAD" w:rsidRPr="00172E2E">
        <w:rPr>
          <w:sz w:val="20"/>
          <w:szCs w:val="20"/>
        </w:rPr>
        <w:t>The new demonstration extends and expands reforms through December 2027.</w:t>
      </w:r>
    </w:p>
    <w:p w14:paraId="6615F5B4" w14:textId="77777777" w:rsidR="004A4919" w:rsidRPr="00172E2E" w:rsidRDefault="004A4919" w:rsidP="00172E2E">
      <w:pPr>
        <w:pStyle w:val="Heading2"/>
        <w:spacing w:after="0" w:line="276" w:lineRule="auto"/>
        <w:rPr>
          <w:sz w:val="20"/>
          <w:szCs w:val="20"/>
        </w:rPr>
      </w:pPr>
    </w:p>
    <w:p w14:paraId="26C1CB70" w14:textId="77E78019" w:rsidR="00915001" w:rsidRPr="00172E2E" w:rsidRDefault="005C11EC" w:rsidP="00172E2E">
      <w:pPr>
        <w:pStyle w:val="Heading2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E2AEC" w:rsidRPr="00172E2E">
        <w:rPr>
          <w:sz w:val="20"/>
          <w:szCs w:val="20"/>
        </w:rPr>
        <w:t xml:space="preserve">five </w:t>
      </w:r>
      <w:r w:rsidR="005A6C27" w:rsidRPr="00172E2E">
        <w:rPr>
          <w:sz w:val="20"/>
          <w:szCs w:val="20"/>
        </w:rPr>
        <w:t xml:space="preserve">primary </w:t>
      </w:r>
      <w:r w:rsidR="003E2AEC" w:rsidRPr="00172E2E">
        <w:rPr>
          <w:sz w:val="20"/>
          <w:szCs w:val="20"/>
        </w:rPr>
        <w:t>goals</w:t>
      </w:r>
      <w:r w:rsidR="00AE266E" w:rsidRPr="00172E2E">
        <w:rPr>
          <w:sz w:val="20"/>
          <w:szCs w:val="20"/>
        </w:rPr>
        <w:t xml:space="preserve"> for this 1115 </w:t>
      </w:r>
      <w:r w:rsidR="00546EAD" w:rsidRPr="00172E2E">
        <w:rPr>
          <w:sz w:val="20"/>
          <w:szCs w:val="20"/>
        </w:rPr>
        <w:t>demonstration</w:t>
      </w:r>
      <w:r w:rsidR="00EC45F9" w:rsidRPr="00172E2E">
        <w:rPr>
          <w:sz w:val="20"/>
          <w:szCs w:val="20"/>
        </w:rPr>
        <w:t>:</w:t>
      </w:r>
    </w:p>
    <w:p w14:paraId="2D897186" w14:textId="45AE622D" w:rsidR="00ED7498" w:rsidRPr="00172E2E" w:rsidRDefault="2F9D177E" w:rsidP="00172E2E">
      <w:pPr>
        <w:spacing w:line="276" w:lineRule="auto"/>
        <w:rPr>
          <w:rFonts w:ascii="Arial" w:hAnsi="Arial" w:cs="Arial"/>
          <w:sz w:val="20"/>
          <w:szCs w:val="20"/>
        </w:rPr>
      </w:pPr>
      <w:r w:rsidRPr="00172E2E">
        <w:rPr>
          <w:rFonts w:ascii="Arial" w:hAnsi="Arial" w:cs="Arial"/>
          <w:sz w:val="20"/>
          <w:szCs w:val="20"/>
        </w:rPr>
        <w:t xml:space="preserve"> </w:t>
      </w:r>
    </w:p>
    <w:p w14:paraId="12929DEC" w14:textId="41CA916C" w:rsidR="00210E75" w:rsidRPr="00172E2E" w:rsidRDefault="00CD7BA2" w:rsidP="00172E2E">
      <w:pPr>
        <w:spacing w:line="276" w:lineRule="auto"/>
        <w:rPr>
          <w:rStyle w:val="normaltextrun"/>
          <w:rFonts w:ascii="Arial" w:hAnsi="Arial" w:cs="Arial"/>
          <w:sz w:val="20"/>
          <w:szCs w:val="20"/>
        </w:rPr>
      </w:pPr>
      <w:r w:rsidRPr="00172E2E">
        <w:rPr>
          <w:rFonts w:ascii="Arial" w:hAnsi="Arial" w:cs="Arial"/>
          <w:b/>
          <w:bCs/>
          <w:sz w:val="20"/>
          <w:szCs w:val="20"/>
        </w:rPr>
        <w:t>1) Continue the path of restructuring and re-affirm accountable, value-based care – increasing expectations for how ACOs improve care and trend management, and refining the model</w:t>
      </w:r>
      <w:r w:rsidR="001A3135" w:rsidRPr="00172E2E">
        <w:rPr>
          <w:rFonts w:ascii="Arial" w:hAnsi="Arial" w:cs="Arial"/>
          <w:b/>
          <w:bCs/>
          <w:sz w:val="20"/>
          <w:szCs w:val="20"/>
        </w:rPr>
        <w:t>:</w:t>
      </w:r>
      <w:r w:rsidR="00210E75" w:rsidRPr="00172E2E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2E40B01" w14:textId="688C7E80" w:rsidR="00216847" w:rsidRPr="00172E2E" w:rsidRDefault="005C11EC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rFonts w:eastAsia="Arial"/>
          <w:color w:val="000000" w:themeColor="text1"/>
          <w:sz w:val="20"/>
          <w:szCs w:val="20"/>
        </w:rPr>
      </w:pPr>
      <w:r>
        <w:rPr>
          <w:rStyle w:val="normaltextrun"/>
          <w:sz w:val="20"/>
          <w:szCs w:val="20"/>
        </w:rPr>
        <w:t>R</w:t>
      </w:r>
      <w:r w:rsidR="00216847" w:rsidRPr="00172E2E">
        <w:rPr>
          <w:rStyle w:val="normaltextrun"/>
          <w:sz w:val="20"/>
          <w:szCs w:val="20"/>
        </w:rPr>
        <w:t>efine the ACO</w:t>
      </w:r>
      <w:r w:rsidR="00210E75" w:rsidRPr="00172E2E">
        <w:rPr>
          <w:rStyle w:val="normaltextrun"/>
          <w:sz w:val="20"/>
          <w:szCs w:val="20"/>
        </w:rPr>
        <w:t xml:space="preserve"> </w:t>
      </w:r>
      <w:r w:rsidR="00552144" w:rsidRPr="00172E2E">
        <w:rPr>
          <w:rStyle w:val="normaltextrun"/>
          <w:sz w:val="20"/>
          <w:szCs w:val="20"/>
        </w:rPr>
        <w:t xml:space="preserve">program, </w:t>
      </w:r>
      <w:r w:rsidR="2D8AB02E" w:rsidRPr="00172E2E">
        <w:rPr>
          <w:rStyle w:val="normaltextrun"/>
          <w:sz w:val="20"/>
          <w:szCs w:val="20"/>
        </w:rPr>
        <w:t>maintaining the same core pillars and requirements, holding ACOs accountable for high quality care</w:t>
      </w:r>
      <w:r w:rsidR="00552144" w:rsidRPr="00172E2E">
        <w:rPr>
          <w:rStyle w:val="normaltextrun"/>
          <w:sz w:val="20"/>
          <w:szCs w:val="20"/>
        </w:rPr>
        <w:t xml:space="preserve">, </w:t>
      </w:r>
      <w:r w:rsidR="00216847" w:rsidRPr="00172E2E">
        <w:rPr>
          <w:rStyle w:val="normaltextrun"/>
          <w:sz w:val="20"/>
          <w:szCs w:val="20"/>
        </w:rPr>
        <w:t xml:space="preserve">while </w:t>
      </w:r>
      <w:r w:rsidR="00CD2410" w:rsidRPr="00172E2E">
        <w:rPr>
          <w:rStyle w:val="normaltextrun"/>
          <w:sz w:val="20"/>
          <w:szCs w:val="20"/>
        </w:rPr>
        <w:t>making</w:t>
      </w:r>
      <w:r w:rsidR="00216847" w:rsidRPr="00172E2E">
        <w:rPr>
          <w:rStyle w:val="normaltextrun"/>
          <w:sz w:val="20"/>
          <w:szCs w:val="20"/>
        </w:rPr>
        <w:t xml:space="preserve"> improvements based on lessons</w:t>
      </w:r>
      <w:r w:rsidR="001418A5" w:rsidRPr="00172E2E">
        <w:rPr>
          <w:rStyle w:val="normaltextrun"/>
          <w:sz w:val="20"/>
          <w:szCs w:val="20"/>
        </w:rPr>
        <w:t xml:space="preserve"> </w:t>
      </w:r>
      <w:r w:rsidR="00216847" w:rsidRPr="00172E2E">
        <w:rPr>
          <w:rStyle w:val="normaltextrun"/>
          <w:sz w:val="20"/>
          <w:szCs w:val="20"/>
        </w:rPr>
        <w:t>learned</w:t>
      </w:r>
      <w:r w:rsidR="00D45A38">
        <w:rPr>
          <w:rStyle w:val="normaltextrun"/>
          <w:sz w:val="20"/>
          <w:szCs w:val="20"/>
        </w:rPr>
        <w:t>.</w:t>
      </w:r>
      <w:r w:rsidR="00216847" w:rsidRPr="00172E2E">
        <w:rPr>
          <w:rStyle w:val="normaltextrun"/>
          <w:sz w:val="20"/>
          <w:szCs w:val="20"/>
        </w:rPr>
        <w:t xml:space="preserve"> </w:t>
      </w:r>
    </w:p>
    <w:p w14:paraId="78725B53" w14:textId="0B1610B1" w:rsidR="00210E75" w:rsidRPr="00172E2E" w:rsidRDefault="005C11EC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color w:val="000000" w:themeColor="text1"/>
          <w:sz w:val="20"/>
          <w:szCs w:val="20"/>
        </w:rPr>
      </w:pPr>
      <w:r>
        <w:rPr>
          <w:rStyle w:val="normaltextrun"/>
          <w:sz w:val="20"/>
          <w:szCs w:val="20"/>
        </w:rPr>
        <w:t xml:space="preserve">Refine </w:t>
      </w:r>
      <w:r w:rsidR="00216847" w:rsidRPr="00172E2E">
        <w:rPr>
          <w:rStyle w:val="normaltextrun"/>
          <w:sz w:val="20"/>
          <w:szCs w:val="20"/>
        </w:rPr>
        <w:t xml:space="preserve">the </w:t>
      </w:r>
      <w:r w:rsidR="001A3135" w:rsidRPr="00172E2E">
        <w:rPr>
          <w:rStyle w:val="normaltextrun"/>
          <w:sz w:val="20"/>
          <w:szCs w:val="20"/>
        </w:rPr>
        <w:t>B</w:t>
      </w:r>
      <w:r w:rsidR="00216847" w:rsidRPr="00172E2E">
        <w:rPr>
          <w:rStyle w:val="normaltextrun"/>
          <w:sz w:val="20"/>
          <w:szCs w:val="20"/>
        </w:rPr>
        <w:t xml:space="preserve">ehavioral </w:t>
      </w:r>
      <w:r w:rsidR="001A3135" w:rsidRPr="00172E2E">
        <w:rPr>
          <w:rStyle w:val="normaltextrun"/>
          <w:sz w:val="20"/>
          <w:szCs w:val="20"/>
        </w:rPr>
        <w:t>H</w:t>
      </w:r>
      <w:r w:rsidR="00216847" w:rsidRPr="00172E2E">
        <w:rPr>
          <w:rStyle w:val="normaltextrun"/>
          <w:sz w:val="20"/>
          <w:szCs w:val="20"/>
        </w:rPr>
        <w:t>ealth and Long-Term Services and Supports Community Partners</w:t>
      </w:r>
      <w:r w:rsidR="00CE372B" w:rsidRPr="00172E2E">
        <w:rPr>
          <w:rStyle w:val="normaltextrun"/>
          <w:sz w:val="20"/>
          <w:szCs w:val="20"/>
        </w:rPr>
        <w:t xml:space="preserve"> </w:t>
      </w:r>
      <w:r w:rsidR="00216847" w:rsidRPr="00172E2E">
        <w:rPr>
          <w:rStyle w:val="normaltextrun"/>
          <w:sz w:val="20"/>
          <w:szCs w:val="20"/>
        </w:rPr>
        <w:t>program, while transitioning the program to sustainable financing a</w:t>
      </w:r>
      <w:r w:rsidR="0067517F" w:rsidRPr="00172E2E">
        <w:rPr>
          <w:rStyle w:val="normaltextrun"/>
          <w:sz w:val="20"/>
          <w:szCs w:val="20"/>
        </w:rPr>
        <w:t>nd a more accountable structure</w:t>
      </w:r>
      <w:r w:rsidR="00D45A38">
        <w:rPr>
          <w:rStyle w:val="normaltextrun"/>
          <w:sz w:val="20"/>
          <w:szCs w:val="20"/>
        </w:rPr>
        <w:t>.</w:t>
      </w:r>
    </w:p>
    <w:p w14:paraId="5648D60B" w14:textId="388FEE23" w:rsidR="00216847" w:rsidRPr="00172E2E" w:rsidRDefault="005C11EC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rFonts w:eastAsia="Arial"/>
          <w:color w:val="000000" w:themeColor="text1"/>
          <w:sz w:val="20"/>
          <w:szCs w:val="20"/>
        </w:rPr>
      </w:pPr>
      <w:r>
        <w:rPr>
          <w:rStyle w:val="normaltextrun"/>
          <w:sz w:val="20"/>
          <w:szCs w:val="20"/>
        </w:rPr>
        <w:t xml:space="preserve">Transition </w:t>
      </w:r>
      <w:r w:rsidR="00216847" w:rsidRPr="00172E2E">
        <w:rPr>
          <w:rStyle w:val="normaltextrun"/>
          <w:sz w:val="20"/>
          <w:szCs w:val="20"/>
        </w:rPr>
        <w:t>~80% of DSRIP funding to ongoing base funding</w:t>
      </w:r>
      <w:r w:rsidR="00B37222" w:rsidRPr="00172E2E">
        <w:rPr>
          <w:rStyle w:val="normaltextrun"/>
          <w:sz w:val="20"/>
          <w:szCs w:val="20"/>
        </w:rPr>
        <w:t xml:space="preserve"> </w:t>
      </w:r>
      <w:r w:rsidR="291662F2" w:rsidRPr="00172E2E">
        <w:rPr>
          <w:rStyle w:val="normaltextrun"/>
          <w:sz w:val="20"/>
          <w:szCs w:val="20"/>
        </w:rPr>
        <w:t xml:space="preserve">(e.g., </w:t>
      </w:r>
      <w:r w:rsidR="00B37222" w:rsidRPr="00172E2E">
        <w:rPr>
          <w:rStyle w:val="normaltextrun"/>
          <w:sz w:val="20"/>
          <w:szCs w:val="20"/>
        </w:rPr>
        <w:t xml:space="preserve">for </w:t>
      </w:r>
      <w:r w:rsidR="291662F2" w:rsidRPr="00172E2E">
        <w:rPr>
          <w:rStyle w:val="normaltextrun"/>
          <w:sz w:val="20"/>
          <w:szCs w:val="20"/>
        </w:rPr>
        <w:t xml:space="preserve">supports for members with disabilities, embedded community health workers &amp; peers in primary care, </w:t>
      </w:r>
      <w:r w:rsidR="00B37222" w:rsidRPr="00172E2E">
        <w:rPr>
          <w:rStyle w:val="normaltextrun"/>
          <w:sz w:val="20"/>
          <w:szCs w:val="20"/>
        </w:rPr>
        <w:t>Community Partners</w:t>
      </w:r>
      <w:r w:rsidR="291662F2" w:rsidRPr="00172E2E">
        <w:rPr>
          <w:rStyle w:val="normaltextrun"/>
          <w:sz w:val="20"/>
          <w:szCs w:val="20"/>
        </w:rPr>
        <w:t>)</w:t>
      </w:r>
      <w:r w:rsidR="00D45A38">
        <w:rPr>
          <w:rStyle w:val="normaltextrun"/>
          <w:sz w:val="20"/>
          <w:szCs w:val="20"/>
        </w:rPr>
        <w:t>.</w:t>
      </w:r>
    </w:p>
    <w:p w14:paraId="5F919E9B" w14:textId="6D389396" w:rsidR="00373AB3" w:rsidRPr="00172E2E" w:rsidRDefault="00373AB3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color w:val="000000" w:themeColor="text1"/>
          <w:sz w:val="20"/>
          <w:szCs w:val="20"/>
        </w:rPr>
      </w:pPr>
      <w:r w:rsidRPr="00172E2E">
        <w:rPr>
          <w:rStyle w:val="normaltextrun"/>
          <w:sz w:val="20"/>
          <w:szCs w:val="20"/>
        </w:rPr>
        <w:t>Continue and expand the Flexible Services Program and Community Supports Program</w:t>
      </w:r>
      <w:r w:rsidR="00056812" w:rsidRPr="00172E2E">
        <w:rPr>
          <w:rStyle w:val="normaltextrun"/>
          <w:sz w:val="20"/>
          <w:szCs w:val="20"/>
        </w:rPr>
        <w:t>s</w:t>
      </w:r>
      <w:r w:rsidR="00AD343B" w:rsidRPr="00172E2E">
        <w:rPr>
          <w:rStyle w:val="normaltextrun"/>
          <w:sz w:val="20"/>
          <w:szCs w:val="20"/>
        </w:rPr>
        <w:t xml:space="preserve"> </w:t>
      </w:r>
      <w:r w:rsidRPr="00172E2E">
        <w:rPr>
          <w:rStyle w:val="normaltextrun"/>
          <w:sz w:val="20"/>
          <w:szCs w:val="20"/>
        </w:rPr>
        <w:t>under a new framework to</w:t>
      </w:r>
      <w:r w:rsidR="008167FE" w:rsidRPr="00172E2E">
        <w:rPr>
          <w:rStyle w:val="normaltextrun"/>
          <w:sz w:val="20"/>
          <w:szCs w:val="20"/>
        </w:rPr>
        <w:t xml:space="preserve"> addres</w:t>
      </w:r>
      <w:r w:rsidR="00CC6046" w:rsidRPr="00172E2E">
        <w:rPr>
          <w:rStyle w:val="normaltextrun"/>
          <w:sz w:val="20"/>
          <w:szCs w:val="20"/>
        </w:rPr>
        <w:t>s</w:t>
      </w:r>
      <w:r w:rsidR="008167FE" w:rsidRPr="00172E2E">
        <w:rPr>
          <w:rStyle w:val="normaltextrun"/>
          <w:sz w:val="20"/>
          <w:szCs w:val="20"/>
        </w:rPr>
        <w:t xml:space="preserve"> and </w:t>
      </w:r>
      <w:r w:rsidR="00085BF7" w:rsidRPr="00172E2E">
        <w:rPr>
          <w:rStyle w:val="normaltextrun"/>
          <w:sz w:val="20"/>
          <w:szCs w:val="20"/>
        </w:rPr>
        <w:t>integrat</w:t>
      </w:r>
      <w:r w:rsidR="00CC6046" w:rsidRPr="00172E2E">
        <w:rPr>
          <w:rStyle w:val="normaltextrun"/>
          <w:sz w:val="20"/>
          <w:szCs w:val="20"/>
        </w:rPr>
        <w:t>e</w:t>
      </w:r>
      <w:r w:rsidR="00085BF7" w:rsidRPr="00172E2E">
        <w:rPr>
          <w:rStyle w:val="normaltextrun"/>
          <w:sz w:val="20"/>
          <w:szCs w:val="20"/>
        </w:rPr>
        <w:t xml:space="preserve"> </w:t>
      </w:r>
      <w:r w:rsidRPr="00172E2E">
        <w:rPr>
          <w:rStyle w:val="normaltextrun"/>
          <w:sz w:val="20"/>
          <w:szCs w:val="20"/>
        </w:rPr>
        <w:t>health-related social needs</w:t>
      </w:r>
      <w:r w:rsidR="268E8497" w:rsidRPr="00172E2E">
        <w:rPr>
          <w:rStyle w:val="normaltextrun"/>
          <w:sz w:val="20"/>
          <w:szCs w:val="20"/>
        </w:rPr>
        <w:t>, including</w:t>
      </w:r>
      <w:r w:rsidR="00171246" w:rsidRPr="00172E2E">
        <w:rPr>
          <w:rStyle w:val="normaltextrun"/>
          <w:sz w:val="20"/>
          <w:szCs w:val="20"/>
        </w:rPr>
        <w:t>:</w:t>
      </w:r>
    </w:p>
    <w:p w14:paraId="4BA47A72" w14:textId="027DF629" w:rsidR="00373AB3" w:rsidRPr="00172E2E" w:rsidRDefault="268E8497" w:rsidP="00172E2E">
      <w:pPr>
        <w:pStyle w:val="ListParagraph"/>
        <w:numPr>
          <w:ilvl w:val="1"/>
          <w:numId w:val="7"/>
        </w:numPr>
        <w:spacing w:line="276" w:lineRule="auto"/>
        <w:rPr>
          <w:rFonts w:eastAsia="Arial"/>
          <w:color w:val="000000" w:themeColor="text1"/>
          <w:sz w:val="20"/>
          <w:szCs w:val="20"/>
        </w:rPr>
      </w:pPr>
      <w:r w:rsidRPr="00172E2E">
        <w:rPr>
          <w:sz w:val="20"/>
          <w:szCs w:val="20"/>
        </w:rPr>
        <w:t xml:space="preserve">targeted support to members with behavioral health needs who are experiencing or at risk of homelessness, and those recently released from jail or </w:t>
      </w:r>
      <w:proofErr w:type="gramStart"/>
      <w:r w:rsidRPr="00172E2E">
        <w:rPr>
          <w:sz w:val="20"/>
          <w:szCs w:val="20"/>
        </w:rPr>
        <w:t>prison</w:t>
      </w:r>
      <w:r w:rsidR="00BB0C34" w:rsidRPr="00172E2E">
        <w:rPr>
          <w:sz w:val="20"/>
          <w:szCs w:val="20"/>
        </w:rPr>
        <w:t>;</w:t>
      </w:r>
      <w:proofErr w:type="gramEnd"/>
    </w:p>
    <w:p w14:paraId="4C1A4CC1" w14:textId="04AF997F" w:rsidR="00373AB3" w:rsidRPr="00172E2E" w:rsidRDefault="000339F1" w:rsidP="00172E2E">
      <w:pPr>
        <w:pStyle w:val="ListParagraph"/>
        <w:numPr>
          <w:ilvl w:val="1"/>
          <w:numId w:val="7"/>
        </w:numPr>
        <w:spacing w:line="276" w:lineRule="auto"/>
        <w:rPr>
          <w:rStyle w:val="normaltextrun"/>
          <w:rFonts w:eastAsia="Arial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integrate </w:t>
      </w:r>
      <w:r w:rsidR="00D45A38">
        <w:rPr>
          <w:sz w:val="20"/>
          <w:szCs w:val="20"/>
        </w:rPr>
        <w:t>F</w:t>
      </w:r>
      <w:r>
        <w:rPr>
          <w:sz w:val="20"/>
          <w:szCs w:val="20"/>
        </w:rPr>
        <w:t xml:space="preserve">lexible </w:t>
      </w:r>
      <w:r w:rsidR="00D45A38">
        <w:rPr>
          <w:sz w:val="20"/>
          <w:szCs w:val="20"/>
        </w:rPr>
        <w:t>S</w:t>
      </w:r>
      <w:r>
        <w:rPr>
          <w:sz w:val="20"/>
          <w:szCs w:val="20"/>
        </w:rPr>
        <w:t xml:space="preserve">ervices </w:t>
      </w:r>
      <w:r w:rsidR="268E8497" w:rsidRPr="00172E2E">
        <w:rPr>
          <w:sz w:val="20"/>
          <w:szCs w:val="20"/>
        </w:rPr>
        <w:t>within the ACO program, providing evidence-based nutritional and housing supports</w:t>
      </w:r>
      <w:r w:rsidR="00306440" w:rsidRPr="00172E2E">
        <w:rPr>
          <w:rStyle w:val="normaltextrun"/>
          <w:sz w:val="20"/>
          <w:szCs w:val="20"/>
        </w:rPr>
        <w:t>.</w:t>
      </w:r>
    </w:p>
    <w:p w14:paraId="378F9E8A" w14:textId="5C9FF3E7" w:rsidR="00CD7BA2" w:rsidRPr="00172E2E" w:rsidRDefault="001D4D1A" w:rsidP="00172E2E">
      <w:pPr>
        <w:keepNext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2E2E">
        <w:rPr>
          <w:rFonts w:ascii="Arial" w:hAnsi="Arial" w:cs="Arial"/>
          <w:sz w:val="20"/>
          <w:szCs w:val="20"/>
        </w:rPr>
        <w:br/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2) </w:t>
      </w:r>
      <w:r w:rsidR="00E85242" w:rsidRPr="00172E2E">
        <w:rPr>
          <w:rFonts w:ascii="Arial" w:hAnsi="Arial" w:cs="Arial"/>
          <w:b/>
          <w:bCs/>
          <w:sz w:val="20"/>
          <w:szCs w:val="20"/>
        </w:rPr>
        <w:t xml:space="preserve">Reform and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i</w:t>
      </w:r>
      <w:r w:rsidR="00E85242" w:rsidRPr="00172E2E">
        <w:rPr>
          <w:rFonts w:ascii="Arial" w:hAnsi="Arial" w:cs="Arial"/>
          <w:b/>
          <w:bCs/>
          <w:sz w:val="20"/>
          <w:szCs w:val="20"/>
        </w:rPr>
        <w:t xml:space="preserve">nvest 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in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p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rimary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c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are,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b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ehavioral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h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>ealth</w:t>
      </w:r>
      <w:r w:rsidR="00560BF9" w:rsidRPr="00172E2E">
        <w:rPr>
          <w:rFonts w:ascii="Arial" w:hAnsi="Arial" w:cs="Arial"/>
          <w:b/>
          <w:bCs/>
          <w:sz w:val="20"/>
          <w:szCs w:val="20"/>
        </w:rPr>
        <w:t>,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p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ediatric </w:t>
      </w:r>
      <w:r w:rsidR="00BC4A92" w:rsidRPr="00172E2E">
        <w:rPr>
          <w:rFonts w:ascii="Arial" w:hAnsi="Arial" w:cs="Arial"/>
          <w:b/>
          <w:bCs/>
          <w:sz w:val="20"/>
          <w:szCs w:val="20"/>
        </w:rPr>
        <w:t>c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>are that expand</w:t>
      </w:r>
      <w:r w:rsidR="00E85242" w:rsidRPr="00172E2E">
        <w:rPr>
          <w:rFonts w:ascii="Arial" w:hAnsi="Arial" w:cs="Arial"/>
          <w:b/>
          <w:bCs/>
          <w:sz w:val="20"/>
          <w:szCs w:val="20"/>
        </w:rPr>
        <w:t>s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access and move</w:t>
      </w:r>
      <w:r w:rsidR="00E85242" w:rsidRPr="00172E2E">
        <w:rPr>
          <w:rFonts w:ascii="Arial" w:hAnsi="Arial" w:cs="Arial"/>
          <w:b/>
          <w:bCs/>
          <w:sz w:val="20"/>
          <w:szCs w:val="20"/>
        </w:rPr>
        <w:t>s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the delivery system away from fee-for-service health care</w:t>
      </w:r>
      <w:r w:rsidR="001A3135" w:rsidRPr="00172E2E">
        <w:rPr>
          <w:rFonts w:ascii="Arial" w:hAnsi="Arial" w:cs="Arial"/>
          <w:b/>
          <w:bCs/>
          <w:sz w:val="20"/>
          <w:szCs w:val="20"/>
        </w:rPr>
        <w:t>:</w:t>
      </w:r>
    </w:p>
    <w:p w14:paraId="1DEF4725" w14:textId="26B0109B" w:rsidR="00210E75" w:rsidRPr="00172E2E" w:rsidRDefault="004D1D7B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rFonts w:eastAsia="Arial"/>
          <w:color w:val="000000" w:themeColor="text1"/>
          <w:sz w:val="20"/>
          <w:szCs w:val="20"/>
        </w:rPr>
      </w:pPr>
      <w:r w:rsidRPr="00172E2E">
        <w:rPr>
          <w:rStyle w:val="normaltextrun"/>
          <w:sz w:val="20"/>
          <w:szCs w:val="20"/>
        </w:rPr>
        <w:t>Invest $115 million per year</w:t>
      </w:r>
      <w:r w:rsidR="006C397D" w:rsidRPr="00172E2E">
        <w:rPr>
          <w:rStyle w:val="normaltextrun"/>
          <w:sz w:val="20"/>
          <w:szCs w:val="20"/>
        </w:rPr>
        <w:t xml:space="preserve"> </w:t>
      </w:r>
      <w:r w:rsidRPr="00172E2E">
        <w:rPr>
          <w:rStyle w:val="normaltextrun"/>
          <w:sz w:val="20"/>
          <w:szCs w:val="20"/>
        </w:rPr>
        <w:t xml:space="preserve">in primary care through a </w:t>
      </w:r>
      <w:r w:rsidR="26875439" w:rsidRPr="00172E2E">
        <w:rPr>
          <w:rStyle w:val="normaltextrun"/>
          <w:sz w:val="20"/>
          <w:szCs w:val="20"/>
        </w:rPr>
        <w:t>new</w:t>
      </w:r>
      <w:r w:rsidR="004447FA" w:rsidRPr="00172E2E">
        <w:rPr>
          <w:rStyle w:val="normaltextrun"/>
          <w:sz w:val="20"/>
          <w:szCs w:val="20"/>
        </w:rPr>
        <w:t xml:space="preserve"> value-based</w:t>
      </w:r>
      <w:r w:rsidR="26875439" w:rsidRPr="00172E2E">
        <w:rPr>
          <w:rStyle w:val="normaltextrun"/>
          <w:sz w:val="20"/>
          <w:szCs w:val="20"/>
        </w:rPr>
        <w:t xml:space="preserve"> </w:t>
      </w:r>
      <w:r w:rsidRPr="00172E2E">
        <w:rPr>
          <w:rStyle w:val="normaltextrun"/>
          <w:sz w:val="20"/>
          <w:szCs w:val="20"/>
        </w:rPr>
        <w:t xml:space="preserve">sub-capitation model that </w:t>
      </w:r>
      <w:r w:rsidR="004447FA" w:rsidRPr="00172E2E">
        <w:rPr>
          <w:rStyle w:val="normaltextrun"/>
          <w:sz w:val="20"/>
          <w:szCs w:val="20"/>
        </w:rPr>
        <w:t xml:space="preserve">requires providers to meet clear standards for access and team-based, integrated care, while giving them more flexibility </w:t>
      </w:r>
      <w:r w:rsidR="00976865" w:rsidRPr="00172E2E">
        <w:rPr>
          <w:rStyle w:val="normaltextrun"/>
          <w:sz w:val="20"/>
          <w:szCs w:val="20"/>
        </w:rPr>
        <w:t xml:space="preserve">in the delivery of care </w:t>
      </w:r>
      <w:r w:rsidR="004447FA" w:rsidRPr="00172E2E">
        <w:rPr>
          <w:rStyle w:val="normaltextrun"/>
          <w:sz w:val="20"/>
          <w:szCs w:val="20"/>
        </w:rPr>
        <w:t>to meet their patients’ needs</w:t>
      </w:r>
      <w:r w:rsidR="00D45A38">
        <w:rPr>
          <w:rStyle w:val="normaltextrun"/>
          <w:sz w:val="20"/>
          <w:szCs w:val="20"/>
        </w:rPr>
        <w:t>.</w:t>
      </w:r>
    </w:p>
    <w:p w14:paraId="5D5D4467" w14:textId="1D2143C4" w:rsidR="004063EF" w:rsidRPr="00172E2E" w:rsidRDefault="23DF57B6" w:rsidP="00172E2E">
      <w:pPr>
        <w:pStyle w:val="ListParagraph"/>
        <w:numPr>
          <w:ilvl w:val="0"/>
          <w:numId w:val="7"/>
        </w:numPr>
        <w:spacing w:line="276" w:lineRule="auto"/>
        <w:rPr>
          <w:rFonts w:eastAsia="Arial"/>
          <w:color w:val="000000" w:themeColor="text1"/>
          <w:sz w:val="20"/>
          <w:szCs w:val="20"/>
        </w:rPr>
      </w:pPr>
      <w:r w:rsidRPr="00172E2E">
        <w:rPr>
          <w:rFonts w:eastAsia="Arial"/>
          <w:sz w:val="20"/>
          <w:szCs w:val="20"/>
        </w:rPr>
        <w:t xml:space="preserve">Support the Commonwealth’s </w:t>
      </w:r>
      <w:r w:rsidRPr="00172E2E">
        <w:rPr>
          <w:rFonts w:eastAsia="Arial"/>
          <w:i/>
          <w:iCs/>
          <w:sz w:val="20"/>
          <w:szCs w:val="20"/>
        </w:rPr>
        <w:t xml:space="preserve">Roadmap for Behavioral Health Reform </w:t>
      </w:r>
      <w:r w:rsidRPr="00172E2E">
        <w:rPr>
          <w:rFonts w:eastAsia="Arial"/>
          <w:sz w:val="20"/>
          <w:szCs w:val="20"/>
        </w:rPr>
        <w:t>through expanded substance use disorder services</w:t>
      </w:r>
      <w:r w:rsidR="00CF2033" w:rsidRPr="00172E2E">
        <w:rPr>
          <w:rFonts w:eastAsia="Arial"/>
          <w:sz w:val="20"/>
          <w:szCs w:val="20"/>
        </w:rPr>
        <w:t xml:space="preserve"> and </w:t>
      </w:r>
      <w:r w:rsidRPr="00172E2E">
        <w:rPr>
          <w:rFonts w:eastAsia="Arial"/>
          <w:sz w:val="20"/>
          <w:szCs w:val="20"/>
        </w:rPr>
        <w:t xml:space="preserve">diversionary </w:t>
      </w:r>
      <w:r w:rsidR="00976865" w:rsidRPr="00172E2E">
        <w:rPr>
          <w:rFonts w:eastAsia="Arial"/>
          <w:sz w:val="20"/>
          <w:szCs w:val="20"/>
        </w:rPr>
        <w:t>behavioral health services</w:t>
      </w:r>
      <w:r w:rsidR="00D45A38">
        <w:rPr>
          <w:rFonts w:eastAsia="Arial"/>
          <w:sz w:val="20"/>
          <w:szCs w:val="20"/>
        </w:rPr>
        <w:t>.</w:t>
      </w:r>
    </w:p>
    <w:p w14:paraId="76B1B2E6" w14:textId="1106F4F1" w:rsidR="00D84E31" w:rsidRPr="00172E2E" w:rsidRDefault="00D84E31" w:rsidP="00172E2E">
      <w:pPr>
        <w:pStyle w:val="ListParagraph"/>
        <w:numPr>
          <w:ilvl w:val="0"/>
          <w:numId w:val="7"/>
        </w:numPr>
        <w:spacing w:line="276" w:lineRule="auto"/>
        <w:rPr>
          <w:rFonts w:eastAsia="Arial"/>
          <w:sz w:val="20"/>
          <w:szCs w:val="20"/>
        </w:rPr>
      </w:pPr>
      <w:r w:rsidRPr="7DCBFFE7">
        <w:rPr>
          <w:rFonts w:eastAsia="Arial"/>
          <w:sz w:val="20"/>
          <w:szCs w:val="20"/>
        </w:rPr>
        <w:t xml:space="preserve">Invest </w:t>
      </w:r>
      <w:r w:rsidR="00F17886" w:rsidRPr="00F17886">
        <w:rPr>
          <w:rFonts w:eastAsia="Arial"/>
          <w:sz w:val="20"/>
          <w:szCs w:val="20"/>
        </w:rPr>
        <w:t xml:space="preserve">over </w:t>
      </w:r>
      <w:r w:rsidRPr="00F17886">
        <w:rPr>
          <w:rFonts w:eastAsia="Arial"/>
          <w:sz w:val="20"/>
          <w:szCs w:val="20"/>
        </w:rPr>
        <w:t>$</w:t>
      </w:r>
      <w:r w:rsidR="00F17886" w:rsidRPr="00F17886">
        <w:rPr>
          <w:rFonts w:eastAsia="Arial"/>
          <w:sz w:val="20"/>
          <w:szCs w:val="20"/>
        </w:rPr>
        <w:t>43</w:t>
      </w:r>
      <w:r w:rsidR="00116DEA" w:rsidRPr="7DCBFFE7">
        <w:rPr>
          <w:rFonts w:eastAsia="Arial"/>
          <w:sz w:val="20"/>
          <w:szCs w:val="20"/>
        </w:rPr>
        <w:t xml:space="preserve"> million over five years</w:t>
      </w:r>
      <w:r w:rsidRPr="7DCBFFE7">
        <w:rPr>
          <w:rFonts w:eastAsia="Arial"/>
          <w:sz w:val="20"/>
          <w:szCs w:val="20"/>
        </w:rPr>
        <w:t xml:space="preserve"> in loan repayment and residency training </w:t>
      </w:r>
      <w:r w:rsidR="00577A38" w:rsidRPr="7DCBFFE7">
        <w:rPr>
          <w:rFonts w:eastAsia="Arial"/>
          <w:sz w:val="20"/>
          <w:szCs w:val="20"/>
        </w:rPr>
        <w:t xml:space="preserve">programs </w:t>
      </w:r>
      <w:r w:rsidRPr="7DCBFFE7">
        <w:rPr>
          <w:rFonts w:eastAsia="Arial"/>
          <w:sz w:val="20"/>
          <w:szCs w:val="20"/>
        </w:rPr>
        <w:t>to strengthen</w:t>
      </w:r>
      <w:r w:rsidR="00116DEA" w:rsidRPr="7DCBFFE7">
        <w:rPr>
          <w:rFonts w:eastAsia="Arial"/>
          <w:sz w:val="20"/>
          <w:szCs w:val="20"/>
        </w:rPr>
        <w:t xml:space="preserve"> and diversify</w:t>
      </w:r>
      <w:r w:rsidRPr="7DCBFFE7">
        <w:rPr>
          <w:rFonts w:eastAsia="Arial"/>
          <w:sz w:val="20"/>
          <w:szCs w:val="20"/>
        </w:rPr>
        <w:t xml:space="preserve"> the primary care and behavioral health workforce serving MassHealth members</w:t>
      </w:r>
      <w:r w:rsidR="00D45A38" w:rsidRPr="7DCBFFE7">
        <w:rPr>
          <w:rFonts w:eastAsia="Arial"/>
          <w:sz w:val="20"/>
          <w:szCs w:val="20"/>
        </w:rPr>
        <w:t>.</w:t>
      </w:r>
    </w:p>
    <w:p w14:paraId="46C7B613" w14:textId="76992393" w:rsidR="3A7D1E50" w:rsidRPr="00172E2E" w:rsidRDefault="00AC390C" w:rsidP="00172E2E">
      <w:pPr>
        <w:pStyle w:val="ListParagraph"/>
        <w:numPr>
          <w:ilvl w:val="0"/>
          <w:numId w:val="7"/>
        </w:numPr>
        <w:spacing w:line="276" w:lineRule="auto"/>
        <w:rPr>
          <w:rFonts w:eastAsia="Arial"/>
          <w:sz w:val="20"/>
          <w:szCs w:val="20"/>
        </w:rPr>
      </w:pPr>
      <w:r w:rsidRPr="00172E2E">
        <w:rPr>
          <w:rFonts w:eastAsia="Arial"/>
          <w:sz w:val="20"/>
          <w:szCs w:val="20"/>
        </w:rPr>
        <w:lastRenderedPageBreak/>
        <w:t>Strengthen expectations for ACOs to invest in pediatric preventive care and coordinate care for children with complex needs, in combination with a new t</w:t>
      </w:r>
      <w:r w:rsidR="3A7D1E50" w:rsidRPr="00172E2E">
        <w:rPr>
          <w:rFonts w:eastAsia="Arial"/>
          <w:sz w:val="20"/>
          <w:szCs w:val="20"/>
        </w:rPr>
        <w:t>argeted Case Management benefit, MassHealth CARES for Kids, to support children with medical complexity (</w:t>
      </w:r>
      <w:r w:rsidR="002332BC" w:rsidRPr="00172E2E">
        <w:rPr>
          <w:rFonts w:eastAsia="Arial"/>
          <w:sz w:val="20"/>
          <w:szCs w:val="20"/>
        </w:rPr>
        <w:t>outside the demonstration</w:t>
      </w:r>
      <w:r w:rsidR="3A7D1E50" w:rsidRPr="00172E2E">
        <w:rPr>
          <w:rFonts w:eastAsia="Arial"/>
          <w:sz w:val="20"/>
          <w:szCs w:val="20"/>
        </w:rPr>
        <w:t>).</w:t>
      </w:r>
    </w:p>
    <w:p w14:paraId="01C82B91" w14:textId="77777777" w:rsidR="00A849E6" w:rsidRPr="00172E2E" w:rsidRDefault="00A849E6" w:rsidP="00172E2E">
      <w:pPr>
        <w:pStyle w:val="ListParagraph"/>
        <w:spacing w:line="276" w:lineRule="auto"/>
        <w:ind w:left="547"/>
        <w:rPr>
          <w:rStyle w:val="normaltextrun"/>
          <w:sz w:val="20"/>
          <w:szCs w:val="20"/>
        </w:rPr>
      </w:pPr>
    </w:p>
    <w:p w14:paraId="4F811AD2" w14:textId="1AA14013" w:rsidR="00CD7BA2" w:rsidRPr="00172E2E" w:rsidRDefault="00CD7BA2" w:rsidP="00172E2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2E2E">
        <w:rPr>
          <w:rFonts w:ascii="Arial" w:hAnsi="Arial" w:cs="Arial"/>
          <w:b/>
          <w:bCs/>
          <w:sz w:val="20"/>
          <w:szCs w:val="20"/>
        </w:rPr>
        <w:t>3) Advance health equity, addressing health-related social needs and specific disparities</w:t>
      </w:r>
      <w:r w:rsidR="001A3135" w:rsidRPr="00172E2E">
        <w:rPr>
          <w:rFonts w:ascii="Arial" w:hAnsi="Arial" w:cs="Arial"/>
          <w:b/>
          <w:bCs/>
          <w:sz w:val="20"/>
          <w:szCs w:val="20"/>
        </w:rPr>
        <w:t>:</w:t>
      </w:r>
    </w:p>
    <w:p w14:paraId="32F3090F" w14:textId="26704EBC" w:rsidR="00492F54" w:rsidRPr="00172E2E" w:rsidRDefault="00492F54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Launch a &gt;$2 billion initiative over five years to hold ACOs and ACO-participating hospitals accountable for reducing disparities in health care quality and access</w:t>
      </w:r>
      <w:r w:rsidR="00A90942" w:rsidRPr="00172E2E">
        <w:rPr>
          <w:rStyle w:val="normaltextrun"/>
          <w:sz w:val="20"/>
          <w:szCs w:val="20"/>
        </w:rPr>
        <w:t xml:space="preserve">. Providers will </w:t>
      </w:r>
      <w:r w:rsidR="00B42759" w:rsidRPr="00172E2E">
        <w:rPr>
          <w:rStyle w:val="normaltextrun"/>
          <w:sz w:val="20"/>
          <w:szCs w:val="20"/>
        </w:rPr>
        <w:t>improve</w:t>
      </w:r>
      <w:r w:rsidR="00A90942" w:rsidRPr="00172E2E">
        <w:rPr>
          <w:rStyle w:val="normaltextrun"/>
          <w:sz w:val="20"/>
          <w:szCs w:val="20"/>
        </w:rPr>
        <w:t xml:space="preserve"> data collection and reporting on demographic and social risk factors such as race, ethnicity, language, disability status, sexual orientation, gender identity, and health-related social needs; implement evidence-based clinical interventions to improve quality and access; and </w:t>
      </w:r>
      <w:r w:rsidR="00B20B4A" w:rsidRPr="00172E2E">
        <w:rPr>
          <w:rStyle w:val="normaltextrun"/>
          <w:sz w:val="20"/>
          <w:szCs w:val="20"/>
        </w:rPr>
        <w:t>receive incentive funding for performance on</w:t>
      </w:r>
      <w:r w:rsidR="00A90942" w:rsidRPr="00172E2E">
        <w:rPr>
          <w:rStyle w:val="normaltextrun"/>
          <w:sz w:val="20"/>
          <w:szCs w:val="20"/>
        </w:rPr>
        <w:t xml:space="preserve"> improving </w:t>
      </w:r>
      <w:r w:rsidR="002C6ACC" w:rsidRPr="00172E2E">
        <w:rPr>
          <w:rStyle w:val="normaltextrun"/>
          <w:sz w:val="20"/>
          <w:szCs w:val="20"/>
        </w:rPr>
        <w:t>quality</w:t>
      </w:r>
      <w:r w:rsidR="00A90942" w:rsidRPr="00172E2E">
        <w:rPr>
          <w:rStyle w:val="normaltextrun"/>
          <w:sz w:val="20"/>
          <w:szCs w:val="20"/>
        </w:rPr>
        <w:t xml:space="preserve"> and reducing </w:t>
      </w:r>
      <w:r w:rsidR="000339F1" w:rsidRPr="00172E2E">
        <w:rPr>
          <w:rStyle w:val="normaltextrun"/>
          <w:sz w:val="20"/>
          <w:szCs w:val="20"/>
        </w:rPr>
        <w:t>disparities.</w:t>
      </w:r>
    </w:p>
    <w:p w14:paraId="30AF63AF" w14:textId="2CCA4825" w:rsidR="00492F54" w:rsidRPr="00172E2E" w:rsidRDefault="00492F54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 xml:space="preserve">Implement interventions to address racial and ethnic disparities in maternal health, complementing policies outside of the demonstration </w:t>
      </w:r>
      <w:r w:rsidR="00D45A38">
        <w:rPr>
          <w:rStyle w:val="normaltextrun"/>
          <w:sz w:val="20"/>
          <w:szCs w:val="20"/>
        </w:rPr>
        <w:t>including</w:t>
      </w:r>
      <w:r w:rsidRPr="00172E2E">
        <w:rPr>
          <w:rStyle w:val="normaltextrun"/>
          <w:sz w:val="20"/>
          <w:szCs w:val="20"/>
        </w:rPr>
        <w:t xml:space="preserve"> 12-month postpartum eligibility and coverage of doula </w:t>
      </w:r>
      <w:r w:rsidR="000339F1" w:rsidRPr="00172E2E">
        <w:rPr>
          <w:rStyle w:val="normaltextrun"/>
          <w:sz w:val="20"/>
          <w:szCs w:val="20"/>
        </w:rPr>
        <w:t>services.</w:t>
      </w:r>
      <w:r w:rsidRPr="00172E2E">
        <w:rPr>
          <w:rStyle w:val="normaltextrun"/>
          <w:sz w:val="20"/>
          <w:szCs w:val="20"/>
        </w:rPr>
        <w:t xml:space="preserve"> </w:t>
      </w:r>
    </w:p>
    <w:p w14:paraId="210D58E4" w14:textId="1817DBC7" w:rsidR="00D45A38" w:rsidRPr="00D45A38" w:rsidRDefault="00492F54" w:rsidP="000339F1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339F1">
        <w:rPr>
          <w:rStyle w:val="normaltextrun"/>
          <w:sz w:val="20"/>
          <w:szCs w:val="20"/>
        </w:rPr>
        <w:t>Expand the Flexible Services and Community Supports Programs to address health-related social needs such as nutrition and housing</w:t>
      </w:r>
      <w:r w:rsidR="00D45A38">
        <w:rPr>
          <w:rStyle w:val="normaltextrun"/>
          <w:sz w:val="20"/>
          <w:szCs w:val="20"/>
        </w:rPr>
        <w:t>,</w:t>
      </w:r>
      <w:r w:rsidRPr="000339F1">
        <w:rPr>
          <w:rStyle w:val="normaltextrun"/>
          <w:sz w:val="20"/>
          <w:szCs w:val="20"/>
        </w:rPr>
        <w:t xml:space="preserve"> and to provide post-release transition supports </w:t>
      </w:r>
      <w:r w:rsidR="0087128E" w:rsidRPr="000339F1">
        <w:rPr>
          <w:rFonts w:eastAsia="Arial"/>
          <w:sz w:val="20"/>
          <w:szCs w:val="20"/>
        </w:rPr>
        <w:t>for justice-involved members</w:t>
      </w:r>
      <w:r w:rsidR="000339F1" w:rsidRPr="000339F1">
        <w:rPr>
          <w:rFonts w:eastAsia="Arial"/>
          <w:sz w:val="20"/>
          <w:szCs w:val="20"/>
        </w:rPr>
        <w:t>.</w:t>
      </w:r>
    </w:p>
    <w:p w14:paraId="5725FF1A" w14:textId="39843C62" w:rsidR="00492F54" w:rsidRPr="000339F1" w:rsidRDefault="00D01E89" w:rsidP="000339F1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sz w:val="20"/>
          <w:szCs w:val="20"/>
        </w:rPr>
      </w:pPr>
      <w:r w:rsidRPr="000339F1">
        <w:rPr>
          <w:rStyle w:val="normaltextrun"/>
          <w:sz w:val="20"/>
          <w:szCs w:val="20"/>
        </w:rPr>
        <w:t>Strengthen coverage for members with disabilities, including streamlining access to CommonHealth coverage, required reporting of quality measures stratified by disability, and improvements to the LTSS CP program</w:t>
      </w:r>
      <w:r w:rsidR="006D6BE0" w:rsidRPr="000339F1">
        <w:rPr>
          <w:rStyle w:val="normaltextrun"/>
          <w:sz w:val="20"/>
          <w:szCs w:val="20"/>
        </w:rPr>
        <w:t>.</w:t>
      </w:r>
    </w:p>
    <w:p w14:paraId="1BFA3296" w14:textId="0D661596" w:rsidR="05E7FFEC" w:rsidRPr="00172E2E" w:rsidRDefault="00B91A24" w:rsidP="00172E2E">
      <w:pPr>
        <w:pStyle w:val="ListParagraph"/>
        <w:numPr>
          <w:ilvl w:val="0"/>
          <w:numId w:val="7"/>
        </w:numPr>
        <w:spacing w:line="276" w:lineRule="auto"/>
        <w:rPr>
          <w:rFonts w:eastAsia="Arial"/>
          <w:i/>
          <w:iCs/>
          <w:color w:val="000000" w:themeColor="text1"/>
          <w:sz w:val="20"/>
          <w:szCs w:val="20"/>
        </w:rPr>
      </w:pPr>
      <w:r w:rsidRPr="00172E2E">
        <w:rPr>
          <w:rFonts w:eastAsia="Arial"/>
          <w:i/>
          <w:iCs/>
          <w:sz w:val="20"/>
          <w:szCs w:val="20"/>
        </w:rPr>
        <w:t xml:space="preserve">Note: </w:t>
      </w:r>
      <w:r w:rsidR="05E7FFEC" w:rsidRPr="00172E2E">
        <w:rPr>
          <w:rFonts w:eastAsia="Arial"/>
          <w:i/>
          <w:iCs/>
          <w:sz w:val="20"/>
          <w:szCs w:val="20"/>
        </w:rPr>
        <w:t>MassHealth's proposal to provide pre-release transition supports for justice-involved members is pending federal guidance for all states, expected in late 2022 or early 2023.</w:t>
      </w:r>
    </w:p>
    <w:p w14:paraId="6134F1B4" w14:textId="6061AD99" w:rsidR="00CD7BA2" w:rsidRPr="00172E2E" w:rsidRDefault="001D4D1A" w:rsidP="00172E2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2E2E">
        <w:rPr>
          <w:rFonts w:ascii="Arial" w:hAnsi="Arial" w:cs="Arial"/>
          <w:b/>
          <w:sz w:val="20"/>
          <w:szCs w:val="20"/>
        </w:rPr>
        <w:br/>
      </w:r>
      <w:bookmarkStart w:id="0" w:name="_Hlk85713352"/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4) </w:t>
      </w:r>
      <w:r w:rsidR="00E00AAB" w:rsidRPr="00172E2E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Sustainably support the Commonwealth’s safety net, including </w:t>
      </w:r>
      <w:r w:rsidR="5B4F5780" w:rsidRPr="00172E2E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>increased</w:t>
      </w:r>
      <w:r w:rsidR="00E00AAB" w:rsidRPr="00172E2E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funding for safety net providers, with a continued linkage to accountable care</w:t>
      </w:r>
      <w:r w:rsidR="00CE372B" w:rsidRPr="00172E2E">
        <w:rPr>
          <w:rFonts w:ascii="Arial" w:hAnsi="Arial" w:cs="Arial"/>
          <w:b/>
          <w:bCs/>
          <w:sz w:val="20"/>
          <w:szCs w:val="20"/>
        </w:rPr>
        <w:t>: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p w14:paraId="58754AB2" w14:textId="47730F2D" w:rsidR="00F4735D" w:rsidRPr="00172E2E" w:rsidRDefault="00F4735D" w:rsidP="00172E2E">
      <w:pPr>
        <w:pStyle w:val="ListParagraph"/>
        <w:numPr>
          <w:ilvl w:val="0"/>
          <w:numId w:val="33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 xml:space="preserve">Extend and increase Safety Net Provider Payments by $125 million per year and direct </w:t>
      </w:r>
      <w:proofErr w:type="gramStart"/>
      <w:r w:rsidRPr="00172E2E">
        <w:rPr>
          <w:rStyle w:val="normaltextrun"/>
          <w:sz w:val="20"/>
          <w:szCs w:val="20"/>
        </w:rPr>
        <w:t>the majority of</w:t>
      </w:r>
      <w:proofErr w:type="gramEnd"/>
      <w:r w:rsidRPr="00172E2E">
        <w:rPr>
          <w:rStyle w:val="normaltextrun"/>
          <w:sz w:val="20"/>
          <w:szCs w:val="20"/>
        </w:rPr>
        <w:t xml:space="preserve"> new incentive funding for health equity to safety net </w:t>
      </w:r>
      <w:r w:rsidR="000339F1" w:rsidRPr="00172E2E">
        <w:rPr>
          <w:rStyle w:val="normaltextrun"/>
          <w:sz w:val="20"/>
          <w:szCs w:val="20"/>
        </w:rPr>
        <w:t>hospitals.</w:t>
      </w:r>
    </w:p>
    <w:p w14:paraId="26BF7DA2" w14:textId="241A18AD" w:rsidR="00F4735D" w:rsidRPr="00172E2E" w:rsidRDefault="00F4735D" w:rsidP="00172E2E">
      <w:pPr>
        <w:pStyle w:val="ListParagraph"/>
        <w:numPr>
          <w:ilvl w:val="0"/>
          <w:numId w:val="33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Preserve other long-time funding for the Commonwealth’s safety net (e.g., the Health Safety Net)</w:t>
      </w:r>
      <w:r w:rsidR="000339F1">
        <w:rPr>
          <w:rStyle w:val="normaltextrun"/>
          <w:sz w:val="20"/>
          <w:szCs w:val="20"/>
        </w:rPr>
        <w:t>.</w:t>
      </w:r>
    </w:p>
    <w:p w14:paraId="1B438A11" w14:textId="77777777" w:rsidR="00F4735D" w:rsidRPr="00172E2E" w:rsidRDefault="00F4735D" w:rsidP="00172E2E">
      <w:pPr>
        <w:pStyle w:val="ListParagraph"/>
        <w:numPr>
          <w:ilvl w:val="0"/>
          <w:numId w:val="33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Implement the expanded hospital assessment recently signed into law to fund these important initiatives and other hospital programs (e.g., increased base rates and a revamped clinical quality program).</w:t>
      </w:r>
    </w:p>
    <w:p w14:paraId="66CAB209" w14:textId="25FC9270" w:rsidR="00CD7BA2" w:rsidRPr="00172E2E" w:rsidRDefault="001D4D1A" w:rsidP="00172E2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72E2E">
        <w:rPr>
          <w:rFonts w:ascii="Arial" w:hAnsi="Arial" w:cs="Arial"/>
          <w:b/>
          <w:sz w:val="20"/>
          <w:szCs w:val="20"/>
        </w:rPr>
        <w:br/>
      </w:r>
      <w:r w:rsidR="00CD7BA2" w:rsidRPr="00172E2E">
        <w:rPr>
          <w:rFonts w:ascii="Arial" w:hAnsi="Arial" w:cs="Arial"/>
          <w:b/>
          <w:bCs/>
          <w:sz w:val="20"/>
          <w:szCs w:val="20"/>
        </w:rPr>
        <w:t>5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>) M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>a</w:t>
      </w:r>
      <w:r w:rsidR="00F50647" w:rsidRPr="00172E2E">
        <w:rPr>
          <w:rFonts w:ascii="Arial" w:hAnsi="Arial" w:cs="Arial"/>
          <w:b/>
          <w:sz w:val="20"/>
          <w:szCs w:val="20"/>
        </w:rPr>
        <w:softHyphen/>
      </w:r>
      <w:r w:rsidR="00F50647" w:rsidRPr="00172E2E">
        <w:rPr>
          <w:rFonts w:ascii="Arial" w:hAnsi="Arial" w:cs="Arial"/>
          <w:b/>
          <w:sz w:val="20"/>
          <w:szCs w:val="20"/>
        </w:rPr>
        <w:softHyphen/>
      </w:r>
      <w:r w:rsidR="00CD7BA2" w:rsidRPr="00172E2E">
        <w:rPr>
          <w:rFonts w:ascii="Arial" w:hAnsi="Arial" w:cs="Arial"/>
          <w:b/>
          <w:bCs/>
          <w:sz w:val="20"/>
          <w:szCs w:val="20"/>
        </w:rPr>
        <w:t>intain near-universal coverage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>,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</w:t>
      </w:r>
      <w:r w:rsidR="003A0294" w:rsidRPr="00172E2E">
        <w:rPr>
          <w:rFonts w:ascii="Arial" w:hAnsi="Arial" w:cs="Arial"/>
          <w:b/>
          <w:bCs/>
          <w:sz w:val="20"/>
          <w:szCs w:val="20"/>
        </w:rPr>
        <w:t>including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updates to eligibility policies to support coverage and equity</w:t>
      </w:r>
      <w:r w:rsidR="00CE372B" w:rsidRPr="00172E2E">
        <w:rPr>
          <w:rFonts w:ascii="Arial" w:hAnsi="Arial" w:cs="Arial"/>
          <w:b/>
          <w:bCs/>
          <w:sz w:val="20"/>
          <w:szCs w:val="20"/>
        </w:rPr>
        <w:t xml:space="preserve">: </w:t>
      </w:r>
      <w:r w:rsidR="00CD7BA2" w:rsidRPr="00172E2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F1AA2B" w14:textId="18316AD5" w:rsidR="00172E2E" w:rsidRPr="00172E2E" w:rsidRDefault="00172E2E" w:rsidP="00172E2E">
      <w:pPr>
        <w:pStyle w:val="ListParagraph"/>
        <w:numPr>
          <w:ilvl w:val="0"/>
          <w:numId w:val="34"/>
        </w:numPr>
        <w:spacing w:line="276" w:lineRule="auto"/>
        <w:contextualSpacing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Maintain current coverage expansions, including state subsidies to ensure affordability of Health Connector plans for enrollees with incomes up to 300% of the federal poverty level</w:t>
      </w:r>
      <w:r w:rsidR="000339F1">
        <w:rPr>
          <w:rStyle w:val="normaltextrun"/>
          <w:sz w:val="20"/>
          <w:szCs w:val="20"/>
        </w:rPr>
        <w:t>.</w:t>
      </w:r>
    </w:p>
    <w:p w14:paraId="0819EFDE" w14:textId="77777777" w:rsidR="00172E2E" w:rsidRPr="00172E2E" w:rsidRDefault="00172E2E" w:rsidP="00172E2E">
      <w:pPr>
        <w:pStyle w:val="ListParagraph"/>
        <w:numPr>
          <w:ilvl w:val="0"/>
          <w:numId w:val="7"/>
        </w:numPr>
        <w:spacing w:line="276" w:lineRule="auto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Make targeted updates to MassHealth eligibility to support coverage and equity, including:</w:t>
      </w:r>
    </w:p>
    <w:p w14:paraId="6613CC9F" w14:textId="77777777" w:rsidR="00172E2E" w:rsidRPr="00172E2E" w:rsidRDefault="00172E2E" w:rsidP="00172E2E">
      <w:pPr>
        <w:pStyle w:val="ListParagraph"/>
        <w:numPr>
          <w:ilvl w:val="1"/>
          <w:numId w:val="7"/>
        </w:numPr>
        <w:spacing w:line="276" w:lineRule="auto"/>
        <w:ind w:left="720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 xml:space="preserve">A simplified process for adults with disabilities to qualify for </w:t>
      </w:r>
      <w:proofErr w:type="gramStart"/>
      <w:r w:rsidRPr="00172E2E">
        <w:rPr>
          <w:rStyle w:val="normaltextrun"/>
          <w:sz w:val="20"/>
          <w:szCs w:val="20"/>
        </w:rPr>
        <w:t>CommonHealth;</w:t>
      </w:r>
      <w:proofErr w:type="gramEnd"/>
    </w:p>
    <w:p w14:paraId="209DD9B6" w14:textId="77777777" w:rsidR="00172E2E" w:rsidRPr="00172E2E" w:rsidRDefault="00172E2E" w:rsidP="00172E2E">
      <w:pPr>
        <w:pStyle w:val="ListParagraph"/>
        <w:numPr>
          <w:ilvl w:val="1"/>
          <w:numId w:val="7"/>
        </w:numPr>
        <w:spacing w:line="276" w:lineRule="auto"/>
        <w:ind w:left="720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 xml:space="preserve">3-month retroactive eligibility for pregnant individuals and </w:t>
      </w:r>
      <w:proofErr w:type="gramStart"/>
      <w:r w:rsidRPr="00172E2E">
        <w:rPr>
          <w:rStyle w:val="normaltextrun"/>
          <w:sz w:val="20"/>
          <w:szCs w:val="20"/>
        </w:rPr>
        <w:t>children;</w:t>
      </w:r>
      <w:proofErr w:type="gramEnd"/>
    </w:p>
    <w:p w14:paraId="62B5EECF" w14:textId="77777777" w:rsidR="00172E2E" w:rsidRPr="00172E2E" w:rsidRDefault="00172E2E" w:rsidP="00172E2E">
      <w:pPr>
        <w:pStyle w:val="ListParagraph"/>
        <w:numPr>
          <w:ilvl w:val="1"/>
          <w:numId w:val="7"/>
        </w:numPr>
        <w:spacing w:line="276" w:lineRule="auto"/>
        <w:ind w:left="720"/>
        <w:rPr>
          <w:rStyle w:val="normaltextrun"/>
          <w:sz w:val="20"/>
          <w:szCs w:val="20"/>
        </w:rPr>
      </w:pPr>
      <w:r w:rsidRPr="00172E2E">
        <w:rPr>
          <w:rStyle w:val="normaltextrun"/>
          <w:sz w:val="20"/>
          <w:szCs w:val="20"/>
        </w:rPr>
        <w:t>At least 12 months of continuous eligibility for members experiencing homelessness and members recently released from a correctional institution; and</w:t>
      </w:r>
    </w:p>
    <w:p w14:paraId="78977747" w14:textId="77777777" w:rsidR="00172E2E" w:rsidRPr="00172E2E" w:rsidRDefault="00172E2E" w:rsidP="00172E2E">
      <w:pPr>
        <w:pStyle w:val="ListParagraph"/>
        <w:numPr>
          <w:ilvl w:val="1"/>
          <w:numId w:val="7"/>
        </w:numPr>
        <w:spacing w:line="276" w:lineRule="auto"/>
        <w:ind w:left="720"/>
        <w:rPr>
          <w:sz w:val="20"/>
          <w:szCs w:val="20"/>
        </w:rPr>
      </w:pPr>
      <w:r w:rsidRPr="00172E2E">
        <w:rPr>
          <w:rStyle w:val="normaltextrun"/>
          <w:sz w:val="20"/>
          <w:szCs w:val="20"/>
        </w:rPr>
        <w:t>Expanded access to Medicare Savings Programs for members with MassHealth Standard.</w:t>
      </w:r>
    </w:p>
    <w:p w14:paraId="50EA3EF8" w14:textId="53EC1EEE" w:rsidR="00651E7F" w:rsidRPr="00172E2E" w:rsidRDefault="001D4D1A" w:rsidP="00172E2E">
      <w:pPr>
        <w:pStyle w:val="Heading2"/>
        <w:spacing w:after="0" w:line="276" w:lineRule="auto"/>
        <w:rPr>
          <w:sz w:val="20"/>
          <w:szCs w:val="20"/>
        </w:rPr>
      </w:pPr>
      <w:r w:rsidRPr="00172E2E">
        <w:rPr>
          <w:sz w:val="20"/>
          <w:szCs w:val="20"/>
        </w:rPr>
        <w:br/>
      </w:r>
      <w:r w:rsidR="00777BB8" w:rsidRPr="00172E2E">
        <w:rPr>
          <w:sz w:val="20"/>
          <w:szCs w:val="20"/>
        </w:rPr>
        <w:t>MassHealth</w:t>
      </w:r>
      <w:r w:rsidR="00EC45F9" w:rsidRPr="00172E2E">
        <w:rPr>
          <w:sz w:val="20"/>
          <w:szCs w:val="20"/>
        </w:rPr>
        <w:t>’s 1115</w:t>
      </w:r>
      <w:r w:rsidR="002439E9" w:rsidRPr="00172E2E">
        <w:rPr>
          <w:sz w:val="20"/>
          <w:szCs w:val="20"/>
        </w:rPr>
        <w:t xml:space="preserve"> waiver </w:t>
      </w:r>
      <w:r w:rsidR="00EC45F9" w:rsidRPr="00172E2E">
        <w:rPr>
          <w:sz w:val="20"/>
          <w:szCs w:val="20"/>
        </w:rPr>
        <w:t xml:space="preserve">extension </w:t>
      </w:r>
      <w:r w:rsidR="004436C2" w:rsidRPr="00172E2E">
        <w:rPr>
          <w:sz w:val="20"/>
          <w:szCs w:val="20"/>
        </w:rPr>
        <w:t>reflects</w:t>
      </w:r>
      <w:r w:rsidR="00777BB8" w:rsidRPr="00172E2E">
        <w:rPr>
          <w:sz w:val="20"/>
          <w:szCs w:val="20"/>
        </w:rPr>
        <w:t xml:space="preserve"> intensive </w:t>
      </w:r>
      <w:r w:rsidR="00EC45F9" w:rsidRPr="00172E2E">
        <w:rPr>
          <w:sz w:val="20"/>
          <w:szCs w:val="20"/>
        </w:rPr>
        <w:t xml:space="preserve">and ongoing </w:t>
      </w:r>
      <w:r w:rsidR="00777BB8" w:rsidRPr="00172E2E">
        <w:rPr>
          <w:sz w:val="20"/>
          <w:szCs w:val="20"/>
        </w:rPr>
        <w:t>stakeholder</w:t>
      </w:r>
      <w:r w:rsidR="00FE620A" w:rsidRPr="00172E2E">
        <w:rPr>
          <w:sz w:val="20"/>
          <w:szCs w:val="20"/>
        </w:rPr>
        <w:t xml:space="preserve"> </w:t>
      </w:r>
      <w:r w:rsidR="00777BB8" w:rsidRPr="00172E2E">
        <w:rPr>
          <w:sz w:val="20"/>
          <w:szCs w:val="20"/>
        </w:rPr>
        <w:t>engagement</w:t>
      </w:r>
      <w:r w:rsidR="00FE620A" w:rsidRPr="00172E2E">
        <w:rPr>
          <w:sz w:val="20"/>
          <w:szCs w:val="20"/>
        </w:rPr>
        <w:t xml:space="preserve"> and collaboration</w:t>
      </w:r>
    </w:p>
    <w:p w14:paraId="457E86B6" w14:textId="2DA55809" w:rsidR="005146B3" w:rsidRPr="00172E2E" w:rsidRDefault="00EC45F9" w:rsidP="00172E2E">
      <w:pPr>
        <w:pStyle w:val="ListParagraph"/>
        <w:numPr>
          <w:ilvl w:val="0"/>
          <w:numId w:val="7"/>
        </w:numPr>
        <w:spacing w:line="276" w:lineRule="auto"/>
        <w:ind w:left="540"/>
        <w:rPr>
          <w:color w:val="000000" w:themeColor="text1"/>
          <w:sz w:val="20"/>
          <w:szCs w:val="20"/>
        </w:rPr>
      </w:pPr>
      <w:r w:rsidRPr="00172E2E">
        <w:rPr>
          <w:sz w:val="20"/>
          <w:szCs w:val="20"/>
        </w:rPr>
        <w:t xml:space="preserve">Workgroups of </w:t>
      </w:r>
      <w:r w:rsidR="000358DE" w:rsidRPr="00172E2E">
        <w:rPr>
          <w:sz w:val="20"/>
          <w:szCs w:val="20"/>
        </w:rPr>
        <w:t xml:space="preserve">over 100 </w:t>
      </w:r>
      <w:r w:rsidRPr="00172E2E">
        <w:rPr>
          <w:sz w:val="20"/>
          <w:szCs w:val="20"/>
        </w:rPr>
        <w:t xml:space="preserve">stakeholders met </w:t>
      </w:r>
      <w:r w:rsidR="00D66DB6">
        <w:rPr>
          <w:sz w:val="20"/>
          <w:szCs w:val="20"/>
        </w:rPr>
        <w:t>in</w:t>
      </w:r>
      <w:r w:rsidRPr="00172E2E">
        <w:rPr>
          <w:sz w:val="20"/>
          <w:szCs w:val="20"/>
        </w:rPr>
        <w:t xml:space="preserve"> 2020 and 2021 to inform policy </w:t>
      </w:r>
      <w:r w:rsidR="00300469" w:rsidRPr="00172E2E">
        <w:rPr>
          <w:sz w:val="20"/>
          <w:szCs w:val="20"/>
        </w:rPr>
        <w:t>design</w:t>
      </w:r>
      <w:r w:rsidR="00D66DB6">
        <w:rPr>
          <w:sz w:val="20"/>
          <w:szCs w:val="20"/>
        </w:rPr>
        <w:t xml:space="preserve"> before MassHealth’s demonstration proposal was submitted to CMS in December </w:t>
      </w:r>
      <w:r w:rsidR="000339F1">
        <w:rPr>
          <w:sz w:val="20"/>
          <w:szCs w:val="20"/>
        </w:rPr>
        <w:t>2021.</w:t>
      </w:r>
    </w:p>
    <w:p w14:paraId="2430DD0A" w14:textId="1C369B9B" w:rsidR="006B0FA6" w:rsidRPr="0045036A" w:rsidRDefault="00A17432" w:rsidP="00172E2E">
      <w:pPr>
        <w:pStyle w:val="ListParagraph"/>
        <w:numPr>
          <w:ilvl w:val="0"/>
          <w:numId w:val="7"/>
        </w:numPr>
        <w:spacing w:line="276" w:lineRule="auto"/>
        <w:ind w:left="540"/>
        <w:textAlignment w:val="baseline"/>
        <w:rPr>
          <w:rFonts w:eastAsia="MS Mincho"/>
          <w:color w:val="000000"/>
          <w:sz w:val="20"/>
          <w:szCs w:val="20"/>
        </w:rPr>
      </w:pPr>
      <w:r w:rsidRPr="00172E2E">
        <w:rPr>
          <w:sz w:val="20"/>
          <w:szCs w:val="20"/>
        </w:rPr>
        <w:t>A broad range of stakeholders were engaged throughout the process, including consumer advocates, health care providers such as community health centers, hospitals,</w:t>
      </w:r>
      <w:r w:rsidR="00E35577" w:rsidRPr="00172E2E">
        <w:rPr>
          <w:sz w:val="20"/>
          <w:szCs w:val="20"/>
        </w:rPr>
        <w:t xml:space="preserve"> and </w:t>
      </w:r>
      <w:r w:rsidRPr="00172E2E">
        <w:rPr>
          <w:sz w:val="20"/>
          <w:szCs w:val="20"/>
        </w:rPr>
        <w:t xml:space="preserve">behavioral health </w:t>
      </w:r>
      <w:r w:rsidR="00D570A0" w:rsidRPr="00172E2E">
        <w:rPr>
          <w:sz w:val="20"/>
          <w:szCs w:val="20"/>
        </w:rPr>
        <w:t xml:space="preserve">and </w:t>
      </w:r>
      <w:r w:rsidRPr="00172E2E">
        <w:rPr>
          <w:sz w:val="20"/>
          <w:szCs w:val="20"/>
        </w:rPr>
        <w:t xml:space="preserve">LTSS providers, as well as community </w:t>
      </w:r>
      <w:r w:rsidR="000339F1" w:rsidRPr="00172E2E">
        <w:rPr>
          <w:sz w:val="20"/>
          <w:szCs w:val="20"/>
        </w:rPr>
        <w:t>organizations</w:t>
      </w:r>
      <w:r w:rsidR="000339F1">
        <w:rPr>
          <w:sz w:val="20"/>
          <w:szCs w:val="20"/>
        </w:rPr>
        <w:t>.</w:t>
      </w:r>
    </w:p>
    <w:p w14:paraId="07F57CBA" w14:textId="698E5D43" w:rsidR="0045036A" w:rsidRPr="00172E2E" w:rsidRDefault="0045036A" w:rsidP="00172E2E">
      <w:pPr>
        <w:pStyle w:val="ListParagraph"/>
        <w:numPr>
          <w:ilvl w:val="0"/>
          <w:numId w:val="7"/>
        </w:numPr>
        <w:spacing w:line="276" w:lineRule="auto"/>
        <w:ind w:left="540"/>
        <w:textAlignment w:val="baseline"/>
        <w:rPr>
          <w:rFonts w:eastAsia="MS Mincho"/>
          <w:color w:val="000000"/>
          <w:sz w:val="20"/>
          <w:szCs w:val="20"/>
        </w:rPr>
      </w:pPr>
      <w:r>
        <w:rPr>
          <w:sz w:val="20"/>
          <w:szCs w:val="20"/>
        </w:rPr>
        <w:t xml:space="preserve">MassHealth will continue to engage </w:t>
      </w:r>
      <w:r w:rsidR="006F1F25">
        <w:rPr>
          <w:sz w:val="20"/>
          <w:szCs w:val="20"/>
        </w:rPr>
        <w:t xml:space="preserve">stakeholders throughout implementation of the new demonstration. </w:t>
      </w:r>
    </w:p>
    <w:sectPr w:rsidR="0045036A" w:rsidRPr="00172E2E" w:rsidSect="0052097C">
      <w:footerReference w:type="default" r:id="rId14"/>
      <w:headerReference w:type="first" r:id="rId15"/>
      <w:type w:val="continuous"/>
      <w:pgSz w:w="12240" w:h="15840"/>
      <w:pgMar w:top="720" w:right="720" w:bottom="720" w:left="720" w:header="720" w:footer="2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8EA9" w14:textId="77777777" w:rsidR="00603888" w:rsidRDefault="00603888">
      <w:r>
        <w:separator/>
      </w:r>
    </w:p>
  </w:endnote>
  <w:endnote w:type="continuationSeparator" w:id="0">
    <w:p w14:paraId="731CA077" w14:textId="77777777" w:rsidR="00603888" w:rsidRDefault="00603888">
      <w:r>
        <w:continuationSeparator/>
      </w:r>
    </w:p>
  </w:endnote>
  <w:endnote w:type="continuationNotice" w:id="1">
    <w:p w14:paraId="6A972B84" w14:textId="77777777" w:rsidR="00603888" w:rsidRDefault="00603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BD46" w14:textId="3EA5B792" w:rsidR="00F50900" w:rsidRDefault="00F50900" w:rsidP="0052097C">
    <w:pPr>
      <w:pStyle w:val="Footer"/>
    </w:pPr>
  </w:p>
  <w:p w14:paraId="0D321015" w14:textId="77777777" w:rsidR="00F50900" w:rsidRDefault="00F5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1FCA" w14:textId="77777777" w:rsidR="00603888" w:rsidRDefault="00603888">
      <w:r>
        <w:separator/>
      </w:r>
    </w:p>
  </w:footnote>
  <w:footnote w:type="continuationSeparator" w:id="0">
    <w:p w14:paraId="0E33BB21" w14:textId="77777777" w:rsidR="00603888" w:rsidRDefault="00603888">
      <w:r>
        <w:continuationSeparator/>
      </w:r>
    </w:p>
  </w:footnote>
  <w:footnote w:type="continuationNotice" w:id="1">
    <w:p w14:paraId="6B85DCE8" w14:textId="77777777" w:rsidR="00603888" w:rsidRDefault="00603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FAFC" w14:textId="6A1744D4" w:rsidR="00383E91" w:rsidRDefault="00383E91" w:rsidP="00383E91">
    <w:pPr>
      <w:pStyle w:val="Header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574"/>
    <w:multiLevelType w:val="multilevel"/>
    <w:tmpl w:val="D1E24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131CA"/>
    <w:multiLevelType w:val="hybridMultilevel"/>
    <w:tmpl w:val="C036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30EDF"/>
    <w:multiLevelType w:val="hybridMultilevel"/>
    <w:tmpl w:val="508A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A55"/>
    <w:multiLevelType w:val="hybridMultilevel"/>
    <w:tmpl w:val="4F6E9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72203"/>
    <w:multiLevelType w:val="multilevel"/>
    <w:tmpl w:val="EC089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95220"/>
    <w:multiLevelType w:val="multilevel"/>
    <w:tmpl w:val="BC443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0177D4C"/>
    <w:multiLevelType w:val="hybridMultilevel"/>
    <w:tmpl w:val="2614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041B"/>
    <w:multiLevelType w:val="multilevel"/>
    <w:tmpl w:val="3FF2B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2F9082E"/>
    <w:multiLevelType w:val="hybridMultilevel"/>
    <w:tmpl w:val="881A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28E21F59"/>
    <w:multiLevelType w:val="multilevel"/>
    <w:tmpl w:val="ABEC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0A1DE7"/>
    <w:multiLevelType w:val="hybridMultilevel"/>
    <w:tmpl w:val="5D90B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C3BBD"/>
    <w:multiLevelType w:val="hybridMultilevel"/>
    <w:tmpl w:val="F8D000E2"/>
    <w:lvl w:ilvl="0" w:tplc="41DA9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2AE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C9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41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E3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00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D8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8E7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43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15E8"/>
    <w:multiLevelType w:val="hybridMultilevel"/>
    <w:tmpl w:val="2980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66CA"/>
    <w:multiLevelType w:val="multilevel"/>
    <w:tmpl w:val="5DC85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51CA7FFD"/>
    <w:multiLevelType w:val="multilevel"/>
    <w:tmpl w:val="B4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F359B4"/>
    <w:multiLevelType w:val="multilevel"/>
    <w:tmpl w:val="521E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162E76"/>
    <w:multiLevelType w:val="multilevel"/>
    <w:tmpl w:val="52D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A22B2B"/>
    <w:multiLevelType w:val="multilevel"/>
    <w:tmpl w:val="972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9E2B79"/>
    <w:multiLevelType w:val="multilevel"/>
    <w:tmpl w:val="10F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63853BDB"/>
    <w:multiLevelType w:val="multilevel"/>
    <w:tmpl w:val="FED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907C8"/>
    <w:multiLevelType w:val="hybridMultilevel"/>
    <w:tmpl w:val="A7E6ADA0"/>
    <w:lvl w:ilvl="0" w:tplc="62909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073C5D"/>
    <w:multiLevelType w:val="multilevel"/>
    <w:tmpl w:val="D29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0768DA"/>
    <w:multiLevelType w:val="multilevel"/>
    <w:tmpl w:val="96F4B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62DB9"/>
    <w:multiLevelType w:val="multilevel"/>
    <w:tmpl w:val="AEC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8A1913"/>
    <w:multiLevelType w:val="multilevel"/>
    <w:tmpl w:val="6242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2B17"/>
    <w:multiLevelType w:val="multilevel"/>
    <w:tmpl w:val="72D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566406">
    <w:abstractNumId w:val="16"/>
  </w:num>
  <w:num w:numId="2" w16cid:durableId="1775244680">
    <w:abstractNumId w:val="31"/>
  </w:num>
  <w:num w:numId="3" w16cid:durableId="1722707522">
    <w:abstractNumId w:val="30"/>
  </w:num>
  <w:num w:numId="4" w16cid:durableId="767503675">
    <w:abstractNumId w:val="12"/>
  </w:num>
  <w:num w:numId="5" w16cid:durableId="1786073059">
    <w:abstractNumId w:val="23"/>
  </w:num>
  <w:num w:numId="6" w16cid:durableId="97146130">
    <w:abstractNumId w:val="17"/>
  </w:num>
  <w:num w:numId="7" w16cid:durableId="1844318838">
    <w:abstractNumId w:val="25"/>
  </w:num>
  <w:num w:numId="8" w16cid:durableId="496112362">
    <w:abstractNumId w:val="9"/>
  </w:num>
  <w:num w:numId="9" w16cid:durableId="834882401">
    <w:abstractNumId w:val="2"/>
  </w:num>
  <w:num w:numId="10" w16cid:durableId="1545022689">
    <w:abstractNumId w:val="11"/>
  </w:num>
  <w:num w:numId="11" w16cid:durableId="1051733837">
    <w:abstractNumId w:val="13"/>
  </w:num>
  <w:num w:numId="12" w16cid:durableId="1795978056">
    <w:abstractNumId w:val="8"/>
  </w:num>
  <w:num w:numId="13" w16cid:durableId="1739397455">
    <w:abstractNumId w:val="19"/>
  </w:num>
  <w:num w:numId="14" w16cid:durableId="1586568893">
    <w:abstractNumId w:val="15"/>
  </w:num>
  <w:num w:numId="15" w16cid:durableId="43605438">
    <w:abstractNumId w:val="4"/>
  </w:num>
  <w:num w:numId="16" w16cid:durableId="1649019697">
    <w:abstractNumId w:val="0"/>
  </w:num>
  <w:num w:numId="17" w16cid:durableId="1196389770">
    <w:abstractNumId w:val="27"/>
  </w:num>
  <w:num w:numId="18" w16cid:durableId="1130779058">
    <w:abstractNumId w:val="29"/>
  </w:num>
  <w:num w:numId="19" w16cid:durableId="1705712577">
    <w:abstractNumId w:val="32"/>
  </w:num>
  <w:num w:numId="20" w16cid:durableId="9651622">
    <w:abstractNumId w:val="22"/>
  </w:num>
  <w:num w:numId="21" w16cid:durableId="773742980">
    <w:abstractNumId w:val="20"/>
  </w:num>
  <w:num w:numId="22" w16cid:durableId="1264339746">
    <w:abstractNumId w:val="26"/>
  </w:num>
  <w:num w:numId="23" w16cid:durableId="709185826">
    <w:abstractNumId w:val="21"/>
  </w:num>
  <w:num w:numId="24" w16cid:durableId="1814367466">
    <w:abstractNumId w:val="24"/>
  </w:num>
  <w:num w:numId="25" w16cid:durableId="209728795">
    <w:abstractNumId w:val="28"/>
  </w:num>
  <w:num w:numId="26" w16cid:durableId="1319117162">
    <w:abstractNumId w:val="18"/>
  </w:num>
  <w:num w:numId="27" w16cid:durableId="807941431">
    <w:abstractNumId w:val="5"/>
  </w:num>
  <w:num w:numId="28" w16cid:durableId="1385762863">
    <w:abstractNumId w:val="7"/>
  </w:num>
  <w:num w:numId="29" w16cid:durableId="807086657">
    <w:abstractNumId w:val="14"/>
  </w:num>
  <w:num w:numId="30" w16cid:durableId="981734437">
    <w:abstractNumId w:val="6"/>
  </w:num>
  <w:num w:numId="31" w16cid:durableId="1613634097">
    <w:abstractNumId w:val="10"/>
  </w:num>
  <w:num w:numId="32" w16cid:durableId="2039424198">
    <w:abstractNumId w:val="25"/>
  </w:num>
  <w:num w:numId="33" w16cid:durableId="1597054233">
    <w:abstractNumId w:val="3"/>
  </w:num>
  <w:num w:numId="34" w16cid:durableId="16155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76"/>
    <w:rsid w:val="00000602"/>
    <w:rsid w:val="000022FF"/>
    <w:rsid w:val="00003D58"/>
    <w:rsid w:val="00004872"/>
    <w:rsid w:val="00007C6E"/>
    <w:rsid w:val="0001241F"/>
    <w:rsid w:val="00012E26"/>
    <w:rsid w:val="00014501"/>
    <w:rsid w:val="0002222F"/>
    <w:rsid w:val="0002327D"/>
    <w:rsid w:val="00024506"/>
    <w:rsid w:val="00025A55"/>
    <w:rsid w:val="0003029A"/>
    <w:rsid w:val="000314C5"/>
    <w:rsid w:val="00031BE1"/>
    <w:rsid w:val="000339F1"/>
    <w:rsid w:val="000358DE"/>
    <w:rsid w:val="00036498"/>
    <w:rsid w:val="00036A21"/>
    <w:rsid w:val="00040C37"/>
    <w:rsid w:val="000413A0"/>
    <w:rsid w:val="00041B12"/>
    <w:rsid w:val="00041C6D"/>
    <w:rsid w:val="00041D51"/>
    <w:rsid w:val="00043216"/>
    <w:rsid w:val="000506CA"/>
    <w:rsid w:val="000514D8"/>
    <w:rsid w:val="0005321A"/>
    <w:rsid w:val="00053FEB"/>
    <w:rsid w:val="000544FE"/>
    <w:rsid w:val="0005463A"/>
    <w:rsid w:val="000551DE"/>
    <w:rsid w:val="00056812"/>
    <w:rsid w:val="000600ED"/>
    <w:rsid w:val="000602FC"/>
    <w:rsid w:val="00060E93"/>
    <w:rsid w:val="000648DF"/>
    <w:rsid w:val="00064D1B"/>
    <w:rsid w:val="000658BA"/>
    <w:rsid w:val="0007170F"/>
    <w:rsid w:val="00072B30"/>
    <w:rsid w:val="00075FC3"/>
    <w:rsid w:val="00081F8F"/>
    <w:rsid w:val="00085BF7"/>
    <w:rsid w:val="00087E20"/>
    <w:rsid w:val="000A34B2"/>
    <w:rsid w:val="000A3965"/>
    <w:rsid w:val="000A4B24"/>
    <w:rsid w:val="000B4840"/>
    <w:rsid w:val="000B7509"/>
    <w:rsid w:val="000B7C43"/>
    <w:rsid w:val="000C3AE9"/>
    <w:rsid w:val="000D633A"/>
    <w:rsid w:val="000E00B4"/>
    <w:rsid w:val="000E0B1B"/>
    <w:rsid w:val="000E21C7"/>
    <w:rsid w:val="000E4084"/>
    <w:rsid w:val="000E4B84"/>
    <w:rsid w:val="000F3E46"/>
    <w:rsid w:val="000F6440"/>
    <w:rsid w:val="001009C8"/>
    <w:rsid w:val="00102ED4"/>
    <w:rsid w:val="00105390"/>
    <w:rsid w:val="00105C9D"/>
    <w:rsid w:val="00110D35"/>
    <w:rsid w:val="001118D2"/>
    <w:rsid w:val="00116DEA"/>
    <w:rsid w:val="00121F68"/>
    <w:rsid w:val="00134B1E"/>
    <w:rsid w:val="00135A00"/>
    <w:rsid w:val="001418A5"/>
    <w:rsid w:val="0014228C"/>
    <w:rsid w:val="00143277"/>
    <w:rsid w:val="00143EEA"/>
    <w:rsid w:val="001553CC"/>
    <w:rsid w:val="001572C1"/>
    <w:rsid w:val="001668E3"/>
    <w:rsid w:val="00170FA7"/>
    <w:rsid w:val="00171246"/>
    <w:rsid w:val="00172684"/>
    <w:rsid w:val="00172E2E"/>
    <w:rsid w:val="00175716"/>
    <w:rsid w:val="0018035A"/>
    <w:rsid w:val="001803F0"/>
    <w:rsid w:val="00181F12"/>
    <w:rsid w:val="00182463"/>
    <w:rsid w:val="00183134"/>
    <w:rsid w:val="001839CC"/>
    <w:rsid w:val="00187D0C"/>
    <w:rsid w:val="00190123"/>
    <w:rsid w:val="00192891"/>
    <w:rsid w:val="00192BC6"/>
    <w:rsid w:val="00197D5D"/>
    <w:rsid w:val="001A3135"/>
    <w:rsid w:val="001A3992"/>
    <w:rsid w:val="001B0E56"/>
    <w:rsid w:val="001B1DC9"/>
    <w:rsid w:val="001B2CEA"/>
    <w:rsid w:val="001C36CB"/>
    <w:rsid w:val="001D03C7"/>
    <w:rsid w:val="001D2141"/>
    <w:rsid w:val="001D2E69"/>
    <w:rsid w:val="001D4D1A"/>
    <w:rsid w:val="001E4559"/>
    <w:rsid w:val="001F1DD1"/>
    <w:rsid w:val="001F4AA5"/>
    <w:rsid w:val="001F4ED2"/>
    <w:rsid w:val="002026F2"/>
    <w:rsid w:val="00203233"/>
    <w:rsid w:val="00204A6F"/>
    <w:rsid w:val="00205377"/>
    <w:rsid w:val="0020558B"/>
    <w:rsid w:val="00205ACA"/>
    <w:rsid w:val="00210E75"/>
    <w:rsid w:val="00211B0F"/>
    <w:rsid w:val="00216847"/>
    <w:rsid w:val="0022039D"/>
    <w:rsid w:val="002226A2"/>
    <w:rsid w:val="00223B74"/>
    <w:rsid w:val="00230182"/>
    <w:rsid w:val="00232E62"/>
    <w:rsid w:val="002332BC"/>
    <w:rsid w:val="0023560A"/>
    <w:rsid w:val="0023696D"/>
    <w:rsid w:val="00237AAB"/>
    <w:rsid w:val="002439E9"/>
    <w:rsid w:val="00245319"/>
    <w:rsid w:val="00253975"/>
    <w:rsid w:val="00254DD7"/>
    <w:rsid w:val="00256EED"/>
    <w:rsid w:val="00262A2F"/>
    <w:rsid w:val="00263AF6"/>
    <w:rsid w:val="00270FC8"/>
    <w:rsid w:val="002718A9"/>
    <w:rsid w:val="00272436"/>
    <w:rsid w:val="00274C56"/>
    <w:rsid w:val="00281737"/>
    <w:rsid w:val="00284B0D"/>
    <w:rsid w:val="00285673"/>
    <w:rsid w:val="002944CA"/>
    <w:rsid w:val="00295EB8"/>
    <w:rsid w:val="002A0C4D"/>
    <w:rsid w:val="002A1947"/>
    <w:rsid w:val="002A7B71"/>
    <w:rsid w:val="002B6B66"/>
    <w:rsid w:val="002C2242"/>
    <w:rsid w:val="002C5B98"/>
    <w:rsid w:val="002C6ACC"/>
    <w:rsid w:val="002C77F9"/>
    <w:rsid w:val="002D04BA"/>
    <w:rsid w:val="002D2385"/>
    <w:rsid w:val="002D5CA3"/>
    <w:rsid w:val="002D5EC5"/>
    <w:rsid w:val="002D6F3C"/>
    <w:rsid w:val="002D6F87"/>
    <w:rsid w:val="002E3DC0"/>
    <w:rsid w:val="002E7381"/>
    <w:rsid w:val="002F5EEE"/>
    <w:rsid w:val="00300469"/>
    <w:rsid w:val="00305265"/>
    <w:rsid w:val="00306440"/>
    <w:rsid w:val="00306FC8"/>
    <w:rsid w:val="00310DC6"/>
    <w:rsid w:val="00312EC2"/>
    <w:rsid w:val="0031432E"/>
    <w:rsid w:val="0031506D"/>
    <w:rsid w:val="00316EF0"/>
    <w:rsid w:val="003178F8"/>
    <w:rsid w:val="00321511"/>
    <w:rsid w:val="00322758"/>
    <w:rsid w:val="00324CF8"/>
    <w:rsid w:val="00325FC5"/>
    <w:rsid w:val="0033294D"/>
    <w:rsid w:val="00333E1F"/>
    <w:rsid w:val="00336075"/>
    <w:rsid w:val="003405D4"/>
    <w:rsid w:val="00344AA3"/>
    <w:rsid w:val="00344DB1"/>
    <w:rsid w:val="00347C72"/>
    <w:rsid w:val="00351BC7"/>
    <w:rsid w:val="00351CA5"/>
    <w:rsid w:val="00355F80"/>
    <w:rsid w:val="00357176"/>
    <w:rsid w:val="00360E07"/>
    <w:rsid w:val="00361AC6"/>
    <w:rsid w:val="00362395"/>
    <w:rsid w:val="003655E8"/>
    <w:rsid w:val="003676B3"/>
    <w:rsid w:val="00367735"/>
    <w:rsid w:val="0037012E"/>
    <w:rsid w:val="00371C05"/>
    <w:rsid w:val="00373AB3"/>
    <w:rsid w:val="003742E5"/>
    <w:rsid w:val="003773F4"/>
    <w:rsid w:val="00383E91"/>
    <w:rsid w:val="0038701C"/>
    <w:rsid w:val="003967EE"/>
    <w:rsid w:val="003A0294"/>
    <w:rsid w:val="003A3800"/>
    <w:rsid w:val="003A699A"/>
    <w:rsid w:val="003A764E"/>
    <w:rsid w:val="003B0004"/>
    <w:rsid w:val="003B3D6A"/>
    <w:rsid w:val="003C0A28"/>
    <w:rsid w:val="003C0DC2"/>
    <w:rsid w:val="003C1B20"/>
    <w:rsid w:val="003C4206"/>
    <w:rsid w:val="003C5E48"/>
    <w:rsid w:val="003D07B7"/>
    <w:rsid w:val="003D34D7"/>
    <w:rsid w:val="003D61CF"/>
    <w:rsid w:val="003D743F"/>
    <w:rsid w:val="003E1B91"/>
    <w:rsid w:val="003E2AEC"/>
    <w:rsid w:val="003E5256"/>
    <w:rsid w:val="003E5525"/>
    <w:rsid w:val="003E57B1"/>
    <w:rsid w:val="003E64FB"/>
    <w:rsid w:val="003E6B9C"/>
    <w:rsid w:val="003F2E2F"/>
    <w:rsid w:val="003F4217"/>
    <w:rsid w:val="003F4E33"/>
    <w:rsid w:val="003F76FB"/>
    <w:rsid w:val="00400F09"/>
    <w:rsid w:val="00401C87"/>
    <w:rsid w:val="00405530"/>
    <w:rsid w:val="00405D9C"/>
    <w:rsid w:val="004063EF"/>
    <w:rsid w:val="00407847"/>
    <w:rsid w:val="00410E03"/>
    <w:rsid w:val="004151A5"/>
    <w:rsid w:val="00415D76"/>
    <w:rsid w:val="00417991"/>
    <w:rsid w:val="004339AF"/>
    <w:rsid w:val="00434A93"/>
    <w:rsid w:val="0044071D"/>
    <w:rsid w:val="004436C2"/>
    <w:rsid w:val="004447FA"/>
    <w:rsid w:val="0045036A"/>
    <w:rsid w:val="004517F8"/>
    <w:rsid w:val="00451E0C"/>
    <w:rsid w:val="0045729C"/>
    <w:rsid w:val="004602E7"/>
    <w:rsid w:val="00460BA8"/>
    <w:rsid w:val="00460F82"/>
    <w:rsid w:val="00462206"/>
    <w:rsid w:val="00462267"/>
    <w:rsid w:val="004626FE"/>
    <w:rsid w:val="00463E3F"/>
    <w:rsid w:val="004659E8"/>
    <w:rsid w:val="00466FF8"/>
    <w:rsid w:val="004716E6"/>
    <w:rsid w:val="0047460B"/>
    <w:rsid w:val="00474C83"/>
    <w:rsid w:val="00477892"/>
    <w:rsid w:val="0048623B"/>
    <w:rsid w:val="00491239"/>
    <w:rsid w:val="00492F54"/>
    <w:rsid w:val="00496F3D"/>
    <w:rsid w:val="00497349"/>
    <w:rsid w:val="004A1B0C"/>
    <w:rsid w:val="004A4919"/>
    <w:rsid w:val="004A62F5"/>
    <w:rsid w:val="004A7057"/>
    <w:rsid w:val="004C0D08"/>
    <w:rsid w:val="004C42EE"/>
    <w:rsid w:val="004D12A8"/>
    <w:rsid w:val="004D13ED"/>
    <w:rsid w:val="004D1D7B"/>
    <w:rsid w:val="004D204B"/>
    <w:rsid w:val="004D2EC6"/>
    <w:rsid w:val="004D4106"/>
    <w:rsid w:val="004D7A6A"/>
    <w:rsid w:val="004D7E57"/>
    <w:rsid w:val="004E7A7B"/>
    <w:rsid w:val="004F17CA"/>
    <w:rsid w:val="004F6692"/>
    <w:rsid w:val="004F6799"/>
    <w:rsid w:val="00500FBE"/>
    <w:rsid w:val="005018D4"/>
    <w:rsid w:val="0050193C"/>
    <w:rsid w:val="00501E28"/>
    <w:rsid w:val="005100BC"/>
    <w:rsid w:val="00511065"/>
    <w:rsid w:val="00513EAC"/>
    <w:rsid w:val="005146B3"/>
    <w:rsid w:val="00514B78"/>
    <w:rsid w:val="00516376"/>
    <w:rsid w:val="00520598"/>
    <w:rsid w:val="00520763"/>
    <w:rsid w:val="0052097C"/>
    <w:rsid w:val="00520ECF"/>
    <w:rsid w:val="00520F41"/>
    <w:rsid w:val="0052365B"/>
    <w:rsid w:val="00523E93"/>
    <w:rsid w:val="00523EC9"/>
    <w:rsid w:val="00524D2F"/>
    <w:rsid w:val="005325C0"/>
    <w:rsid w:val="00534BA3"/>
    <w:rsid w:val="00536F8E"/>
    <w:rsid w:val="00537247"/>
    <w:rsid w:val="0053781F"/>
    <w:rsid w:val="00540844"/>
    <w:rsid w:val="005417AF"/>
    <w:rsid w:val="00541A63"/>
    <w:rsid w:val="0054258B"/>
    <w:rsid w:val="00546EAD"/>
    <w:rsid w:val="00547B2A"/>
    <w:rsid w:val="00550723"/>
    <w:rsid w:val="00552144"/>
    <w:rsid w:val="0055320E"/>
    <w:rsid w:val="00554BD9"/>
    <w:rsid w:val="00555961"/>
    <w:rsid w:val="00555A51"/>
    <w:rsid w:val="0055772B"/>
    <w:rsid w:val="00560698"/>
    <w:rsid w:val="00560BF9"/>
    <w:rsid w:val="00563CBE"/>
    <w:rsid w:val="00564172"/>
    <w:rsid w:val="00570B13"/>
    <w:rsid w:val="0057564A"/>
    <w:rsid w:val="00577A38"/>
    <w:rsid w:val="005807D7"/>
    <w:rsid w:val="00581AEB"/>
    <w:rsid w:val="005820FA"/>
    <w:rsid w:val="00582F5E"/>
    <w:rsid w:val="005852B9"/>
    <w:rsid w:val="00587AA2"/>
    <w:rsid w:val="005917A5"/>
    <w:rsid w:val="005918DD"/>
    <w:rsid w:val="0059412C"/>
    <w:rsid w:val="0059543F"/>
    <w:rsid w:val="00597796"/>
    <w:rsid w:val="005A3B6F"/>
    <w:rsid w:val="005A4B90"/>
    <w:rsid w:val="005A6C27"/>
    <w:rsid w:val="005A70AB"/>
    <w:rsid w:val="005A7A0C"/>
    <w:rsid w:val="005B3706"/>
    <w:rsid w:val="005B76FB"/>
    <w:rsid w:val="005B79C5"/>
    <w:rsid w:val="005C0214"/>
    <w:rsid w:val="005C0F5E"/>
    <w:rsid w:val="005C11EC"/>
    <w:rsid w:val="005D222D"/>
    <w:rsid w:val="005D5F93"/>
    <w:rsid w:val="005D65E5"/>
    <w:rsid w:val="005D700B"/>
    <w:rsid w:val="005D7E2C"/>
    <w:rsid w:val="005E10C5"/>
    <w:rsid w:val="005E1AC9"/>
    <w:rsid w:val="005E51C2"/>
    <w:rsid w:val="005E5731"/>
    <w:rsid w:val="006002EE"/>
    <w:rsid w:val="00603888"/>
    <w:rsid w:val="006049A6"/>
    <w:rsid w:val="00610049"/>
    <w:rsid w:val="006104E0"/>
    <w:rsid w:val="0061084F"/>
    <w:rsid w:val="0061715D"/>
    <w:rsid w:val="00617290"/>
    <w:rsid w:val="00620B1E"/>
    <w:rsid w:val="0062113E"/>
    <w:rsid w:val="00624913"/>
    <w:rsid w:val="00624CDE"/>
    <w:rsid w:val="006305E1"/>
    <w:rsid w:val="006310D3"/>
    <w:rsid w:val="00632E09"/>
    <w:rsid w:val="006350A4"/>
    <w:rsid w:val="00637101"/>
    <w:rsid w:val="006373C9"/>
    <w:rsid w:val="00637511"/>
    <w:rsid w:val="006400D4"/>
    <w:rsid w:val="00640785"/>
    <w:rsid w:val="00645DCC"/>
    <w:rsid w:val="00647CC7"/>
    <w:rsid w:val="00647D8A"/>
    <w:rsid w:val="00651E7F"/>
    <w:rsid w:val="00653B51"/>
    <w:rsid w:val="00654A41"/>
    <w:rsid w:val="00655569"/>
    <w:rsid w:val="00657552"/>
    <w:rsid w:val="00657FA4"/>
    <w:rsid w:val="00660367"/>
    <w:rsid w:val="0066190D"/>
    <w:rsid w:val="00662E58"/>
    <w:rsid w:val="006650ED"/>
    <w:rsid w:val="00665408"/>
    <w:rsid w:val="0066557A"/>
    <w:rsid w:val="006712EF"/>
    <w:rsid w:val="00673501"/>
    <w:rsid w:val="00673961"/>
    <w:rsid w:val="0067517F"/>
    <w:rsid w:val="0067615B"/>
    <w:rsid w:val="00677850"/>
    <w:rsid w:val="00677A32"/>
    <w:rsid w:val="00677E10"/>
    <w:rsid w:val="00680E2F"/>
    <w:rsid w:val="00690ADC"/>
    <w:rsid w:val="00691057"/>
    <w:rsid w:val="00696258"/>
    <w:rsid w:val="00696799"/>
    <w:rsid w:val="00696922"/>
    <w:rsid w:val="006B0439"/>
    <w:rsid w:val="006B0FA6"/>
    <w:rsid w:val="006B1180"/>
    <w:rsid w:val="006C11DF"/>
    <w:rsid w:val="006C2875"/>
    <w:rsid w:val="006C397D"/>
    <w:rsid w:val="006C76BA"/>
    <w:rsid w:val="006D0293"/>
    <w:rsid w:val="006D2A73"/>
    <w:rsid w:val="006D6BE0"/>
    <w:rsid w:val="006D6E47"/>
    <w:rsid w:val="006F1F25"/>
    <w:rsid w:val="006F230F"/>
    <w:rsid w:val="006F3BE5"/>
    <w:rsid w:val="00701847"/>
    <w:rsid w:val="00714520"/>
    <w:rsid w:val="00716556"/>
    <w:rsid w:val="00721DA5"/>
    <w:rsid w:val="007255DE"/>
    <w:rsid w:val="00725A98"/>
    <w:rsid w:val="007278A0"/>
    <w:rsid w:val="00730AA0"/>
    <w:rsid w:val="00735F0A"/>
    <w:rsid w:val="0074224B"/>
    <w:rsid w:val="0074359D"/>
    <w:rsid w:val="0074487E"/>
    <w:rsid w:val="0075287D"/>
    <w:rsid w:val="007546B0"/>
    <w:rsid w:val="00755B23"/>
    <w:rsid w:val="00756C1B"/>
    <w:rsid w:val="0075797B"/>
    <w:rsid w:val="007652F6"/>
    <w:rsid w:val="0076681B"/>
    <w:rsid w:val="00767135"/>
    <w:rsid w:val="00770A45"/>
    <w:rsid w:val="00772F79"/>
    <w:rsid w:val="00774C37"/>
    <w:rsid w:val="0077536A"/>
    <w:rsid w:val="00775D3D"/>
    <w:rsid w:val="00776871"/>
    <w:rsid w:val="00777BB8"/>
    <w:rsid w:val="007836E8"/>
    <w:rsid w:val="0078720E"/>
    <w:rsid w:val="00787E84"/>
    <w:rsid w:val="00795839"/>
    <w:rsid w:val="00797EFE"/>
    <w:rsid w:val="007A367F"/>
    <w:rsid w:val="007B0D0D"/>
    <w:rsid w:val="007B71D2"/>
    <w:rsid w:val="007C296F"/>
    <w:rsid w:val="007C3583"/>
    <w:rsid w:val="007C4952"/>
    <w:rsid w:val="007C669D"/>
    <w:rsid w:val="007D569C"/>
    <w:rsid w:val="007D6E07"/>
    <w:rsid w:val="007E09CC"/>
    <w:rsid w:val="007E5246"/>
    <w:rsid w:val="007E5EC3"/>
    <w:rsid w:val="007E652F"/>
    <w:rsid w:val="007E654F"/>
    <w:rsid w:val="007F1366"/>
    <w:rsid w:val="007F3A21"/>
    <w:rsid w:val="007F4A58"/>
    <w:rsid w:val="007F5FF3"/>
    <w:rsid w:val="00802066"/>
    <w:rsid w:val="00806594"/>
    <w:rsid w:val="0081178B"/>
    <w:rsid w:val="0081214E"/>
    <w:rsid w:val="00812834"/>
    <w:rsid w:val="00813FF6"/>
    <w:rsid w:val="008167FE"/>
    <w:rsid w:val="0081706F"/>
    <w:rsid w:val="00832227"/>
    <w:rsid w:val="00834314"/>
    <w:rsid w:val="0083649B"/>
    <w:rsid w:val="00836A18"/>
    <w:rsid w:val="00840A79"/>
    <w:rsid w:val="00841A91"/>
    <w:rsid w:val="00843292"/>
    <w:rsid w:val="00846AE6"/>
    <w:rsid w:val="008478E2"/>
    <w:rsid w:val="00852935"/>
    <w:rsid w:val="008565C1"/>
    <w:rsid w:val="00860641"/>
    <w:rsid w:val="0086128B"/>
    <w:rsid w:val="0087128E"/>
    <w:rsid w:val="00872479"/>
    <w:rsid w:val="00881507"/>
    <w:rsid w:val="00884D71"/>
    <w:rsid w:val="00896D44"/>
    <w:rsid w:val="008977F4"/>
    <w:rsid w:val="008A067A"/>
    <w:rsid w:val="008A3B6A"/>
    <w:rsid w:val="008B0D05"/>
    <w:rsid w:val="008B1B8E"/>
    <w:rsid w:val="008B4002"/>
    <w:rsid w:val="008B68DD"/>
    <w:rsid w:val="008D0B92"/>
    <w:rsid w:val="008D0EF9"/>
    <w:rsid w:val="008D2AF0"/>
    <w:rsid w:val="008D3249"/>
    <w:rsid w:val="008D5753"/>
    <w:rsid w:val="008D6612"/>
    <w:rsid w:val="008D6A7B"/>
    <w:rsid w:val="008D787A"/>
    <w:rsid w:val="008E33C6"/>
    <w:rsid w:val="008E7312"/>
    <w:rsid w:val="008E7979"/>
    <w:rsid w:val="008F03DE"/>
    <w:rsid w:val="008F17C0"/>
    <w:rsid w:val="0090026B"/>
    <w:rsid w:val="00900276"/>
    <w:rsid w:val="00905B12"/>
    <w:rsid w:val="009074C3"/>
    <w:rsid w:val="00907636"/>
    <w:rsid w:val="00907DD4"/>
    <w:rsid w:val="009105BD"/>
    <w:rsid w:val="009110C1"/>
    <w:rsid w:val="009138E9"/>
    <w:rsid w:val="00915001"/>
    <w:rsid w:val="0092183A"/>
    <w:rsid w:val="00925353"/>
    <w:rsid w:val="0092613F"/>
    <w:rsid w:val="0092659A"/>
    <w:rsid w:val="00933F8E"/>
    <w:rsid w:val="00937D75"/>
    <w:rsid w:val="00940095"/>
    <w:rsid w:val="00940D89"/>
    <w:rsid w:val="00943296"/>
    <w:rsid w:val="0094362E"/>
    <w:rsid w:val="00943BC4"/>
    <w:rsid w:val="009529A4"/>
    <w:rsid w:val="0095406C"/>
    <w:rsid w:val="00954D1C"/>
    <w:rsid w:val="00966877"/>
    <w:rsid w:val="0097006A"/>
    <w:rsid w:val="00972576"/>
    <w:rsid w:val="00974753"/>
    <w:rsid w:val="00975C20"/>
    <w:rsid w:val="00976865"/>
    <w:rsid w:val="00980534"/>
    <w:rsid w:val="00981EE3"/>
    <w:rsid w:val="00983B5F"/>
    <w:rsid w:val="00987797"/>
    <w:rsid w:val="00991FB5"/>
    <w:rsid w:val="009940FE"/>
    <w:rsid w:val="009941EC"/>
    <w:rsid w:val="009942C8"/>
    <w:rsid w:val="00995F01"/>
    <w:rsid w:val="00997CA5"/>
    <w:rsid w:val="009A7EEC"/>
    <w:rsid w:val="009B2DF0"/>
    <w:rsid w:val="009B3188"/>
    <w:rsid w:val="009B6102"/>
    <w:rsid w:val="009C08FB"/>
    <w:rsid w:val="009C0AA0"/>
    <w:rsid w:val="009C1C02"/>
    <w:rsid w:val="009C385D"/>
    <w:rsid w:val="009C3BF0"/>
    <w:rsid w:val="009C3CC4"/>
    <w:rsid w:val="009C590A"/>
    <w:rsid w:val="009C61D6"/>
    <w:rsid w:val="009C7E8D"/>
    <w:rsid w:val="009C7F37"/>
    <w:rsid w:val="009D2FF0"/>
    <w:rsid w:val="009D5568"/>
    <w:rsid w:val="009D5781"/>
    <w:rsid w:val="009D7CFA"/>
    <w:rsid w:val="009E667A"/>
    <w:rsid w:val="009E6841"/>
    <w:rsid w:val="009F4FFC"/>
    <w:rsid w:val="009F50A4"/>
    <w:rsid w:val="009F5C42"/>
    <w:rsid w:val="009F6583"/>
    <w:rsid w:val="009F71DE"/>
    <w:rsid w:val="00A02537"/>
    <w:rsid w:val="00A03193"/>
    <w:rsid w:val="00A03312"/>
    <w:rsid w:val="00A041A6"/>
    <w:rsid w:val="00A0628B"/>
    <w:rsid w:val="00A1182A"/>
    <w:rsid w:val="00A15042"/>
    <w:rsid w:val="00A17432"/>
    <w:rsid w:val="00A221C0"/>
    <w:rsid w:val="00A22DC9"/>
    <w:rsid w:val="00A2400B"/>
    <w:rsid w:val="00A344BA"/>
    <w:rsid w:val="00A34772"/>
    <w:rsid w:val="00A34FDA"/>
    <w:rsid w:val="00A36D3B"/>
    <w:rsid w:val="00A43809"/>
    <w:rsid w:val="00A513CE"/>
    <w:rsid w:val="00A51429"/>
    <w:rsid w:val="00A54944"/>
    <w:rsid w:val="00A574D4"/>
    <w:rsid w:val="00A60054"/>
    <w:rsid w:val="00A6378D"/>
    <w:rsid w:val="00A64B34"/>
    <w:rsid w:val="00A665CE"/>
    <w:rsid w:val="00A735D5"/>
    <w:rsid w:val="00A75CA0"/>
    <w:rsid w:val="00A80027"/>
    <w:rsid w:val="00A804A8"/>
    <w:rsid w:val="00A81805"/>
    <w:rsid w:val="00A849E6"/>
    <w:rsid w:val="00A84BA5"/>
    <w:rsid w:val="00A84DBD"/>
    <w:rsid w:val="00A85DFA"/>
    <w:rsid w:val="00A87CC2"/>
    <w:rsid w:val="00A90942"/>
    <w:rsid w:val="00A90B65"/>
    <w:rsid w:val="00A94885"/>
    <w:rsid w:val="00AA1C75"/>
    <w:rsid w:val="00AA2C48"/>
    <w:rsid w:val="00AA368B"/>
    <w:rsid w:val="00AA374B"/>
    <w:rsid w:val="00AA48F3"/>
    <w:rsid w:val="00AA5C7E"/>
    <w:rsid w:val="00AA7708"/>
    <w:rsid w:val="00AB5BC3"/>
    <w:rsid w:val="00AB7CB6"/>
    <w:rsid w:val="00AC0F7B"/>
    <w:rsid w:val="00AC390C"/>
    <w:rsid w:val="00AD26BB"/>
    <w:rsid w:val="00AD343B"/>
    <w:rsid w:val="00AD43BC"/>
    <w:rsid w:val="00AD5E43"/>
    <w:rsid w:val="00AD6167"/>
    <w:rsid w:val="00AD69C0"/>
    <w:rsid w:val="00AD6C3C"/>
    <w:rsid w:val="00AE266E"/>
    <w:rsid w:val="00AE395E"/>
    <w:rsid w:val="00AE769A"/>
    <w:rsid w:val="00AE7D4F"/>
    <w:rsid w:val="00AF07E8"/>
    <w:rsid w:val="00AF3039"/>
    <w:rsid w:val="00AF6F74"/>
    <w:rsid w:val="00B015B7"/>
    <w:rsid w:val="00B05251"/>
    <w:rsid w:val="00B061A7"/>
    <w:rsid w:val="00B067D0"/>
    <w:rsid w:val="00B07F88"/>
    <w:rsid w:val="00B158F8"/>
    <w:rsid w:val="00B17EC7"/>
    <w:rsid w:val="00B20005"/>
    <w:rsid w:val="00B20B4A"/>
    <w:rsid w:val="00B22C18"/>
    <w:rsid w:val="00B245F1"/>
    <w:rsid w:val="00B24E52"/>
    <w:rsid w:val="00B37222"/>
    <w:rsid w:val="00B42759"/>
    <w:rsid w:val="00B451DA"/>
    <w:rsid w:val="00B5030B"/>
    <w:rsid w:val="00B516DA"/>
    <w:rsid w:val="00B528C6"/>
    <w:rsid w:val="00B5521D"/>
    <w:rsid w:val="00B623E6"/>
    <w:rsid w:val="00B64B84"/>
    <w:rsid w:val="00B665E5"/>
    <w:rsid w:val="00B6842B"/>
    <w:rsid w:val="00B75CBF"/>
    <w:rsid w:val="00B80309"/>
    <w:rsid w:val="00B821CF"/>
    <w:rsid w:val="00B82511"/>
    <w:rsid w:val="00B838DB"/>
    <w:rsid w:val="00B85AE8"/>
    <w:rsid w:val="00B91A24"/>
    <w:rsid w:val="00BA31AE"/>
    <w:rsid w:val="00BA42B4"/>
    <w:rsid w:val="00BA4BD5"/>
    <w:rsid w:val="00BA7230"/>
    <w:rsid w:val="00BB0C34"/>
    <w:rsid w:val="00BB1703"/>
    <w:rsid w:val="00BB1B41"/>
    <w:rsid w:val="00BB7484"/>
    <w:rsid w:val="00BC1AD1"/>
    <w:rsid w:val="00BC40D2"/>
    <w:rsid w:val="00BC4A92"/>
    <w:rsid w:val="00BC592D"/>
    <w:rsid w:val="00BC5F81"/>
    <w:rsid w:val="00BD54C6"/>
    <w:rsid w:val="00BE0055"/>
    <w:rsid w:val="00BE1B7F"/>
    <w:rsid w:val="00BE437C"/>
    <w:rsid w:val="00BE43B4"/>
    <w:rsid w:val="00BE47B2"/>
    <w:rsid w:val="00BE54DE"/>
    <w:rsid w:val="00BE5F63"/>
    <w:rsid w:val="00BF57BF"/>
    <w:rsid w:val="00BF6BAB"/>
    <w:rsid w:val="00C03D95"/>
    <w:rsid w:val="00C04ADC"/>
    <w:rsid w:val="00C055C2"/>
    <w:rsid w:val="00C1017B"/>
    <w:rsid w:val="00C11B4A"/>
    <w:rsid w:val="00C136AD"/>
    <w:rsid w:val="00C175EC"/>
    <w:rsid w:val="00C17A77"/>
    <w:rsid w:val="00C22868"/>
    <w:rsid w:val="00C26A79"/>
    <w:rsid w:val="00C32E4C"/>
    <w:rsid w:val="00C33C81"/>
    <w:rsid w:val="00C34E86"/>
    <w:rsid w:val="00C36977"/>
    <w:rsid w:val="00C374F4"/>
    <w:rsid w:val="00C43A91"/>
    <w:rsid w:val="00C4545F"/>
    <w:rsid w:val="00C45DA2"/>
    <w:rsid w:val="00C467E7"/>
    <w:rsid w:val="00C4690F"/>
    <w:rsid w:val="00C5341B"/>
    <w:rsid w:val="00C558AE"/>
    <w:rsid w:val="00C60BC7"/>
    <w:rsid w:val="00C61A63"/>
    <w:rsid w:val="00C64383"/>
    <w:rsid w:val="00C671D2"/>
    <w:rsid w:val="00C711DA"/>
    <w:rsid w:val="00C74807"/>
    <w:rsid w:val="00C818A5"/>
    <w:rsid w:val="00C818C4"/>
    <w:rsid w:val="00C81E76"/>
    <w:rsid w:val="00C87522"/>
    <w:rsid w:val="00C96CFD"/>
    <w:rsid w:val="00CA0F23"/>
    <w:rsid w:val="00CA25D3"/>
    <w:rsid w:val="00CA3BA2"/>
    <w:rsid w:val="00CA4D17"/>
    <w:rsid w:val="00CA74F3"/>
    <w:rsid w:val="00CB1F54"/>
    <w:rsid w:val="00CC0554"/>
    <w:rsid w:val="00CC483A"/>
    <w:rsid w:val="00CC6046"/>
    <w:rsid w:val="00CC7EB0"/>
    <w:rsid w:val="00CD0119"/>
    <w:rsid w:val="00CD2410"/>
    <w:rsid w:val="00CD3377"/>
    <w:rsid w:val="00CD6917"/>
    <w:rsid w:val="00CD6E75"/>
    <w:rsid w:val="00CD7BA2"/>
    <w:rsid w:val="00CE0965"/>
    <w:rsid w:val="00CE1CED"/>
    <w:rsid w:val="00CE372B"/>
    <w:rsid w:val="00CF2033"/>
    <w:rsid w:val="00CF5E7A"/>
    <w:rsid w:val="00D00C2B"/>
    <w:rsid w:val="00D01E89"/>
    <w:rsid w:val="00D078EB"/>
    <w:rsid w:val="00D12D64"/>
    <w:rsid w:val="00D16327"/>
    <w:rsid w:val="00D24A82"/>
    <w:rsid w:val="00D30FFF"/>
    <w:rsid w:val="00D336A8"/>
    <w:rsid w:val="00D34741"/>
    <w:rsid w:val="00D35A3B"/>
    <w:rsid w:val="00D37BB0"/>
    <w:rsid w:val="00D42581"/>
    <w:rsid w:val="00D43B31"/>
    <w:rsid w:val="00D45A38"/>
    <w:rsid w:val="00D479AF"/>
    <w:rsid w:val="00D53D4A"/>
    <w:rsid w:val="00D54DDC"/>
    <w:rsid w:val="00D552AC"/>
    <w:rsid w:val="00D55C06"/>
    <w:rsid w:val="00D570A0"/>
    <w:rsid w:val="00D57F11"/>
    <w:rsid w:val="00D62ACC"/>
    <w:rsid w:val="00D64467"/>
    <w:rsid w:val="00D66DB6"/>
    <w:rsid w:val="00D70479"/>
    <w:rsid w:val="00D7134D"/>
    <w:rsid w:val="00D7406C"/>
    <w:rsid w:val="00D7437B"/>
    <w:rsid w:val="00D7573A"/>
    <w:rsid w:val="00D75DBD"/>
    <w:rsid w:val="00D77AE9"/>
    <w:rsid w:val="00D84E31"/>
    <w:rsid w:val="00D862F4"/>
    <w:rsid w:val="00D86C63"/>
    <w:rsid w:val="00D878E0"/>
    <w:rsid w:val="00D94D24"/>
    <w:rsid w:val="00D96635"/>
    <w:rsid w:val="00DA125A"/>
    <w:rsid w:val="00DA289F"/>
    <w:rsid w:val="00DA61BF"/>
    <w:rsid w:val="00DA6CF8"/>
    <w:rsid w:val="00DB0181"/>
    <w:rsid w:val="00DB2985"/>
    <w:rsid w:val="00DB2DCF"/>
    <w:rsid w:val="00DB3BAF"/>
    <w:rsid w:val="00DB6CFD"/>
    <w:rsid w:val="00DC1D72"/>
    <w:rsid w:val="00DE12BA"/>
    <w:rsid w:val="00DE3290"/>
    <w:rsid w:val="00DE5475"/>
    <w:rsid w:val="00DE6D0C"/>
    <w:rsid w:val="00DE7C60"/>
    <w:rsid w:val="00DF605F"/>
    <w:rsid w:val="00E004F6"/>
    <w:rsid w:val="00E00AAB"/>
    <w:rsid w:val="00E01AF3"/>
    <w:rsid w:val="00E03B2A"/>
    <w:rsid w:val="00E04A39"/>
    <w:rsid w:val="00E060B1"/>
    <w:rsid w:val="00E07433"/>
    <w:rsid w:val="00E07E7F"/>
    <w:rsid w:val="00E235B7"/>
    <w:rsid w:val="00E3099A"/>
    <w:rsid w:val="00E316D2"/>
    <w:rsid w:val="00E32462"/>
    <w:rsid w:val="00E354E2"/>
    <w:rsid w:val="00E35577"/>
    <w:rsid w:val="00E37E01"/>
    <w:rsid w:val="00E420C9"/>
    <w:rsid w:val="00E43166"/>
    <w:rsid w:val="00E4487A"/>
    <w:rsid w:val="00E50EF8"/>
    <w:rsid w:val="00E51A59"/>
    <w:rsid w:val="00E522D2"/>
    <w:rsid w:val="00E5253E"/>
    <w:rsid w:val="00E53368"/>
    <w:rsid w:val="00E62FC2"/>
    <w:rsid w:val="00E64A74"/>
    <w:rsid w:val="00E73260"/>
    <w:rsid w:val="00E74A0A"/>
    <w:rsid w:val="00E74B59"/>
    <w:rsid w:val="00E75886"/>
    <w:rsid w:val="00E85242"/>
    <w:rsid w:val="00E857DF"/>
    <w:rsid w:val="00E8599A"/>
    <w:rsid w:val="00E9003F"/>
    <w:rsid w:val="00E90CED"/>
    <w:rsid w:val="00E933B9"/>
    <w:rsid w:val="00E939EE"/>
    <w:rsid w:val="00E9522E"/>
    <w:rsid w:val="00E95625"/>
    <w:rsid w:val="00EA348D"/>
    <w:rsid w:val="00EA4C9E"/>
    <w:rsid w:val="00EA53FB"/>
    <w:rsid w:val="00EA73B9"/>
    <w:rsid w:val="00EB1129"/>
    <w:rsid w:val="00EB2FE2"/>
    <w:rsid w:val="00EB47A6"/>
    <w:rsid w:val="00EB4E0D"/>
    <w:rsid w:val="00EB5667"/>
    <w:rsid w:val="00EB73E5"/>
    <w:rsid w:val="00EC45F9"/>
    <w:rsid w:val="00EC523B"/>
    <w:rsid w:val="00EC6E2D"/>
    <w:rsid w:val="00EC75B5"/>
    <w:rsid w:val="00ED217F"/>
    <w:rsid w:val="00ED68EF"/>
    <w:rsid w:val="00ED6B71"/>
    <w:rsid w:val="00ED7498"/>
    <w:rsid w:val="00EE5D11"/>
    <w:rsid w:val="00EF290B"/>
    <w:rsid w:val="00EF31A6"/>
    <w:rsid w:val="00EF5720"/>
    <w:rsid w:val="00F01DBD"/>
    <w:rsid w:val="00F02DD8"/>
    <w:rsid w:val="00F14673"/>
    <w:rsid w:val="00F1674F"/>
    <w:rsid w:val="00F17886"/>
    <w:rsid w:val="00F21CDB"/>
    <w:rsid w:val="00F224E0"/>
    <w:rsid w:val="00F22ED3"/>
    <w:rsid w:val="00F26AE6"/>
    <w:rsid w:val="00F26DF1"/>
    <w:rsid w:val="00F26F52"/>
    <w:rsid w:val="00F27A38"/>
    <w:rsid w:val="00F319FB"/>
    <w:rsid w:val="00F31B08"/>
    <w:rsid w:val="00F37D51"/>
    <w:rsid w:val="00F40383"/>
    <w:rsid w:val="00F447E0"/>
    <w:rsid w:val="00F44988"/>
    <w:rsid w:val="00F4735D"/>
    <w:rsid w:val="00F47C8B"/>
    <w:rsid w:val="00F50647"/>
    <w:rsid w:val="00F50900"/>
    <w:rsid w:val="00F50DFB"/>
    <w:rsid w:val="00F5140E"/>
    <w:rsid w:val="00F552A0"/>
    <w:rsid w:val="00F56622"/>
    <w:rsid w:val="00F66398"/>
    <w:rsid w:val="00F716FC"/>
    <w:rsid w:val="00F718E1"/>
    <w:rsid w:val="00F72AAB"/>
    <w:rsid w:val="00F76349"/>
    <w:rsid w:val="00F76528"/>
    <w:rsid w:val="00F8014C"/>
    <w:rsid w:val="00F816D9"/>
    <w:rsid w:val="00F867B3"/>
    <w:rsid w:val="00F90EAC"/>
    <w:rsid w:val="00F92D63"/>
    <w:rsid w:val="00F93E9C"/>
    <w:rsid w:val="00F968D1"/>
    <w:rsid w:val="00FA0E9F"/>
    <w:rsid w:val="00FA2E47"/>
    <w:rsid w:val="00FB0F83"/>
    <w:rsid w:val="00FB2415"/>
    <w:rsid w:val="00FB3913"/>
    <w:rsid w:val="00FB58E9"/>
    <w:rsid w:val="00FB596F"/>
    <w:rsid w:val="00FB59DE"/>
    <w:rsid w:val="00FC1D76"/>
    <w:rsid w:val="00FC6463"/>
    <w:rsid w:val="00FC68C5"/>
    <w:rsid w:val="00FD033E"/>
    <w:rsid w:val="00FD1C1A"/>
    <w:rsid w:val="00FD2C2B"/>
    <w:rsid w:val="00FD635E"/>
    <w:rsid w:val="00FD638B"/>
    <w:rsid w:val="00FD792B"/>
    <w:rsid w:val="00FE1827"/>
    <w:rsid w:val="00FE3856"/>
    <w:rsid w:val="00FE3CD4"/>
    <w:rsid w:val="00FE4E61"/>
    <w:rsid w:val="00FE5F80"/>
    <w:rsid w:val="00FE60FF"/>
    <w:rsid w:val="00FE620A"/>
    <w:rsid w:val="00FF7418"/>
    <w:rsid w:val="0158467C"/>
    <w:rsid w:val="024C1C77"/>
    <w:rsid w:val="026393D8"/>
    <w:rsid w:val="03A609F0"/>
    <w:rsid w:val="03A7C357"/>
    <w:rsid w:val="058D944F"/>
    <w:rsid w:val="05E7FFEC"/>
    <w:rsid w:val="068EF78D"/>
    <w:rsid w:val="06BCEBD5"/>
    <w:rsid w:val="0760DE73"/>
    <w:rsid w:val="07AE2C62"/>
    <w:rsid w:val="088C9C2E"/>
    <w:rsid w:val="08EF8ECD"/>
    <w:rsid w:val="092384E7"/>
    <w:rsid w:val="0948E8BA"/>
    <w:rsid w:val="0A4F5A60"/>
    <w:rsid w:val="0BB791A2"/>
    <w:rsid w:val="0C27B206"/>
    <w:rsid w:val="0C8AF376"/>
    <w:rsid w:val="0CE23896"/>
    <w:rsid w:val="0E09BA5A"/>
    <w:rsid w:val="0E4C1057"/>
    <w:rsid w:val="0F0447FE"/>
    <w:rsid w:val="10E1B025"/>
    <w:rsid w:val="10F2B4C1"/>
    <w:rsid w:val="11084615"/>
    <w:rsid w:val="11325BD4"/>
    <w:rsid w:val="116F2A01"/>
    <w:rsid w:val="11C0A46B"/>
    <w:rsid w:val="12D6C018"/>
    <w:rsid w:val="13545238"/>
    <w:rsid w:val="1376C386"/>
    <w:rsid w:val="14CF6360"/>
    <w:rsid w:val="153D78ED"/>
    <w:rsid w:val="15432D31"/>
    <w:rsid w:val="15CE57BB"/>
    <w:rsid w:val="16212AB8"/>
    <w:rsid w:val="166B33C1"/>
    <w:rsid w:val="16DF8A65"/>
    <w:rsid w:val="179481D8"/>
    <w:rsid w:val="17A26391"/>
    <w:rsid w:val="17C8B0E2"/>
    <w:rsid w:val="18664374"/>
    <w:rsid w:val="1909AF9F"/>
    <w:rsid w:val="192098FF"/>
    <w:rsid w:val="1922B27D"/>
    <w:rsid w:val="1A2A2195"/>
    <w:rsid w:val="1A5D3A82"/>
    <w:rsid w:val="1B765432"/>
    <w:rsid w:val="1C67F2FB"/>
    <w:rsid w:val="209E1BAC"/>
    <w:rsid w:val="21588605"/>
    <w:rsid w:val="21788D2A"/>
    <w:rsid w:val="22682AC8"/>
    <w:rsid w:val="22A3CB39"/>
    <w:rsid w:val="22F5C7FC"/>
    <w:rsid w:val="23403F11"/>
    <w:rsid w:val="23BA793D"/>
    <w:rsid w:val="23BB258D"/>
    <w:rsid w:val="23DF57B6"/>
    <w:rsid w:val="24266C61"/>
    <w:rsid w:val="245D62B1"/>
    <w:rsid w:val="2463C58D"/>
    <w:rsid w:val="24A38F32"/>
    <w:rsid w:val="26875439"/>
    <w:rsid w:val="26894511"/>
    <w:rsid w:val="268E8497"/>
    <w:rsid w:val="26D860D3"/>
    <w:rsid w:val="291662F2"/>
    <w:rsid w:val="29A82F02"/>
    <w:rsid w:val="2A1274BE"/>
    <w:rsid w:val="2A5144AC"/>
    <w:rsid w:val="2BB0D4D5"/>
    <w:rsid w:val="2BF7C2E2"/>
    <w:rsid w:val="2D1945CE"/>
    <w:rsid w:val="2D8AB02E"/>
    <w:rsid w:val="2DAFD85B"/>
    <w:rsid w:val="2E113773"/>
    <w:rsid w:val="2E5603B6"/>
    <w:rsid w:val="2ECEA777"/>
    <w:rsid w:val="2F9D177E"/>
    <w:rsid w:val="30DA04CC"/>
    <w:rsid w:val="311C47C2"/>
    <w:rsid w:val="320E7E4E"/>
    <w:rsid w:val="326FCEBD"/>
    <w:rsid w:val="3305C4EB"/>
    <w:rsid w:val="332F2D09"/>
    <w:rsid w:val="33B820FA"/>
    <w:rsid w:val="34512B6C"/>
    <w:rsid w:val="3517BBD2"/>
    <w:rsid w:val="35BBB1CB"/>
    <w:rsid w:val="3613BE34"/>
    <w:rsid w:val="375D4D80"/>
    <w:rsid w:val="37D32EBE"/>
    <w:rsid w:val="3830D540"/>
    <w:rsid w:val="384DB93C"/>
    <w:rsid w:val="394B5EF6"/>
    <w:rsid w:val="399C4275"/>
    <w:rsid w:val="39A5F182"/>
    <w:rsid w:val="3A7D1E50"/>
    <w:rsid w:val="3B0057B4"/>
    <w:rsid w:val="3CDAFDF2"/>
    <w:rsid w:val="3E52C633"/>
    <w:rsid w:val="3F6A7394"/>
    <w:rsid w:val="40072C97"/>
    <w:rsid w:val="402D170E"/>
    <w:rsid w:val="403478D2"/>
    <w:rsid w:val="406D5F60"/>
    <w:rsid w:val="4281F534"/>
    <w:rsid w:val="4370B17B"/>
    <w:rsid w:val="4380746A"/>
    <w:rsid w:val="43C9660B"/>
    <w:rsid w:val="4549C44E"/>
    <w:rsid w:val="46181ED8"/>
    <w:rsid w:val="467384AD"/>
    <w:rsid w:val="46814A29"/>
    <w:rsid w:val="46D58238"/>
    <w:rsid w:val="47C46A54"/>
    <w:rsid w:val="48E88B98"/>
    <w:rsid w:val="49697046"/>
    <w:rsid w:val="4A4079C8"/>
    <w:rsid w:val="4AA765AA"/>
    <w:rsid w:val="4AD9E885"/>
    <w:rsid w:val="4C1DC687"/>
    <w:rsid w:val="4C24B8A7"/>
    <w:rsid w:val="4C34B36E"/>
    <w:rsid w:val="4CD656B9"/>
    <w:rsid w:val="4D670E2F"/>
    <w:rsid w:val="4D9817C3"/>
    <w:rsid w:val="4DCC673B"/>
    <w:rsid w:val="4E591706"/>
    <w:rsid w:val="4F14FB1B"/>
    <w:rsid w:val="4F28607A"/>
    <w:rsid w:val="504E4D60"/>
    <w:rsid w:val="51688159"/>
    <w:rsid w:val="52D66F08"/>
    <w:rsid w:val="53613A92"/>
    <w:rsid w:val="53FEAE27"/>
    <w:rsid w:val="557999C8"/>
    <w:rsid w:val="55832C6F"/>
    <w:rsid w:val="55FDC49D"/>
    <w:rsid w:val="56B51716"/>
    <w:rsid w:val="5887F349"/>
    <w:rsid w:val="596C6C8C"/>
    <w:rsid w:val="599A61CD"/>
    <w:rsid w:val="59C35C0F"/>
    <w:rsid w:val="5A561D3B"/>
    <w:rsid w:val="5B4F5780"/>
    <w:rsid w:val="5C25DBDA"/>
    <w:rsid w:val="5C919A60"/>
    <w:rsid w:val="6009A351"/>
    <w:rsid w:val="602ACA26"/>
    <w:rsid w:val="605A1C9D"/>
    <w:rsid w:val="60683D03"/>
    <w:rsid w:val="613BF274"/>
    <w:rsid w:val="61C26C56"/>
    <w:rsid w:val="62F2B017"/>
    <w:rsid w:val="62F7BDEC"/>
    <w:rsid w:val="631B3F18"/>
    <w:rsid w:val="6421B7C9"/>
    <w:rsid w:val="6478A1F3"/>
    <w:rsid w:val="6494526F"/>
    <w:rsid w:val="66094618"/>
    <w:rsid w:val="66946E77"/>
    <w:rsid w:val="66C7695E"/>
    <w:rsid w:val="6AC480CB"/>
    <w:rsid w:val="6B9AAA08"/>
    <w:rsid w:val="6BDB9B87"/>
    <w:rsid w:val="6C0D1C22"/>
    <w:rsid w:val="6F8760ED"/>
    <w:rsid w:val="702F9900"/>
    <w:rsid w:val="703D6A77"/>
    <w:rsid w:val="7057737C"/>
    <w:rsid w:val="724D700D"/>
    <w:rsid w:val="72EBA0A9"/>
    <w:rsid w:val="738C0FE2"/>
    <w:rsid w:val="73BCA103"/>
    <w:rsid w:val="74D7AEC6"/>
    <w:rsid w:val="75B30517"/>
    <w:rsid w:val="75B687EC"/>
    <w:rsid w:val="7720E130"/>
    <w:rsid w:val="776D68F5"/>
    <w:rsid w:val="7865EA2B"/>
    <w:rsid w:val="79151AD6"/>
    <w:rsid w:val="791CA094"/>
    <w:rsid w:val="7A76120A"/>
    <w:rsid w:val="7AAA995D"/>
    <w:rsid w:val="7AF8E403"/>
    <w:rsid w:val="7B5EABFF"/>
    <w:rsid w:val="7BF45253"/>
    <w:rsid w:val="7C3D1458"/>
    <w:rsid w:val="7CAEFF29"/>
    <w:rsid w:val="7DCBFFE7"/>
    <w:rsid w:val="7DD1FB67"/>
    <w:rsid w:val="7EF5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BBF120"/>
  <w15:docId w15:val="{CCA135D1-1F31-4A67-9647-C1261781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17F"/>
    <w:pPr>
      <w:jc w:val="center"/>
      <w:outlineLvl w:val="0"/>
    </w:pPr>
    <w:rPr>
      <w:rFonts w:ascii="Arial" w:hAnsi="Arial" w:cs="Arial"/>
      <w:b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67517F"/>
    <w:pPr>
      <w:spacing w:after="120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67517F"/>
    <w:rPr>
      <w:rFonts w:ascii="Arial" w:hAnsi="Arial" w:cs="Arial"/>
      <w:b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1C36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F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7517F"/>
    <w:rPr>
      <w:rFonts w:ascii="Arial" w:hAnsi="Arial" w:cs="Arial"/>
      <w:b/>
      <w:color w:val="000080"/>
      <w:sz w:val="28"/>
      <w:szCs w:val="28"/>
    </w:rPr>
  </w:style>
  <w:style w:type="character" w:customStyle="1" w:styleId="eop">
    <w:name w:val="eop"/>
    <w:basedOn w:val="DefaultParagraphFont"/>
    <w:rsid w:val="00E00AAB"/>
  </w:style>
  <w:style w:type="paragraph" w:customStyle="1" w:styleId="paragraph">
    <w:name w:val="paragraph"/>
    <w:basedOn w:val="Normal"/>
    <w:rsid w:val="006049A6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6049A6"/>
  </w:style>
  <w:style w:type="character" w:customStyle="1" w:styleId="scxw190265368">
    <w:name w:val="scxw190265368"/>
    <w:basedOn w:val="DefaultParagraphFont"/>
    <w:rsid w:val="006049A6"/>
  </w:style>
  <w:style w:type="character" w:styleId="UnresolvedMention">
    <w:name w:val="Unresolved Mention"/>
    <w:basedOn w:val="DefaultParagraphFont"/>
    <w:uiPriority w:val="99"/>
    <w:unhideWhenUsed/>
    <w:rsid w:val="003405D4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3405D4"/>
  </w:style>
  <w:style w:type="paragraph" w:customStyle="1" w:styleId="xxmsonormal">
    <w:name w:val="x_x_msonormal"/>
    <w:basedOn w:val="Normal"/>
    <w:rsid w:val="00624CD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D43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245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0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37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57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52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17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2881">
          <w:marLeft w:val="461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5" ma:contentTypeDescription="Create a new document." ma:contentTypeScope="" ma:versionID="f426f62497805208d699a1514ea4f69b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eefcbc105277eb5913d03aac06e12714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B953-8999-4CB0-95BE-67C248821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A99E6-2DEB-44C5-9DEE-44B161087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23EEC-BE77-474C-BD59-48C59E302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B1C48-F3F5-A244-BD9B-52F7BCA8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6495</Characters>
  <Application>Microsoft Office Word</Application>
  <DocSecurity>0</DocSecurity>
  <Lines>54</Lines>
  <Paragraphs>15</Paragraphs>
  <ScaleCrop>false</ScaleCrop>
  <Company>Office of Health and Human Services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</dc:creator>
  <cp:keywords/>
  <cp:lastModifiedBy>Batista, Ivis (EHS)</cp:lastModifiedBy>
  <cp:revision>2</cp:revision>
  <cp:lastPrinted>2016-11-04T22:00:00Z</cp:lastPrinted>
  <dcterms:created xsi:type="dcterms:W3CDTF">2022-09-27T21:02:00Z</dcterms:created>
  <dcterms:modified xsi:type="dcterms:W3CDTF">2022-09-27T21:02:00Z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