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3"/>
        <w:ind w:left="140" w:right="0" w:firstLine="0"/>
        <w:jc w:val="left"/>
        <w:rPr>
          <w:sz w:val="18"/>
        </w:rPr>
      </w:pPr>
      <w:r>
        <w:rPr/>
        <w:drawing>
          <wp:anchor distT="0" distB="0" distL="0" distR="0" allowOverlap="1" layoutInCell="1" locked="0" behindDoc="0" simplePos="0" relativeHeight="251659264">
            <wp:simplePos x="0" y="0"/>
            <wp:positionH relativeFrom="page">
              <wp:posOffset>5356225</wp:posOffset>
            </wp:positionH>
            <wp:positionV relativeFrom="paragraph">
              <wp:posOffset>105058</wp:posOffset>
            </wp:positionV>
            <wp:extent cx="1793239" cy="688962"/>
            <wp:effectExtent l="0" t="0" r="0" b="0"/>
            <wp:wrapNone/>
            <wp:docPr id="1" name="image1.jpeg" descr="The Centers for Medicare and Medicaid Services Logo."/>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793239" cy="688962"/>
                    </a:xfrm>
                    <a:prstGeom prst="rect">
                      <a:avLst/>
                    </a:prstGeom>
                  </pic:spPr>
                </pic:pic>
              </a:graphicData>
            </a:graphic>
          </wp:anchor>
        </w:drawing>
      </w:r>
      <w:r>
        <w:rPr>
          <w:sz w:val="18"/>
        </w:rPr>
        <w:t>DEPARTMENT OF HEALTH &amp; HUMAN SERVICES</w:t>
      </w:r>
    </w:p>
    <w:p>
      <w:pPr>
        <w:spacing w:line="249" w:lineRule="auto" w:before="7"/>
        <w:ind w:left="140" w:right="6580" w:firstLine="0"/>
        <w:jc w:val="left"/>
        <w:rPr>
          <w:sz w:val="18"/>
        </w:rPr>
      </w:pPr>
      <w:r>
        <w:rPr>
          <w:sz w:val="18"/>
        </w:rPr>
        <w:t>Centers for Medicare &amp; Medicaid Services 7500 Security Boulevard, Mail Stop S2-26-12 Baltimore, Maryland 21244-1850</w:t>
      </w:r>
    </w:p>
    <w:p>
      <w:pPr>
        <w:pStyle w:val="BodyText"/>
        <w:rPr>
          <w:sz w:val="20"/>
        </w:rPr>
      </w:pPr>
    </w:p>
    <w:p>
      <w:pPr>
        <w:pStyle w:val="BodyText"/>
        <w:spacing w:before="11"/>
        <w:rPr>
          <w:sz w:val="19"/>
        </w:rPr>
      </w:pPr>
      <w:r>
        <w:rPr/>
        <w:pict>
          <v:shape style="position:absolute;margin-left:70.949898pt;margin-top:13.931698pt;width:468pt;height:.1pt;mso-position-horizontal-relative:page;mso-position-vertical-relative:paragraph;z-index:-251658240;mso-wrap-distance-left:0;mso-wrap-distance-right:0" coordorigin="1419,279" coordsize="9360,0" path="m1419,279l10779,279e" filled="false" stroked="true" strokeweight="1pt" strokecolor="#000000">
            <v:path arrowok="t"/>
            <v:stroke dashstyle="solid"/>
            <w10:wrap type="topAndBottom"/>
          </v:shape>
        </w:pict>
      </w:r>
    </w:p>
    <w:p>
      <w:pPr>
        <w:pStyle w:val="BodyText"/>
        <w:rPr>
          <w:sz w:val="20"/>
        </w:rPr>
      </w:pPr>
    </w:p>
    <w:p>
      <w:pPr>
        <w:pStyle w:val="BodyText"/>
        <w:spacing w:before="172"/>
        <w:ind w:left="1078" w:right="1498"/>
        <w:jc w:val="center"/>
      </w:pPr>
      <w:r>
        <w:rPr/>
        <w:t>December 23, 2020</w:t>
      </w:r>
    </w:p>
    <w:p>
      <w:pPr>
        <w:pStyle w:val="BodyText"/>
        <w:rPr>
          <w:sz w:val="26"/>
        </w:rPr>
      </w:pPr>
    </w:p>
    <w:p>
      <w:pPr>
        <w:pStyle w:val="BodyText"/>
        <w:spacing w:before="157"/>
        <w:ind w:left="140"/>
      </w:pPr>
      <w:r>
        <w:rPr>
          <w:w w:val="105"/>
        </w:rPr>
        <w:t>Marylou Sudders, Secretary</w:t>
      </w:r>
    </w:p>
    <w:p>
      <w:pPr>
        <w:pStyle w:val="BodyText"/>
        <w:ind w:left="140" w:right="5521"/>
      </w:pPr>
      <w:r>
        <w:rPr/>
        <w:t>Executive Office Health and Human Services Office of Medicaid</w:t>
      </w:r>
    </w:p>
    <w:p>
      <w:pPr>
        <w:pStyle w:val="BodyText"/>
        <w:ind w:left="140" w:right="6616"/>
      </w:pPr>
      <w:r>
        <w:rPr/>
        <w:t>One Ashburton Place, Room </w:t>
      </w:r>
      <w:r>
        <w:rPr>
          <w:spacing w:val="-4"/>
        </w:rPr>
        <w:t>1109 </w:t>
      </w:r>
      <w:r>
        <w:rPr/>
        <w:t>Boston, Massachusetts</w:t>
      </w:r>
      <w:r>
        <w:rPr>
          <w:spacing w:val="58"/>
        </w:rPr>
        <w:t> </w:t>
      </w:r>
      <w:r>
        <w:rPr/>
        <w:t>02108</w:t>
      </w:r>
    </w:p>
    <w:p>
      <w:pPr>
        <w:pStyle w:val="BodyText"/>
        <w:spacing w:before="2"/>
        <w:rPr>
          <w:sz w:val="16"/>
        </w:rPr>
      </w:pPr>
    </w:p>
    <w:p>
      <w:pPr>
        <w:pStyle w:val="BodyText"/>
        <w:tabs>
          <w:tab w:pos="859" w:val="left" w:leader="none"/>
        </w:tabs>
        <w:spacing w:line="480" w:lineRule="auto" w:before="90"/>
        <w:ind w:left="140" w:right="2168"/>
      </w:pPr>
      <w:r>
        <w:rPr>
          <w:w w:val="105"/>
        </w:rPr>
        <w:t>Re:</w:t>
        <w:tab/>
        <w:t>Section 1135 Flexibilities Requested in July 9, 2020 (Fourth</w:t>
      </w:r>
      <w:r>
        <w:rPr>
          <w:spacing w:val="-46"/>
          <w:w w:val="105"/>
        </w:rPr>
        <w:t> </w:t>
      </w:r>
      <w:r>
        <w:rPr>
          <w:w w:val="105"/>
        </w:rPr>
        <w:t>Request) </w:t>
      </w:r>
      <w:r>
        <w:rPr>
          <w:color w:val="161616"/>
          <w:w w:val="105"/>
        </w:rPr>
        <w:t>Dear </w:t>
      </w:r>
      <w:r>
        <w:rPr>
          <w:w w:val="105"/>
        </w:rPr>
        <w:t>Secretary</w:t>
      </w:r>
      <w:r>
        <w:rPr>
          <w:spacing w:val="-4"/>
          <w:w w:val="105"/>
        </w:rPr>
        <w:t> </w:t>
      </w:r>
      <w:r>
        <w:rPr>
          <w:w w:val="105"/>
        </w:rPr>
        <w:t>Sudders:</w:t>
      </w:r>
    </w:p>
    <w:p>
      <w:pPr>
        <w:pStyle w:val="BodyText"/>
        <w:ind w:left="139" w:right="594"/>
      </w:pPr>
      <w:r>
        <w:rPr>
          <w:color w:val="161616"/>
          <w:w w:val="105"/>
        </w:rPr>
        <w:t>The Centers for Medicare &amp; Medicaid Services (CMS) granted an initial approval to the State of </w:t>
      </w:r>
      <w:r>
        <w:rPr>
          <w:w w:val="105"/>
        </w:rPr>
        <w:t>Massachusetts for multiple section 1135 flexibilities on March 26, 2020. Your follow-up </w:t>
      </w:r>
      <w:r>
        <w:rPr>
          <w:color w:val="383838"/>
          <w:w w:val="105"/>
        </w:rPr>
        <w:t>communication to CMS </w:t>
      </w:r>
      <w:r>
        <w:rPr>
          <w:w w:val="105"/>
        </w:rPr>
        <w:t>on July 9, 2020 </w:t>
      </w:r>
      <w:r>
        <w:rPr>
          <w:color w:val="161616"/>
          <w:w w:val="105"/>
        </w:rPr>
        <w:t>d</w:t>
      </w:r>
      <w:r>
        <w:rPr>
          <w:color w:val="383838"/>
          <w:w w:val="105"/>
        </w:rPr>
        <w:t>e</w:t>
      </w:r>
      <w:r>
        <w:rPr>
          <w:color w:val="161616"/>
          <w:w w:val="105"/>
        </w:rPr>
        <w:t>t</w:t>
      </w:r>
      <w:r>
        <w:rPr>
          <w:color w:val="383838"/>
          <w:w w:val="105"/>
        </w:rPr>
        <w:t>a</w:t>
      </w:r>
      <w:r>
        <w:rPr>
          <w:color w:val="161616"/>
          <w:w w:val="105"/>
        </w:rPr>
        <w:t>iled </w:t>
      </w:r>
      <w:r>
        <w:rPr>
          <w:w w:val="105"/>
        </w:rPr>
        <w:t>additional federal </w:t>
      </w:r>
      <w:r>
        <w:rPr>
          <w:color w:val="161616"/>
          <w:w w:val="105"/>
        </w:rPr>
        <w:t>requirement</w:t>
      </w:r>
      <w:r>
        <w:rPr>
          <w:color w:val="383838"/>
          <w:w w:val="105"/>
        </w:rPr>
        <w:t>s </w:t>
      </w:r>
      <w:r>
        <w:rPr>
          <w:color w:val="161616"/>
          <w:w w:val="105"/>
        </w:rPr>
        <w:t>that also </w:t>
      </w:r>
      <w:r>
        <w:rPr>
          <w:w w:val="105"/>
        </w:rPr>
        <w:t>pose </w:t>
      </w:r>
      <w:r>
        <w:rPr>
          <w:color w:val="161616"/>
          <w:w w:val="105"/>
        </w:rPr>
        <w:t>i</w:t>
      </w:r>
      <w:r>
        <w:rPr>
          <w:color w:val="383838"/>
          <w:w w:val="105"/>
        </w:rPr>
        <w:t>ss</w:t>
      </w:r>
      <w:r>
        <w:rPr>
          <w:color w:val="161616"/>
          <w:w w:val="105"/>
        </w:rPr>
        <w:t>u</w:t>
      </w:r>
      <w:r>
        <w:rPr>
          <w:color w:val="383838"/>
          <w:w w:val="105"/>
        </w:rPr>
        <w:t>es or challenges </w:t>
      </w:r>
      <w:r>
        <w:rPr>
          <w:w w:val="105"/>
        </w:rPr>
        <w:t>for </w:t>
      </w:r>
      <w:r>
        <w:rPr>
          <w:color w:val="161616"/>
          <w:w w:val="105"/>
        </w:rPr>
        <w:t>the health </w:t>
      </w:r>
      <w:r>
        <w:rPr>
          <w:w w:val="105"/>
        </w:rPr>
        <w:t>care delivery </w:t>
      </w:r>
      <w:r>
        <w:rPr>
          <w:color w:val="383838"/>
          <w:w w:val="105"/>
        </w:rPr>
        <w:t>syste</w:t>
      </w:r>
      <w:r>
        <w:rPr>
          <w:color w:val="161616"/>
          <w:w w:val="105"/>
        </w:rPr>
        <w:t>m </w:t>
      </w:r>
      <w:r>
        <w:rPr>
          <w:w w:val="105"/>
        </w:rPr>
        <w:t>in Massachusetts and requested a waiver or modification of those additional requirements. </w:t>
      </w:r>
      <w:r>
        <w:rPr>
          <w:color w:val="383838"/>
          <w:w w:val="105"/>
        </w:rPr>
        <w:t>A</w:t>
      </w:r>
      <w:r>
        <w:rPr>
          <w:color w:val="161616"/>
          <w:w w:val="105"/>
        </w:rPr>
        <w:t>tt</w:t>
      </w:r>
      <w:r>
        <w:rPr>
          <w:color w:val="383838"/>
          <w:w w:val="105"/>
        </w:rPr>
        <w:t>ac</w:t>
      </w:r>
      <w:r>
        <w:rPr>
          <w:color w:val="161616"/>
          <w:w w:val="105"/>
        </w:rPr>
        <w:t>h</w:t>
      </w:r>
      <w:r>
        <w:rPr>
          <w:color w:val="383838"/>
          <w:w w:val="105"/>
        </w:rPr>
        <w:t>e</w:t>
      </w:r>
      <w:r>
        <w:rPr>
          <w:color w:val="161616"/>
          <w:w w:val="105"/>
        </w:rPr>
        <w:t>d</w:t>
      </w:r>
      <w:r>
        <w:rPr>
          <w:color w:val="595958"/>
          <w:w w:val="105"/>
        </w:rPr>
        <w:t>, </w:t>
      </w:r>
      <w:r>
        <w:rPr>
          <w:color w:val="161616"/>
          <w:w w:val="105"/>
        </w:rPr>
        <w:t>pl</w:t>
      </w:r>
      <w:r>
        <w:rPr>
          <w:color w:val="383838"/>
          <w:w w:val="105"/>
        </w:rPr>
        <w:t>ease </w:t>
      </w:r>
      <w:r>
        <w:rPr>
          <w:color w:val="161616"/>
          <w:w w:val="105"/>
        </w:rPr>
        <w:t>find a r</w:t>
      </w:r>
      <w:r>
        <w:rPr>
          <w:color w:val="383838"/>
          <w:w w:val="105"/>
        </w:rPr>
        <w:t>espo</w:t>
      </w:r>
      <w:r>
        <w:rPr>
          <w:color w:val="161616"/>
          <w:w w:val="105"/>
        </w:rPr>
        <w:t>n</w:t>
      </w:r>
      <w:r>
        <w:rPr>
          <w:color w:val="383838"/>
          <w:w w:val="105"/>
        </w:rPr>
        <w:t>se </w:t>
      </w:r>
      <w:r>
        <w:rPr>
          <w:w w:val="105"/>
        </w:rPr>
        <w:t>to </w:t>
      </w:r>
      <w:r>
        <w:rPr>
          <w:color w:val="383838"/>
          <w:w w:val="105"/>
        </w:rPr>
        <w:t>yo</w:t>
      </w:r>
      <w:r>
        <w:rPr>
          <w:color w:val="161616"/>
          <w:w w:val="105"/>
        </w:rPr>
        <w:t>ur </w:t>
      </w:r>
      <w:r>
        <w:rPr>
          <w:w w:val="105"/>
        </w:rPr>
        <w:t>requests for waiver</w:t>
      </w:r>
      <w:r>
        <w:rPr>
          <w:color w:val="383838"/>
          <w:w w:val="105"/>
        </w:rPr>
        <w:t>s or modifications, </w:t>
      </w:r>
      <w:r>
        <w:rPr>
          <w:color w:val="161616"/>
          <w:w w:val="105"/>
        </w:rPr>
        <w:t>pur</w:t>
      </w:r>
      <w:r>
        <w:rPr>
          <w:color w:val="383838"/>
          <w:w w:val="105"/>
        </w:rPr>
        <w:t>s</w:t>
      </w:r>
      <w:r>
        <w:rPr>
          <w:color w:val="161616"/>
          <w:w w:val="105"/>
        </w:rPr>
        <w:t>u</w:t>
      </w:r>
      <w:r>
        <w:rPr>
          <w:color w:val="383838"/>
          <w:w w:val="105"/>
        </w:rPr>
        <w:t>a</w:t>
      </w:r>
      <w:r>
        <w:rPr>
          <w:color w:val="161616"/>
          <w:w w:val="105"/>
        </w:rPr>
        <w:t>nt </w:t>
      </w:r>
      <w:r>
        <w:rPr>
          <w:w w:val="105"/>
        </w:rPr>
        <w:t>to </w:t>
      </w:r>
      <w:r>
        <w:rPr>
          <w:color w:val="383838"/>
          <w:w w:val="105"/>
        </w:rPr>
        <w:t>sec</w:t>
      </w:r>
      <w:r>
        <w:rPr>
          <w:color w:val="161616"/>
          <w:w w:val="105"/>
        </w:rPr>
        <w:t>tion 11</w:t>
      </w:r>
      <w:r>
        <w:rPr>
          <w:color w:val="383838"/>
          <w:w w:val="105"/>
        </w:rPr>
        <w:t>35 </w:t>
      </w:r>
      <w:r>
        <w:rPr>
          <w:w w:val="105"/>
        </w:rPr>
        <w:t>of </w:t>
      </w:r>
      <w:r>
        <w:rPr>
          <w:color w:val="161616"/>
          <w:w w:val="105"/>
        </w:rPr>
        <w:t>th</w:t>
      </w:r>
      <w:r>
        <w:rPr>
          <w:color w:val="383838"/>
          <w:w w:val="105"/>
        </w:rPr>
        <w:t>e Socia</w:t>
      </w:r>
      <w:r>
        <w:rPr>
          <w:color w:val="161616"/>
          <w:w w:val="105"/>
        </w:rPr>
        <w:t>l </w:t>
      </w:r>
      <w:r>
        <w:rPr>
          <w:color w:val="383838"/>
          <w:w w:val="105"/>
        </w:rPr>
        <w:t>Sec</w:t>
      </w:r>
      <w:r>
        <w:rPr>
          <w:color w:val="161616"/>
          <w:w w:val="105"/>
        </w:rPr>
        <w:t>urit</w:t>
      </w:r>
      <w:r>
        <w:rPr>
          <w:color w:val="383838"/>
          <w:w w:val="105"/>
        </w:rPr>
        <w:t>y </w:t>
      </w:r>
      <w:r>
        <w:rPr>
          <w:w w:val="105"/>
        </w:rPr>
        <w:t>Act (Act)</w:t>
      </w:r>
      <w:r>
        <w:rPr>
          <w:color w:val="595958"/>
          <w:w w:val="105"/>
        </w:rPr>
        <w:t>, </w:t>
      </w:r>
      <w:r>
        <w:rPr>
          <w:w w:val="105"/>
        </w:rPr>
        <w:t>to </w:t>
      </w:r>
      <w:r>
        <w:rPr>
          <w:color w:val="383838"/>
          <w:w w:val="105"/>
        </w:rPr>
        <w:t>address the </w:t>
      </w:r>
      <w:r>
        <w:rPr>
          <w:w w:val="105"/>
        </w:rPr>
        <w:t>challenges posed </w:t>
      </w:r>
      <w:r>
        <w:rPr>
          <w:color w:val="161616"/>
          <w:w w:val="105"/>
        </w:rPr>
        <w:t>b</w:t>
      </w:r>
      <w:r>
        <w:rPr>
          <w:color w:val="383838"/>
          <w:w w:val="105"/>
        </w:rPr>
        <w:t>y COVID-19. </w:t>
      </w:r>
      <w:r>
        <w:rPr>
          <w:w w:val="105"/>
        </w:rPr>
        <w:t>This approval addresses those requests related to Medicaid. To the extent the requirements the state requested to waive or modify apply to CHIP, the state may apply the approved flexibilities</w:t>
      </w:r>
    </w:p>
    <w:p>
      <w:pPr>
        <w:pStyle w:val="BodyText"/>
        <w:ind w:left="140" w:right="594"/>
      </w:pPr>
      <w:r>
        <w:rPr/>
        <w:t>to CHIP. This applies to the waivers included below, as well as the 1135 waivers granted to the state on March 26, 2020, as well as the 1135 waivers granted to the state on May 8, 2020, June 16, 2020, and October 29, 2020.</w:t>
      </w:r>
    </w:p>
    <w:p>
      <w:pPr>
        <w:pStyle w:val="BodyText"/>
      </w:pPr>
    </w:p>
    <w:p>
      <w:pPr>
        <w:pStyle w:val="BodyText"/>
        <w:ind w:left="142" w:right="586"/>
      </w:pPr>
      <w:r>
        <w:rPr>
          <w:color w:val="161616"/>
          <w:w w:val="105"/>
        </w:rPr>
        <w:t>On March 13, 2020, the President of the United States issued a proclamation that the COVID-19 outbreak in the United States constitutes a national emergency by the authorities vested in him by the Constitution and the laws of the United States, including sections 201 and 301 of the National Emergencies Act (50 U.S.C. 1601 </w:t>
      </w:r>
      <w:r>
        <w:rPr>
          <w:i/>
          <w:color w:val="161616"/>
          <w:w w:val="105"/>
        </w:rPr>
        <w:t>et seq</w:t>
      </w:r>
      <w:r>
        <w:rPr>
          <w:color w:val="161616"/>
          <w:w w:val="105"/>
        </w:rPr>
        <w:t>.), and consistent with section 1135 of the Act. On March 13, 2020, pursuant to section 1135(b) of the Act, the Secretary of the United States Department of Health and Human Services invoked his authority to waive or modify certain requirements of titles XVIII, XIX, and XXI of the Act as a result of the consequences of the COVID-19 pandemic, </w:t>
      </w:r>
      <w:r>
        <w:rPr>
          <w:color w:val="040404"/>
          <w:w w:val="105"/>
        </w:rPr>
        <w:t>to the extent necessary, as determined</w:t>
      </w:r>
      <w:r>
        <w:rPr>
          <w:color w:val="040404"/>
          <w:spacing w:val="-31"/>
          <w:w w:val="105"/>
        </w:rPr>
        <w:t> </w:t>
      </w:r>
      <w:r>
        <w:rPr>
          <w:color w:val="040404"/>
          <w:w w:val="105"/>
        </w:rPr>
        <w:t>by</w:t>
      </w:r>
      <w:r>
        <w:rPr>
          <w:color w:val="040404"/>
          <w:spacing w:val="-34"/>
          <w:w w:val="105"/>
        </w:rPr>
        <w:t> </w:t>
      </w:r>
      <w:r>
        <w:rPr>
          <w:color w:val="040404"/>
          <w:w w:val="105"/>
        </w:rPr>
        <w:t>CMS,</w:t>
      </w:r>
      <w:r>
        <w:rPr>
          <w:color w:val="040404"/>
          <w:spacing w:val="-31"/>
          <w:w w:val="105"/>
        </w:rPr>
        <w:t> </w:t>
      </w:r>
      <w:r>
        <w:rPr>
          <w:color w:val="040404"/>
          <w:w w:val="105"/>
        </w:rPr>
        <w:t>to</w:t>
      </w:r>
      <w:r>
        <w:rPr>
          <w:color w:val="040404"/>
          <w:spacing w:val="-30"/>
          <w:w w:val="105"/>
        </w:rPr>
        <w:t> </w:t>
      </w:r>
      <w:r>
        <w:rPr>
          <w:color w:val="040404"/>
          <w:w w:val="105"/>
        </w:rPr>
        <w:t>ensure</w:t>
      </w:r>
      <w:r>
        <w:rPr>
          <w:color w:val="040404"/>
          <w:spacing w:val="-32"/>
          <w:w w:val="105"/>
        </w:rPr>
        <w:t> </w:t>
      </w:r>
      <w:r>
        <w:rPr>
          <w:color w:val="040404"/>
          <w:w w:val="105"/>
        </w:rPr>
        <w:t>that</w:t>
      </w:r>
      <w:r>
        <w:rPr>
          <w:color w:val="040404"/>
          <w:spacing w:val="-31"/>
          <w:w w:val="105"/>
        </w:rPr>
        <w:t> </w:t>
      </w:r>
      <w:r>
        <w:rPr>
          <w:color w:val="040404"/>
          <w:w w:val="105"/>
        </w:rPr>
        <w:t>sufficient</w:t>
      </w:r>
      <w:r>
        <w:rPr>
          <w:color w:val="040404"/>
          <w:spacing w:val="-30"/>
          <w:w w:val="105"/>
        </w:rPr>
        <w:t> </w:t>
      </w:r>
      <w:r>
        <w:rPr>
          <w:color w:val="040404"/>
          <w:w w:val="105"/>
        </w:rPr>
        <w:t>health</w:t>
      </w:r>
      <w:r>
        <w:rPr>
          <w:color w:val="040404"/>
          <w:spacing w:val="-31"/>
          <w:w w:val="105"/>
        </w:rPr>
        <w:t> </w:t>
      </w:r>
      <w:r>
        <w:rPr>
          <w:color w:val="040404"/>
          <w:w w:val="105"/>
        </w:rPr>
        <w:t>care</w:t>
      </w:r>
      <w:r>
        <w:rPr>
          <w:color w:val="040404"/>
          <w:spacing w:val="-32"/>
          <w:w w:val="105"/>
        </w:rPr>
        <w:t> </w:t>
      </w:r>
      <w:r>
        <w:rPr>
          <w:color w:val="040404"/>
          <w:w w:val="105"/>
        </w:rPr>
        <w:t>items</w:t>
      </w:r>
      <w:r>
        <w:rPr>
          <w:color w:val="040404"/>
          <w:spacing w:val="-29"/>
          <w:w w:val="105"/>
        </w:rPr>
        <w:t> </w:t>
      </w:r>
      <w:r>
        <w:rPr>
          <w:color w:val="040404"/>
          <w:w w:val="105"/>
        </w:rPr>
        <w:t>and</w:t>
      </w:r>
      <w:r>
        <w:rPr>
          <w:color w:val="040404"/>
          <w:spacing w:val="-31"/>
          <w:w w:val="105"/>
        </w:rPr>
        <w:t> </w:t>
      </w:r>
      <w:r>
        <w:rPr>
          <w:color w:val="040404"/>
          <w:w w:val="105"/>
        </w:rPr>
        <w:t>services</w:t>
      </w:r>
      <w:r>
        <w:rPr>
          <w:color w:val="040404"/>
          <w:spacing w:val="-30"/>
          <w:w w:val="105"/>
        </w:rPr>
        <w:t> </w:t>
      </w:r>
      <w:r>
        <w:rPr>
          <w:color w:val="040404"/>
          <w:w w:val="105"/>
        </w:rPr>
        <w:t>are</w:t>
      </w:r>
      <w:r>
        <w:rPr>
          <w:color w:val="040404"/>
          <w:spacing w:val="-31"/>
          <w:w w:val="105"/>
        </w:rPr>
        <w:t> </w:t>
      </w:r>
      <w:r>
        <w:rPr>
          <w:color w:val="040404"/>
          <w:w w:val="105"/>
        </w:rPr>
        <w:t>available</w:t>
      </w:r>
      <w:r>
        <w:rPr>
          <w:color w:val="040404"/>
          <w:spacing w:val="-32"/>
          <w:w w:val="105"/>
        </w:rPr>
        <w:t> </w:t>
      </w:r>
      <w:r>
        <w:rPr>
          <w:color w:val="040404"/>
          <w:w w:val="105"/>
        </w:rPr>
        <w:t>to</w:t>
      </w:r>
      <w:r>
        <w:rPr>
          <w:color w:val="040404"/>
          <w:spacing w:val="-30"/>
          <w:w w:val="105"/>
        </w:rPr>
        <w:t> </w:t>
      </w:r>
      <w:r>
        <w:rPr>
          <w:color w:val="040404"/>
          <w:w w:val="105"/>
        </w:rPr>
        <w:t>meet the needs of individuals enrolled in the respective programs and to ensure that health care providers</w:t>
      </w:r>
      <w:r>
        <w:rPr>
          <w:color w:val="040404"/>
          <w:spacing w:val="-28"/>
          <w:w w:val="105"/>
        </w:rPr>
        <w:t> </w:t>
      </w:r>
      <w:r>
        <w:rPr>
          <w:color w:val="040404"/>
          <w:w w:val="105"/>
        </w:rPr>
        <w:t>that</w:t>
      </w:r>
      <w:r>
        <w:rPr>
          <w:color w:val="040404"/>
          <w:spacing w:val="-28"/>
          <w:w w:val="105"/>
        </w:rPr>
        <w:t> </w:t>
      </w:r>
      <w:r>
        <w:rPr>
          <w:color w:val="040404"/>
          <w:w w:val="105"/>
        </w:rPr>
        <w:t>furnish</w:t>
      </w:r>
      <w:r>
        <w:rPr>
          <w:color w:val="040404"/>
          <w:spacing w:val="-28"/>
          <w:w w:val="105"/>
        </w:rPr>
        <w:t> </w:t>
      </w:r>
      <w:r>
        <w:rPr>
          <w:color w:val="040404"/>
          <w:w w:val="105"/>
        </w:rPr>
        <w:t>such</w:t>
      </w:r>
      <w:r>
        <w:rPr>
          <w:color w:val="040404"/>
          <w:spacing w:val="-28"/>
          <w:w w:val="105"/>
        </w:rPr>
        <w:t> </w:t>
      </w:r>
      <w:r>
        <w:rPr>
          <w:color w:val="040404"/>
          <w:w w:val="105"/>
        </w:rPr>
        <w:t>items</w:t>
      </w:r>
      <w:r>
        <w:rPr>
          <w:color w:val="040404"/>
          <w:spacing w:val="-28"/>
          <w:w w:val="105"/>
        </w:rPr>
        <w:t> </w:t>
      </w:r>
      <w:r>
        <w:rPr>
          <w:color w:val="040404"/>
          <w:w w:val="105"/>
        </w:rPr>
        <w:t>and</w:t>
      </w:r>
      <w:r>
        <w:rPr>
          <w:color w:val="040404"/>
          <w:spacing w:val="-28"/>
          <w:w w:val="105"/>
        </w:rPr>
        <w:t> </w:t>
      </w:r>
      <w:r>
        <w:rPr>
          <w:color w:val="040404"/>
          <w:w w:val="105"/>
        </w:rPr>
        <w:t>services</w:t>
      </w:r>
      <w:r>
        <w:rPr>
          <w:color w:val="040404"/>
          <w:spacing w:val="-28"/>
          <w:w w:val="105"/>
        </w:rPr>
        <w:t> </w:t>
      </w:r>
      <w:r>
        <w:rPr>
          <w:color w:val="040404"/>
          <w:w w:val="105"/>
        </w:rPr>
        <w:t>in</w:t>
      </w:r>
      <w:r>
        <w:rPr>
          <w:color w:val="040404"/>
          <w:spacing w:val="-27"/>
          <w:w w:val="105"/>
        </w:rPr>
        <w:t> </w:t>
      </w:r>
      <w:r>
        <w:rPr>
          <w:color w:val="040404"/>
          <w:w w:val="105"/>
        </w:rPr>
        <w:t>good</w:t>
      </w:r>
      <w:r>
        <w:rPr>
          <w:color w:val="040404"/>
          <w:spacing w:val="-28"/>
          <w:w w:val="105"/>
        </w:rPr>
        <w:t> </w:t>
      </w:r>
      <w:r>
        <w:rPr>
          <w:color w:val="040404"/>
          <w:w w:val="105"/>
        </w:rPr>
        <w:t>faith,</w:t>
      </w:r>
      <w:r>
        <w:rPr>
          <w:color w:val="040404"/>
          <w:spacing w:val="-27"/>
          <w:w w:val="105"/>
        </w:rPr>
        <w:t> </w:t>
      </w:r>
      <w:r>
        <w:rPr>
          <w:color w:val="040404"/>
          <w:w w:val="105"/>
        </w:rPr>
        <w:t>but</w:t>
      </w:r>
      <w:r>
        <w:rPr>
          <w:color w:val="040404"/>
          <w:spacing w:val="-28"/>
          <w:w w:val="105"/>
        </w:rPr>
        <w:t> </w:t>
      </w:r>
      <w:r>
        <w:rPr>
          <w:color w:val="040404"/>
          <w:w w:val="105"/>
        </w:rPr>
        <w:t>are</w:t>
      </w:r>
      <w:r>
        <w:rPr>
          <w:color w:val="040404"/>
          <w:spacing w:val="-29"/>
          <w:w w:val="105"/>
        </w:rPr>
        <w:t> </w:t>
      </w:r>
      <w:r>
        <w:rPr>
          <w:color w:val="040404"/>
          <w:w w:val="105"/>
        </w:rPr>
        <w:t>unable</w:t>
      </w:r>
      <w:r>
        <w:rPr>
          <w:color w:val="040404"/>
          <w:spacing w:val="-27"/>
          <w:w w:val="105"/>
        </w:rPr>
        <w:t> </w:t>
      </w:r>
      <w:r>
        <w:rPr>
          <w:color w:val="040404"/>
          <w:w w:val="105"/>
        </w:rPr>
        <w:t>to</w:t>
      </w:r>
      <w:r>
        <w:rPr>
          <w:color w:val="040404"/>
          <w:spacing w:val="-28"/>
          <w:w w:val="105"/>
        </w:rPr>
        <w:t> </w:t>
      </w:r>
      <w:r>
        <w:rPr>
          <w:color w:val="040404"/>
          <w:w w:val="105"/>
        </w:rPr>
        <w:t>comply</w:t>
      </w:r>
      <w:r>
        <w:rPr>
          <w:color w:val="040404"/>
          <w:spacing w:val="-31"/>
          <w:w w:val="105"/>
        </w:rPr>
        <w:t> </w:t>
      </w:r>
      <w:r>
        <w:rPr>
          <w:color w:val="040404"/>
          <w:w w:val="105"/>
        </w:rPr>
        <w:t>with</w:t>
      </w:r>
      <w:r>
        <w:rPr>
          <w:color w:val="040404"/>
          <w:spacing w:val="-28"/>
          <w:w w:val="105"/>
        </w:rPr>
        <w:t> </w:t>
      </w:r>
      <w:r>
        <w:rPr>
          <w:color w:val="040404"/>
          <w:w w:val="105"/>
        </w:rPr>
        <w:t>one</w:t>
      </w:r>
      <w:r>
        <w:rPr>
          <w:color w:val="040404"/>
          <w:spacing w:val="-28"/>
          <w:w w:val="105"/>
        </w:rPr>
        <w:t> </w:t>
      </w:r>
      <w:r>
        <w:rPr>
          <w:color w:val="040404"/>
          <w:w w:val="105"/>
        </w:rPr>
        <w:t>or more</w:t>
      </w:r>
      <w:r>
        <w:rPr>
          <w:color w:val="040404"/>
          <w:spacing w:val="-27"/>
          <w:w w:val="105"/>
        </w:rPr>
        <w:t> </w:t>
      </w:r>
      <w:r>
        <w:rPr>
          <w:color w:val="040404"/>
          <w:w w:val="105"/>
        </w:rPr>
        <w:t>of</w:t>
      </w:r>
      <w:r>
        <w:rPr>
          <w:color w:val="040404"/>
          <w:spacing w:val="-26"/>
          <w:w w:val="105"/>
        </w:rPr>
        <w:t> </w:t>
      </w:r>
      <w:r>
        <w:rPr>
          <w:color w:val="040404"/>
          <w:w w:val="105"/>
        </w:rPr>
        <w:t>such</w:t>
      </w:r>
      <w:r>
        <w:rPr>
          <w:color w:val="040404"/>
          <w:spacing w:val="-26"/>
          <w:w w:val="105"/>
        </w:rPr>
        <w:t> </w:t>
      </w:r>
      <w:r>
        <w:rPr>
          <w:color w:val="040404"/>
          <w:w w:val="105"/>
        </w:rPr>
        <w:t>requirements</w:t>
      </w:r>
      <w:r>
        <w:rPr>
          <w:color w:val="040404"/>
          <w:spacing w:val="-25"/>
          <w:w w:val="105"/>
        </w:rPr>
        <w:t> </w:t>
      </w:r>
      <w:r>
        <w:rPr>
          <w:color w:val="040404"/>
          <w:w w:val="105"/>
        </w:rPr>
        <w:t>as</w:t>
      </w:r>
      <w:r>
        <w:rPr>
          <w:color w:val="040404"/>
          <w:spacing w:val="-26"/>
          <w:w w:val="105"/>
        </w:rPr>
        <w:t> </w:t>
      </w:r>
      <w:r>
        <w:rPr>
          <w:color w:val="040404"/>
          <w:w w:val="105"/>
        </w:rPr>
        <w:t>a</w:t>
      </w:r>
      <w:r>
        <w:rPr>
          <w:color w:val="040404"/>
          <w:spacing w:val="-26"/>
          <w:w w:val="105"/>
        </w:rPr>
        <w:t> </w:t>
      </w:r>
      <w:r>
        <w:rPr>
          <w:color w:val="040404"/>
          <w:w w:val="105"/>
        </w:rPr>
        <w:t>result</w:t>
      </w:r>
      <w:r>
        <w:rPr>
          <w:color w:val="040404"/>
          <w:spacing w:val="-26"/>
          <w:w w:val="105"/>
        </w:rPr>
        <w:t> </w:t>
      </w:r>
      <w:r>
        <w:rPr>
          <w:color w:val="040404"/>
          <w:w w:val="105"/>
        </w:rPr>
        <w:t>of</w:t>
      </w:r>
      <w:r>
        <w:rPr>
          <w:color w:val="040404"/>
          <w:spacing w:val="-26"/>
          <w:w w:val="105"/>
        </w:rPr>
        <w:t> </w:t>
      </w:r>
      <w:r>
        <w:rPr>
          <w:color w:val="040404"/>
          <w:w w:val="105"/>
        </w:rPr>
        <w:t>the</w:t>
      </w:r>
      <w:r>
        <w:rPr>
          <w:color w:val="040404"/>
          <w:spacing w:val="-26"/>
          <w:w w:val="105"/>
        </w:rPr>
        <w:t> </w:t>
      </w:r>
      <w:r>
        <w:rPr>
          <w:color w:val="040404"/>
          <w:w w:val="105"/>
        </w:rPr>
        <w:t>COVID-19</w:t>
      </w:r>
      <w:r>
        <w:rPr>
          <w:color w:val="040404"/>
          <w:spacing w:val="-26"/>
          <w:w w:val="105"/>
        </w:rPr>
        <w:t> </w:t>
      </w:r>
      <w:r>
        <w:rPr>
          <w:color w:val="040404"/>
          <w:w w:val="105"/>
        </w:rPr>
        <w:t>pandemic,</w:t>
      </w:r>
      <w:r>
        <w:rPr>
          <w:color w:val="040404"/>
          <w:spacing w:val="-26"/>
          <w:w w:val="105"/>
        </w:rPr>
        <w:t> </w:t>
      </w:r>
      <w:r>
        <w:rPr>
          <w:color w:val="040404"/>
          <w:w w:val="105"/>
        </w:rPr>
        <w:t>may</w:t>
      </w:r>
      <w:r>
        <w:rPr>
          <w:color w:val="040404"/>
          <w:spacing w:val="-28"/>
          <w:w w:val="105"/>
        </w:rPr>
        <w:t> </w:t>
      </w:r>
      <w:r>
        <w:rPr>
          <w:color w:val="040404"/>
          <w:w w:val="105"/>
        </w:rPr>
        <w:t>be</w:t>
      </w:r>
      <w:r>
        <w:rPr>
          <w:color w:val="040404"/>
          <w:spacing w:val="-27"/>
          <w:w w:val="105"/>
        </w:rPr>
        <w:t> </w:t>
      </w:r>
      <w:r>
        <w:rPr>
          <w:color w:val="040404"/>
          <w:w w:val="105"/>
        </w:rPr>
        <w:t>reimbursed</w:t>
      </w:r>
      <w:r>
        <w:rPr>
          <w:color w:val="040404"/>
          <w:spacing w:val="-25"/>
          <w:w w:val="105"/>
        </w:rPr>
        <w:t> </w:t>
      </w:r>
      <w:r>
        <w:rPr>
          <w:color w:val="040404"/>
          <w:w w:val="105"/>
        </w:rPr>
        <w:t>for</w:t>
      </w:r>
      <w:r>
        <w:rPr>
          <w:color w:val="040404"/>
          <w:spacing w:val="-26"/>
          <w:w w:val="105"/>
        </w:rPr>
        <w:t> </w:t>
      </w:r>
      <w:r>
        <w:rPr>
          <w:color w:val="040404"/>
          <w:w w:val="105"/>
        </w:rPr>
        <w:t>such items and services and exempted from sanctions for such noncompliance, absent any determination</w:t>
      </w:r>
      <w:r>
        <w:rPr>
          <w:color w:val="040404"/>
          <w:spacing w:val="-13"/>
          <w:w w:val="105"/>
        </w:rPr>
        <w:t> </w:t>
      </w:r>
      <w:r>
        <w:rPr>
          <w:color w:val="040404"/>
          <w:w w:val="105"/>
        </w:rPr>
        <w:t>of</w:t>
      </w:r>
      <w:r>
        <w:rPr>
          <w:color w:val="040404"/>
          <w:spacing w:val="-13"/>
          <w:w w:val="105"/>
        </w:rPr>
        <w:t> </w:t>
      </w:r>
      <w:r>
        <w:rPr>
          <w:color w:val="040404"/>
          <w:w w:val="105"/>
        </w:rPr>
        <w:t>fraud</w:t>
      </w:r>
      <w:r>
        <w:rPr>
          <w:color w:val="040404"/>
          <w:spacing w:val="-13"/>
          <w:w w:val="105"/>
        </w:rPr>
        <w:t> </w:t>
      </w:r>
      <w:r>
        <w:rPr>
          <w:color w:val="040404"/>
          <w:w w:val="105"/>
        </w:rPr>
        <w:t>or</w:t>
      </w:r>
      <w:r>
        <w:rPr>
          <w:color w:val="040404"/>
          <w:spacing w:val="-11"/>
          <w:w w:val="105"/>
        </w:rPr>
        <w:t> </w:t>
      </w:r>
      <w:r>
        <w:rPr>
          <w:color w:val="040404"/>
          <w:w w:val="105"/>
        </w:rPr>
        <w:t>abuse.</w:t>
      </w:r>
      <w:r>
        <w:rPr>
          <w:color w:val="040404"/>
          <w:spacing w:val="-11"/>
          <w:w w:val="105"/>
        </w:rPr>
        <w:t> </w:t>
      </w:r>
      <w:r>
        <w:rPr>
          <w:color w:val="161616"/>
          <w:w w:val="105"/>
        </w:rPr>
        <w:t>This</w:t>
      </w:r>
      <w:r>
        <w:rPr>
          <w:color w:val="161616"/>
          <w:spacing w:val="-11"/>
          <w:w w:val="105"/>
        </w:rPr>
        <w:t> </w:t>
      </w:r>
      <w:r>
        <w:rPr>
          <w:color w:val="161616"/>
          <w:w w:val="105"/>
        </w:rPr>
        <w:t>authority</w:t>
      </w:r>
      <w:r>
        <w:rPr>
          <w:color w:val="161616"/>
          <w:spacing w:val="-11"/>
          <w:w w:val="105"/>
        </w:rPr>
        <w:t> </w:t>
      </w:r>
      <w:r>
        <w:rPr>
          <w:color w:val="161616"/>
          <w:w w:val="105"/>
        </w:rPr>
        <w:t>took</w:t>
      </w:r>
      <w:r>
        <w:rPr>
          <w:color w:val="161616"/>
          <w:spacing w:val="-12"/>
          <w:w w:val="105"/>
        </w:rPr>
        <w:t> </w:t>
      </w:r>
      <w:r>
        <w:rPr>
          <w:color w:val="161616"/>
          <w:w w:val="105"/>
        </w:rPr>
        <w:t>effect</w:t>
      </w:r>
      <w:r>
        <w:rPr>
          <w:color w:val="161616"/>
          <w:spacing w:val="-11"/>
          <w:w w:val="105"/>
        </w:rPr>
        <w:t> </w:t>
      </w:r>
      <w:r>
        <w:rPr>
          <w:color w:val="161616"/>
          <w:w w:val="105"/>
        </w:rPr>
        <w:t>as</w:t>
      </w:r>
      <w:r>
        <w:rPr>
          <w:color w:val="161616"/>
          <w:spacing w:val="-10"/>
          <w:w w:val="105"/>
        </w:rPr>
        <w:t> </w:t>
      </w:r>
      <w:r>
        <w:rPr>
          <w:color w:val="161616"/>
          <w:w w:val="105"/>
        </w:rPr>
        <w:t>of</w:t>
      </w:r>
      <w:r>
        <w:rPr>
          <w:color w:val="161616"/>
          <w:spacing w:val="-11"/>
          <w:w w:val="105"/>
        </w:rPr>
        <w:t> </w:t>
      </w:r>
      <w:r>
        <w:rPr>
          <w:color w:val="161616"/>
          <w:w w:val="105"/>
        </w:rPr>
        <w:t>6PM</w:t>
      </w:r>
      <w:r>
        <w:rPr>
          <w:color w:val="161616"/>
          <w:spacing w:val="-12"/>
          <w:w w:val="105"/>
        </w:rPr>
        <w:t> </w:t>
      </w:r>
      <w:r>
        <w:rPr>
          <w:color w:val="161616"/>
          <w:w w:val="105"/>
        </w:rPr>
        <w:t>Eastern</w:t>
      </w:r>
      <w:r>
        <w:rPr>
          <w:color w:val="161616"/>
          <w:spacing w:val="-11"/>
          <w:w w:val="105"/>
        </w:rPr>
        <w:t> </w:t>
      </w:r>
      <w:r>
        <w:rPr>
          <w:color w:val="161616"/>
          <w:w w:val="105"/>
        </w:rPr>
        <w:t>Standard</w:t>
      </w:r>
      <w:r>
        <w:rPr>
          <w:color w:val="161616"/>
          <w:spacing w:val="-12"/>
          <w:w w:val="105"/>
        </w:rPr>
        <w:t> </w:t>
      </w:r>
      <w:r>
        <w:rPr>
          <w:color w:val="161616"/>
          <w:w w:val="105"/>
        </w:rPr>
        <w:t>Time</w:t>
      </w:r>
    </w:p>
    <w:p>
      <w:pPr>
        <w:spacing w:after="0"/>
        <w:sectPr>
          <w:type w:val="continuous"/>
          <w:pgSz w:w="12240" w:h="15840"/>
          <w:pgMar w:top="1500" w:bottom="280" w:left="1300" w:right="880"/>
        </w:sectPr>
      </w:pPr>
    </w:p>
    <w:p>
      <w:pPr>
        <w:pStyle w:val="BodyText"/>
        <w:spacing w:before="74"/>
        <w:ind w:left="142" w:right="704"/>
      </w:pPr>
      <w:r>
        <w:rPr>
          <w:color w:val="161616"/>
        </w:rPr>
        <w:t>on March 15, 2020, with a retroactive effective date of March 1, 2020.   </w:t>
      </w:r>
      <w:r>
        <w:rPr/>
        <w:t>The emergency   period will terminate, and section 1135 waivers will no longer be available, upon termination of the public health emergency, including any</w:t>
      </w:r>
      <w:r>
        <w:rPr>
          <w:spacing w:val="-8"/>
        </w:rPr>
        <w:t> </w:t>
      </w:r>
      <w:r>
        <w:rPr/>
        <w:t>extensions.</w:t>
      </w:r>
    </w:p>
    <w:p>
      <w:pPr>
        <w:pStyle w:val="BodyText"/>
        <w:spacing w:before="7"/>
        <w:rPr>
          <w:sz w:val="23"/>
        </w:rPr>
      </w:pPr>
    </w:p>
    <w:p>
      <w:pPr>
        <w:pStyle w:val="BodyText"/>
        <w:ind w:left="140" w:right="1075"/>
      </w:pPr>
      <w:r>
        <w:rPr>
          <w:w w:val="105"/>
        </w:rPr>
        <w:t>To streamline the section 1135 waiver request and approval process, CMS has issued a number of blanket waivers for many Medicare provisions, which primarily affect requirements for individual facilities, such as hospitals, long term care facilities, home health agencies, and so on. Waiver or modification of these provisions does not require individualized approval, and, therefore, these authorities are not addressed in this letter. Please refer to the current blanket waiver issued by CMS that can be found at: </w:t>
      </w:r>
      <w:hyperlink r:id="rId6">
        <w:r>
          <w:rPr>
            <w:color w:val="0563C1"/>
            <w:u w:val="single" w:color="0563C1"/>
          </w:rPr>
          <w:t>https://www.cms.gov/about-cms/emergency-preparedness-response-operations/current-</w:t>
        </w:r>
      </w:hyperlink>
      <w:r>
        <w:rPr>
          <w:color w:val="0563C1"/>
        </w:rPr>
        <w:t> </w:t>
      </w:r>
      <w:hyperlink r:id="rId6">
        <w:r>
          <w:rPr>
            <w:color w:val="0563C1"/>
            <w:w w:val="105"/>
            <w:u w:val="single" w:color="0563C1"/>
          </w:rPr>
          <w:t>emergencies/coronavirus-waivers</w:t>
        </w:r>
        <w:r>
          <w:rPr>
            <w:w w:val="105"/>
          </w:rPr>
          <w:t>.</w:t>
        </w:r>
      </w:hyperlink>
    </w:p>
    <w:p>
      <w:pPr>
        <w:pStyle w:val="BodyText"/>
        <w:spacing w:before="2"/>
        <w:rPr>
          <w:sz w:val="16"/>
        </w:rPr>
      </w:pPr>
    </w:p>
    <w:p>
      <w:pPr>
        <w:pStyle w:val="BodyText"/>
        <w:spacing w:before="90"/>
        <w:ind w:left="140" w:right="594"/>
      </w:pPr>
      <w:r>
        <w:rPr/>
        <w:t>This letter is in response to all requests submitted to CMS. If the state determines that it has additional needs, please contact your state lead and CMS will provide the necessary technical assistance for any additional submissions.</w:t>
      </w:r>
    </w:p>
    <w:p>
      <w:pPr>
        <w:pStyle w:val="BodyText"/>
      </w:pPr>
    </w:p>
    <w:p>
      <w:pPr>
        <w:pStyle w:val="BodyText"/>
        <w:ind w:left="140"/>
      </w:pPr>
      <w:r>
        <w:rPr>
          <w:w w:val="105"/>
        </w:rPr>
        <w:t>Please </w:t>
      </w:r>
      <w:r>
        <w:rPr>
          <w:color w:val="383838"/>
          <w:w w:val="105"/>
        </w:rPr>
        <w:t>co</w:t>
      </w:r>
      <w:r>
        <w:rPr>
          <w:color w:val="161616"/>
          <w:w w:val="105"/>
        </w:rPr>
        <w:t>nta</w:t>
      </w:r>
      <w:r>
        <w:rPr>
          <w:color w:val="383838"/>
          <w:w w:val="105"/>
        </w:rPr>
        <w:t>c</w:t>
      </w:r>
      <w:r>
        <w:rPr>
          <w:color w:val="161616"/>
          <w:w w:val="105"/>
        </w:rPr>
        <w:t>t Jackie Glaze, Deputy Director, Medicaid and CHIP Operations Group, at</w:t>
      </w:r>
    </w:p>
    <w:p>
      <w:pPr>
        <w:pStyle w:val="BodyText"/>
        <w:ind w:left="140" w:right="192"/>
      </w:pPr>
      <w:r>
        <w:rPr>
          <w:color w:val="161616"/>
          <w:w w:val="105"/>
        </w:rPr>
        <w:t>(404) 387-0121 or by email at</w:t>
      </w:r>
      <w:r>
        <w:rPr>
          <w:color w:val="0563C1"/>
          <w:w w:val="105"/>
        </w:rPr>
        <w:t> </w:t>
      </w:r>
      <w:hyperlink r:id="rId7">
        <w:r>
          <w:rPr>
            <w:color w:val="0563C1"/>
            <w:w w:val="105"/>
            <w:u w:val="single" w:color="0563C1"/>
          </w:rPr>
          <w:t>Jackie.Glaze@cms.hhs.gov</w:t>
        </w:r>
        <w:r>
          <w:rPr>
            <w:color w:val="0563C1"/>
            <w:w w:val="105"/>
          </w:rPr>
          <w:t> </w:t>
        </w:r>
      </w:hyperlink>
      <w:r>
        <w:rPr>
          <w:color w:val="161616"/>
          <w:w w:val="105"/>
        </w:rPr>
        <w:t>if </w:t>
      </w:r>
      <w:r>
        <w:rPr>
          <w:color w:val="383838"/>
          <w:w w:val="105"/>
        </w:rPr>
        <w:t>you </w:t>
      </w:r>
      <w:r>
        <w:rPr>
          <w:color w:val="161616"/>
          <w:w w:val="105"/>
        </w:rPr>
        <w:t>h</w:t>
      </w:r>
      <w:r>
        <w:rPr>
          <w:color w:val="383838"/>
          <w:w w:val="105"/>
        </w:rPr>
        <w:t>ave a</w:t>
      </w:r>
      <w:r>
        <w:rPr>
          <w:color w:val="161616"/>
          <w:w w:val="105"/>
        </w:rPr>
        <w:t>n</w:t>
      </w:r>
      <w:r>
        <w:rPr>
          <w:color w:val="383838"/>
          <w:w w:val="105"/>
        </w:rPr>
        <w:t>y </w:t>
      </w:r>
      <w:r>
        <w:rPr>
          <w:w w:val="105"/>
        </w:rPr>
        <w:t>question</w:t>
      </w:r>
      <w:r>
        <w:rPr>
          <w:color w:val="595958"/>
          <w:w w:val="105"/>
        </w:rPr>
        <w:t>s </w:t>
      </w:r>
      <w:r>
        <w:rPr>
          <w:w w:val="105"/>
        </w:rPr>
        <w:t>or need additional </w:t>
      </w:r>
      <w:r>
        <w:rPr>
          <w:color w:val="161616"/>
          <w:w w:val="105"/>
        </w:rPr>
        <w:t>information</w:t>
      </w:r>
      <w:r>
        <w:rPr>
          <w:color w:val="383838"/>
          <w:w w:val="105"/>
        </w:rPr>
        <w:t>. We a</w:t>
      </w:r>
      <w:r>
        <w:rPr>
          <w:color w:val="161616"/>
          <w:w w:val="105"/>
        </w:rPr>
        <w:t>ppre</w:t>
      </w:r>
      <w:r>
        <w:rPr>
          <w:color w:val="383838"/>
          <w:w w:val="105"/>
        </w:rPr>
        <w:t>c</w:t>
      </w:r>
      <w:r>
        <w:rPr>
          <w:color w:val="161616"/>
          <w:w w:val="105"/>
        </w:rPr>
        <w:t>iat</w:t>
      </w:r>
      <w:r>
        <w:rPr>
          <w:color w:val="383838"/>
          <w:w w:val="105"/>
        </w:rPr>
        <w:t>e </w:t>
      </w:r>
      <w:r>
        <w:rPr>
          <w:color w:val="161616"/>
          <w:w w:val="105"/>
        </w:rPr>
        <w:t>th</w:t>
      </w:r>
      <w:r>
        <w:rPr>
          <w:color w:val="383838"/>
          <w:w w:val="105"/>
        </w:rPr>
        <w:t>e efforts </w:t>
      </w:r>
      <w:r>
        <w:rPr>
          <w:w w:val="105"/>
        </w:rPr>
        <w:t>of you and </w:t>
      </w:r>
      <w:r>
        <w:rPr>
          <w:color w:val="383838"/>
          <w:w w:val="105"/>
        </w:rPr>
        <w:t>yo</w:t>
      </w:r>
      <w:r>
        <w:rPr>
          <w:color w:val="161616"/>
          <w:w w:val="105"/>
        </w:rPr>
        <w:t>ur </w:t>
      </w:r>
      <w:r>
        <w:rPr>
          <w:color w:val="383838"/>
          <w:w w:val="105"/>
        </w:rPr>
        <w:t>staff </w:t>
      </w:r>
      <w:r>
        <w:rPr>
          <w:color w:val="161616"/>
          <w:w w:val="105"/>
        </w:rPr>
        <w:t>in </w:t>
      </w:r>
      <w:r>
        <w:rPr>
          <w:w w:val="105"/>
        </w:rPr>
        <w:t>responding to </w:t>
      </w:r>
      <w:r>
        <w:rPr>
          <w:color w:val="161616"/>
          <w:w w:val="105"/>
        </w:rPr>
        <w:t>the ne</w:t>
      </w:r>
      <w:r>
        <w:rPr>
          <w:color w:val="383838"/>
          <w:w w:val="105"/>
        </w:rPr>
        <w:t>eds </w:t>
      </w:r>
      <w:r>
        <w:rPr>
          <w:color w:val="161616"/>
          <w:w w:val="105"/>
        </w:rPr>
        <w:t>o</w:t>
      </w:r>
      <w:r>
        <w:rPr>
          <w:color w:val="383838"/>
          <w:w w:val="105"/>
        </w:rPr>
        <w:t>f </w:t>
      </w:r>
      <w:r>
        <w:rPr>
          <w:w w:val="105"/>
        </w:rPr>
        <w:t>the residents of the State of Massachusetts and the health </w:t>
      </w:r>
      <w:r>
        <w:rPr>
          <w:color w:val="161616"/>
          <w:w w:val="105"/>
        </w:rPr>
        <w:t>car</w:t>
      </w:r>
      <w:r>
        <w:rPr>
          <w:color w:val="383838"/>
          <w:w w:val="105"/>
        </w:rPr>
        <w:t>e </w:t>
      </w:r>
      <w:r>
        <w:rPr>
          <w:w w:val="105"/>
        </w:rPr>
        <w:t>community.</w:t>
      </w:r>
    </w:p>
    <w:p>
      <w:pPr>
        <w:pStyle w:val="BodyText"/>
        <w:rPr>
          <w:sz w:val="26"/>
        </w:rPr>
      </w:pPr>
    </w:p>
    <w:p>
      <w:pPr>
        <w:pStyle w:val="BodyText"/>
        <w:rPr>
          <w:sz w:val="22"/>
        </w:rPr>
      </w:pPr>
    </w:p>
    <w:p>
      <w:pPr>
        <w:pStyle w:val="BodyText"/>
        <w:spacing w:after="6"/>
        <w:ind w:left="4313"/>
      </w:pPr>
      <w:r>
        <w:rPr>
          <w:w w:val="105"/>
        </w:rPr>
        <w:t>Sincerely,</w:t>
      </w:r>
    </w:p>
    <w:p>
      <w:pPr>
        <w:pStyle w:val="BodyText"/>
        <w:ind w:left="4460"/>
        <w:rPr>
          <w:sz w:val="20"/>
        </w:rPr>
      </w:pPr>
      <w:r>
        <w:rPr>
          <w:sz w:val="20"/>
        </w:rPr>
        <w:drawing>
          <wp:inline distT="0" distB="0" distL="0" distR="0">
            <wp:extent cx="2346829" cy="990981"/>
            <wp:effectExtent l="0" t="0" r="0" b="0"/>
            <wp:docPr id="3" name="image2.png" descr="C:\Users\SOZF\Desktop\AMC Signature.jpg"/>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2346829" cy="990981"/>
                    </a:xfrm>
                    <a:prstGeom prst="rect">
                      <a:avLst/>
                    </a:prstGeom>
                  </pic:spPr>
                </pic:pic>
              </a:graphicData>
            </a:graphic>
          </wp:inline>
        </w:drawing>
      </w:r>
      <w:r>
        <w:rPr>
          <w:sz w:val="20"/>
        </w:rPr>
      </w:r>
    </w:p>
    <w:p>
      <w:pPr>
        <w:pStyle w:val="BodyText"/>
        <w:ind w:left="4280"/>
      </w:pPr>
      <w:r>
        <w:rPr/>
        <w:t>Anne Marie Costello</w:t>
      </w:r>
    </w:p>
    <w:p>
      <w:pPr>
        <w:pStyle w:val="BodyText"/>
        <w:ind w:left="4280"/>
      </w:pPr>
      <w:r>
        <w:rPr/>
        <w:t>Acting Deputy Administrator and Director</w:t>
      </w:r>
    </w:p>
    <w:p>
      <w:pPr>
        <w:spacing w:after="0"/>
        <w:sectPr>
          <w:pgSz w:w="12240" w:h="15840"/>
          <w:pgMar w:top="1360" w:bottom="280" w:left="1300" w:right="880"/>
        </w:sectPr>
      </w:pPr>
    </w:p>
    <w:p>
      <w:pPr>
        <w:pStyle w:val="BodyText"/>
        <w:spacing w:before="5"/>
        <w:rPr>
          <w:sz w:val="10"/>
        </w:rPr>
      </w:pPr>
    </w:p>
    <w:p>
      <w:pPr>
        <w:pStyle w:val="BodyText"/>
        <w:spacing w:before="90"/>
        <w:ind w:left="1079" w:right="1498"/>
        <w:jc w:val="center"/>
      </w:pPr>
      <w:r>
        <w:rPr>
          <w:w w:val="105"/>
        </w:rPr>
        <w:t>STATE OF MASSACHUSETTS</w:t>
      </w:r>
    </w:p>
    <w:p>
      <w:pPr>
        <w:pStyle w:val="BodyText"/>
        <w:ind w:left="1506" w:right="1498"/>
        <w:jc w:val="center"/>
      </w:pPr>
      <w:r>
        <w:rPr>
          <w:w w:val="105"/>
        </w:rPr>
        <w:t>APPROVAL OF FEDERAL SECTION 1135 WAIVER REQUESTS</w:t>
      </w:r>
    </w:p>
    <w:p>
      <w:pPr>
        <w:pStyle w:val="BodyText"/>
        <w:spacing w:before="5"/>
      </w:pPr>
    </w:p>
    <w:p>
      <w:pPr>
        <w:pStyle w:val="Heading1"/>
        <w:rPr>
          <w:u w:val="none"/>
        </w:rPr>
      </w:pPr>
      <w:r>
        <w:rPr>
          <w:w w:val="105"/>
          <w:u w:val="none"/>
        </w:rPr>
        <w:t>CMS Response: December 23, 2020</w:t>
      </w:r>
    </w:p>
    <w:p>
      <w:pPr>
        <w:pStyle w:val="BodyText"/>
        <w:spacing w:before="6"/>
        <w:rPr>
          <w:b/>
          <w:sz w:val="23"/>
        </w:rPr>
      </w:pPr>
    </w:p>
    <w:p>
      <w:pPr>
        <w:pStyle w:val="BodyText"/>
        <w:spacing w:before="1"/>
        <w:ind w:left="140"/>
      </w:pPr>
      <w:r>
        <w:rPr/>
        <w:t>To the extent applicable, the following waivers and modifications also apply to CHIP.</w:t>
      </w:r>
    </w:p>
    <w:p>
      <w:pPr>
        <w:pStyle w:val="BodyText"/>
        <w:spacing w:before="4"/>
      </w:pPr>
    </w:p>
    <w:p>
      <w:pPr>
        <w:pStyle w:val="Heading1"/>
        <w:spacing w:line="274" w:lineRule="exact" w:before="1"/>
        <w:rPr>
          <w:u w:val="none"/>
        </w:rPr>
      </w:pPr>
      <w:r>
        <w:rPr>
          <w:u w:val="thick"/>
        </w:rPr>
        <w:t>Clinic Facility Requirement</w:t>
      </w:r>
    </w:p>
    <w:p>
      <w:pPr>
        <w:pStyle w:val="BodyText"/>
        <w:spacing w:line="274" w:lineRule="exact"/>
        <w:ind w:left="140"/>
      </w:pPr>
      <w:r>
        <w:rPr/>
        <w:t> </w:t>
      </w:r>
    </w:p>
    <w:p>
      <w:pPr>
        <w:pStyle w:val="BodyText"/>
        <w:ind w:left="139" w:right="569"/>
      </w:pPr>
      <w:r>
        <w:rPr/>
        <w:t>Pursuant to section 1135(b)(1)(B) of the Act, CMS approves a waiver modifying the requirement in 42 C.F.R. § 440.90 that services provided under that regulation be provided “by a facility that is not part of a hospital but is organized and operated to provide medical care to outpatients.” This waiver is provided only to the extent necessary to provide the state’s patients with access to health services that would otherwise be unavailable during the COVID-19 PHE, by permitting the state and clinic to temporarily designate a clinic practitioner’s location as part of the clinic facility so that clinic services may be provided when neither the patient nor practitioner is physically onsite at the clinic.  The waiver permits services provided in the clinic practitioner’s home and the state’s COVID-19 isolation and recovery sites to be considered to be provided at the clinic for purposes of 42 C.F.R. § 440.90(a).</w:t>
      </w:r>
    </w:p>
    <w:p>
      <w:pPr>
        <w:pStyle w:val="BodyText"/>
      </w:pPr>
    </w:p>
    <w:p>
      <w:pPr>
        <w:pStyle w:val="Heading1"/>
        <w:rPr>
          <w:u w:val="none"/>
        </w:rPr>
      </w:pPr>
      <w:r>
        <w:rPr>
          <w:u w:val="thick"/>
        </w:rPr>
        <w:t>Duration of Approved Waivers</w:t>
      </w:r>
    </w:p>
    <w:p>
      <w:pPr>
        <w:pStyle w:val="BodyText"/>
        <w:spacing w:before="2"/>
        <w:rPr>
          <w:b/>
          <w:sz w:val="16"/>
        </w:rPr>
      </w:pPr>
    </w:p>
    <w:p>
      <w:pPr>
        <w:pStyle w:val="BodyText"/>
        <w:spacing w:before="90"/>
        <w:ind w:left="140" w:right="594"/>
      </w:pPr>
      <w:r>
        <w:rPr/>
        <w:t>Unless otherwise specified above, the section 1135 waivers described herein are effective March 1, 2020 and will terminate upon termination of the public health emergency, including any extensions. In no case will any of these waivers extend past the last day of the public health emergency (or any extension thereof).</w:t>
      </w:r>
    </w:p>
    <w:sectPr>
      <w:pgSz w:w="12240" w:h="15840"/>
      <w:pgMar w:top="1500" w:bottom="280" w:left="130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140"/>
      <w:outlineLvl w:val="1"/>
    </w:pPr>
    <w:rPr>
      <w:rFonts w:ascii="Times New Roman" w:hAnsi="Times New Roman" w:eastAsia="Times New Roman" w:cs="Times New Roman"/>
      <w:b/>
      <w:bCs/>
      <w:sz w:val="24"/>
      <w:szCs w:val="24"/>
      <w:u w:val="single" w:color="00000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www.cms.gov/about-cms/emergency-preparedness-response-operations/current-emergencies/coronavirus-waivers" TargetMode="External"/><Relationship Id="rId7" Type="http://schemas.openxmlformats.org/officeDocument/2006/relationships/hyperlink" Target="mailto:Jackie.Glaze@cms.hhs.gov"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Graphics</dc:creator>
  <dc:title>DEPARTMENT OF HEALTH &amp; HUMAN SERVICES</dc:title>
  <dcterms:created xsi:type="dcterms:W3CDTF">2020-12-23T18:39:50Z</dcterms:created>
  <dcterms:modified xsi:type="dcterms:W3CDTF">2020-12-23T18:39:50Z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Creator">
    <vt:lpwstr>Acrobat PDFMaker 17 for Word</vt:lpwstr>
  </property>
  <property fmtid="{D5CDD505-2E9C-101B-9397-08002B2CF9AE}" pid="4" name="LastSaved">
    <vt:filetime>2020-12-23T00:00:00Z</vt:filetime>
  </property>
</Properties>
</file>