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934" w:rsidRPr="005E3FA8" w:rsidRDefault="002A1934" w:rsidP="002A1934">
      <w:pPr>
        <w:tabs>
          <w:tab w:val="left" w:pos="1890"/>
        </w:tabs>
        <w:jc w:val="center"/>
        <w:rPr>
          <w:rFonts w:ascii="Times New Roman" w:hAnsi="Times New Roman"/>
          <w:b/>
          <w:sz w:val="28"/>
          <w:szCs w:val="28"/>
        </w:rPr>
      </w:pPr>
      <w:bookmarkStart w:id="0" w:name="_GoBack"/>
      <w:bookmarkEnd w:id="0"/>
      <w:r w:rsidRPr="005E3FA8">
        <w:rPr>
          <w:rFonts w:ascii="Times New Roman" w:hAnsi="Times New Roman"/>
          <w:b/>
          <w:sz w:val="28"/>
          <w:szCs w:val="28"/>
        </w:rPr>
        <w:t>COMMONWEALTH OF MASSACHUSETTTS</w:t>
      </w:r>
    </w:p>
    <w:p w:rsidR="002A1934" w:rsidRPr="005E3FA8" w:rsidRDefault="002A1934" w:rsidP="002A1934">
      <w:pPr>
        <w:tabs>
          <w:tab w:val="left" w:pos="1890"/>
        </w:tabs>
        <w:jc w:val="center"/>
        <w:rPr>
          <w:rFonts w:ascii="Times New Roman" w:hAnsi="Times New Roman"/>
          <w:b/>
          <w:sz w:val="28"/>
          <w:szCs w:val="28"/>
        </w:rPr>
      </w:pPr>
      <w:r w:rsidRPr="005E3FA8">
        <w:rPr>
          <w:rFonts w:ascii="Times New Roman" w:hAnsi="Times New Roman"/>
          <w:b/>
          <w:sz w:val="28"/>
          <w:szCs w:val="28"/>
        </w:rPr>
        <w:t>DIVISION OF ADMINISTRATIVE LAW APPEALS</w:t>
      </w:r>
    </w:p>
    <w:p w:rsidR="002A1934" w:rsidRPr="005E3FA8" w:rsidRDefault="002A1934" w:rsidP="002A1934">
      <w:pPr>
        <w:tabs>
          <w:tab w:val="left" w:pos="1890"/>
        </w:tabs>
        <w:jc w:val="center"/>
        <w:rPr>
          <w:rFonts w:ascii="Times New Roman" w:hAnsi="Times New Roman"/>
          <w:b/>
          <w:sz w:val="28"/>
          <w:szCs w:val="28"/>
        </w:rPr>
      </w:pPr>
      <w:r w:rsidRPr="005E3FA8">
        <w:rPr>
          <w:rFonts w:ascii="Times New Roman" w:hAnsi="Times New Roman"/>
          <w:b/>
          <w:sz w:val="28"/>
          <w:szCs w:val="28"/>
        </w:rPr>
        <w:t>BUREAU OF SPECIAL EDUCATION APPEALS</w:t>
      </w:r>
    </w:p>
    <w:p w:rsidR="002A1934" w:rsidRPr="005E3FA8" w:rsidRDefault="002A1934">
      <w:pPr>
        <w:rPr>
          <w:b/>
        </w:rPr>
      </w:pPr>
    </w:p>
    <w:p w:rsidR="002A1934" w:rsidRPr="002A1934" w:rsidRDefault="002A1934">
      <w:pPr>
        <w:rPr>
          <w:b/>
          <w:u w:val="single"/>
        </w:rPr>
      </w:pPr>
    </w:p>
    <w:p w:rsidR="00924413" w:rsidRPr="005E3FA8" w:rsidRDefault="00FA23AC">
      <w:r w:rsidRPr="005E3FA8">
        <w:t xml:space="preserve">In Re:  </w:t>
      </w:r>
      <w:proofErr w:type="spellStart"/>
      <w:r w:rsidRPr="005E3FA8">
        <w:t>Xylia</w:t>
      </w:r>
      <w:proofErr w:type="spellEnd"/>
      <w:r w:rsidRPr="005E3FA8">
        <w:t xml:space="preserve"> </w:t>
      </w:r>
      <w:r w:rsidR="00E66530" w:rsidRPr="005E3FA8">
        <w:rPr>
          <w:rStyle w:val="FootnoteReference"/>
        </w:rPr>
        <w:footnoteReference w:id="1"/>
      </w:r>
    </w:p>
    <w:p w:rsidR="00FA23AC" w:rsidRDefault="00FA23AC">
      <w:r>
        <w:t xml:space="preserve">BSEA </w:t>
      </w:r>
      <w:r w:rsidR="00DC3DD7">
        <w:t>#</w:t>
      </w:r>
      <w:r>
        <w:t>12-0781</w:t>
      </w:r>
    </w:p>
    <w:p w:rsidR="00FA23AC" w:rsidRDefault="00FA23AC"/>
    <w:p w:rsidR="00FA23AC" w:rsidRPr="005B631A" w:rsidRDefault="00FA23AC" w:rsidP="00FA23AC">
      <w:pPr>
        <w:jc w:val="center"/>
        <w:rPr>
          <w:rFonts w:ascii="Times New Roman" w:hAnsi="Times New Roman"/>
          <w:b/>
          <w:sz w:val="28"/>
          <w:szCs w:val="28"/>
          <w:u w:val="single"/>
        </w:rPr>
      </w:pPr>
      <w:r w:rsidRPr="005B631A">
        <w:rPr>
          <w:rFonts w:ascii="Times New Roman" w:hAnsi="Times New Roman"/>
          <w:b/>
          <w:sz w:val="28"/>
          <w:szCs w:val="28"/>
          <w:u w:val="single"/>
        </w:rPr>
        <w:t>RULING ON SCHOOL’S MOTION TO DISMISS</w:t>
      </w:r>
    </w:p>
    <w:p w:rsidR="00FA23AC" w:rsidRDefault="00FA23AC" w:rsidP="00FA23AC">
      <w:pPr>
        <w:spacing w:line="360" w:lineRule="auto"/>
      </w:pPr>
    </w:p>
    <w:p w:rsidR="00FA23AC" w:rsidRPr="005E3FA8" w:rsidRDefault="00FA23AC" w:rsidP="002A1934">
      <w:pPr>
        <w:pStyle w:val="NoSpacing"/>
        <w:rPr>
          <w:rFonts w:ascii="Times New Roman" w:hAnsi="Times New Roman"/>
        </w:rPr>
      </w:pPr>
      <w:r>
        <w:tab/>
      </w:r>
      <w:r w:rsidRPr="005E3FA8">
        <w:rPr>
          <w:rFonts w:ascii="Times New Roman" w:hAnsi="Times New Roman"/>
        </w:rPr>
        <w:t>This matter comes before the BSEA on the Motion of the Springfield Public Schools to Dismiss the Hearing Request filed by the Parent, and the Parent’s Opposition thereto styled as a Motion for an Evidentiary Hearing.  The Parent filed an initial</w:t>
      </w:r>
      <w:r w:rsidR="009A41BB" w:rsidRPr="005E3FA8">
        <w:rPr>
          <w:rFonts w:ascii="Times New Roman" w:hAnsi="Times New Roman"/>
        </w:rPr>
        <w:t xml:space="preserve"> hearing request at the Bureau of Special Education Appeals</w:t>
      </w:r>
      <w:r w:rsidR="00581382" w:rsidRPr="005E3FA8">
        <w:rPr>
          <w:rFonts w:ascii="Times New Roman" w:hAnsi="Times New Roman"/>
        </w:rPr>
        <w:t xml:space="preserve"> (“BSEA”)</w:t>
      </w:r>
      <w:r w:rsidR="009A41BB" w:rsidRPr="005E3FA8">
        <w:rPr>
          <w:rFonts w:ascii="Times New Roman" w:hAnsi="Times New Roman"/>
        </w:rPr>
        <w:t xml:space="preserve"> on July 26, 2011 seeking an order for unspecified money damages for injuries her daughter suffered at school due to the negligent supervision of a public school teacher.  The matter was set for hearing on August 29, 2011.  Springfield Public Schools requested a postponement of the Hearing date and submitted a Response which disputed the facts set out in the Parent’s Hearing Request and asserted that the BSEA lacked jurisdiction to entertain the appeal.  The Parties engaged in both informal and structured settlement negotiations over the course of the next year but were unable to reach a satisfactory resolution.  During a conference call held on May 10, 2012 the hearing was set for August 22 and 23, 2012.  On July 25, 2012 the Parties jointly requested a postponement and the Hearing </w:t>
      </w:r>
      <w:proofErr w:type="gramStart"/>
      <w:r w:rsidR="009A41BB" w:rsidRPr="005E3FA8">
        <w:rPr>
          <w:rFonts w:ascii="Times New Roman" w:hAnsi="Times New Roman"/>
        </w:rPr>
        <w:t>was</w:t>
      </w:r>
      <w:proofErr w:type="gramEnd"/>
      <w:r w:rsidR="009A41BB" w:rsidRPr="005E3FA8">
        <w:rPr>
          <w:rFonts w:ascii="Times New Roman" w:hAnsi="Times New Roman"/>
        </w:rPr>
        <w:t xml:space="preserve"> rescheduled to September 19 and 20, 2012.  On September 4, 2012 the Parent filed a “Motion and Memorandum of Law in Support of Requesting the Hearing Officer to </w:t>
      </w:r>
      <w:r w:rsidR="00591BD8" w:rsidRPr="005E3FA8">
        <w:rPr>
          <w:rFonts w:ascii="Times New Roman" w:hAnsi="Times New Roman"/>
        </w:rPr>
        <w:t>C</w:t>
      </w:r>
      <w:r w:rsidR="009A41BB" w:rsidRPr="005E3FA8">
        <w:rPr>
          <w:rFonts w:ascii="Times New Roman" w:hAnsi="Times New Roman"/>
        </w:rPr>
        <w:t xml:space="preserve">onduct a </w:t>
      </w:r>
      <w:r w:rsidR="00591BD8" w:rsidRPr="005E3FA8">
        <w:rPr>
          <w:rFonts w:ascii="Times New Roman" w:hAnsi="Times New Roman"/>
        </w:rPr>
        <w:t>F</w:t>
      </w:r>
      <w:r w:rsidR="009A41BB" w:rsidRPr="005E3FA8">
        <w:rPr>
          <w:rFonts w:ascii="Times New Roman" w:hAnsi="Times New Roman"/>
        </w:rPr>
        <w:t xml:space="preserve">ull </w:t>
      </w:r>
      <w:r w:rsidR="00591BD8" w:rsidRPr="005E3FA8">
        <w:rPr>
          <w:rFonts w:ascii="Times New Roman" w:hAnsi="Times New Roman"/>
        </w:rPr>
        <w:t>E</w:t>
      </w:r>
      <w:r w:rsidR="009A41BB" w:rsidRPr="005E3FA8">
        <w:rPr>
          <w:rFonts w:ascii="Times New Roman" w:hAnsi="Times New Roman"/>
        </w:rPr>
        <w:t xml:space="preserve">videntiary Hearing, Develop a Record, Make a Determination of Any and All Violations of </w:t>
      </w:r>
      <w:r w:rsidR="00591BD8" w:rsidRPr="005E3FA8">
        <w:rPr>
          <w:rFonts w:ascii="Times New Roman" w:hAnsi="Times New Roman"/>
        </w:rPr>
        <w:t>L</w:t>
      </w:r>
      <w:r w:rsidR="009A41BB" w:rsidRPr="005E3FA8">
        <w:rPr>
          <w:rFonts w:ascii="Times New Roman" w:hAnsi="Times New Roman"/>
        </w:rPr>
        <w:t>aw and a Determination Regarding the Amount of the Student’s Damages</w:t>
      </w:r>
      <w:proofErr w:type="gramStart"/>
      <w:r w:rsidR="009A41BB" w:rsidRPr="005E3FA8">
        <w:rPr>
          <w:rFonts w:ascii="Times New Roman" w:hAnsi="Times New Roman"/>
        </w:rPr>
        <w:t>”</w:t>
      </w:r>
      <w:r w:rsidR="00EC695F" w:rsidRPr="005E3FA8">
        <w:rPr>
          <w:rFonts w:ascii="Times New Roman" w:hAnsi="Times New Roman"/>
        </w:rPr>
        <w:t xml:space="preserve"> </w:t>
      </w:r>
      <w:r w:rsidR="00591BD8" w:rsidRPr="005E3FA8">
        <w:rPr>
          <w:rFonts w:ascii="Times New Roman" w:hAnsi="Times New Roman"/>
        </w:rPr>
        <w:t>.</w:t>
      </w:r>
      <w:proofErr w:type="gramEnd"/>
      <w:r w:rsidR="009A41BB" w:rsidRPr="005E3FA8">
        <w:rPr>
          <w:rFonts w:ascii="Times New Roman" w:hAnsi="Times New Roman"/>
        </w:rPr>
        <w:t xml:space="preserve">  </w:t>
      </w:r>
      <w:r w:rsidR="00591BD8" w:rsidRPr="005E3FA8">
        <w:rPr>
          <w:rFonts w:ascii="Times New Roman" w:hAnsi="Times New Roman"/>
        </w:rPr>
        <w:t>T</w:t>
      </w:r>
      <w:r w:rsidR="009A41BB" w:rsidRPr="005E3FA8">
        <w:rPr>
          <w:rFonts w:ascii="Times New Roman" w:hAnsi="Times New Roman"/>
        </w:rPr>
        <w:t>he Motion expanded the legal arguments in support of BSEA jurisdiction but did not offer any supplemental factual allegations or statutory claims.  In Response, the School submitted a Motion to Dismi</w:t>
      </w:r>
      <w:r w:rsidR="00EC695F" w:rsidRPr="005E3FA8">
        <w:rPr>
          <w:rFonts w:ascii="Times New Roman" w:hAnsi="Times New Roman"/>
        </w:rPr>
        <w:t>ss on September 11, 2012</w:t>
      </w:r>
      <w:r w:rsidR="00EA053C" w:rsidRPr="005E3FA8">
        <w:rPr>
          <w:rFonts w:ascii="Times New Roman" w:hAnsi="Times New Roman"/>
        </w:rPr>
        <w:t xml:space="preserve"> along with a request to postpone a hearing until after Rulings had been entered on the Parties’ Motions.  </w:t>
      </w:r>
      <w:r w:rsidR="00C73DBD" w:rsidRPr="005E3FA8">
        <w:rPr>
          <w:rFonts w:ascii="Times New Roman" w:hAnsi="Times New Roman"/>
        </w:rPr>
        <w:t xml:space="preserve">The School’s Motion to Postpone was GRANTED.   </w:t>
      </w:r>
      <w:r w:rsidR="00591BD8" w:rsidRPr="005E3FA8">
        <w:rPr>
          <w:rFonts w:ascii="Times New Roman" w:hAnsi="Times New Roman"/>
        </w:rPr>
        <w:t>Pursuant to a conference call held on October 17, 2012 t</w:t>
      </w:r>
      <w:r w:rsidR="00C73DBD" w:rsidRPr="005E3FA8">
        <w:rPr>
          <w:rFonts w:ascii="Times New Roman" w:hAnsi="Times New Roman"/>
        </w:rPr>
        <w:t xml:space="preserve">he Parties were given leave to file supplementary arguments in light of a relevant Decision issued by the U.S. District Court on September 27, 2012.  </w:t>
      </w:r>
      <w:proofErr w:type="gramStart"/>
      <w:r w:rsidR="006B5F36" w:rsidRPr="005E3FA8">
        <w:rPr>
          <w:rFonts w:ascii="Times New Roman" w:hAnsi="Times New Roman"/>
          <w:i/>
        </w:rPr>
        <w:t>CBDE v. Massachusetts Bureau of Special Education</w:t>
      </w:r>
      <w:r w:rsidR="00C73DBD" w:rsidRPr="005E3FA8">
        <w:rPr>
          <w:rFonts w:ascii="Times New Roman" w:hAnsi="Times New Roman"/>
        </w:rPr>
        <w:t>,</w:t>
      </w:r>
      <w:r w:rsidR="006B5F36" w:rsidRPr="005E3FA8">
        <w:rPr>
          <w:rFonts w:ascii="Times New Roman" w:hAnsi="Times New Roman"/>
        </w:rPr>
        <w:t xml:space="preserve"> No. 11-10874-DPW.</w:t>
      </w:r>
      <w:proofErr w:type="gramEnd"/>
      <w:r w:rsidR="006B5F36" w:rsidRPr="005E3FA8">
        <w:rPr>
          <w:rFonts w:ascii="Times New Roman" w:hAnsi="Times New Roman"/>
        </w:rPr>
        <w:t xml:space="preserve"> 2012 WL 4482296</w:t>
      </w:r>
      <w:r w:rsidR="00E66530" w:rsidRPr="005E3FA8">
        <w:rPr>
          <w:rFonts w:ascii="Times New Roman" w:hAnsi="Times New Roman"/>
        </w:rPr>
        <w:t xml:space="preserve"> (D. Mass.</w:t>
      </w:r>
      <w:r w:rsidR="006B5F36" w:rsidRPr="005E3FA8">
        <w:rPr>
          <w:rFonts w:ascii="Times New Roman" w:hAnsi="Times New Roman"/>
        </w:rPr>
        <w:t xml:space="preserve"> September 27, 2012).  </w:t>
      </w:r>
      <w:r w:rsidR="00C73DBD" w:rsidRPr="005E3FA8">
        <w:rPr>
          <w:rFonts w:ascii="Times New Roman" w:hAnsi="Times New Roman"/>
        </w:rPr>
        <w:t xml:space="preserve"> Neither chose to do so.</w:t>
      </w:r>
    </w:p>
    <w:p w:rsidR="00E66530" w:rsidRPr="005E3FA8" w:rsidRDefault="00E66530" w:rsidP="002A1934">
      <w:pPr>
        <w:pStyle w:val="NoSpacing"/>
        <w:rPr>
          <w:rFonts w:ascii="Times New Roman" w:hAnsi="Times New Roman"/>
        </w:rPr>
      </w:pPr>
    </w:p>
    <w:p w:rsidR="00E66530" w:rsidRPr="005E3FA8" w:rsidRDefault="00E66530" w:rsidP="002A1934">
      <w:pPr>
        <w:pStyle w:val="NoSpacing"/>
        <w:rPr>
          <w:rFonts w:ascii="Times New Roman" w:hAnsi="Times New Roman"/>
          <w:u w:val="single"/>
        </w:rPr>
      </w:pPr>
      <w:r w:rsidRPr="005E3FA8">
        <w:rPr>
          <w:rFonts w:ascii="Times New Roman" w:hAnsi="Times New Roman"/>
          <w:u w:val="single"/>
        </w:rPr>
        <w:t>ISSUE</w:t>
      </w:r>
    </w:p>
    <w:p w:rsidR="004332CC" w:rsidRPr="005E3FA8" w:rsidRDefault="006447AD" w:rsidP="002A1934">
      <w:pPr>
        <w:pStyle w:val="NoSpacing"/>
        <w:rPr>
          <w:rFonts w:ascii="Times New Roman" w:hAnsi="Times New Roman"/>
        </w:rPr>
      </w:pPr>
      <w:r w:rsidRPr="005E3FA8">
        <w:rPr>
          <w:rFonts w:ascii="Times New Roman" w:hAnsi="Times New Roman"/>
        </w:rPr>
        <w:tab/>
        <w:t xml:space="preserve"> T</w:t>
      </w:r>
      <w:r w:rsidR="004332CC" w:rsidRPr="005E3FA8">
        <w:rPr>
          <w:rFonts w:ascii="Times New Roman" w:hAnsi="Times New Roman"/>
        </w:rPr>
        <w:t>he essential question presented here is whether this St</w:t>
      </w:r>
      <w:r w:rsidR="00CE6C09" w:rsidRPr="005E3FA8">
        <w:rPr>
          <w:rFonts w:ascii="Times New Roman" w:hAnsi="Times New Roman"/>
        </w:rPr>
        <w:t xml:space="preserve">udent, who is seeking monetary </w:t>
      </w:r>
      <w:r w:rsidR="004332CC" w:rsidRPr="005E3FA8">
        <w:rPr>
          <w:rFonts w:ascii="Times New Roman" w:hAnsi="Times New Roman"/>
        </w:rPr>
        <w:t xml:space="preserve">damages </w:t>
      </w:r>
      <w:r w:rsidR="00581382" w:rsidRPr="005E3FA8">
        <w:rPr>
          <w:rFonts w:ascii="Times New Roman" w:hAnsi="Times New Roman"/>
        </w:rPr>
        <w:t>as</w:t>
      </w:r>
      <w:r w:rsidR="004332CC" w:rsidRPr="005E3FA8">
        <w:rPr>
          <w:rFonts w:ascii="Times New Roman" w:hAnsi="Times New Roman"/>
        </w:rPr>
        <w:t xml:space="preserve"> compensat</w:t>
      </w:r>
      <w:r w:rsidR="00581382" w:rsidRPr="005E3FA8">
        <w:rPr>
          <w:rFonts w:ascii="Times New Roman" w:hAnsi="Times New Roman"/>
        </w:rPr>
        <w:t>ion</w:t>
      </w:r>
      <w:r w:rsidR="004332CC" w:rsidRPr="005E3FA8">
        <w:rPr>
          <w:rFonts w:ascii="Times New Roman" w:hAnsi="Times New Roman"/>
        </w:rPr>
        <w:t xml:space="preserve"> for physical and emotional injuries stemming f</w:t>
      </w:r>
      <w:r w:rsidR="00CE6C09" w:rsidRPr="005E3FA8">
        <w:rPr>
          <w:rFonts w:ascii="Times New Roman" w:hAnsi="Times New Roman"/>
        </w:rPr>
        <w:t>rom the negligent supervision by</w:t>
      </w:r>
      <w:r w:rsidR="004332CC" w:rsidRPr="005E3FA8">
        <w:rPr>
          <w:rFonts w:ascii="Times New Roman" w:hAnsi="Times New Roman"/>
        </w:rPr>
        <w:t xml:space="preserve"> a public school teacher</w:t>
      </w:r>
      <w:r w:rsidR="00581382" w:rsidRPr="005E3FA8">
        <w:rPr>
          <w:rFonts w:ascii="Times New Roman" w:hAnsi="Times New Roman"/>
        </w:rPr>
        <w:t>,</w:t>
      </w:r>
      <w:r w:rsidR="004332CC" w:rsidRPr="005E3FA8">
        <w:rPr>
          <w:rFonts w:ascii="Times New Roman" w:hAnsi="Times New Roman"/>
        </w:rPr>
        <w:t xml:space="preserve"> must exhaust the administrative </w:t>
      </w:r>
      <w:r w:rsidR="00CE6C09" w:rsidRPr="005E3FA8">
        <w:rPr>
          <w:rFonts w:ascii="Times New Roman" w:hAnsi="Times New Roman"/>
        </w:rPr>
        <w:t>dispute resolution procedures</w:t>
      </w:r>
      <w:r w:rsidR="004332CC" w:rsidRPr="005E3FA8">
        <w:rPr>
          <w:rFonts w:ascii="Times New Roman" w:hAnsi="Times New Roman"/>
        </w:rPr>
        <w:t xml:space="preserve"> available to her under the IDEA because she is a student with d</w:t>
      </w:r>
      <w:r w:rsidR="00CE6C09" w:rsidRPr="005E3FA8">
        <w:rPr>
          <w:rFonts w:ascii="Times New Roman" w:hAnsi="Times New Roman"/>
        </w:rPr>
        <w:t>isabilities?  The answer turns</w:t>
      </w:r>
      <w:r w:rsidR="004332CC" w:rsidRPr="005E3FA8">
        <w:rPr>
          <w:rFonts w:ascii="Times New Roman" w:hAnsi="Times New Roman"/>
        </w:rPr>
        <w:t xml:space="preserve"> on a mixture of law and fact.</w:t>
      </w:r>
    </w:p>
    <w:p w:rsidR="004332CC" w:rsidRPr="005E3FA8" w:rsidRDefault="004332CC" w:rsidP="002A1934">
      <w:pPr>
        <w:pStyle w:val="NoSpacing"/>
        <w:rPr>
          <w:rFonts w:ascii="Times New Roman" w:hAnsi="Times New Roman"/>
        </w:rPr>
      </w:pPr>
    </w:p>
    <w:p w:rsidR="000F5A20" w:rsidRPr="005E3FA8" w:rsidRDefault="000F5A20" w:rsidP="002A1934">
      <w:pPr>
        <w:pStyle w:val="NoSpacing"/>
        <w:rPr>
          <w:rFonts w:ascii="Times New Roman" w:hAnsi="Times New Roman"/>
        </w:rPr>
      </w:pPr>
      <w:r w:rsidRPr="005E3FA8">
        <w:rPr>
          <w:rFonts w:ascii="Times New Roman" w:hAnsi="Times New Roman"/>
          <w:u w:val="single"/>
        </w:rPr>
        <w:lastRenderedPageBreak/>
        <w:t>FACTS</w:t>
      </w:r>
    </w:p>
    <w:p w:rsidR="000F5A20" w:rsidRPr="005E3FA8" w:rsidRDefault="000F5A20" w:rsidP="002A1934">
      <w:pPr>
        <w:pStyle w:val="NoSpacing"/>
        <w:rPr>
          <w:rFonts w:ascii="Times New Roman" w:hAnsi="Times New Roman"/>
        </w:rPr>
      </w:pPr>
      <w:r w:rsidRPr="005E3FA8">
        <w:rPr>
          <w:rFonts w:ascii="Times New Roman" w:hAnsi="Times New Roman"/>
        </w:rPr>
        <w:tab/>
        <w:t xml:space="preserve">The few critical pertinent facts </w:t>
      </w:r>
      <w:r w:rsidR="00CE6C09" w:rsidRPr="005E3FA8">
        <w:rPr>
          <w:rFonts w:ascii="Times New Roman" w:hAnsi="Times New Roman"/>
        </w:rPr>
        <w:t>are not in dispute, though the P</w:t>
      </w:r>
      <w:r w:rsidRPr="005E3FA8">
        <w:rPr>
          <w:rFonts w:ascii="Times New Roman" w:hAnsi="Times New Roman"/>
        </w:rPr>
        <w:t>arties’ perspectives on them differ.  Most of the contextual facts, and the reasonable inferences that can be drawn from them, are in dispute.  For the purposes of this Ruling I will set out the facts as alleged in the Parent</w:t>
      </w:r>
      <w:r w:rsidR="00344DE1" w:rsidRPr="005E3FA8">
        <w:rPr>
          <w:rFonts w:ascii="Times New Roman" w:hAnsi="Times New Roman"/>
        </w:rPr>
        <w:t>’s</w:t>
      </w:r>
      <w:r w:rsidRPr="005E3FA8">
        <w:rPr>
          <w:rFonts w:ascii="Times New Roman" w:hAnsi="Times New Roman"/>
        </w:rPr>
        <w:t xml:space="preserve"> Request for Hearing, assuming they will be proved later.</w:t>
      </w:r>
    </w:p>
    <w:p w:rsidR="00484B6B" w:rsidRPr="005E3FA8" w:rsidRDefault="00484B6B" w:rsidP="002A1934">
      <w:pPr>
        <w:pStyle w:val="NoSpacing"/>
        <w:rPr>
          <w:rFonts w:ascii="Times New Roman" w:hAnsi="Times New Roman"/>
        </w:rPr>
      </w:pPr>
    </w:p>
    <w:p w:rsidR="00484B6B" w:rsidRPr="005E3FA8" w:rsidRDefault="00484B6B" w:rsidP="002A1934">
      <w:pPr>
        <w:pStyle w:val="NoSpacing"/>
        <w:rPr>
          <w:rFonts w:ascii="Times New Roman" w:hAnsi="Times New Roman"/>
        </w:rPr>
      </w:pPr>
      <w:r w:rsidRPr="005E3FA8">
        <w:rPr>
          <w:rFonts w:ascii="Times New Roman" w:hAnsi="Times New Roman"/>
        </w:rPr>
        <w:t xml:space="preserve">1.    </w:t>
      </w:r>
      <w:proofErr w:type="spellStart"/>
      <w:r w:rsidRPr="005E3FA8">
        <w:rPr>
          <w:rFonts w:ascii="Times New Roman" w:hAnsi="Times New Roman"/>
        </w:rPr>
        <w:t>Xylia</w:t>
      </w:r>
      <w:proofErr w:type="spellEnd"/>
      <w:r w:rsidRPr="005E3FA8">
        <w:rPr>
          <w:rFonts w:ascii="Times New Roman" w:hAnsi="Times New Roman"/>
        </w:rPr>
        <w:t xml:space="preserve"> is a 15 year old Springfield resident</w:t>
      </w:r>
      <w:r w:rsidR="001B7E40" w:rsidRPr="005E3FA8">
        <w:rPr>
          <w:rFonts w:ascii="Times New Roman" w:hAnsi="Times New Roman"/>
        </w:rPr>
        <w:t xml:space="preserve"> who has been identified with global developmental delays and associated difficulties acquiring age appropriate academic skills.</w:t>
      </w:r>
      <w:r w:rsidRPr="005E3FA8">
        <w:rPr>
          <w:rFonts w:ascii="Times New Roman" w:hAnsi="Times New Roman"/>
        </w:rPr>
        <w:t xml:space="preserve">  She has received special education services through the Springfield Public Schools since beginning school.  She had an accepted Individualized Education Program</w:t>
      </w:r>
      <w:r w:rsidR="00581382" w:rsidRPr="005E3FA8">
        <w:rPr>
          <w:rFonts w:ascii="Times New Roman" w:hAnsi="Times New Roman"/>
        </w:rPr>
        <w:t xml:space="preserve"> (“IEP”)</w:t>
      </w:r>
      <w:r w:rsidRPr="005E3FA8">
        <w:rPr>
          <w:rFonts w:ascii="Times New Roman" w:hAnsi="Times New Roman"/>
        </w:rPr>
        <w:t xml:space="preserve"> during the 2009-2010 and 2010-2011 school years</w:t>
      </w:r>
      <w:r w:rsidR="00344DE1" w:rsidRPr="005E3FA8">
        <w:rPr>
          <w:rFonts w:ascii="Times New Roman" w:hAnsi="Times New Roman"/>
        </w:rPr>
        <w:t xml:space="preserve"> calling for “pull out” special education in all academic subjects</w:t>
      </w:r>
      <w:r w:rsidRPr="005E3FA8">
        <w:rPr>
          <w:rFonts w:ascii="Times New Roman" w:hAnsi="Times New Roman"/>
        </w:rPr>
        <w:t xml:space="preserve">.  During those years </w:t>
      </w:r>
      <w:proofErr w:type="spellStart"/>
      <w:r w:rsidRPr="005E3FA8">
        <w:rPr>
          <w:rFonts w:ascii="Times New Roman" w:hAnsi="Times New Roman"/>
        </w:rPr>
        <w:t>Xylia</w:t>
      </w:r>
      <w:proofErr w:type="spellEnd"/>
      <w:r w:rsidRPr="005E3FA8">
        <w:rPr>
          <w:rFonts w:ascii="Times New Roman" w:hAnsi="Times New Roman"/>
        </w:rPr>
        <w:t xml:space="preserve"> did not exhibit any psychological or emotional difficulties and was not receiving any mental health treatment.  </w:t>
      </w:r>
      <w:proofErr w:type="spellStart"/>
      <w:r w:rsidRPr="005E3FA8">
        <w:rPr>
          <w:rFonts w:ascii="Times New Roman" w:hAnsi="Times New Roman"/>
        </w:rPr>
        <w:t>Xylia</w:t>
      </w:r>
      <w:proofErr w:type="spellEnd"/>
      <w:r w:rsidRPr="005E3FA8">
        <w:rPr>
          <w:rFonts w:ascii="Times New Roman" w:hAnsi="Times New Roman"/>
        </w:rPr>
        <w:t xml:space="preserve"> was making effectiv</w:t>
      </w:r>
      <w:r w:rsidR="006447AD" w:rsidRPr="005E3FA8">
        <w:rPr>
          <w:rFonts w:ascii="Times New Roman" w:hAnsi="Times New Roman"/>
        </w:rPr>
        <w:t xml:space="preserve">e educational progress.  </w:t>
      </w:r>
    </w:p>
    <w:p w:rsidR="00484B6B" w:rsidRPr="005E3FA8" w:rsidRDefault="00484B6B" w:rsidP="002A1934">
      <w:pPr>
        <w:pStyle w:val="NoSpacing"/>
        <w:rPr>
          <w:rFonts w:ascii="Times New Roman" w:hAnsi="Times New Roman"/>
        </w:rPr>
      </w:pPr>
    </w:p>
    <w:p w:rsidR="00484B6B" w:rsidRPr="005E3FA8" w:rsidRDefault="004A54E0" w:rsidP="002A1934">
      <w:pPr>
        <w:pStyle w:val="NoSpacing"/>
        <w:rPr>
          <w:rFonts w:ascii="Times New Roman" w:hAnsi="Times New Roman"/>
        </w:rPr>
      </w:pPr>
      <w:r w:rsidRPr="005E3FA8">
        <w:rPr>
          <w:rFonts w:ascii="Times New Roman" w:hAnsi="Times New Roman"/>
        </w:rPr>
        <w:t>2.  In May</w:t>
      </w:r>
      <w:r w:rsidR="00484B6B" w:rsidRPr="005E3FA8">
        <w:rPr>
          <w:rFonts w:ascii="Times New Roman" w:hAnsi="Times New Roman"/>
        </w:rPr>
        <w:t xml:space="preserve"> 2009 </w:t>
      </w:r>
      <w:proofErr w:type="spellStart"/>
      <w:r w:rsidR="00484B6B" w:rsidRPr="005E3FA8">
        <w:rPr>
          <w:rFonts w:ascii="Times New Roman" w:hAnsi="Times New Roman"/>
        </w:rPr>
        <w:t>Xylia</w:t>
      </w:r>
      <w:proofErr w:type="spellEnd"/>
      <w:r w:rsidR="00484B6B" w:rsidRPr="005E3FA8">
        <w:rPr>
          <w:rFonts w:ascii="Times New Roman" w:hAnsi="Times New Roman"/>
        </w:rPr>
        <w:t xml:space="preserve"> was sexua</w:t>
      </w:r>
      <w:r w:rsidR="00CC4398" w:rsidRPr="005E3FA8">
        <w:rPr>
          <w:rFonts w:ascii="Times New Roman" w:hAnsi="Times New Roman"/>
        </w:rPr>
        <w:t>lly assaulted by a classmate</w:t>
      </w:r>
      <w:r w:rsidR="00484B6B" w:rsidRPr="005E3FA8">
        <w:rPr>
          <w:rFonts w:ascii="Times New Roman" w:hAnsi="Times New Roman"/>
        </w:rPr>
        <w:t xml:space="preserve"> (“R”) while at recess on the school playground.  The assault was observed by Springfield staff.  The offending student was suspended for a time and then placed in</w:t>
      </w:r>
      <w:r w:rsidR="006447AD" w:rsidRPr="005E3FA8">
        <w:rPr>
          <w:rFonts w:ascii="Times New Roman" w:hAnsi="Times New Roman"/>
        </w:rPr>
        <w:t xml:space="preserve"> a different classroom.  </w:t>
      </w:r>
    </w:p>
    <w:p w:rsidR="00484B6B" w:rsidRPr="005E3FA8" w:rsidRDefault="00484B6B" w:rsidP="002A1934">
      <w:pPr>
        <w:pStyle w:val="NoSpacing"/>
        <w:rPr>
          <w:rFonts w:ascii="Times New Roman" w:hAnsi="Times New Roman"/>
        </w:rPr>
      </w:pPr>
    </w:p>
    <w:p w:rsidR="00A34585" w:rsidRPr="005E3FA8" w:rsidRDefault="00A34585" w:rsidP="002A1934">
      <w:pPr>
        <w:pStyle w:val="NoSpacing"/>
        <w:rPr>
          <w:rFonts w:ascii="Times New Roman" w:hAnsi="Times New Roman"/>
        </w:rPr>
      </w:pPr>
      <w:r w:rsidRPr="005E3FA8">
        <w:rPr>
          <w:rFonts w:ascii="Times New Roman" w:hAnsi="Times New Roman"/>
        </w:rPr>
        <w:t>3</w:t>
      </w:r>
      <w:r w:rsidR="00484B6B" w:rsidRPr="005E3FA8">
        <w:rPr>
          <w:rFonts w:ascii="Times New Roman" w:hAnsi="Times New Roman"/>
        </w:rPr>
        <w:t xml:space="preserve">.  </w:t>
      </w:r>
      <w:proofErr w:type="spellStart"/>
      <w:r w:rsidR="00484B6B" w:rsidRPr="005E3FA8">
        <w:rPr>
          <w:rFonts w:ascii="Times New Roman" w:hAnsi="Times New Roman"/>
        </w:rPr>
        <w:t>Xylia</w:t>
      </w:r>
      <w:proofErr w:type="spellEnd"/>
      <w:r w:rsidR="00484B6B" w:rsidRPr="005E3FA8">
        <w:rPr>
          <w:rFonts w:ascii="Times New Roman" w:hAnsi="Times New Roman"/>
        </w:rPr>
        <w:t xml:space="preserve"> began the 7</w:t>
      </w:r>
      <w:r w:rsidR="00484B6B" w:rsidRPr="005E3FA8">
        <w:rPr>
          <w:rFonts w:ascii="Times New Roman" w:hAnsi="Times New Roman"/>
          <w:vertAlign w:val="superscript"/>
        </w:rPr>
        <w:t>th</w:t>
      </w:r>
      <w:r w:rsidR="004A54E0" w:rsidRPr="005E3FA8">
        <w:rPr>
          <w:rFonts w:ascii="Times New Roman" w:hAnsi="Times New Roman"/>
        </w:rPr>
        <w:t xml:space="preserve"> grade year in the f</w:t>
      </w:r>
      <w:r w:rsidR="00484B6B" w:rsidRPr="005E3FA8">
        <w:rPr>
          <w:rFonts w:ascii="Times New Roman" w:hAnsi="Times New Roman"/>
        </w:rPr>
        <w:t xml:space="preserve">all </w:t>
      </w:r>
      <w:r w:rsidR="004A54E0" w:rsidRPr="005E3FA8">
        <w:rPr>
          <w:rFonts w:ascii="Times New Roman" w:hAnsi="Times New Roman"/>
        </w:rPr>
        <w:t xml:space="preserve">of </w:t>
      </w:r>
      <w:r w:rsidR="00484B6B" w:rsidRPr="005E3FA8">
        <w:rPr>
          <w:rFonts w:ascii="Times New Roman" w:hAnsi="Times New Roman"/>
        </w:rPr>
        <w:t xml:space="preserve">2009.  The offending student “R” </w:t>
      </w:r>
      <w:r w:rsidR="00344DE1" w:rsidRPr="005E3FA8">
        <w:rPr>
          <w:rFonts w:ascii="Times New Roman" w:hAnsi="Times New Roman"/>
        </w:rPr>
        <w:t xml:space="preserve">was </w:t>
      </w:r>
      <w:r w:rsidR="00484B6B" w:rsidRPr="005E3FA8">
        <w:rPr>
          <w:rFonts w:ascii="Times New Roman" w:hAnsi="Times New Roman"/>
        </w:rPr>
        <w:t xml:space="preserve">placed in the same classroom </w:t>
      </w:r>
      <w:proofErr w:type="spellStart"/>
      <w:r w:rsidR="00484B6B" w:rsidRPr="005E3FA8">
        <w:rPr>
          <w:rFonts w:ascii="Times New Roman" w:hAnsi="Times New Roman"/>
        </w:rPr>
        <w:t>Xylia</w:t>
      </w:r>
      <w:proofErr w:type="spellEnd"/>
      <w:r w:rsidR="00484B6B" w:rsidRPr="005E3FA8">
        <w:rPr>
          <w:rFonts w:ascii="Times New Roman" w:hAnsi="Times New Roman"/>
        </w:rPr>
        <w:t xml:space="preserve"> attended full-time.  In January 2010, “R” threatened </w:t>
      </w:r>
      <w:proofErr w:type="spellStart"/>
      <w:r w:rsidR="00484B6B" w:rsidRPr="005E3FA8">
        <w:rPr>
          <w:rFonts w:ascii="Times New Roman" w:hAnsi="Times New Roman"/>
        </w:rPr>
        <w:t>Xylia</w:t>
      </w:r>
      <w:proofErr w:type="spellEnd"/>
      <w:r w:rsidR="00484B6B" w:rsidRPr="005E3FA8">
        <w:rPr>
          <w:rFonts w:ascii="Times New Roman" w:hAnsi="Times New Roman"/>
        </w:rPr>
        <w:t xml:space="preserve"> and forced her to abandon a physical education class they were supposed to attend together.  “R” then raped </w:t>
      </w:r>
      <w:proofErr w:type="spellStart"/>
      <w:r w:rsidR="00484B6B" w:rsidRPr="005E3FA8">
        <w:rPr>
          <w:rFonts w:ascii="Times New Roman" w:hAnsi="Times New Roman"/>
        </w:rPr>
        <w:t>Xylia</w:t>
      </w:r>
      <w:proofErr w:type="spellEnd"/>
      <w:r w:rsidR="00484B6B" w:rsidRPr="005E3FA8">
        <w:rPr>
          <w:rFonts w:ascii="Times New Roman" w:hAnsi="Times New Roman"/>
        </w:rPr>
        <w:t xml:space="preserve"> in the school auditorium.  </w:t>
      </w:r>
      <w:r w:rsidRPr="005E3FA8">
        <w:rPr>
          <w:rFonts w:ascii="Times New Roman" w:hAnsi="Times New Roman"/>
        </w:rPr>
        <w:t>A few days later he repeated the act.</w:t>
      </w:r>
      <w:r w:rsidR="006447AD" w:rsidRPr="005E3FA8">
        <w:rPr>
          <w:rFonts w:ascii="Times New Roman" w:hAnsi="Times New Roman"/>
        </w:rPr>
        <w:t xml:space="preserve"> </w:t>
      </w:r>
    </w:p>
    <w:p w:rsidR="00A34585" w:rsidRPr="005E3FA8" w:rsidRDefault="00A34585" w:rsidP="002A1934">
      <w:pPr>
        <w:pStyle w:val="NoSpacing"/>
        <w:rPr>
          <w:rFonts w:ascii="Times New Roman" w:hAnsi="Times New Roman"/>
        </w:rPr>
      </w:pPr>
    </w:p>
    <w:p w:rsidR="00A34585" w:rsidRPr="005E3FA8" w:rsidRDefault="00A34585" w:rsidP="002A1934">
      <w:pPr>
        <w:pStyle w:val="NoSpacing"/>
        <w:rPr>
          <w:rFonts w:ascii="Times New Roman" w:hAnsi="Times New Roman"/>
        </w:rPr>
      </w:pPr>
      <w:r w:rsidRPr="005E3FA8">
        <w:rPr>
          <w:rFonts w:ascii="Times New Roman" w:hAnsi="Times New Roman"/>
        </w:rPr>
        <w:t xml:space="preserve">4.  </w:t>
      </w:r>
      <w:proofErr w:type="spellStart"/>
      <w:r w:rsidRPr="005E3FA8">
        <w:rPr>
          <w:rFonts w:ascii="Times New Roman" w:hAnsi="Times New Roman"/>
        </w:rPr>
        <w:t>Xylia</w:t>
      </w:r>
      <w:proofErr w:type="spellEnd"/>
      <w:r w:rsidRPr="005E3FA8">
        <w:rPr>
          <w:rFonts w:ascii="Times New Roman" w:hAnsi="Times New Roman"/>
        </w:rPr>
        <w:t xml:space="preserve"> reported these events to her </w:t>
      </w:r>
      <w:r w:rsidR="00987810" w:rsidRPr="005E3FA8">
        <w:rPr>
          <w:rFonts w:ascii="Times New Roman" w:hAnsi="Times New Roman"/>
        </w:rPr>
        <w:t>P</w:t>
      </w:r>
      <w:r w:rsidRPr="005E3FA8">
        <w:rPr>
          <w:rFonts w:ascii="Times New Roman" w:hAnsi="Times New Roman"/>
        </w:rPr>
        <w:t xml:space="preserve">arent who immediately contacted the Department of Children and Families </w:t>
      </w:r>
      <w:r w:rsidR="00344DE1" w:rsidRPr="005E3FA8">
        <w:rPr>
          <w:rFonts w:ascii="Times New Roman" w:hAnsi="Times New Roman"/>
        </w:rPr>
        <w:t>(“DCF”</w:t>
      </w:r>
      <w:r w:rsidRPr="005E3FA8">
        <w:rPr>
          <w:rFonts w:ascii="Times New Roman" w:hAnsi="Times New Roman"/>
        </w:rPr>
        <w:t>).  The Parent did not contact the School directly or</w:t>
      </w:r>
      <w:r w:rsidR="00344DE1" w:rsidRPr="005E3FA8">
        <w:rPr>
          <w:rFonts w:ascii="Times New Roman" w:hAnsi="Times New Roman"/>
        </w:rPr>
        <w:t xml:space="preserve"> report</w:t>
      </w:r>
      <w:r w:rsidR="00EA58A7" w:rsidRPr="005E3FA8">
        <w:rPr>
          <w:rFonts w:ascii="Times New Roman" w:hAnsi="Times New Roman"/>
        </w:rPr>
        <w:t xml:space="preserve"> the</w:t>
      </w:r>
      <w:r w:rsidR="00344DE1" w:rsidRPr="005E3FA8">
        <w:rPr>
          <w:rFonts w:ascii="Times New Roman" w:hAnsi="Times New Roman"/>
        </w:rPr>
        <w:t xml:space="preserve"> assault to</w:t>
      </w:r>
      <w:r w:rsidRPr="005E3FA8">
        <w:rPr>
          <w:rFonts w:ascii="Times New Roman" w:hAnsi="Times New Roman"/>
        </w:rPr>
        <w:t xml:space="preserve"> the police.</w:t>
      </w:r>
    </w:p>
    <w:p w:rsidR="00581382" w:rsidRPr="005E3FA8" w:rsidRDefault="00581382" w:rsidP="002A1934">
      <w:pPr>
        <w:pStyle w:val="NoSpacing"/>
        <w:rPr>
          <w:rFonts w:ascii="Times New Roman" w:hAnsi="Times New Roman"/>
        </w:rPr>
      </w:pPr>
    </w:p>
    <w:p w:rsidR="00A34585" w:rsidRPr="005E3FA8" w:rsidRDefault="00A34585" w:rsidP="002A1934">
      <w:pPr>
        <w:pStyle w:val="NoSpacing"/>
        <w:rPr>
          <w:rFonts w:ascii="Times New Roman" w:hAnsi="Times New Roman"/>
        </w:rPr>
      </w:pPr>
      <w:r w:rsidRPr="005E3FA8">
        <w:rPr>
          <w:rFonts w:ascii="Times New Roman" w:hAnsi="Times New Roman"/>
        </w:rPr>
        <w:t xml:space="preserve">5.  When the School learned of the rape and assault allegations through DCF it conducted an internal investigation, developed a safety plan for </w:t>
      </w:r>
      <w:proofErr w:type="spellStart"/>
      <w:r w:rsidRPr="005E3FA8">
        <w:rPr>
          <w:rFonts w:ascii="Times New Roman" w:hAnsi="Times New Roman"/>
        </w:rPr>
        <w:t>Xylia</w:t>
      </w:r>
      <w:proofErr w:type="spellEnd"/>
      <w:r w:rsidRPr="005E3FA8">
        <w:rPr>
          <w:rFonts w:ascii="Times New Roman" w:hAnsi="Times New Roman"/>
        </w:rPr>
        <w:t xml:space="preserve">, and reconvened </w:t>
      </w:r>
      <w:proofErr w:type="spellStart"/>
      <w:r w:rsidRPr="005E3FA8">
        <w:rPr>
          <w:rFonts w:ascii="Times New Roman" w:hAnsi="Times New Roman"/>
        </w:rPr>
        <w:t>Xylia’s</w:t>
      </w:r>
      <w:proofErr w:type="spellEnd"/>
      <w:r w:rsidRPr="005E3FA8">
        <w:rPr>
          <w:rFonts w:ascii="Times New Roman" w:hAnsi="Times New Roman"/>
        </w:rPr>
        <w:t xml:space="preserve"> special education team to review her then current IEP.  After meeting in March 2010 the Team proposed that </w:t>
      </w:r>
      <w:proofErr w:type="spellStart"/>
      <w:r w:rsidRPr="005E3FA8">
        <w:rPr>
          <w:rFonts w:ascii="Times New Roman" w:hAnsi="Times New Roman"/>
        </w:rPr>
        <w:t>Xylia</w:t>
      </w:r>
      <w:proofErr w:type="spellEnd"/>
      <w:r w:rsidRPr="005E3FA8">
        <w:rPr>
          <w:rFonts w:ascii="Times New Roman" w:hAnsi="Times New Roman"/>
        </w:rPr>
        <w:t xml:space="preserve"> attend a substantially separate classroom designed for students with specific learning disabilities, added counseling to the </w:t>
      </w:r>
      <w:r w:rsidR="00987810" w:rsidRPr="005E3FA8">
        <w:rPr>
          <w:rFonts w:ascii="Times New Roman" w:hAnsi="Times New Roman"/>
        </w:rPr>
        <w:t>IEP</w:t>
      </w:r>
      <w:r w:rsidRPr="005E3FA8">
        <w:rPr>
          <w:rFonts w:ascii="Times New Roman" w:hAnsi="Times New Roman"/>
        </w:rPr>
        <w:t>, and provided for intensive monitoring during all transitions, non-special education classes, and unstructured time.  The Parent accepted the proposed IEP with the exception of counseling services which she declined.</w:t>
      </w:r>
    </w:p>
    <w:p w:rsidR="00A34585" w:rsidRPr="005E3FA8" w:rsidRDefault="00A34585" w:rsidP="002A1934">
      <w:pPr>
        <w:pStyle w:val="NoSpacing"/>
        <w:rPr>
          <w:rFonts w:ascii="Times New Roman" w:hAnsi="Times New Roman"/>
        </w:rPr>
      </w:pPr>
    </w:p>
    <w:p w:rsidR="00A34585" w:rsidRPr="005E3FA8" w:rsidRDefault="00A34585" w:rsidP="002A1934">
      <w:pPr>
        <w:pStyle w:val="NoSpacing"/>
        <w:rPr>
          <w:rFonts w:ascii="Times New Roman" w:hAnsi="Times New Roman"/>
        </w:rPr>
      </w:pPr>
      <w:r w:rsidRPr="005E3FA8">
        <w:rPr>
          <w:rFonts w:ascii="Times New Roman" w:hAnsi="Times New Roman"/>
        </w:rPr>
        <w:t>6.  The School filed a Section 51A report with DCF.  The School also notified the Springfield Police Department</w:t>
      </w:r>
      <w:r w:rsidR="00987810" w:rsidRPr="005E3FA8">
        <w:rPr>
          <w:rFonts w:ascii="Times New Roman" w:hAnsi="Times New Roman"/>
        </w:rPr>
        <w:t xml:space="preserve"> of the family’s allegations.</w:t>
      </w:r>
    </w:p>
    <w:p w:rsidR="00A34585" w:rsidRPr="005E3FA8" w:rsidRDefault="00A34585" w:rsidP="002A1934">
      <w:pPr>
        <w:pStyle w:val="NoSpacing"/>
        <w:rPr>
          <w:rFonts w:ascii="Times New Roman" w:hAnsi="Times New Roman"/>
        </w:rPr>
      </w:pPr>
    </w:p>
    <w:p w:rsidR="00A34585" w:rsidRPr="005E3FA8" w:rsidRDefault="00A34585" w:rsidP="002A1934">
      <w:pPr>
        <w:pStyle w:val="NoSpacing"/>
        <w:rPr>
          <w:rFonts w:ascii="Times New Roman" w:hAnsi="Times New Roman"/>
        </w:rPr>
      </w:pPr>
      <w:r w:rsidRPr="005E3FA8">
        <w:rPr>
          <w:rFonts w:ascii="Times New Roman" w:hAnsi="Times New Roman"/>
        </w:rPr>
        <w:t xml:space="preserve">7.  DCF conducted an investigation and </w:t>
      </w:r>
      <w:r w:rsidR="00344DE1" w:rsidRPr="005E3FA8">
        <w:rPr>
          <w:rFonts w:ascii="Times New Roman" w:hAnsi="Times New Roman"/>
        </w:rPr>
        <w:t xml:space="preserve">concluded </w:t>
      </w:r>
      <w:r w:rsidR="00F928CC" w:rsidRPr="005E3FA8">
        <w:rPr>
          <w:rFonts w:ascii="Times New Roman" w:hAnsi="Times New Roman"/>
        </w:rPr>
        <w:t>that one</w:t>
      </w:r>
      <w:r w:rsidRPr="005E3FA8">
        <w:rPr>
          <w:rFonts w:ascii="Times New Roman" w:hAnsi="Times New Roman"/>
        </w:rPr>
        <w:t xml:space="preserve"> teacher negligently failed to supervise the actions of “R” and </w:t>
      </w:r>
      <w:proofErr w:type="spellStart"/>
      <w:r w:rsidRPr="005E3FA8">
        <w:rPr>
          <w:rFonts w:ascii="Times New Roman" w:hAnsi="Times New Roman"/>
        </w:rPr>
        <w:t>Xylia</w:t>
      </w:r>
      <w:proofErr w:type="spellEnd"/>
      <w:r w:rsidRPr="005E3FA8">
        <w:rPr>
          <w:rFonts w:ascii="Times New Roman" w:hAnsi="Times New Roman"/>
        </w:rPr>
        <w:t>.  DCF did not fault any other Springfield School staff or the Springfield School Department in general.</w:t>
      </w:r>
    </w:p>
    <w:p w:rsidR="00A34585" w:rsidRPr="005E3FA8" w:rsidRDefault="00A34585" w:rsidP="002A1934">
      <w:pPr>
        <w:pStyle w:val="NoSpacing"/>
        <w:rPr>
          <w:rFonts w:ascii="Times New Roman" w:hAnsi="Times New Roman"/>
        </w:rPr>
      </w:pPr>
    </w:p>
    <w:p w:rsidR="00A34585" w:rsidRPr="005E3FA8" w:rsidRDefault="00A34585" w:rsidP="002A1934">
      <w:pPr>
        <w:pStyle w:val="NoSpacing"/>
        <w:rPr>
          <w:rFonts w:ascii="Times New Roman" w:hAnsi="Times New Roman"/>
        </w:rPr>
      </w:pPr>
      <w:r w:rsidRPr="005E3FA8">
        <w:rPr>
          <w:rFonts w:ascii="Times New Roman" w:hAnsi="Times New Roman"/>
        </w:rPr>
        <w:t>8.  The outcome of the Police Department investigation is not known.</w:t>
      </w:r>
    </w:p>
    <w:p w:rsidR="00A34585" w:rsidRPr="005E3FA8" w:rsidRDefault="00A34585" w:rsidP="002A1934">
      <w:pPr>
        <w:pStyle w:val="NoSpacing"/>
        <w:rPr>
          <w:rFonts w:ascii="Times New Roman" w:hAnsi="Times New Roman"/>
        </w:rPr>
      </w:pPr>
    </w:p>
    <w:p w:rsidR="00A34585" w:rsidRPr="005E3FA8" w:rsidRDefault="00A34585" w:rsidP="002A1934">
      <w:pPr>
        <w:pStyle w:val="NoSpacing"/>
        <w:rPr>
          <w:rFonts w:ascii="Times New Roman" w:hAnsi="Times New Roman"/>
        </w:rPr>
      </w:pPr>
      <w:r w:rsidRPr="005E3FA8">
        <w:rPr>
          <w:rFonts w:ascii="Times New Roman" w:hAnsi="Times New Roman"/>
        </w:rPr>
        <w:lastRenderedPageBreak/>
        <w:t xml:space="preserve">9.  </w:t>
      </w:r>
      <w:proofErr w:type="spellStart"/>
      <w:r w:rsidRPr="005E3FA8">
        <w:rPr>
          <w:rFonts w:ascii="Times New Roman" w:hAnsi="Times New Roman"/>
        </w:rPr>
        <w:t>Xylia</w:t>
      </w:r>
      <w:proofErr w:type="spellEnd"/>
      <w:r w:rsidRPr="005E3FA8">
        <w:rPr>
          <w:rFonts w:ascii="Times New Roman" w:hAnsi="Times New Roman"/>
        </w:rPr>
        <w:t xml:space="preserve"> stopped atten</w:t>
      </w:r>
      <w:r w:rsidR="004A54E0" w:rsidRPr="005E3FA8">
        <w:rPr>
          <w:rFonts w:ascii="Times New Roman" w:hAnsi="Times New Roman"/>
        </w:rPr>
        <w:t>ding school at the end of March</w:t>
      </w:r>
      <w:r w:rsidRPr="005E3FA8">
        <w:rPr>
          <w:rFonts w:ascii="Times New Roman" w:hAnsi="Times New Roman"/>
        </w:rPr>
        <w:t xml:space="preserve"> 2010.  Springfield provided home instruction and developed a re-entry plan.  The Team reconvened in July 2010 and offered summer services as part of a school re-entry plan.  The Parent declined.</w:t>
      </w:r>
    </w:p>
    <w:p w:rsidR="00A34585" w:rsidRPr="005E3FA8" w:rsidRDefault="00A34585" w:rsidP="002A1934">
      <w:pPr>
        <w:pStyle w:val="NoSpacing"/>
        <w:rPr>
          <w:rFonts w:ascii="Times New Roman" w:hAnsi="Times New Roman"/>
        </w:rPr>
      </w:pPr>
    </w:p>
    <w:p w:rsidR="00A34585" w:rsidRPr="005E3FA8" w:rsidRDefault="00A34585" w:rsidP="002A1934">
      <w:pPr>
        <w:pStyle w:val="NoSpacing"/>
        <w:rPr>
          <w:rFonts w:ascii="Times New Roman" w:hAnsi="Times New Roman"/>
        </w:rPr>
      </w:pPr>
      <w:r w:rsidRPr="005E3FA8">
        <w:rPr>
          <w:rFonts w:ascii="Times New Roman" w:hAnsi="Times New Roman"/>
        </w:rPr>
        <w:t xml:space="preserve">10.  Springfield then proposed that </w:t>
      </w:r>
      <w:proofErr w:type="spellStart"/>
      <w:r w:rsidRPr="005E3FA8">
        <w:rPr>
          <w:rFonts w:ascii="Times New Roman" w:hAnsi="Times New Roman"/>
        </w:rPr>
        <w:t>Xylia</w:t>
      </w:r>
      <w:proofErr w:type="spellEnd"/>
      <w:r w:rsidRPr="005E3FA8">
        <w:rPr>
          <w:rFonts w:ascii="Times New Roman" w:hAnsi="Times New Roman"/>
        </w:rPr>
        <w:t xml:space="preserve"> attend a substantially separate classroom program designed for students with social, emot</w:t>
      </w:r>
      <w:r w:rsidR="00CC4398" w:rsidRPr="005E3FA8">
        <w:rPr>
          <w:rFonts w:ascii="Times New Roman" w:hAnsi="Times New Roman"/>
        </w:rPr>
        <w:t xml:space="preserve">ional and </w:t>
      </w:r>
      <w:r w:rsidR="006447AD" w:rsidRPr="005E3FA8">
        <w:rPr>
          <w:rFonts w:ascii="Times New Roman" w:hAnsi="Times New Roman"/>
        </w:rPr>
        <w:t>behavioral support needs</w:t>
      </w:r>
      <w:r w:rsidR="0096514A" w:rsidRPr="005E3FA8">
        <w:rPr>
          <w:rFonts w:ascii="Times New Roman" w:hAnsi="Times New Roman"/>
        </w:rPr>
        <w:t xml:space="preserve"> </w:t>
      </w:r>
      <w:r w:rsidRPr="005E3FA8">
        <w:rPr>
          <w:rFonts w:ascii="Times New Roman" w:hAnsi="Times New Roman"/>
        </w:rPr>
        <w:t>(</w:t>
      </w:r>
      <w:r w:rsidR="004A54E0" w:rsidRPr="005E3FA8">
        <w:rPr>
          <w:rFonts w:ascii="Times New Roman" w:hAnsi="Times New Roman"/>
        </w:rPr>
        <w:t>“SEBS” class) beginning in the f</w:t>
      </w:r>
      <w:r w:rsidRPr="005E3FA8">
        <w:rPr>
          <w:rFonts w:ascii="Times New Roman" w:hAnsi="Times New Roman"/>
        </w:rPr>
        <w:t xml:space="preserve">all </w:t>
      </w:r>
      <w:r w:rsidR="004A54E0" w:rsidRPr="005E3FA8">
        <w:rPr>
          <w:rFonts w:ascii="Times New Roman" w:hAnsi="Times New Roman"/>
        </w:rPr>
        <w:t xml:space="preserve">of </w:t>
      </w:r>
      <w:r w:rsidRPr="005E3FA8">
        <w:rPr>
          <w:rFonts w:ascii="Times New Roman" w:hAnsi="Times New Roman"/>
        </w:rPr>
        <w:t xml:space="preserve">2010.  </w:t>
      </w:r>
      <w:proofErr w:type="spellStart"/>
      <w:r w:rsidRPr="005E3FA8">
        <w:rPr>
          <w:rFonts w:ascii="Times New Roman" w:hAnsi="Times New Roman"/>
        </w:rPr>
        <w:t>Xylia</w:t>
      </w:r>
      <w:proofErr w:type="spellEnd"/>
      <w:r w:rsidRPr="005E3FA8">
        <w:rPr>
          <w:rFonts w:ascii="Times New Roman" w:hAnsi="Times New Roman"/>
        </w:rPr>
        <w:t xml:space="preserve"> did not return to school.</w:t>
      </w:r>
    </w:p>
    <w:p w:rsidR="00A34585" w:rsidRPr="005E3FA8" w:rsidRDefault="00A34585" w:rsidP="002A1934">
      <w:pPr>
        <w:pStyle w:val="NoSpacing"/>
        <w:rPr>
          <w:rFonts w:ascii="Times New Roman" w:hAnsi="Times New Roman"/>
        </w:rPr>
      </w:pPr>
    </w:p>
    <w:p w:rsidR="00A34585" w:rsidRPr="005E3FA8" w:rsidRDefault="004A54E0" w:rsidP="002A1934">
      <w:pPr>
        <w:pStyle w:val="NoSpacing"/>
        <w:rPr>
          <w:rFonts w:ascii="Times New Roman" w:hAnsi="Times New Roman"/>
        </w:rPr>
      </w:pPr>
      <w:r w:rsidRPr="005E3FA8">
        <w:rPr>
          <w:rFonts w:ascii="Times New Roman" w:hAnsi="Times New Roman"/>
        </w:rPr>
        <w:t xml:space="preserve">11.  During the summer of </w:t>
      </w:r>
      <w:r w:rsidR="00A34585" w:rsidRPr="005E3FA8">
        <w:rPr>
          <w:rFonts w:ascii="Times New Roman" w:hAnsi="Times New Roman"/>
        </w:rPr>
        <w:t xml:space="preserve">2010 Springfield requested parental consent to evaluate </w:t>
      </w:r>
      <w:proofErr w:type="spellStart"/>
      <w:r w:rsidR="00A34585" w:rsidRPr="005E3FA8">
        <w:rPr>
          <w:rFonts w:ascii="Times New Roman" w:hAnsi="Times New Roman"/>
        </w:rPr>
        <w:t>Xylia</w:t>
      </w:r>
      <w:proofErr w:type="spellEnd"/>
      <w:r w:rsidR="00344DE1" w:rsidRPr="005E3FA8">
        <w:rPr>
          <w:rFonts w:ascii="Times New Roman" w:hAnsi="Times New Roman"/>
        </w:rPr>
        <w:t>.</w:t>
      </w:r>
      <w:r w:rsidR="00A34585" w:rsidRPr="005E3FA8">
        <w:rPr>
          <w:rFonts w:ascii="Times New Roman" w:hAnsi="Times New Roman"/>
        </w:rPr>
        <w:t xml:space="preserve"> Parent provid</w:t>
      </w:r>
      <w:r w:rsidRPr="005E3FA8">
        <w:rPr>
          <w:rFonts w:ascii="Times New Roman" w:hAnsi="Times New Roman"/>
        </w:rPr>
        <w:t>ed consent at the end of August</w:t>
      </w:r>
      <w:r w:rsidR="00A34585" w:rsidRPr="005E3FA8">
        <w:rPr>
          <w:rFonts w:ascii="Times New Roman" w:hAnsi="Times New Roman"/>
        </w:rPr>
        <w:t xml:space="preserve"> 2010 and the evaluations were conducted during </w:t>
      </w:r>
      <w:r w:rsidR="00344DE1" w:rsidRPr="005E3FA8">
        <w:rPr>
          <w:rFonts w:ascii="Times New Roman" w:hAnsi="Times New Roman"/>
        </w:rPr>
        <w:t>the</w:t>
      </w:r>
      <w:r w:rsidRPr="005E3FA8">
        <w:rPr>
          <w:rFonts w:ascii="Times New Roman" w:hAnsi="Times New Roman"/>
        </w:rPr>
        <w:t xml:space="preserve"> fall of</w:t>
      </w:r>
      <w:r w:rsidR="00A34585" w:rsidRPr="005E3FA8">
        <w:rPr>
          <w:rFonts w:ascii="Times New Roman" w:hAnsi="Times New Roman"/>
        </w:rPr>
        <w:t xml:space="preserve"> 2010.</w:t>
      </w:r>
    </w:p>
    <w:p w:rsidR="00A34585" w:rsidRPr="005E3FA8" w:rsidRDefault="00A34585" w:rsidP="002A1934">
      <w:pPr>
        <w:pStyle w:val="NoSpacing"/>
        <w:rPr>
          <w:rFonts w:ascii="Times New Roman" w:hAnsi="Times New Roman"/>
        </w:rPr>
      </w:pPr>
    </w:p>
    <w:p w:rsidR="00A34585" w:rsidRPr="005E3FA8" w:rsidRDefault="00A34585" w:rsidP="002A1934">
      <w:pPr>
        <w:pStyle w:val="NoSpacing"/>
        <w:rPr>
          <w:rFonts w:ascii="Times New Roman" w:hAnsi="Times New Roman"/>
        </w:rPr>
      </w:pPr>
      <w:r w:rsidRPr="005E3FA8">
        <w:rPr>
          <w:rFonts w:ascii="Times New Roman" w:hAnsi="Times New Roman"/>
        </w:rPr>
        <w:t xml:space="preserve">12.  </w:t>
      </w:r>
      <w:r w:rsidR="00987810" w:rsidRPr="005E3FA8">
        <w:rPr>
          <w:rFonts w:ascii="Times New Roman" w:hAnsi="Times New Roman"/>
        </w:rPr>
        <w:t>T</w:t>
      </w:r>
      <w:r w:rsidRPr="005E3FA8">
        <w:rPr>
          <w:rFonts w:ascii="Times New Roman" w:hAnsi="Times New Roman"/>
        </w:rPr>
        <w:t xml:space="preserve">he Team reconvened in December 2010 and developed an IEP </w:t>
      </w:r>
      <w:r w:rsidR="004A54E0" w:rsidRPr="005E3FA8">
        <w:rPr>
          <w:rFonts w:ascii="Times New Roman" w:hAnsi="Times New Roman"/>
        </w:rPr>
        <w:t xml:space="preserve">which was </w:t>
      </w:r>
      <w:r w:rsidRPr="005E3FA8">
        <w:rPr>
          <w:rFonts w:ascii="Times New Roman" w:hAnsi="Times New Roman"/>
        </w:rPr>
        <w:t>substantially simi</w:t>
      </w:r>
      <w:r w:rsidR="004A54E0" w:rsidRPr="005E3FA8">
        <w:rPr>
          <w:rFonts w:ascii="Times New Roman" w:hAnsi="Times New Roman"/>
        </w:rPr>
        <w:t>lar to the one proposed in the s</w:t>
      </w:r>
      <w:r w:rsidRPr="005E3FA8">
        <w:rPr>
          <w:rFonts w:ascii="Times New Roman" w:hAnsi="Times New Roman"/>
        </w:rPr>
        <w:t xml:space="preserve">ummer </w:t>
      </w:r>
      <w:r w:rsidR="004A54E0" w:rsidRPr="005E3FA8">
        <w:rPr>
          <w:rFonts w:ascii="Times New Roman" w:hAnsi="Times New Roman"/>
        </w:rPr>
        <w:t xml:space="preserve">of </w:t>
      </w:r>
      <w:r w:rsidRPr="005E3FA8">
        <w:rPr>
          <w:rFonts w:ascii="Times New Roman" w:hAnsi="Times New Roman"/>
        </w:rPr>
        <w:t xml:space="preserve">2010 calling for </w:t>
      </w:r>
      <w:proofErr w:type="spellStart"/>
      <w:r w:rsidRPr="005E3FA8">
        <w:rPr>
          <w:rFonts w:ascii="Times New Roman" w:hAnsi="Times New Roman"/>
        </w:rPr>
        <w:t>Xylia’s</w:t>
      </w:r>
      <w:proofErr w:type="spellEnd"/>
      <w:r w:rsidRPr="005E3FA8">
        <w:rPr>
          <w:rFonts w:ascii="Times New Roman" w:hAnsi="Times New Roman"/>
        </w:rPr>
        <w:t xml:space="preserve"> placement in a SEBS classroom.</w:t>
      </w:r>
    </w:p>
    <w:p w:rsidR="00A34585" w:rsidRPr="005E3FA8" w:rsidRDefault="00A34585" w:rsidP="002A1934">
      <w:pPr>
        <w:pStyle w:val="NoSpacing"/>
        <w:rPr>
          <w:rFonts w:ascii="Times New Roman" w:hAnsi="Times New Roman"/>
        </w:rPr>
      </w:pPr>
    </w:p>
    <w:p w:rsidR="00A34585" w:rsidRPr="005E3FA8" w:rsidRDefault="00A34585" w:rsidP="002A1934">
      <w:pPr>
        <w:pStyle w:val="NoSpacing"/>
        <w:rPr>
          <w:rFonts w:ascii="Times New Roman" w:hAnsi="Times New Roman"/>
        </w:rPr>
      </w:pPr>
      <w:r w:rsidRPr="005E3FA8">
        <w:rPr>
          <w:rFonts w:ascii="Times New Roman" w:hAnsi="Times New Roman"/>
        </w:rPr>
        <w:t xml:space="preserve">13.  </w:t>
      </w:r>
      <w:r w:rsidR="00344DE1" w:rsidRPr="005E3FA8">
        <w:rPr>
          <w:rFonts w:ascii="Times New Roman" w:hAnsi="Times New Roman"/>
        </w:rPr>
        <w:t>There is no information concerning</w:t>
      </w:r>
      <w:r w:rsidRPr="005E3FA8">
        <w:rPr>
          <w:rFonts w:ascii="Times New Roman" w:hAnsi="Times New Roman"/>
        </w:rPr>
        <w:t xml:space="preserve"> </w:t>
      </w:r>
      <w:proofErr w:type="spellStart"/>
      <w:r w:rsidRPr="005E3FA8">
        <w:rPr>
          <w:rFonts w:ascii="Times New Roman" w:hAnsi="Times New Roman"/>
        </w:rPr>
        <w:t>Xylia’s</w:t>
      </w:r>
      <w:proofErr w:type="spellEnd"/>
      <w:r w:rsidRPr="005E3FA8">
        <w:rPr>
          <w:rFonts w:ascii="Times New Roman" w:hAnsi="Times New Roman"/>
        </w:rPr>
        <w:t xml:space="preserve"> subsequent school history </w:t>
      </w:r>
      <w:r w:rsidR="00344DE1" w:rsidRPr="005E3FA8">
        <w:rPr>
          <w:rFonts w:ascii="Times New Roman" w:hAnsi="Times New Roman"/>
        </w:rPr>
        <w:t>in the pleadings</w:t>
      </w:r>
      <w:r w:rsidRPr="005E3FA8">
        <w:rPr>
          <w:rFonts w:ascii="Times New Roman" w:hAnsi="Times New Roman"/>
        </w:rPr>
        <w:t>.</w:t>
      </w:r>
    </w:p>
    <w:p w:rsidR="00995815" w:rsidRPr="005E3FA8" w:rsidRDefault="00995815" w:rsidP="002A1934">
      <w:pPr>
        <w:pStyle w:val="NoSpacing"/>
        <w:rPr>
          <w:rFonts w:ascii="Times New Roman" w:hAnsi="Times New Roman"/>
        </w:rPr>
      </w:pPr>
    </w:p>
    <w:p w:rsidR="00995815" w:rsidRPr="005E3FA8" w:rsidRDefault="00995815" w:rsidP="002A1934">
      <w:pPr>
        <w:pStyle w:val="NoSpacing"/>
        <w:rPr>
          <w:rFonts w:ascii="Times New Roman" w:hAnsi="Times New Roman"/>
        </w:rPr>
      </w:pPr>
      <w:r w:rsidRPr="005E3FA8">
        <w:rPr>
          <w:rFonts w:ascii="Times New Roman" w:hAnsi="Times New Roman"/>
        </w:rPr>
        <w:t>14.  The Parent has never rejected</w:t>
      </w:r>
      <w:r w:rsidR="00344DE1" w:rsidRPr="005E3FA8">
        <w:rPr>
          <w:rFonts w:ascii="Times New Roman" w:hAnsi="Times New Roman"/>
        </w:rPr>
        <w:t xml:space="preserve"> any of</w:t>
      </w:r>
      <w:r w:rsidRPr="005E3FA8">
        <w:rPr>
          <w:rFonts w:ascii="Times New Roman" w:hAnsi="Times New Roman"/>
        </w:rPr>
        <w:t xml:space="preserve"> </w:t>
      </w:r>
      <w:proofErr w:type="spellStart"/>
      <w:r w:rsidRPr="005E3FA8">
        <w:rPr>
          <w:rFonts w:ascii="Times New Roman" w:hAnsi="Times New Roman"/>
        </w:rPr>
        <w:t>Xylia’s</w:t>
      </w:r>
      <w:proofErr w:type="spellEnd"/>
      <w:r w:rsidRPr="005E3FA8">
        <w:rPr>
          <w:rFonts w:ascii="Times New Roman" w:hAnsi="Times New Roman"/>
        </w:rPr>
        <w:t xml:space="preserve"> IEPs nor </w:t>
      </w:r>
      <w:r w:rsidR="00C21135" w:rsidRPr="005E3FA8">
        <w:rPr>
          <w:rFonts w:ascii="Times New Roman" w:hAnsi="Times New Roman"/>
        </w:rPr>
        <w:t xml:space="preserve">has she </w:t>
      </w:r>
      <w:r w:rsidRPr="005E3FA8">
        <w:rPr>
          <w:rFonts w:ascii="Times New Roman" w:hAnsi="Times New Roman"/>
        </w:rPr>
        <w:t xml:space="preserve">requested a due process hearing until now.  </w:t>
      </w:r>
    </w:p>
    <w:p w:rsidR="00344DE1" w:rsidRPr="005E3FA8" w:rsidRDefault="00344DE1" w:rsidP="002A1934">
      <w:pPr>
        <w:pStyle w:val="NoSpacing"/>
        <w:rPr>
          <w:rFonts w:ascii="Times New Roman" w:hAnsi="Times New Roman"/>
        </w:rPr>
      </w:pPr>
    </w:p>
    <w:p w:rsidR="00344DE1" w:rsidRPr="005E3FA8" w:rsidRDefault="00344DE1" w:rsidP="002A1934">
      <w:pPr>
        <w:pStyle w:val="NoSpacing"/>
        <w:rPr>
          <w:rFonts w:ascii="Times New Roman" w:hAnsi="Times New Roman"/>
          <w:u w:val="single"/>
        </w:rPr>
      </w:pPr>
      <w:r w:rsidRPr="005E3FA8">
        <w:rPr>
          <w:rFonts w:ascii="Times New Roman" w:hAnsi="Times New Roman"/>
          <w:u w:val="single"/>
        </w:rPr>
        <w:t>PARENT’S HEARING REQUEST</w:t>
      </w:r>
    </w:p>
    <w:p w:rsidR="006447AD" w:rsidRPr="005E3FA8" w:rsidRDefault="006447AD" w:rsidP="002A1934">
      <w:pPr>
        <w:pStyle w:val="NoSpacing"/>
        <w:rPr>
          <w:rFonts w:ascii="Times New Roman" w:hAnsi="Times New Roman"/>
          <w:u w:val="single"/>
        </w:rPr>
      </w:pPr>
    </w:p>
    <w:p w:rsidR="00344DE1" w:rsidRPr="005E3FA8" w:rsidRDefault="00344DE1" w:rsidP="002A1934">
      <w:pPr>
        <w:pStyle w:val="NoSpacing"/>
        <w:rPr>
          <w:rFonts w:ascii="Times New Roman" w:hAnsi="Times New Roman"/>
        </w:rPr>
      </w:pPr>
      <w:r w:rsidRPr="005E3FA8">
        <w:rPr>
          <w:rFonts w:ascii="Times New Roman" w:hAnsi="Times New Roman"/>
        </w:rPr>
        <w:tab/>
        <w:t xml:space="preserve">The Parent alleges that, as a direct and proximate result of the failure of the teacher to perform her duty of maintaining </w:t>
      </w:r>
      <w:proofErr w:type="spellStart"/>
      <w:r w:rsidRPr="005E3FA8">
        <w:rPr>
          <w:rFonts w:ascii="Times New Roman" w:hAnsi="Times New Roman"/>
        </w:rPr>
        <w:t>Xylia’s</w:t>
      </w:r>
      <w:proofErr w:type="spellEnd"/>
      <w:r w:rsidRPr="005E3FA8">
        <w:rPr>
          <w:rFonts w:ascii="Times New Roman" w:hAnsi="Times New Roman"/>
        </w:rPr>
        <w:t xml:space="preserve"> safety</w:t>
      </w:r>
      <w:r w:rsidR="00987810" w:rsidRPr="005E3FA8">
        <w:rPr>
          <w:rFonts w:ascii="Times New Roman" w:hAnsi="Times New Roman"/>
        </w:rPr>
        <w:t xml:space="preserve"> in school</w:t>
      </w:r>
      <w:r w:rsidR="00C21135" w:rsidRPr="005E3FA8">
        <w:rPr>
          <w:rFonts w:ascii="Times New Roman" w:hAnsi="Times New Roman"/>
        </w:rPr>
        <w:t xml:space="preserve"> during January</w:t>
      </w:r>
      <w:r w:rsidRPr="005E3FA8">
        <w:rPr>
          <w:rFonts w:ascii="Times New Roman" w:hAnsi="Times New Roman"/>
        </w:rPr>
        <w:t xml:space="preserve"> 2010</w:t>
      </w:r>
      <w:r w:rsidR="00987810" w:rsidRPr="005E3FA8">
        <w:rPr>
          <w:rFonts w:ascii="Times New Roman" w:hAnsi="Times New Roman"/>
        </w:rPr>
        <w:t xml:space="preserve">, </w:t>
      </w:r>
      <w:proofErr w:type="spellStart"/>
      <w:r w:rsidRPr="005E3FA8">
        <w:rPr>
          <w:rFonts w:ascii="Times New Roman" w:hAnsi="Times New Roman"/>
        </w:rPr>
        <w:t>Xylia</w:t>
      </w:r>
      <w:proofErr w:type="spellEnd"/>
      <w:r w:rsidRPr="005E3FA8">
        <w:rPr>
          <w:rFonts w:ascii="Times New Roman" w:hAnsi="Times New Roman"/>
        </w:rPr>
        <w:t xml:space="preserve"> has been adversely affected in all major spheres of her life.</w:t>
      </w:r>
      <w:r w:rsidR="00EA58A7" w:rsidRPr="005E3FA8">
        <w:rPr>
          <w:rFonts w:ascii="Times New Roman" w:hAnsi="Times New Roman"/>
        </w:rPr>
        <w:t xml:space="preserve"> According to the Parent</w:t>
      </w:r>
      <w:r w:rsidR="00C21135" w:rsidRPr="005E3FA8">
        <w:rPr>
          <w:rFonts w:ascii="Times New Roman" w:hAnsi="Times New Roman"/>
        </w:rPr>
        <w:t xml:space="preserve">, </w:t>
      </w:r>
      <w:proofErr w:type="spellStart"/>
      <w:r w:rsidRPr="005E3FA8">
        <w:rPr>
          <w:rFonts w:ascii="Times New Roman" w:hAnsi="Times New Roman"/>
        </w:rPr>
        <w:t>Xylia</w:t>
      </w:r>
      <w:proofErr w:type="spellEnd"/>
      <w:r w:rsidRPr="005E3FA8">
        <w:rPr>
          <w:rFonts w:ascii="Times New Roman" w:hAnsi="Times New Roman"/>
        </w:rPr>
        <w:t xml:space="preserve"> now suff</w:t>
      </w:r>
      <w:r w:rsidR="00C21135" w:rsidRPr="005E3FA8">
        <w:rPr>
          <w:rFonts w:ascii="Times New Roman" w:hAnsi="Times New Roman"/>
        </w:rPr>
        <w:t>ers from a major mental disorder, post-traumatic stress disorder</w:t>
      </w:r>
      <w:r w:rsidR="00F928CC" w:rsidRPr="005E3FA8">
        <w:rPr>
          <w:rFonts w:ascii="Times New Roman" w:hAnsi="Times New Roman"/>
        </w:rPr>
        <w:t>, which</w:t>
      </w:r>
      <w:r w:rsidRPr="005E3FA8">
        <w:rPr>
          <w:rFonts w:ascii="Times New Roman" w:hAnsi="Times New Roman"/>
        </w:rPr>
        <w:t xml:space="preserve"> causes her continual distress, impairs her social functioning, and prevents her from benefitting from school.  The Parent seeks unspecified money damages due to Springfield’s negligence.  </w:t>
      </w:r>
      <w:r w:rsidR="006447AD" w:rsidRPr="005E3FA8">
        <w:rPr>
          <w:rFonts w:ascii="Times New Roman" w:hAnsi="Times New Roman"/>
        </w:rPr>
        <w:t>The relief sought is set out</w:t>
      </w:r>
      <w:r w:rsidR="00987810" w:rsidRPr="005E3FA8">
        <w:rPr>
          <w:rFonts w:ascii="Times New Roman" w:hAnsi="Times New Roman"/>
        </w:rPr>
        <w:t xml:space="preserve"> in</w:t>
      </w:r>
      <w:r w:rsidR="006447AD" w:rsidRPr="005E3FA8">
        <w:rPr>
          <w:rFonts w:ascii="Times New Roman" w:hAnsi="Times New Roman"/>
        </w:rPr>
        <w:t xml:space="preserve"> the Parent’s Hearing Request</w:t>
      </w:r>
      <w:r w:rsidR="00987810" w:rsidRPr="005E3FA8">
        <w:rPr>
          <w:rFonts w:ascii="Times New Roman" w:hAnsi="Times New Roman"/>
        </w:rPr>
        <w:t>:</w:t>
      </w:r>
    </w:p>
    <w:p w:rsidR="00344DE1" w:rsidRPr="005E3FA8" w:rsidRDefault="00344DE1" w:rsidP="002A1934">
      <w:pPr>
        <w:pStyle w:val="NoSpacing"/>
        <w:rPr>
          <w:rFonts w:ascii="Times New Roman" w:hAnsi="Times New Roman"/>
        </w:rPr>
      </w:pPr>
      <w:r w:rsidRPr="005E3FA8">
        <w:rPr>
          <w:rFonts w:ascii="Times New Roman" w:hAnsi="Times New Roman"/>
        </w:rPr>
        <w:tab/>
        <w:t>Therefore the family seeks an order finding them entitled to recover</w:t>
      </w:r>
    </w:p>
    <w:p w:rsidR="00344DE1" w:rsidRPr="005E3FA8" w:rsidRDefault="00344DE1" w:rsidP="002A1934">
      <w:pPr>
        <w:pStyle w:val="NoSpacing"/>
        <w:rPr>
          <w:rFonts w:ascii="Times New Roman" w:hAnsi="Times New Roman"/>
        </w:rPr>
      </w:pPr>
      <w:r w:rsidRPr="005E3FA8">
        <w:rPr>
          <w:rFonts w:ascii="Times New Roman" w:hAnsi="Times New Roman"/>
        </w:rPr>
        <w:tab/>
        <w:t>damages for violation of [</w:t>
      </w:r>
      <w:proofErr w:type="spellStart"/>
      <w:r w:rsidRPr="005E3FA8">
        <w:rPr>
          <w:rFonts w:ascii="Times New Roman" w:hAnsi="Times New Roman"/>
        </w:rPr>
        <w:t>Xylia</w:t>
      </w:r>
      <w:proofErr w:type="spellEnd"/>
      <w:proofErr w:type="gramStart"/>
      <w:r w:rsidRPr="005E3FA8">
        <w:rPr>
          <w:rFonts w:ascii="Times New Roman" w:hAnsi="Times New Roman"/>
        </w:rPr>
        <w:t>]‘s</w:t>
      </w:r>
      <w:proofErr w:type="gramEnd"/>
      <w:r w:rsidR="006447AD" w:rsidRPr="005E3FA8">
        <w:rPr>
          <w:rFonts w:ascii="Times New Roman" w:hAnsi="Times New Roman"/>
        </w:rPr>
        <w:t xml:space="preserve"> </w:t>
      </w:r>
      <w:r w:rsidRPr="005E3FA8">
        <w:rPr>
          <w:rFonts w:ascii="Times New Roman" w:hAnsi="Times New Roman"/>
        </w:rPr>
        <w:t xml:space="preserve"> due process rights and 42 U.S.C. § 1982 (</w:t>
      </w:r>
      <w:r w:rsidR="006447AD" w:rsidRPr="005E3FA8">
        <w:rPr>
          <w:rFonts w:ascii="Times New Roman" w:hAnsi="Times New Roman"/>
          <w:i/>
        </w:rPr>
        <w:t>sic</w:t>
      </w:r>
      <w:r w:rsidR="006447AD" w:rsidRPr="005E3FA8">
        <w:rPr>
          <w:rStyle w:val="FootnoteReference"/>
          <w:rFonts w:ascii="Times New Roman" w:hAnsi="Times New Roman"/>
          <w:i/>
        </w:rPr>
        <w:footnoteReference w:id="2"/>
      </w:r>
      <w:r w:rsidRPr="005E3FA8">
        <w:rPr>
          <w:rFonts w:ascii="Times New Roman" w:hAnsi="Times New Roman"/>
        </w:rPr>
        <w:t xml:space="preserve">), </w:t>
      </w:r>
    </w:p>
    <w:p w:rsidR="00344DE1" w:rsidRPr="005E3FA8" w:rsidRDefault="00344DE1" w:rsidP="002A1934">
      <w:pPr>
        <w:pStyle w:val="NoSpacing"/>
        <w:rPr>
          <w:rFonts w:ascii="Times New Roman" w:hAnsi="Times New Roman"/>
        </w:rPr>
      </w:pPr>
      <w:r w:rsidRPr="005E3FA8">
        <w:rPr>
          <w:rFonts w:ascii="Times New Roman" w:hAnsi="Times New Roman"/>
        </w:rPr>
        <w:tab/>
        <w:t xml:space="preserve">Springfield’s negligence, and loss of consortium based on </w:t>
      </w:r>
      <w:proofErr w:type="gramStart"/>
      <w:r w:rsidRPr="005E3FA8">
        <w:rPr>
          <w:rFonts w:ascii="Times New Roman" w:hAnsi="Times New Roman"/>
        </w:rPr>
        <w:t>Springfield’s knowing</w:t>
      </w:r>
      <w:proofErr w:type="gramEnd"/>
    </w:p>
    <w:p w:rsidR="00344DE1" w:rsidRPr="005E3FA8" w:rsidRDefault="00344DE1"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and</w:t>
      </w:r>
      <w:proofErr w:type="gramEnd"/>
      <w:r w:rsidRPr="005E3FA8">
        <w:rPr>
          <w:rFonts w:ascii="Times New Roman" w:hAnsi="Times New Roman"/>
        </w:rPr>
        <w:t xml:space="preserve"> willful failure to take adequate steps to ensure [</w:t>
      </w:r>
      <w:proofErr w:type="spellStart"/>
      <w:r w:rsidRPr="005E3FA8">
        <w:rPr>
          <w:rFonts w:ascii="Times New Roman" w:hAnsi="Times New Roman"/>
        </w:rPr>
        <w:t>Xylia</w:t>
      </w:r>
      <w:proofErr w:type="spellEnd"/>
      <w:r w:rsidRPr="005E3FA8">
        <w:rPr>
          <w:rFonts w:ascii="Times New Roman" w:hAnsi="Times New Roman"/>
        </w:rPr>
        <w:t>] ‘s safety stemming</w:t>
      </w:r>
    </w:p>
    <w:p w:rsidR="00344DE1" w:rsidRPr="005E3FA8" w:rsidRDefault="00344DE1"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from</w:t>
      </w:r>
      <w:proofErr w:type="gramEnd"/>
      <w:r w:rsidRPr="005E3FA8">
        <w:rPr>
          <w:rFonts w:ascii="Times New Roman" w:hAnsi="Times New Roman"/>
        </w:rPr>
        <w:t xml:space="preserve"> the assaults.</w:t>
      </w:r>
    </w:p>
    <w:p w:rsidR="00344DE1" w:rsidRPr="005E3FA8" w:rsidRDefault="00344DE1" w:rsidP="002A1934">
      <w:pPr>
        <w:pStyle w:val="NoSpacing"/>
        <w:rPr>
          <w:rFonts w:ascii="Times New Roman" w:hAnsi="Times New Roman"/>
        </w:rPr>
      </w:pPr>
    </w:p>
    <w:p w:rsidR="00344DE1" w:rsidRPr="005E3FA8" w:rsidRDefault="00344DE1" w:rsidP="002A1934">
      <w:pPr>
        <w:pStyle w:val="NoSpacing"/>
        <w:rPr>
          <w:rFonts w:ascii="Times New Roman" w:hAnsi="Times New Roman"/>
        </w:rPr>
      </w:pPr>
      <w:r w:rsidRPr="005E3FA8">
        <w:rPr>
          <w:rFonts w:ascii="Times New Roman" w:hAnsi="Times New Roman"/>
        </w:rPr>
        <w:t>The family do</w:t>
      </w:r>
      <w:r w:rsidR="00CE6C09" w:rsidRPr="005E3FA8">
        <w:rPr>
          <w:rFonts w:ascii="Times New Roman" w:hAnsi="Times New Roman"/>
        </w:rPr>
        <w:t>es not request any alteration to</w:t>
      </w:r>
      <w:r w:rsidRPr="005E3FA8">
        <w:rPr>
          <w:rFonts w:ascii="Times New Roman" w:hAnsi="Times New Roman"/>
        </w:rPr>
        <w:t xml:space="preserve"> </w:t>
      </w:r>
      <w:proofErr w:type="spellStart"/>
      <w:r w:rsidRPr="005E3FA8">
        <w:rPr>
          <w:rFonts w:ascii="Times New Roman" w:hAnsi="Times New Roman"/>
        </w:rPr>
        <w:t>Xylia’s</w:t>
      </w:r>
      <w:proofErr w:type="spellEnd"/>
      <w:r w:rsidRPr="005E3FA8">
        <w:rPr>
          <w:rFonts w:ascii="Times New Roman" w:hAnsi="Times New Roman"/>
        </w:rPr>
        <w:t xml:space="preserve"> current special education services.  The family does not allege that any previous special education service provided to </w:t>
      </w:r>
      <w:proofErr w:type="spellStart"/>
      <w:r w:rsidRPr="005E3FA8">
        <w:rPr>
          <w:rFonts w:ascii="Times New Roman" w:hAnsi="Times New Roman"/>
        </w:rPr>
        <w:t>Xylia</w:t>
      </w:r>
      <w:proofErr w:type="spellEnd"/>
      <w:r w:rsidRPr="005E3FA8">
        <w:rPr>
          <w:rFonts w:ascii="Times New Roman" w:hAnsi="Times New Roman"/>
        </w:rPr>
        <w:t xml:space="preserve">, or proposed for her by Springfield, was in any way inappropriate or inadequate.  The family does not allege that Springfield failed to implement any accepted services, failed to identify any needed service, or failed to abide by applicable special education or Section 504 procedures.  The family does not allege that Springfield discriminated against </w:t>
      </w:r>
      <w:proofErr w:type="spellStart"/>
      <w:r w:rsidRPr="005E3FA8">
        <w:rPr>
          <w:rFonts w:ascii="Times New Roman" w:hAnsi="Times New Roman"/>
        </w:rPr>
        <w:t>Xylia</w:t>
      </w:r>
      <w:proofErr w:type="spellEnd"/>
      <w:r w:rsidRPr="005E3FA8">
        <w:rPr>
          <w:rFonts w:ascii="Times New Roman" w:hAnsi="Times New Roman"/>
        </w:rPr>
        <w:t xml:space="preserve"> on the basis of her disability or failed to accommodate her special needs in sc</w:t>
      </w:r>
      <w:r w:rsidR="00CE6C09" w:rsidRPr="005E3FA8">
        <w:rPr>
          <w:rFonts w:ascii="Times New Roman" w:hAnsi="Times New Roman"/>
        </w:rPr>
        <w:t>hool in any</w:t>
      </w:r>
      <w:r w:rsidRPr="005E3FA8">
        <w:rPr>
          <w:rFonts w:ascii="Times New Roman" w:hAnsi="Times New Roman"/>
        </w:rPr>
        <w:t xml:space="preserve"> way.</w:t>
      </w:r>
      <w:r w:rsidR="00EA58A7" w:rsidRPr="005E3FA8">
        <w:rPr>
          <w:rFonts w:ascii="Times New Roman" w:hAnsi="Times New Roman"/>
        </w:rPr>
        <w:t xml:space="preserve"> The Parent does not seek any remedy authorized by the IDEA such as private</w:t>
      </w:r>
      <w:r w:rsidR="006447AD" w:rsidRPr="005E3FA8">
        <w:rPr>
          <w:rFonts w:ascii="Times New Roman" w:hAnsi="Times New Roman"/>
        </w:rPr>
        <w:t xml:space="preserve"> school</w:t>
      </w:r>
      <w:r w:rsidR="00EA58A7" w:rsidRPr="005E3FA8">
        <w:rPr>
          <w:rFonts w:ascii="Times New Roman" w:hAnsi="Times New Roman"/>
        </w:rPr>
        <w:t xml:space="preserve"> tuition reimbursement, compensatory education, </w:t>
      </w:r>
      <w:r w:rsidR="00EA58A7" w:rsidRPr="005E3FA8">
        <w:rPr>
          <w:rFonts w:ascii="Times New Roman" w:hAnsi="Times New Roman"/>
        </w:rPr>
        <w:lastRenderedPageBreak/>
        <w:t>or</w:t>
      </w:r>
      <w:r w:rsidR="006447AD" w:rsidRPr="005E3FA8">
        <w:rPr>
          <w:rFonts w:ascii="Times New Roman" w:hAnsi="Times New Roman"/>
        </w:rPr>
        <w:t xml:space="preserve"> implementation of a particular related service</w:t>
      </w:r>
      <w:r w:rsidR="00EA58A7" w:rsidRPr="005E3FA8">
        <w:rPr>
          <w:rFonts w:ascii="Times New Roman" w:hAnsi="Times New Roman"/>
        </w:rPr>
        <w:t>.  The Parent asserts only that the 1</w:t>
      </w:r>
      <w:r w:rsidR="00EA58A7" w:rsidRPr="005E3FA8">
        <w:rPr>
          <w:rFonts w:ascii="Times New Roman" w:hAnsi="Times New Roman"/>
          <w:vertAlign w:val="superscript"/>
        </w:rPr>
        <w:t>st</w:t>
      </w:r>
      <w:r w:rsidR="00EA58A7" w:rsidRPr="005E3FA8">
        <w:rPr>
          <w:rFonts w:ascii="Times New Roman" w:hAnsi="Times New Roman"/>
        </w:rPr>
        <w:t xml:space="preserve"> Circuit Court’s holding in </w:t>
      </w:r>
      <w:r w:rsidR="00EA58A7" w:rsidRPr="005E3FA8">
        <w:rPr>
          <w:rFonts w:ascii="Times New Roman" w:hAnsi="Times New Roman"/>
          <w:i/>
        </w:rPr>
        <w:t>Frazier v. Fairhaven</w:t>
      </w:r>
      <w:r w:rsidR="00EA58A7" w:rsidRPr="005E3FA8">
        <w:rPr>
          <w:rFonts w:ascii="Times New Roman" w:hAnsi="Times New Roman"/>
        </w:rPr>
        <w:t xml:space="preserve"> requires exhaustion of all administrative processes available under the IDEA before any possible claim involving an IDEA-eligible student against an educational service provider may be filed in federal court.</w:t>
      </w:r>
    </w:p>
    <w:p w:rsidR="00EA58A7" w:rsidRPr="005E3FA8" w:rsidRDefault="00EA58A7" w:rsidP="002A1934">
      <w:pPr>
        <w:pStyle w:val="NoSpacing"/>
        <w:rPr>
          <w:rFonts w:ascii="Times New Roman" w:hAnsi="Times New Roman"/>
        </w:rPr>
      </w:pPr>
    </w:p>
    <w:p w:rsidR="00EA58A7" w:rsidRPr="005E3FA8" w:rsidRDefault="00EA58A7" w:rsidP="002A1934">
      <w:pPr>
        <w:pStyle w:val="NoSpacing"/>
        <w:rPr>
          <w:rFonts w:ascii="Times New Roman" w:hAnsi="Times New Roman"/>
          <w:u w:val="single"/>
        </w:rPr>
      </w:pPr>
      <w:proofErr w:type="gramStart"/>
      <w:r w:rsidRPr="005E3FA8">
        <w:rPr>
          <w:rFonts w:ascii="Times New Roman" w:hAnsi="Times New Roman"/>
          <w:u w:val="single"/>
        </w:rPr>
        <w:t>SCHOOL’S  RESPONSE</w:t>
      </w:r>
      <w:proofErr w:type="gramEnd"/>
    </w:p>
    <w:p w:rsidR="00F928CC" w:rsidRPr="005E3FA8" w:rsidRDefault="00F928CC" w:rsidP="002A1934">
      <w:pPr>
        <w:pStyle w:val="NoSpacing"/>
        <w:rPr>
          <w:rFonts w:ascii="Times New Roman" w:hAnsi="Times New Roman"/>
          <w:u w:val="single"/>
        </w:rPr>
      </w:pPr>
    </w:p>
    <w:p w:rsidR="00EA58A7" w:rsidRPr="005E3FA8" w:rsidRDefault="00EA58A7" w:rsidP="002A1934">
      <w:pPr>
        <w:pStyle w:val="NoSpacing"/>
        <w:rPr>
          <w:rFonts w:ascii="Times New Roman" w:hAnsi="Times New Roman"/>
        </w:rPr>
      </w:pPr>
      <w:r w:rsidRPr="005E3FA8">
        <w:rPr>
          <w:rFonts w:ascii="Times New Roman" w:hAnsi="Times New Roman"/>
        </w:rPr>
        <w:tab/>
        <w:t>The School asserts that the BSEA does not have jurisdiction of actions which seek solely money damages for claims of negligence against school districts that do not involve any allegation of violation of the IDEA or related statutes pertaining to the public education of students with disabilities.</w:t>
      </w:r>
    </w:p>
    <w:p w:rsidR="00987810" w:rsidRPr="005E3FA8" w:rsidRDefault="00EA58A7" w:rsidP="002A1934">
      <w:pPr>
        <w:pStyle w:val="NoSpacing"/>
        <w:rPr>
          <w:rFonts w:ascii="Times New Roman" w:hAnsi="Times New Roman"/>
        </w:rPr>
      </w:pPr>
      <w:r w:rsidRPr="005E3FA8">
        <w:rPr>
          <w:rFonts w:ascii="Times New Roman" w:hAnsi="Times New Roman"/>
        </w:rPr>
        <w:tab/>
      </w:r>
    </w:p>
    <w:p w:rsidR="004332CC" w:rsidRPr="005E3FA8" w:rsidRDefault="009E1A7A" w:rsidP="002A1934">
      <w:pPr>
        <w:pStyle w:val="NoSpacing"/>
        <w:rPr>
          <w:rFonts w:ascii="Times New Roman" w:hAnsi="Times New Roman"/>
          <w:u w:val="single"/>
        </w:rPr>
      </w:pPr>
      <w:r w:rsidRPr="005E3FA8">
        <w:rPr>
          <w:rFonts w:ascii="Times New Roman" w:hAnsi="Times New Roman"/>
          <w:u w:val="single"/>
        </w:rPr>
        <w:t>MOTION TO DISMISS</w:t>
      </w:r>
    </w:p>
    <w:p w:rsidR="00F928CC" w:rsidRPr="005E3FA8" w:rsidRDefault="00F928CC" w:rsidP="002A1934">
      <w:pPr>
        <w:pStyle w:val="NoSpacing"/>
        <w:rPr>
          <w:rFonts w:ascii="Times New Roman" w:hAnsi="Times New Roman"/>
        </w:rPr>
      </w:pPr>
    </w:p>
    <w:p w:rsidR="004332CC" w:rsidRDefault="004332CC" w:rsidP="002A1934">
      <w:pPr>
        <w:pStyle w:val="NoSpacing"/>
        <w:rPr>
          <w:rFonts w:ascii="Times New Roman" w:hAnsi="Times New Roman"/>
        </w:rPr>
      </w:pPr>
      <w:r w:rsidRPr="005E3FA8">
        <w:rPr>
          <w:rFonts w:ascii="Times New Roman" w:hAnsi="Times New Roman"/>
        </w:rPr>
        <w:tab/>
        <w:t>Typically Motions to Dismiss are fairly straightforward.  A Motion to Dismiss may be granted if the party requesting the hearing fails to state a claim for which relief is available through the BS</w:t>
      </w:r>
      <w:r w:rsidR="00481F8D" w:rsidRPr="005E3FA8">
        <w:rPr>
          <w:rFonts w:ascii="Times New Roman" w:hAnsi="Times New Roman"/>
        </w:rPr>
        <w:t xml:space="preserve">EA.  801 CMR 1.01 (7) (g) (3); </w:t>
      </w:r>
      <w:r w:rsidRPr="005E3FA8">
        <w:rPr>
          <w:rFonts w:ascii="Times New Roman" w:hAnsi="Times New Roman"/>
        </w:rPr>
        <w:t xml:space="preserve">BSEA Hearing Rules XVII (B) (4).  See also F.R.C.P. Rule 12 (b) (6) and M.R.C.P. Rule 12 (b) (6).  In considering whether dismissal is warranted a hearing officer must accept all factual allegations set forth in the non-moving </w:t>
      </w:r>
      <w:r w:rsidR="00EA58A7" w:rsidRPr="005E3FA8">
        <w:rPr>
          <w:rFonts w:ascii="Times New Roman" w:hAnsi="Times New Roman"/>
        </w:rPr>
        <w:t>party’s</w:t>
      </w:r>
      <w:r w:rsidRPr="005E3FA8">
        <w:rPr>
          <w:rFonts w:ascii="Times New Roman" w:hAnsi="Times New Roman"/>
        </w:rPr>
        <w:t xml:space="preserve"> hearing request as true.  If those facts, proved at a hearing, would entitle the non-moving party to any form of relief from the BSEA, then dismissal for failure to state a claim is not appropriate.  </w:t>
      </w:r>
      <w:proofErr w:type="gramStart"/>
      <w:r w:rsidRPr="005E3FA8">
        <w:rPr>
          <w:rFonts w:ascii="Times New Roman" w:hAnsi="Times New Roman"/>
          <w:i/>
        </w:rPr>
        <w:t xml:space="preserve">Ashcroft v. </w:t>
      </w:r>
      <w:proofErr w:type="spellStart"/>
      <w:r w:rsidRPr="005E3FA8">
        <w:rPr>
          <w:rFonts w:ascii="Times New Roman" w:hAnsi="Times New Roman"/>
          <w:i/>
        </w:rPr>
        <w:t>Iqbal</w:t>
      </w:r>
      <w:proofErr w:type="spellEnd"/>
      <w:r w:rsidRPr="005E3FA8">
        <w:rPr>
          <w:rFonts w:ascii="Times New Roman" w:hAnsi="Times New Roman"/>
        </w:rPr>
        <w:t xml:space="preserve">, </w:t>
      </w:r>
      <w:r w:rsidR="005257B2" w:rsidRPr="005E3FA8">
        <w:rPr>
          <w:rFonts w:ascii="Times New Roman" w:hAnsi="Times New Roman"/>
        </w:rPr>
        <w:t xml:space="preserve">556 U.S. 662 (2009); </w:t>
      </w:r>
      <w:proofErr w:type="spellStart"/>
      <w:r w:rsidR="0096514A" w:rsidRPr="005E3FA8">
        <w:rPr>
          <w:rFonts w:ascii="Times New Roman" w:hAnsi="Times New Roman"/>
          <w:i/>
        </w:rPr>
        <w:t>Ocasio</w:t>
      </w:r>
      <w:proofErr w:type="spellEnd"/>
      <w:r w:rsidR="0096514A" w:rsidRPr="005E3FA8">
        <w:rPr>
          <w:rFonts w:ascii="Times New Roman" w:hAnsi="Times New Roman"/>
          <w:i/>
        </w:rPr>
        <w:t xml:space="preserve">-Hernandez v. </w:t>
      </w:r>
      <w:proofErr w:type="spellStart"/>
      <w:r w:rsidRPr="005E3FA8">
        <w:rPr>
          <w:rFonts w:ascii="Times New Roman" w:hAnsi="Times New Roman"/>
          <w:i/>
        </w:rPr>
        <w:t>Fortunato-Burset</w:t>
      </w:r>
      <w:proofErr w:type="spellEnd"/>
      <w:r w:rsidR="005257B2" w:rsidRPr="005E3FA8">
        <w:rPr>
          <w:rFonts w:ascii="Times New Roman" w:hAnsi="Times New Roman"/>
          <w:u w:val="single"/>
        </w:rPr>
        <w:t>,</w:t>
      </w:r>
      <w:r w:rsidR="00C21135" w:rsidRPr="005E3FA8">
        <w:rPr>
          <w:rFonts w:ascii="Times New Roman" w:hAnsi="Times New Roman"/>
        </w:rPr>
        <w:t xml:space="preserve"> 640 F.3</w:t>
      </w:r>
      <w:r w:rsidRPr="005E3FA8">
        <w:rPr>
          <w:rFonts w:ascii="Times New Roman" w:hAnsi="Times New Roman"/>
        </w:rPr>
        <w:t>d. 1 (1</w:t>
      </w:r>
      <w:r w:rsidRPr="005E3FA8">
        <w:rPr>
          <w:rFonts w:ascii="Times New Roman" w:hAnsi="Times New Roman"/>
          <w:vertAlign w:val="superscript"/>
        </w:rPr>
        <w:t>st</w:t>
      </w:r>
      <w:r w:rsidRPr="005E3FA8">
        <w:rPr>
          <w:rFonts w:ascii="Times New Roman" w:hAnsi="Times New Roman"/>
        </w:rPr>
        <w:t xml:space="preserve"> Cir. 2011); </w:t>
      </w:r>
      <w:r w:rsidR="005257B2" w:rsidRPr="005E3FA8">
        <w:rPr>
          <w:rFonts w:ascii="Times New Roman" w:hAnsi="Times New Roman"/>
          <w:i/>
        </w:rPr>
        <w:t>Doe v. Attleboro,</w:t>
      </w:r>
      <w:r w:rsidR="00807E1D" w:rsidRPr="005E3FA8">
        <w:rPr>
          <w:rFonts w:ascii="Times New Roman" w:hAnsi="Times New Roman"/>
          <w:i/>
        </w:rPr>
        <w:t xml:space="preserve"> </w:t>
      </w:r>
      <w:r w:rsidR="00807E1D" w:rsidRPr="005E3FA8">
        <w:rPr>
          <w:rFonts w:ascii="Times New Roman" w:hAnsi="Times New Roman"/>
        </w:rPr>
        <w:t>No.09-12127</w:t>
      </w:r>
      <w:r w:rsidR="00807E1D" w:rsidRPr="005E3FA8">
        <w:rPr>
          <w:rFonts w:ascii="Times New Roman" w:hAnsi="Times New Roman"/>
          <w:i/>
        </w:rPr>
        <w:t>,</w:t>
      </w:r>
      <w:r w:rsidR="005257B2" w:rsidRPr="005E3FA8">
        <w:rPr>
          <w:rFonts w:ascii="Times New Roman" w:hAnsi="Times New Roman"/>
          <w:i/>
        </w:rPr>
        <w:t xml:space="preserve"> </w:t>
      </w:r>
      <w:r w:rsidR="00807E1D" w:rsidRPr="005E3FA8">
        <w:rPr>
          <w:rFonts w:ascii="Times New Roman" w:hAnsi="Times New Roman"/>
        </w:rPr>
        <w:t>2011</w:t>
      </w:r>
      <w:r w:rsidR="00807E1D" w:rsidRPr="005E3FA8">
        <w:rPr>
          <w:rFonts w:ascii="Times New Roman" w:hAnsi="Times New Roman"/>
          <w:i/>
        </w:rPr>
        <w:t xml:space="preserve"> </w:t>
      </w:r>
      <w:r w:rsidRPr="005E3FA8">
        <w:rPr>
          <w:rFonts w:ascii="Times New Roman" w:hAnsi="Times New Roman"/>
        </w:rPr>
        <w:t xml:space="preserve">U.S. </w:t>
      </w:r>
      <w:r w:rsidR="00807E1D" w:rsidRPr="005E3FA8">
        <w:rPr>
          <w:rFonts w:ascii="Times New Roman" w:hAnsi="Times New Roman"/>
        </w:rPr>
        <w:t>Dist. LEXIS 98235 (D. Mass. August 31, 2011</w:t>
      </w:r>
      <w:r w:rsidRPr="005E3FA8">
        <w:rPr>
          <w:rFonts w:ascii="Times New Roman" w:hAnsi="Times New Roman"/>
        </w:rPr>
        <w:t>) (not in official reporter).</w:t>
      </w:r>
      <w:proofErr w:type="gramEnd"/>
      <w:r w:rsidR="009E1A7A" w:rsidRPr="005E3FA8">
        <w:rPr>
          <w:rStyle w:val="FootnoteReference"/>
          <w:rFonts w:ascii="Times New Roman" w:hAnsi="Times New Roman"/>
        </w:rPr>
        <w:footnoteReference w:id="3"/>
      </w:r>
    </w:p>
    <w:p w:rsidR="00546995" w:rsidRPr="005E3FA8" w:rsidRDefault="00546995" w:rsidP="002A1934">
      <w:pPr>
        <w:pStyle w:val="NoSpacing"/>
        <w:rPr>
          <w:rFonts w:ascii="Times New Roman" w:hAnsi="Times New Roman"/>
        </w:rPr>
      </w:pPr>
    </w:p>
    <w:p w:rsidR="00481F8D" w:rsidRPr="005E3FA8" w:rsidRDefault="00E7176A" w:rsidP="002A1934">
      <w:pPr>
        <w:pStyle w:val="NoSpacing"/>
        <w:rPr>
          <w:rFonts w:ascii="Times New Roman" w:eastAsia="Times New Roman" w:hAnsi="Times New Roman"/>
          <w:color w:val="222222"/>
          <w:sz w:val="20"/>
          <w:szCs w:val="20"/>
        </w:rPr>
      </w:pPr>
      <w:r w:rsidRPr="005E3FA8">
        <w:rPr>
          <w:rFonts w:ascii="Times New Roman" w:hAnsi="Times New Roman"/>
        </w:rPr>
        <w:tab/>
        <w:t>In considering whether dismissal</w:t>
      </w:r>
      <w:r w:rsidR="00CE5588" w:rsidRPr="005E3FA8">
        <w:rPr>
          <w:rFonts w:ascii="Times New Roman" w:hAnsi="Times New Roman"/>
        </w:rPr>
        <w:t xml:space="preserve"> of a request for a special education hearing is appropriate t</w:t>
      </w:r>
      <w:r w:rsidRPr="005E3FA8">
        <w:rPr>
          <w:rFonts w:ascii="Times New Roman" w:hAnsi="Times New Roman"/>
        </w:rPr>
        <w:t>he BSEA must also balance a relatively broad grant of primary jurisdiction under the IDEA</w:t>
      </w:r>
      <w:r w:rsidRPr="005E3FA8">
        <w:rPr>
          <w:rStyle w:val="FootnoteReference"/>
          <w:rFonts w:ascii="Times New Roman" w:hAnsi="Times New Roman"/>
        </w:rPr>
        <w:footnoteReference w:id="4"/>
      </w:r>
      <w:r w:rsidRPr="005E3FA8">
        <w:rPr>
          <w:rFonts w:ascii="Times New Roman" w:hAnsi="Times New Roman"/>
        </w:rPr>
        <w:t xml:space="preserve"> and M.G. L. c. 71B</w:t>
      </w:r>
      <w:r w:rsidRPr="005E3FA8">
        <w:rPr>
          <w:rStyle w:val="FootnoteReference"/>
          <w:rFonts w:ascii="Times New Roman" w:hAnsi="Times New Roman"/>
        </w:rPr>
        <w:footnoteReference w:id="5"/>
      </w:r>
      <w:r w:rsidR="00F852F1" w:rsidRPr="005E3FA8">
        <w:rPr>
          <w:rFonts w:ascii="Times New Roman" w:hAnsi="Times New Roman"/>
        </w:rPr>
        <w:t xml:space="preserve"> with the IDEA’s requirement that a party set out</w:t>
      </w:r>
      <w:r w:rsidR="00CE5588" w:rsidRPr="005E3FA8">
        <w:rPr>
          <w:rFonts w:ascii="Times New Roman" w:hAnsi="Times New Roman"/>
        </w:rPr>
        <w:t xml:space="preserve"> with a degree of specificity</w:t>
      </w:r>
      <w:r w:rsidR="00F852F1" w:rsidRPr="005E3FA8">
        <w:rPr>
          <w:rFonts w:ascii="Times New Roman" w:hAnsi="Times New Roman"/>
        </w:rPr>
        <w:t xml:space="preserve"> in the initial hearing request the issues on which due process findings are sought </w:t>
      </w:r>
      <w:r w:rsidR="00F852F1" w:rsidRPr="005E3FA8">
        <w:rPr>
          <w:rFonts w:ascii="Times New Roman" w:hAnsi="Times New Roman"/>
          <w:u w:val="single"/>
        </w:rPr>
        <w:t>and</w:t>
      </w:r>
      <w:r w:rsidR="00F852F1" w:rsidRPr="005E3FA8">
        <w:rPr>
          <w:rFonts w:ascii="Times New Roman" w:hAnsi="Times New Roman"/>
        </w:rPr>
        <w:t xml:space="preserve"> the facts that would tend to support those findings. </w:t>
      </w:r>
      <w:r w:rsidR="00F852F1" w:rsidRPr="005E3FA8">
        <w:rPr>
          <w:rStyle w:val="FootnoteReference"/>
          <w:rFonts w:ascii="Times New Roman" w:hAnsi="Times New Roman"/>
        </w:rPr>
        <w:footnoteReference w:id="6"/>
      </w:r>
      <w:r w:rsidR="00F852F1" w:rsidRPr="005E3FA8">
        <w:rPr>
          <w:rFonts w:ascii="Times New Roman" w:hAnsi="Times New Roman"/>
        </w:rPr>
        <w:t xml:space="preserve">  At a minimum the requesting party must set forth sufficient plausible facts which would establish liability under the appropriate identified statute if proved at hearing.</w:t>
      </w:r>
      <w:r w:rsidR="00807E1D" w:rsidRPr="005E3FA8">
        <w:rPr>
          <w:rFonts w:ascii="Times New Roman" w:hAnsi="Times New Roman"/>
        </w:rPr>
        <w:t xml:space="preserve"> </w:t>
      </w:r>
      <w:r w:rsidR="00F852F1" w:rsidRPr="005E3FA8">
        <w:rPr>
          <w:rFonts w:ascii="Times New Roman" w:hAnsi="Times New Roman"/>
        </w:rPr>
        <w:t xml:space="preserve"> </w:t>
      </w:r>
      <w:proofErr w:type="gramStart"/>
      <w:r w:rsidR="00F852F1" w:rsidRPr="005E3FA8">
        <w:rPr>
          <w:rFonts w:ascii="Times New Roman" w:hAnsi="Times New Roman"/>
          <w:i/>
        </w:rPr>
        <w:t>Upshaw v. Andrade</w:t>
      </w:r>
      <w:r w:rsidR="00F852F1" w:rsidRPr="005E3FA8">
        <w:rPr>
          <w:rFonts w:ascii="Times New Roman" w:hAnsi="Times New Roman"/>
        </w:rPr>
        <w:t xml:space="preserve">, </w:t>
      </w:r>
      <w:r w:rsidR="00807E1D" w:rsidRPr="005E3FA8">
        <w:rPr>
          <w:rFonts w:ascii="Times New Roman" w:hAnsi="Times New Roman"/>
        </w:rPr>
        <w:t>No. 10-11517, 2012 WL 996783 (1</w:t>
      </w:r>
      <w:r w:rsidR="00807E1D" w:rsidRPr="005E3FA8">
        <w:rPr>
          <w:rFonts w:ascii="Times New Roman" w:hAnsi="Times New Roman"/>
          <w:vertAlign w:val="superscript"/>
        </w:rPr>
        <w:t>st</w:t>
      </w:r>
      <w:r w:rsidR="00807E1D" w:rsidRPr="005E3FA8">
        <w:rPr>
          <w:rFonts w:ascii="Times New Roman" w:hAnsi="Times New Roman"/>
        </w:rPr>
        <w:t xml:space="preserve"> Cir.</w:t>
      </w:r>
      <w:proofErr w:type="gramEnd"/>
      <w:r w:rsidR="00E96776" w:rsidRPr="005E3FA8">
        <w:rPr>
          <w:rFonts w:ascii="Times New Roman" w:hAnsi="Times New Roman"/>
        </w:rPr>
        <w:t xml:space="preserve"> </w:t>
      </w:r>
      <w:r w:rsidR="00807E1D" w:rsidRPr="005E3FA8">
        <w:rPr>
          <w:rFonts w:ascii="Times New Roman" w:hAnsi="Times New Roman"/>
        </w:rPr>
        <w:t xml:space="preserve"> </w:t>
      </w:r>
      <w:proofErr w:type="gramStart"/>
      <w:r w:rsidR="00807E1D" w:rsidRPr="005E3FA8">
        <w:rPr>
          <w:rFonts w:ascii="Times New Roman" w:hAnsi="Times New Roman"/>
        </w:rPr>
        <w:t>August 17, 2011); cert. den.</w:t>
      </w:r>
      <w:proofErr w:type="gramEnd"/>
      <w:r w:rsidR="00807E1D" w:rsidRPr="005E3FA8">
        <w:rPr>
          <w:rFonts w:ascii="Times New Roman" w:hAnsi="Times New Roman"/>
        </w:rPr>
        <w:t xml:space="preserve"> </w:t>
      </w:r>
      <w:proofErr w:type="gramStart"/>
      <w:r w:rsidR="00807E1D" w:rsidRPr="005E3FA8">
        <w:rPr>
          <w:rFonts w:ascii="Times New Roman" w:hAnsi="Times New Roman"/>
        </w:rPr>
        <w:t xml:space="preserve">132 </w:t>
      </w:r>
      <w:proofErr w:type="spellStart"/>
      <w:r w:rsidR="00807E1D" w:rsidRPr="005E3FA8">
        <w:rPr>
          <w:rFonts w:ascii="Times New Roman" w:hAnsi="Times New Roman"/>
        </w:rPr>
        <w:t>S.Ct</w:t>
      </w:r>
      <w:proofErr w:type="spellEnd"/>
      <w:r w:rsidR="00807E1D" w:rsidRPr="005E3FA8">
        <w:rPr>
          <w:rFonts w:ascii="Times New Roman" w:hAnsi="Times New Roman"/>
        </w:rPr>
        <w:t>. 2687 (2012).</w:t>
      </w:r>
      <w:proofErr w:type="gramEnd"/>
      <w:r w:rsidR="00807E1D" w:rsidRPr="005E3FA8">
        <w:rPr>
          <w:rFonts w:ascii="Times New Roman" w:hAnsi="Times New Roman"/>
        </w:rPr>
        <w:t xml:space="preserve"> </w:t>
      </w:r>
      <w:r w:rsidR="00F852F1" w:rsidRPr="005E3FA8">
        <w:rPr>
          <w:rFonts w:ascii="Times New Roman" w:hAnsi="Times New Roman"/>
        </w:rPr>
        <w:t xml:space="preserve"> </w:t>
      </w:r>
      <w:r w:rsidR="00481F8D" w:rsidRPr="005E3FA8">
        <w:rPr>
          <w:rFonts w:ascii="Times New Roman" w:eastAsia="Times New Roman" w:hAnsi="Times New Roman"/>
          <w:i/>
          <w:iCs/>
          <w:color w:val="222222"/>
          <w:szCs w:val="20"/>
        </w:rPr>
        <w:t>Hague v.</w:t>
      </w:r>
      <w:r w:rsidR="00807E1D" w:rsidRPr="005E3FA8">
        <w:rPr>
          <w:rFonts w:ascii="Times New Roman" w:eastAsia="Times New Roman" w:hAnsi="Times New Roman"/>
          <w:i/>
          <w:iCs/>
          <w:color w:val="222222"/>
          <w:szCs w:val="20"/>
        </w:rPr>
        <w:t xml:space="preserve"> Massachusetts Department of Elementary and Secondary Education</w:t>
      </w:r>
      <w:r w:rsidR="00807E1D" w:rsidRPr="005E3FA8">
        <w:rPr>
          <w:rFonts w:ascii="Times New Roman" w:eastAsia="Times New Roman" w:hAnsi="Times New Roman"/>
          <w:color w:val="222222"/>
          <w:sz w:val="20"/>
          <w:szCs w:val="20"/>
        </w:rPr>
        <w:t>,</w:t>
      </w:r>
      <w:r w:rsidR="00481F8D" w:rsidRPr="005E3FA8">
        <w:rPr>
          <w:rFonts w:ascii="Times New Roman" w:eastAsia="Times New Roman" w:hAnsi="Times New Roman"/>
          <w:color w:val="222222"/>
          <w:sz w:val="20"/>
          <w:szCs w:val="20"/>
        </w:rPr>
        <w:t xml:space="preserve"> No. 10-30138-DJC</w:t>
      </w:r>
      <w:r w:rsidR="006B5F36" w:rsidRPr="005E3FA8">
        <w:rPr>
          <w:rFonts w:ascii="Times New Roman" w:eastAsia="Times New Roman" w:hAnsi="Times New Roman"/>
          <w:color w:val="222222"/>
          <w:sz w:val="20"/>
          <w:szCs w:val="20"/>
        </w:rPr>
        <w:t>,</w:t>
      </w:r>
      <w:r w:rsidR="00E96776" w:rsidRPr="005E3FA8">
        <w:rPr>
          <w:rFonts w:ascii="Times New Roman" w:eastAsia="Times New Roman" w:hAnsi="Times New Roman"/>
          <w:color w:val="222222"/>
          <w:sz w:val="20"/>
          <w:szCs w:val="20"/>
        </w:rPr>
        <w:t xml:space="preserve"> </w:t>
      </w:r>
      <w:r w:rsidR="00807E1D" w:rsidRPr="005E3FA8">
        <w:rPr>
          <w:rFonts w:ascii="Times New Roman" w:eastAsia="Times New Roman" w:hAnsi="Times New Roman"/>
          <w:color w:val="222222"/>
          <w:sz w:val="20"/>
          <w:szCs w:val="20"/>
        </w:rPr>
        <w:t>U.S.</w:t>
      </w:r>
      <w:r w:rsidR="00AB71C2" w:rsidRPr="005E3FA8">
        <w:rPr>
          <w:rFonts w:ascii="Times New Roman" w:eastAsia="Times New Roman" w:hAnsi="Times New Roman"/>
          <w:color w:val="222222"/>
          <w:sz w:val="20"/>
          <w:szCs w:val="20"/>
        </w:rPr>
        <w:t xml:space="preserve"> </w:t>
      </w:r>
      <w:r w:rsidR="00807E1D" w:rsidRPr="005E3FA8">
        <w:rPr>
          <w:rFonts w:ascii="Times New Roman" w:eastAsia="Times New Roman" w:hAnsi="Times New Roman"/>
          <w:color w:val="222222"/>
          <w:sz w:val="20"/>
          <w:szCs w:val="20"/>
        </w:rPr>
        <w:t>Dist.</w:t>
      </w:r>
      <w:r w:rsidR="005E5738" w:rsidRPr="005E3FA8">
        <w:rPr>
          <w:rFonts w:ascii="Times New Roman" w:eastAsia="Times New Roman" w:hAnsi="Times New Roman"/>
          <w:color w:val="222222"/>
          <w:sz w:val="20"/>
          <w:szCs w:val="20"/>
        </w:rPr>
        <w:t xml:space="preserve"> 2011</w:t>
      </w:r>
      <w:r w:rsidR="00807E1D" w:rsidRPr="005E3FA8">
        <w:rPr>
          <w:rFonts w:ascii="Times New Roman" w:eastAsia="Times New Roman" w:hAnsi="Times New Roman"/>
          <w:color w:val="222222"/>
          <w:sz w:val="20"/>
          <w:szCs w:val="20"/>
        </w:rPr>
        <w:t xml:space="preserve"> LEXIS 112235</w:t>
      </w:r>
      <w:r w:rsidR="00481F8D" w:rsidRPr="005E3FA8">
        <w:rPr>
          <w:rFonts w:ascii="Times New Roman" w:eastAsia="Times New Roman" w:hAnsi="Times New Roman"/>
          <w:color w:val="222222"/>
          <w:sz w:val="20"/>
          <w:szCs w:val="20"/>
        </w:rPr>
        <w:t xml:space="preserve"> (D. Mass. Sept. 12, 2011).</w:t>
      </w:r>
    </w:p>
    <w:p w:rsidR="00F928CC" w:rsidRPr="005E3FA8" w:rsidRDefault="00F928CC" w:rsidP="002A1934">
      <w:pPr>
        <w:pStyle w:val="NoSpacing"/>
        <w:rPr>
          <w:rFonts w:ascii="Times New Roman" w:eastAsia="Times New Roman" w:hAnsi="Times New Roman"/>
          <w:color w:val="222222"/>
          <w:sz w:val="20"/>
          <w:szCs w:val="20"/>
        </w:rPr>
      </w:pPr>
    </w:p>
    <w:p w:rsidR="00BE17DE" w:rsidRPr="005E3FA8" w:rsidRDefault="00EC3301" w:rsidP="002A1934">
      <w:pPr>
        <w:pStyle w:val="NoSpacing"/>
        <w:rPr>
          <w:rFonts w:ascii="Times New Roman" w:hAnsi="Times New Roman"/>
        </w:rPr>
      </w:pPr>
      <w:r w:rsidRPr="005E3FA8">
        <w:rPr>
          <w:rFonts w:ascii="Times New Roman" w:hAnsi="Times New Roman"/>
        </w:rPr>
        <w:t xml:space="preserve">     </w:t>
      </w:r>
      <w:r w:rsidR="004332CC" w:rsidRPr="005E3FA8">
        <w:rPr>
          <w:rFonts w:ascii="Times New Roman" w:hAnsi="Times New Roman"/>
        </w:rPr>
        <w:t>The Motion to Dismiss standard is</w:t>
      </w:r>
      <w:r w:rsidR="00E7176A" w:rsidRPr="005E3FA8">
        <w:rPr>
          <w:rFonts w:ascii="Times New Roman" w:hAnsi="Times New Roman"/>
        </w:rPr>
        <w:t xml:space="preserve"> further </w:t>
      </w:r>
      <w:r w:rsidR="004332CC" w:rsidRPr="005E3FA8">
        <w:rPr>
          <w:rFonts w:ascii="Times New Roman" w:hAnsi="Times New Roman"/>
        </w:rPr>
        <w:t xml:space="preserve">complicated in this matter as it is embedded in a roiling context of shifting perspectives and requirements for developing appropriate factual records at the administrative </w:t>
      </w:r>
      <w:r w:rsidR="00E96776" w:rsidRPr="005E3FA8">
        <w:rPr>
          <w:rFonts w:ascii="Times New Roman" w:hAnsi="Times New Roman"/>
        </w:rPr>
        <w:t xml:space="preserve">level in disputes involving overlapping </w:t>
      </w:r>
      <w:r w:rsidR="004332CC" w:rsidRPr="005E3FA8">
        <w:rPr>
          <w:rFonts w:ascii="Times New Roman" w:hAnsi="Times New Roman"/>
        </w:rPr>
        <w:t>federal</w:t>
      </w:r>
      <w:r w:rsidR="00E96776" w:rsidRPr="005E3FA8">
        <w:rPr>
          <w:rFonts w:ascii="Times New Roman" w:hAnsi="Times New Roman"/>
        </w:rPr>
        <w:t xml:space="preserve"> and </w:t>
      </w:r>
      <w:r w:rsidR="004332CC" w:rsidRPr="005E3FA8">
        <w:rPr>
          <w:rFonts w:ascii="Times New Roman" w:hAnsi="Times New Roman"/>
        </w:rPr>
        <w:t>sta</w:t>
      </w:r>
      <w:r w:rsidR="00E96776" w:rsidRPr="005E3FA8">
        <w:rPr>
          <w:rFonts w:ascii="Times New Roman" w:hAnsi="Times New Roman"/>
        </w:rPr>
        <w:t>te special education statutes</w:t>
      </w:r>
      <w:r w:rsidR="004332CC" w:rsidRPr="005E3FA8">
        <w:rPr>
          <w:rFonts w:ascii="Times New Roman" w:hAnsi="Times New Roman"/>
        </w:rPr>
        <w:t>.</w:t>
      </w:r>
      <w:r w:rsidR="00F852F1" w:rsidRPr="005E3FA8">
        <w:rPr>
          <w:rFonts w:ascii="Times New Roman" w:hAnsi="Times New Roman"/>
        </w:rPr>
        <w:t xml:space="preserve">  </w:t>
      </w:r>
      <w:r w:rsidR="004332CC" w:rsidRPr="005E3FA8">
        <w:rPr>
          <w:rFonts w:ascii="Times New Roman" w:hAnsi="Times New Roman"/>
        </w:rPr>
        <w:t>For example, it would seem from a plain reading of the applicable rules that if the BSEA does not have the authority to award the relief requested by the petitioning party then the BSEA should dismiss the appeal at the outset.  Although tort</w:t>
      </w:r>
      <w:r w:rsidR="00E41725" w:rsidRPr="005E3FA8">
        <w:rPr>
          <w:rFonts w:ascii="Times New Roman" w:hAnsi="Times New Roman"/>
        </w:rPr>
        <w:t>-</w:t>
      </w:r>
      <w:r w:rsidR="004332CC" w:rsidRPr="005E3FA8">
        <w:rPr>
          <w:rFonts w:ascii="Times New Roman" w:hAnsi="Times New Roman"/>
        </w:rPr>
        <w:t>like money damages are not available under the IDEA,</w:t>
      </w:r>
      <w:r w:rsidR="004332CC" w:rsidRPr="005E3FA8">
        <w:rPr>
          <w:rFonts w:ascii="Times New Roman" w:hAnsi="Times New Roman"/>
          <w:i/>
        </w:rPr>
        <w:t xml:space="preserve"> Nieves-Marquez v. Puerto Rico</w:t>
      </w:r>
      <w:r w:rsidR="004332CC" w:rsidRPr="005E3FA8">
        <w:rPr>
          <w:rFonts w:ascii="Times New Roman" w:hAnsi="Times New Roman"/>
        </w:rPr>
        <w:t>, 353 F.3d 108 (1</w:t>
      </w:r>
      <w:r w:rsidR="004332CC" w:rsidRPr="005E3FA8">
        <w:rPr>
          <w:rFonts w:ascii="Times New Roman" w:hAnsi="Times New Roman"/>
          <w:vertAlign w:val="superscript"/>
        </w:rPr>
        <w:t>st</w:t>
      </w:r>
      <w:r w:rsidR="004332CC" w:rsidRPr="005E3FA8">
        <w:rPr>
          <w:rFonts w:ascii="Times New Roman" w:hAnsi="Times New Roman"/>
        </w:rPr>
        <w:t xml:space="preserve"> Cir. 2003), the </w:t>
      </w:r>
      <w:r w:rsidR="00011691" w:rsidRPr="005E3FA8">
        <w:rPr>
          <w:rFonts w:ascii="Times New Roman" w:hAnsi="Times New Roman"/>
        </w:rPr>
        <w:t>First</w:t>
      </w:r>
      <w:r w:rsidR="004332CC" w:rsidRPr="005E3FA8">
        <w:rPr>
          <w:rFonts w:ascii="Times New Roman" w:hAnsi="Times New Roman"/>
        </w:rPr>
        <w:t xml:space="preserve"> Circuit has determined that petitioners seeking solely monetary damages for an IDEA</w:t>
      </w:r>
      <w:r w:rsidR="00E41725" w:rsidRPr="005E3FA8">
        <w:rPr>
          <w:rFonts w:ascii="Times New Roman" w:hAnsi="Times New Roman"/>
        </w:rPr>
        <w:t>-</w:t>
      </w:r>
      <w:r w:rsidR="004332CC" w:rsidRPr="005E3FA8">
        <w:rPr>
          <w:rFonts w:ascii="Times New Roman" w:hAnsi="Times New Roman"/>
        </w:rPr>
        <w:t xml:space="preserve">related claim must exhaust the IDEA administrative due process procedures before filing an action to recover those damages in federal court.  </w:t>
      </w:r>
      <w:proofErr w:type="gramStart"/>
      <w:r w:rsidR="004332CC" w:rsidRPr="005E3FA8">
        <w:rPr>
          <w:rFonts w:ascii="Times New Roman" w:hAnsi="Times New Roman"/>
          <w:i/>
        </w:rPr>
        <w:t>Frazier v. Fairhaven School Committee</w:t>
      </w:r>
      <w:r w:rsidR="004332CC" w:rsidRPr="005E3FA8">
        <w:rPr>
          <w:rFonts w:ascii="Times New Roman" w:hAnsi="Times New Roman"/>
        </w:rPr>
        <w:t>, 276 F. 3d 52 (1</w:t>
      </w:r>
      <w:r w:rsidR="004332CC" w:rsidRPr="005E3FA8">
        <w:rPr>
          <w:rFonts w:ascii="Times New Roman" w:hAnsi="Times New Roman"/>
          <w:vertAlign w:val="superscript"/>
        </w:rPr>
        <w:t>st</w:t>
      </w:r>
      <w:r w:rsidR="004332CC" w:rsidRPr="005E3FA8">
        <w:rPr>
          <w:rFonts w:ascii="Times New Roman" w:hAnsi="Times New Roman"/>
        </w:rPr>
        <w:t xml:space="preserve"> Cir. 2002).</w:t>
      </w:r>
      <w:proofErr w:type="gramEnd"/>
      <w:r w:rsidR="004332CC" w:rsidRPr="005E3FA8">
        <w:rPr>
          <w:rFonts w:ascii="Times New Roman" w:hAnsi="Times New Roman"/>
        </w:rPr>
        <w:t xml:space="preserve"> </w:t>
      </w:r>
      <w:r w:rsidR="00E41725" w:rsidRPr="005E3FA8">
        <w:rPr>
          <w:rFonts w:ascii="Times New Roman" w:hAnsi="Times New Roman"/>
        </w:rPr>
        <w:t>U.S. District Court</w:t>
      </w:r>
      <w:r w:rsidR="004332CC" w:rsidRPr="005E3FA8">
        <w:rPr>
          <w:rFonts w:ascii="Times New Roman" w:hAnsi="Times New Roman"/>
        </w:rPr>
        <w:t xml:space="preserve"> Judge </w:t>
      </w:r>
      <w:proofErr w:type="spellStart"/>
      <w:r w:rsidR="004332CC" w:rsidRPr="005E3FA8">
        <w:rPr>
          <w:rFonts w:ascii="Times New Roman" w:hAnsi="Times New Roman"/>
        </w:rPr>
        <w:t>Woodlock</w:t>
      </w:r>
      <w:proofErr w:type="spellEnd"/>
      <w:r w:rsidR="004332CC" w:rsidRPr="005E3FA8">
        <w:rPr>
          <w:rFonts w:ascii="Times New Roman" w:hAnsi="Times New Roman"/>
        </w:rPr>
        <w:t xml:space="preserve"> recently reaffirmed </w:t>
      </w:r>
      <w:r w:rsidR="00CE5588" w:rsidRPr="005E3FA8">
        <w:rPr>
          <w:rFonts w:ascii="Times New Roman" w:hAnsi="Times New Roman"/>
        </w:rPr>
        <w:t>that in</w:t>
      </w:r>
      <w:r w:rsidR="004332CC" w:rsidRPr="005E3FA8">
        <w:rPr>
          <w:rFonts w:ascii="Times New Roman" w:hAnsi="Times New Roman"/>
        </w:rPr>
        <w:t xml:space="preserve"> </w:t>
      </w:r>
      <w:proofErr w:type="spellStart"/>
      <w:r w:rsidR="004332CC" w:rsidRPr="005E3FA8">
        <w:rPr>
          <w:rFonts w:ascii="Times New Roman" w:hAnsi="Times New Roman"/>
        </w:rPr>
        <w:t>in</w:t>
      </w:r>
      <w:proofErr w:type="spellEnd"/>
      <w:r w:rsidR="004332CC" w:rsidRPr="005E3FA8">
        <w:rPr>
          <w:rFonts w:ascii="Times New Roman" w:hAnsi="Times New Roman"/>
        </w:rPr>
        <w:t xml:space="preserve"> this Circuit any IDEA-based claims must first be presented for fact-finding at the administrative level, </w:t>
      </w:r>
      <w:r w:rsidR="001A3A59" w:rsidRPr="005E3FA8">
        <w:rPr>
          <w:rFonts w:ascii="Times New Roman" w:hAnsi="Times New Roman"/>
        </w:rPr>
        <w:t>even if the Hearing Officer is not empowered to order any relief, before the federal court will take jurisdiction of the matter</w:t>
      </w:r>
      <w:r w:rsidR="001A3A59" w:rsidRPr="005E3FA8">
        <w:rPr>
          <w:rFonts w:ascii="Times New Roman" w:hAnsi="Times New Roman"/>
          <w:i/>
        </w:rPr>
        <w:t xml:space="preserve">. </w:t>
      </w:r>
      <w:proofErr w:type="gramStart"/>
      <w:r w:rsidR="00E41725" w:rsidRPr="005E3FA8">
        <w:rPr>
          <w:rFonts w:ascii="Times New Roman" w:hAnsi="Times New Roman"/>
          <w:i/>
        </w:rPr>
        <w:t>CBDE v. Massachusetts Bureau of Special Education Appeals</w:t>
      </w:r>
      <w:r w:rsidR="00011691" w:rsidRPr="005E3FA8">
        <w:rPr>
          <w:rFonts w:ascii="Times New Roman" w:hAnsi="Times New Roman"/>
        </w:rPr>
        <w:t>,</w:t>
      </w:r>
      <w:r w:rsidR="005E5738" w:rsidRPr="005E3FA8">
        <w:rPr>
          <w:rFonts w:ascii="Times New Roman" w:hAnsi="Times New Roman"/>
        </w:rPr>
        <w:t xml:space="preserve"> No. 11-10874-DPW,</w:t>
      </w:r>
      <w:r w:rsidR="00CE5588" w:rsidRPr="005E3FA8">
        <w:rPr>
          <w:rFonts w:ascii="Times New Roman" w:hAnsi="Times New Roman"/>
        </w:rPr>
        <w:t xml:space="preserve"> 2012 WL 4482296 (</w:t>
      </w:r>
      <w:proofErr w:type="spellStart"/>
      <w:r w:rsidR="00CE5588" w:rsidRPr="005E3FA8">
        <w:rPr>
          <w:rFonts w:ascii="Times New Roman" w:hAnsi="Times New Roman"/>
        </w:rPr>
        <w:t>D.Mass</w:t>
      </w:r>
      <w:proofErr w:type="spellEnd"/>
      <w:r w:rsidR="00CE5588" w:rsidRPr="005E3FA8">
        <w:rPr>
          <w:rFonts w:ascii="Times New Roman" w:hAnsi="Times New Roman"/>
        </w:rPr>
        <w:t>.</w:t>
      </w:r>
      <w:proofErr w:type="gramEnd"/>
      <w:r w:rsidR="005E5738" w:rsidRPr="005E3FA8">
        <w:rPr>
          <w:rFonts w:ascii="Times New Roman" w:hAnsi="Times New Roman"/>
        </w:rPr>
        <w:t xml:space="preserve"> September 27, 2012</w:t>
      </w:r>
      <w:r w:rsidR="00CE5588" w:rsidRPr="005E3FA8">
        <w:rPr>
          <w:rFonts w:ascii="Times New Roman" w:hAnsi="Times New Roman"/>
        </w:rPr>
        <w:t>).</w:t>
      </w:r>
      <w:r w:rsidR="001A3A59" w:rsidRPr="005E3FA8">
        <w:rPr>
          <w:rFonts w:ascii="Times New Roman" w:hAnsi="Times New Roman"/>
        </w:rPr>
        <w:t xml:space="preserve">  Therefore the fact that the relief sought by the non-moving party is not available </w:t>
      </w:r>
      <w:r w:rsidR="00E41725" w:rsidRPr="005E3FA8">
        <w:rPr>
          <w:rFonts w:ascii="Times New Roman" w:hAnsi="Times New Roman"/>
        </w:rPr>
        <w:t>from the Bureau of Special Education Appeals</w:t>
      </w:r>
      <w:r w:rsidR="001A3A59" w:rsidRPr="005E3FA8">
        <w:rPr>
          <w:rFonts w:ascii="Times New Roman" w:hAnsi="Times New Roman"/>
        </w:rPr>
        <w:t xml:space="preserve"> is not automatically grounds for a Rule 12 (b) (6) dismissal in special education cases</w:t>
      </w:r>
      <w:r w:rsidR="00E41725" w:rsidRPr="005E3FA8">
        <w:rPr>
          <w:rFonts w:ascii="Times New Roman" w:hAnsi="Times New Roman"/>
        </w:rPr>
        <w:t xml:space="preserve"> in this jurisdiction</w:t>
      </w:r>
      <w:r w:rsidR="001A3A59" w:rsidRPr="005E3FA8">
        <w:rPr>
          <w:rFonts w:ascii="Times New Roman" w:hAnsi="Times New Roman"/>
        </w:rPr>
        <w:t>.</w:t>
      </w:r>
      <w:r w:rsidR="007403F0" w:rsidRPr="005E3FA8">
        <w:rPr>
          <w:rStyle w:val="FootnoteReference"/>
          <w:rFonts w:ascii="Times New Roman" w:hAnsi="Times New Roman"/>
        </w:rPr>
        <w:footnoteReference w:id="7"/>
      </w:r>
      <w:r w:rsidR="007403F0" w:rsidRPr="005E3FA8">
        <w:rPr>
          <w:rStyle w:val="FootnoteReference"/>
          <w:rFonts w:ascii="Times New Roman" w:hAnsi="Times New Roman"/>
        </w:rPr>
        <w:t xml:space="preserve"> </w:t>
      </w:r>
      <w:r w:rsidR="00C815AE" w:rsidRPr="005E3FA8">
        <w:rPr>
          <w:rFonts w:ascii="Times New Roman" w:hAnsi="Times New Roman"/>
          <w:i/>
        </w:rPr>
        <w:t>Frazier</w:t>
      </w:r>
      <w:r w:rsidR="00C815AE" w:rsidRPr="005E3FA8">
        <w:rPr>
          <w:rFonts w:ascii="Times New Roman" w:hAnsi="Times New Roman"/>
        </w:rPr>
        <w:t xml:space="preserve"> and its progeny ins</w:t>
      </w:r>
      <w:r w:rsidR="00CC4398" w:rsidRPr="005E3FA8">
        <w:rPr>
          <w:rFonts w:ascii="Times New Roman" w:hAnsi="Times New Roman"/>
        </w:rPr>
        <w:t xml:space="preserve">truct that </w:t>
      </w:r>
      <w:r w:rsidR="00C815AE" w:rsidRPr="005E3FA8">
        <w:rPr>
          <w:rFonts w:ascii="Times New Roman" w:hAnsi="Times New Roman"/>
        </w:rPr>
        <w:t>it is not the precise relief requested by the moving party that is critical in determining whether the exhaustion is required, but rather whether the claim presented is “IDEA</w:t>
      </w:r>
      <w:r w:rsidR="00EC693C" w:rsidRPr="005E3FA8">
        <w:rPr>
          <w:rFonts w:ascii="Times New Roman" w:hAnsi="Times New Roman"/>
        </w:rPr>
        <w:t>-</w:t>
      </w:r>
      <w:r w:rsidR="00C815AE" w:rsidRPr="005E3FA8">
        <w:rPr>
          <w:rFonts w:ascii="Times New Roman" w:hAnsi="Times New Roman"/>
        </w:rPr>
        <w:t>related” so as to implicate both the statutory obligation of the school to provide FAPE and the expertise of the administrative fact finding agency.</w:t>
      </w:r>
      <w:r w:rsidR="00995815" w:rsidRPr="005E3FA8">
        <w:rPr>
          <w:rFonts w:ascii="Times New Roman" w:hAnsi="Times New Roman"/>
        </w:rPr>
        <w:tab/>
      </w:r>
    </w:p>
    <w:p w:rsidR="00EC693C" w:rsidRPr="005E3FA8" w:rsidRDefault="00BE17DE" w:rsidP="002A1934">
      <w:pPr>
        <w:pStyle w:val="NoSpacing"/>
        <w:rPr>
          <w:rFonts w:ascii="Times New Roman" w:hAnsi="Times New Roman"/>
        </w:rPr>
      </w:pPr>
      <w:r w:rsidRPr="005E3FA8">
        <w:rPr>
          <w:rFonts w:ascii="Times New Roman" w:hAnsi="Times New Roman"/>
        </w:rPr>
        <w:tab/>
      </w:r>
    </w:p>
    <w:p w:rsidR="00392877" w:rsidRPr="005E3FA8" w:rsidRDefault="00392877" w:rsidP="002A1934">
      <w:pPr>
        <w:pStyle w:val="NoSpacing"/>
        <w:rPr>
          <w:rFonts w:ascii="Times New Roman" w:hAnsi="Times New Roman"/>
          <w:u w:val="single"/>
        </w:rPr>
      </w:pPr>
      <w:r w:rsidRPr="005E3FA8">
        <w:rPr>
          <w:rFonts w:ascii="Times New Roman" w:hAnsi="Times New Roman"/>
          <w:u w:val="single"/>
        </w:rPr>
        <w:t>DISCUSSION</w:t>
      </w:r>
    </w:p>
    <w:p w:rsidR="00F928CC" w:rsidRPr="005E3FA8" w:rsidRDefault="00F928CC" w:rsidP="002A1934">
      <w:pPr>
        <w:pStyle w:val="NoSpacing"/>
        <w:rPr>
          <w:rFonts w:ascii="Times New Roman" w:hAnsi="Times New Roman"/>
          <w:u w:val="single"/>
        </w:rPr>
      </w:pPr>
    </w:p>
    <w:p w:rsidR="00726776" w:rsidRPr="005E3FA8" w:rsidRDefault="00BE17DE" w:rsidP="002A1934">
      <w:pPr>
        <w:pStyle w:val="NoSpacing"/>
        <w:rPr>
          <w:rFonts w:ascii="Times New Roman" w:hAnsi="Times New Roman"/>
        </w:rPr>
      </w:pPr>
      <w:r w:rsidRPr="005E3FA8">
        <w:rPr>
          <w:rFonts w:ascii="Times New Roman" w:hAnsi="Times New Roman"/>
        </w:rPr>
        <w:tab/>
      </w:r>
      <w:r w:rsidR="00623F8A" w:rsidRPr="005E3FA8">
        <w:rPr>
          <w:rFonts w:ascii="Times New Roman" w:hAnsi="Times New Roman"/>
        </w:rPr>
        <w:t>As stated above, i</w:t>
      </w:r>
      <w:r w:rsidRPr="005E3FA8">
        <w:rPr>
          <w:rFonts w:ascii="Times New Roman" w:hAnsi="Times New Roman"/>
        </w:rPr>
        <w:t>t is important to note at the outset that courts in this jurisdiction</w:t>
      </w:r>
      <w:r w:rsidR="0096514A" w:rsidRPr="005E3FA8">
        <w:rPr>
          <w:rFonts w:ascii="Times New Roman" w:hAnsi="Times New Roman"/>
        </w:rPr>
        <w:t xml:space="preserve"> have</w:t>
      </w:r>
      <w:r w:rsidRPr="005E3FA8">
        <w:rPr>
          <w:rFonts w:ascii="Times New Roman" w:hAnsi="Times New Roman"/>
        </w:rPr>
        <w:t xml:space="preserve"> take</w:t>
      </w:r>
      <w:r w:rsidR="0096514A" w:rsidRPr="005E3FA8">
        <w:rPr>
          <w:rFonts w:ascii="Times New Roman" w:hAnsi="Times New Roman"/>
        </w:rPr>
        <w:t>n</w:t>
      </w:r>
      <w:r w:rsidRPr="005E3FA8">
        <w:rPr>
          <w:rFonts w:ascii="Times New Roman" w:hAnsi="Times New Roman"/>
        </w:rPr>
        <w:t xml:space="preserve"> an expansive view of the </w:t>
      </w:r>
      <w:r w:rsidR="003D2139" w:rsidRPr="005E3FA8">
        <w:rPr>
          <w:rFonts w:ascii="Times New Roman" w:hAnsi="Times New Roman"/>
        </w:rPr>
        <w:t xml:space="preserve">reach of the IDEA’s exhaustion provision and of the </w:t>
      </w:r>
      <w:r w:rsidRPr="005E3FA8">
        <w:rPr>
          <w:rFonts w:ascii="Times New Roman" w:hAnsi="Times New Roman"/>
        </w:rPr>
        <w:t>usefulness of the IDEA’s administrative dispute resolution system.</w:t>
      </w:r>
      <w:r w:rsidR="00392877" w:rsidRPr="005E3FA8">
        <w:rPr>
          <w:rStyle w:val="FootnoteReference"/>
          <w:rFonts w:ascii="Times New Roman" w:hAnsi="Times New Roman"/>
        </w:rPr>
        <w:footnoteReference w:id="8"/>
      </w:r>
      <w:r w:rsidRPr="005E3FA8">
        <w:rPr>
          <w:rFonts w:ascii="Times New Roman" w:hAnsi="Times New Roman"/>
        </w:rPr>
        <w:t xml:space="preserve">  In </w:t>
      </w:r>
      <w:r w:rsidRPr="005E3FA8">
        <w:rPr>
          <w:rFonts w:ascii="Times New Roman" w:hAnsi="Times New Roman"/>
          <w:i/>
        </w:rPr>
        <w:t>Frazier v. Fairhaven School Committee</w:t>
      </w:r>
      <w:r w:rsidRPr="005E3FA8">
        <w:rPr>
          <w:rFonts w:ascii="Times New Roman" w:hAnsi="Times New Roman"/>
        </w:rPr>
        <w:t>, 276 F.3d 52 (1</w:t>
      </w:r>
      <w:r w:rsidRPr="005E3FA8">
        <w:rPr>
          <w:rFonts w:ascii="Times New Roman" w:hAnsi="Times New Roman"/>
          <w:vertAlign w:val="superscript"/>
        </w:rPr>
        <w:t>st</w:t>
      </w:r>
      <w:r w:rsidRPr="005E3FA8">
        <w:rPr>
          <w:rFonts w:ascii="Times New Roman" w:hAnsi="Times New Roman"/>
        </w:rPr>
        <w:t xml:space="preserve"> Cir. 2002) the First Circuit found that a party seeking solely money damages not authorized by the IDEA by claiming due process violations arising in the context of special education under 42 U.S.C. 1983 </w:t>
      </w:r>
      <w:r w:rsidR="0014588B" w:rsidRPr="005E3FA8">
        <w:rPr>
          <w:rFonts w:ascii="Times New Roman" w:hAnsi="Times New Roman"/>
        </w:rPr>
        <w:t xml:space="preserve">nevertheless was required to exhaust the </w:t>
      </w:r>
      <w:r w:rsidR="00CD4F03" w:rsidRPr="005E3FA8">
        <w:rPr>
          <w:rFonts w:ascii="Times New Roman" w:hAnsi="Times New Roman"/>
        </w:rPr>
        <w:t>IDEA’s administrative remedies.</w:t>
      </w:r>
      <w:r w:rsidR="0014588B" w:rsidRPr="005E3FA8">
        <w:rPr>
          <w:rStyle w:val="FootnoteReference"/>
          <w:rFonts w:ascii="Times New Roman" w:hAnsi="Times New Roman"/>
        </w:rPr>
        <w:footnoteReference w:id="9"/>
      </w:r>
      <w:r w:rsidR="0014588B" w:rsidRPr="005E3FA8">
        <w:rPr>
          <w:rFonts w:ascii="Times New Roman" w:hAnsi="Times New Roman"/>
        </w:rPr>
        <w:t xml:space="preserve">  Thereafter</w:t>
      </w:r>
      <w:r w:rsidR="00623F8A" w:rsidRPr="005E3FA8">
        <w:rPr>
          <w:rFonts w:ascii="Times New Roman" w:hAnsi="Times New Roman"/>
        </w:rPr>
        <w:t>,</w:t>
      </w:r>
      <w:r w:rsidR="0014588B" w:rsidRPr="005E3FA8">
        <w:rPr>
          <w:rFonts w:ascii="Times New Roman" w:hAnsi="Times New Roman"/>
        </w:rPr>
        <w:t xml:space="preserve"> courts</w:t>
      </w:r>
      <w:r w:rsidR="00EC693C" w:rsidRPr="005E3FA8">
        <w:rPr>
          <w:rFonts w:ascii="Times New Roman" w:hAnsi="Times New Roman"/>
        </w:rPr>
        <w:t xml:space="preserve"> in this jurisdiction have extended</w:t>
      </w:r>
      <w:r w:rsidR="0014588B" w:rsidRPr="005E3FA8">
        <w:rPr>
          <w:rFonts w:ascii="Times New Roman" w:hAnsi="Times New Roman"/>
        </w:rPr>
        <w:t xml:space="preserve"> the reasoning in </w:t>
      </w:r>
      <w:r w:rsidR="0014588B" w:rsidRPr="005E3FA8">
        <w:rPr>
          <w:rFonts w:ascii="Times New Roman" w:hAnsi="Times New Roman"/>
          <w:i/>
        </w:rPr>
        <w:t>Frazier</w:t>
      </w:r>
      <w:r w:rsidR="0014588B" w:rsidRPr="005E3FA8">
        <w:rPr>
          <w:rFonts w:ascii="Times New Roman" w:hAnsi="Times New Roman"/>
        </w:rPr>
        <w:t xml:space="preserve"> to disputes that involve the provision of special education to a student with disabilities even where the claim is based on an alleged violation of a statute other than the IDEA</w:t>
      </w:r>
      <w:r w:rsidR="00CC4398" w:rsidRPr="005E3FA8">
        <w:rPr>
          <w:rFonts w:ascii="Times New Roman" w:hAnsi="Times New Roman"/>
        </w:rPr>
        <w:t>;</w:t>
      </w:r>
      <w:r w:rsidR="00623F8A" w:rsidRPr="005E3FA8">
        <w:rPr>
          <w:rFonts w:ascii="Times New Roman" w:hAnsi="Times New Roman"/>
        </w:rPr>
        <w:t xml:space="preserve">  (Consider</w:t>
      </w:r>
      <w:r w:rsidR="00617119" w:rsidRPr="005E3FA8">
        <w:rPr>
          <w:rFonts w:ascii="Times New Roman" w:hAnsi="Times New Roman"/>
        </w:rPr>
        <w:t xml:space="preserve"> </w:t>
      </w:r>
      <w:r w:rsidR="0014588B" w:rsidRPr="005E3FA8">
        <w:rPr>
          <w:rFonts w:ascii="Times New Roman" w:hAnsi="Times New Roman"/>
          <w:i/>
        </w:rPr>
        <w:t>Boston v. Baker</w:t>
      </w:r>
      <w:r w:rsidR="0014588B" w:rsidRPr="005E3FA8">
        <w:rPr>
          <w:rFonts w:ascii="Times New Roman" w:hAnsi="Times New Roman"/>
        </w:rPr>
        <w:t>,</w:t>
      </w:r>
      <w:r w:rsidR="00911E4E" w:rsidRPr="005E3FA8">
        <w:rPr>
          <w:rFonts w:ascii="Times New Roman" w:hAnsi="Times New Roman"/>
        </w:rPr>
        <w:t xml:space="preserve"> No. 06-11703-RWZ,</w:t>
      </w:r>
      <w:r w:rsidR="0014588B" w:rsidRPr="005E3FA8">
        <w:rPr>
          <w:rFonts w:ascii="Times New Roman" w:hAnsi="Times New Roman"/>
        </w:rPr>
        <w:t xml:space="preserve"> 2009 WL 2066989 (D. Mass.</w:t>
      </w:r>
      <w:r w:rsidR="00911E4E" w:rsidRPr="005E3FA8">
        <w:rPr>
          <w:rFonts w:ascii="Times New Roman" w:hAnsi="Times New Roman"/>
        </w:rPr>
        <w:t xml:space="preserve">  September 12, 2011</w:t>
      </w:r>
      <w:r w:rsidR="00623F8A" w:rsidRPr="005E3FA8">
        <w:rPr>
          <w:rFonts w:ascii="Times New Roman" w:hAnsi="Times New Roman"/>
        </w:rPr>
        <w:t xml:space="preserve">) which found that </w:t>
      </w:r>
      <w:r w:rsidR="0014588B" w:rsidRPr="005E3FA8">
        <w:rPr>
          <w:rFonts w:ascii="Times New Roman" w:hAnsi="Times New Roman"/>
        </w:rPr>
        <w:t>a claim under Section 504 of the Rehabilitation Act of 197</w:t>
      </w:r>
      <w:r w:rsidR="00CD4F03" w:rsidRPr="005E3FA8">
        <w:rPr>
          <w:rFonts w:ascii="Times New Roman" w:hAnsi="Times New Roman"/>
        </w:rPr>
        <w:t>3</w:t>
      </w:r>
      <w:r w:rsidR="0014588B" w:rsidRPr="005E3FA8">
        <w:rPr>
          <w:rFonts w:ascii="Times New Roman" w:hAnsi="Times New Roman"/>
        </w:rPr>
        <w:t xml:space="preserve"> is “sufficiently related to the public education of a disabled child under the IDEA to require adherence to its exhaustion requirements.</w:t>
      </w:r>
      <w:r w:rsidR="0086328F" w:rsidRPr="005E3FA8">
        <w:rPr>
          <w:rFonts w:ascii="Times New Roman" w:hAnsi="Times New Roman"/>
        </w:rPr>
        <w:t>)</w:t>
      </w:r>
      <w:r w:rsidR="006447AD" w:rsidRPr="005E3FA8">
        <w:rPr>
          <w:rFonts w:ascii="Times New Roman" w:hAnsi="Times New Roman"/>
        </w:rPr>
        <w:t>; to claims arising out of allegations of psychological and physical abuse of students with disabilities by teachers</w:t>
      </w:r>
      <w:r w:rsidR="00617119" w:rsidRPr="005E3FA8">
        <w:rPr>
          <w:rFonts w:ascii="Times New Roman" w:hAnsi="Times New Roman"/>
        </w:rPr>
        <w:t xml:space="preserve"> as in</w:t>
      </w:r>
      <w:r w:rsidR="0086328F" w:rsidRPr="005E3FA8">
        <w:rPr>
          <w:rFonts w:ascii="Times New Roman" w:hAnsi="Times New Roman"/>
        </w:rPr>
        <w:t xml:space="preserve"> </w:t>
      </w:r>
      <w:r w:rsidR="0014588B" w:rsidRPr="005E3FA8">
        <w:rPr>
          <w:rFonts w:ascii="Times New Roman" w:hAnsi="Times New Roman"/>
        </w:rPr>
        <w:t xml:space="preserve"> </w:t>
      </w:r>
      <w:r w:rsidR="0014588B" w:rsidRPr="005E3FA8">
        <w:rPr>
          <w:rFonts w:ascii="Times New Roman" w:hAnsi="Times New Roman"/>
          <w:i/>
        </w:rPr>
        <w:t xml:space="preserve">Bowden v. </w:t>
      </w:r>
      <w:proofErr w:type="spellStart"/>
      <w:r w:rsidR="0014588B" w:rsidRPr="005E3FA8">
        <w:rPr>
          <w:rFonts w:ascii="Times New Roman" w:hAnsi="Times New Roman"/>
          <w:i/>
        </w:rPr>
        <w:t>Dever</w:t>
      </w:r>
      <w:proofErr w:type="spellEnd"/>
      <w:r w:rsidR="00CD4F03" w:rsidRPr="005E3FA8">
        <w:rPr>
          <w:rFonts w:ascii="Times New Roman" w:hAnsi="Times New Roman"/>
        </w:rPr>
        <w:t xml:space="preserve">, </w:t>
      </w:r>
      <w:r w:rsidR="00911E4E" w:rsidRPr="005E3FA8">
        <w:rPr>
          <w:rFonts w:ascii="Times New Roman" w:hAnsi="Times New Roman"/>
        </w:rPr>
        <w:t xml:space="preserve">No. 00-12308-DPW, </w:t>
      </w:r>
      <w:r w:rsidR="00CD4F03" w:rsidRPr="005E3FA8">
        <w:rPr>
          <w:rFonts w:ascii="Times New Roman" w:hAnsi="Times New Roman"/>
        </w:rPr>
        <w:t>2002 WL 472293 (D. Mass.</w:t>
      </w:r>
      <w:r w:rsidR="00911E4E" w:rsidRPr="005E3FA8">
        <w:rPr>
          <w:rFonts w:ascii="Times New Roman" w:hAnsi="Times New Roman"/>
        </w:rPr>
        <w:t xml:space="preserve"> March 20, 2002</w:t>
      </w:r>
      <w:r w:rsidR="00CD4F03" w:rsidRPr="005E3FA8">
        <w:rPr>
          <w:rFonts w:ascii="Times New Roman" w:hAnsi="Times New Roman"/>
        </w:rPr>
        <w:t>), (“</w:t>
      </w:r>
      <w:r w:rsidR="0014588B" w:rsidRPr="005E3FA8">
        <w:rPr>
          <w:rFonts w:ascii="Times New Roman" w:hAnsi="Times New Roman"/>
        </w:rPr>
        <w:t>any aspect of the school’s treatment… that interferes with the provision of a free, appropriate education is within the scope of the IDEA’s administrative procedures”)</w:t>
      </w:r>
      <w:r w:rsidR="00726776" w:rsidRPr="005E3FA8">
        <w:rPr>
          <w:rFonts w:ascii="Times New Roman" w:hAnsi="Times New Roman"/>
        </w:rPr>
        <w:t xml:space="preserve"> </w:t>
      </w:r>
      <w:r w:rsidR="00623F8A" w:rsidRPr="005E3FA8">
        <w:rPr>
          <w:rFonts w:ascii="Times New Roman" w:hAnsi="Times New Roman"/>
        </w:rPr>
        <w:t>and to</w:t>
      </w:r>
      <w:r w:rsidR="00617119" w:rsidRPr="005E3FA8">
        <w:rPr>
          <w:rFonts w:ascii="Times New Roman" w:hAnsi="Times New Roman"/>
        </w:rPr>
        <w:t xml:space="preserve"> those involving</w:t>
      </w:r>
      <w:r w:rsidR="0086328F" w:rsidRPr="005E3FA8">
        <w:rPr>
          <w:rFonts w:ascii="Times New Roman" w:hAnsi="Times New Roman"/>
        </w:rPr>
        <w:t xml:space="preserve"> a class of similarly situated stu</w:t>
      </w:r>
      <w:r w:rsidR="00617119" w:rsidRPr="005E3FA8">
        <w:rPr>
          <w:rFonts w:ascii="Times New Roman" w:hAnsi="Times New Roman"/>
        </w:rPr>
        <w:t xml:space="preserve">dents rather than an individual </w:t>
      </w:r>
      <w:r w:rsidR="00623F8A" w:rsidRPr="005E3FA8">
        <w:rPr>
          <w:rFonts w:ascii="Times New Roman" w:hAnsi="Times New Roman"/>
        </w:rPr>
        <w:t xml:space="preserve">student </w:t>
      </w:r>
      <w:r w:rsidR="00617119" w:rsidRPr="005E3FA8">
        <w:rPr>
          <w:rFonts w:ascii="Times New Roman" w:hAnsi="Times New Roman"/>
        </w:rPr>
        <w:t xml:space="preserve">as in  </w:t>
      </w:r>
      <w:r w:rsidR="0086328F" w:rsidRPr="005E3FA8">
        <w:rPr>
          <w:rFonts w:ascii="Times New Roman" w:hAnsi="Times New Roman"/>
          <w:i/>
        </w:rPr>
        <w:t>Roe v. Johnson</w:t>
      </w:r>
      <w:r w:rsidR="0086328F" w:rsidRPr="005E3FA8">
        <w:rPr>
          <w:rFonts w:ascii="Times New Roman" w:hAnsi="Times New Roman"/>
        </w:rPr>
        <w:t xml:space="preserve">, </w:t>
      </w:r>
      <w:r w:rsidR="00911E4E" w:rsidRPr="005E3FA8">
        <w:rPr>
          <w:rFonts w:ascii="Times New Roman" w:hAnsi="Times New Roman"/>
        </w:rPr>
        <w:t xml:space="preserve">No. 11-11858-RWZ, </w:t>
      </w:r>
      <w:r w:rsidR="0086328F" w:rsidRPr="005E3FA8">
        <w:rPr>
          <w:rFonts w:ascii="Times New Roman" w:hAnsi="Times New Roman"/>
        </w:rPr>
        <w:t>2012 U.S. Dist. LEXIS 115918 (D.</w:t>
      </w:r>
      <w:r w:rsidR="00617119" w:rsidRPr="005E3FA8">
        <w:rPr>
          <w:rFonts w:ascii="Times New Roman" w:hAnsi="Times New Roman"/>
        </w:rPr>
        <w:t xml:space="preserve"> </w:t>
      </w:r>
      <w:r w:rsidR="0086328F" w:rsidRPr="005E3FA8">
        <w:rPr>
          <w:rFonts w:ascii="Times New Roman" w:hAnsi="Times New Roman"/>
        </w:rPr>
        <w:t>Mass</w:t>
      </w:r>
      <w:r w:rsidR="00617119" w:rsidRPr="005E3FA8">
        <w:rPr>
          <w:rFonts w:ascii="Times New Roman" w:hAnsi="Times New Roman"/>
        </w:rPr>
        <w:t xml:space="preserve"> </w:t>
      </w:r>
      <w:r w:rsidR="00911E4E" w:rsidRPr="005E3FA8">
        <w:rPr>
          <w:rFonts w:ascii="Times New Roman" w:hAnsi="Times New Roman"/>
        </w:rPr>
        <w:t>August 17,</w:t>
      </w:r>
      <w:r w:rsidR="00CC4398" w:rsidRPr="005E3FA8">
        <w:rPr>
          <w:rFonts w:ascii="Times New Roman" w:hAnsi="Times New Roman"/>
        </w:rPr>
        <w:t xml:space="preserve"> </w:t>
      </w:r>
      <w:r w:rsidR="00617119" w:rsidRPr="005E3FA8">
        <w:rPr>
          <w:rFonts w:ascii="Times New Roman" w:hAnsi="Times New Roman"/>
        </w:rPr>
        <w:t>2012</w:t>
      </w:r>
      <w:r w:rsidR="0086328F" w:rsidRPr="005E3FA8">
        <w:rPr>
          <w:rFonts w:ascii="Times New Roman" w:hAnsi="Times New Roman"/>
        </w:rPr>
        <w:t>.)</w:t>
      </w:r>
    </w:p>
    <w:p w:rsidR="00F928CC" w:rsidRPr="005E3FA8" w:rsidRDefault="00F928CC" w:rsidP="002A1934">
      <w:pPr>
        <w:pStyle w:val="NoSpacing"/>
        <w:rPr>
          <w:rFonts w:ascii="Times New Roman" w:hAnsi="Times New Roman"/>
        </w:rPr>
      </w:pPr>
    </w:p>
    <w:p w:rsidR="007F0F68" w:rsidRPr="005E3FA8" w:rsidRDefault="007F0F68" w:rsidP="002A1934">
      <w:pPr>
        <w:pStyle w:val="NoSpacing"/>
        <w:rPr>
          <w:rFonts w:ascii="Times New Roman" w:hAnsi="Times New Roman"/>
        </w:rPr>
      </w:pPr>
      <w:r w:rsidRPr="005E3FA8">
        <w:rPr>
          <w:rFonts w:ascii="Times New Roman" w:hAnsi="Times New Roman"/>
        </w:rPr>
        <w:tab/>
      </w:r>
      <w:r w:rsidR="00EC693C" w:rsidRPr="005E3FA8">
        <w:rPr>
          <w:rFonts w:ascii="Times New Roman" w:hAnsi="Times New Roman"/>
        </w:rPr>
        <w:t xml:space="preserve"> Nevertheless, c</w:t>
      </w:r>
      <w:r w:rsidRPr="005E3FA8">
        <w:rPr>
          <w:rFonts w:ascii="Times New Roman" w:hAnsi="Times New Roman"/>
        </w:rPr>
        <w:t xml:space="preserve">ourts in this jurisdiction have observed that not all claims advanced by a student with </w:t>
      </w:r>
      <w:r w:rsidR="00623F8A" w:rsidRPr="005E3FA8">
        <w:rPr>
          <w:rFonts w:ascii="Times New Roman" w:hAnsi="Times New Roman"/>
        </w:rPr>
        <w:t xml:space="preserve">a </w:t>
      </w:r>
      <w:r w:rsidRPr="005E3FA8">
        <w:rPr>
          <w:rFonts w:ascii="Times New Roman" w:hAnsi="Times New Roman"/>
        </w:rPr>
        <w:t>disa</w:t>
      </w:r>
      <w:r w:rsidR="00623F8A" w:rsidRPr="005E3FA8">
        <w:rPr>
          <w:rFonts w:ascii="Times New Roman" w:hAnsi="Times New Roman"/>
        </w:rPr>
        <w:t>bility</w:t>
      </w:r>
      <w:r w:rsidRPr="005E3FA8">
        <w:rPr>
          <w:rFonts w:ascii="Times New Roman" w:hAnsi="Times New Roman"/>
        </w:rPr>
        <w:t xml:space="preserve"> against a school district require initial presentation to an administrative due process agency.  Exhaustion of the IDEA’s administrative process is not required when the student is seeking solely money damages for tort like injuries not subsumed in a federal statutory claim.</w:t>
      </w:r>
      <w:r w:rsidR="00C4114F" w:rsidRPr="005E3FA8">
        <w:rPr>
          <w:rFonts w:ascii="Times New Roman" w:hAnsi="Times New Roman"/>
        </w:rPr>
        <w:t xml:space="preserve"> </w:t>
      </w:r>
      <w:r w:rsidRPr="005E3FA8">
        <w:rPr>
          <w:rFonts w:ascii="Times New Roman" w:hAnsi="Times New Roman"/>
        </w:rPr>
        <w:t xml:space="preserve"> </w:t>
      </w:r>
      <w:proofErr w:type="gramStart"/>
      <w:r w:rsidRPr="005E3FA8">
        <w:rPr>
          <w:rFonts w:ascii="Times New Roman" w:hAnsi="Times New Roman"/>
          <w:i/>
        </w:rPr>
        <w:t>Nieves-Marques v. Puerto Rico</w:t>
      </w:r>
      <w:r w:rsidR="00832F03" w:rsidRPr="005E3FA8">
        <w:rPr>
          <w:rFonts w:ascii="Times New Roman" w:hAnsi="Times New Roman"/>
        </w:rPr>
        <w:t xml:space="preserve">, </w:t>
      </w:r>
      <w:r w:rsidR="00CD4F03" w:rsidRPr="005E3FA8">
        <w:rPr>
          <w:rFonts w:ascii="Times New Roman" w:hAnsi="Times New Roman"/>
        </w:rPr>
        <w:t>353 F.</w:t>
      </w:r>
      <w:r w:rsidRPr="005E3FA8">
        <w:rPr>
          <w:rFonts w:ascii="Times New Roman" w:hAnsi="Times New Roman"/>
        </w:rPr>
        <w:t>3d 108 (1</w:t>
      </w:r>
      <w:r w:rsidRPr="005E3FA8">
        <w:rPr>
          <w:rFonts w:ascii="Times New Roman" w:hAnsi="Times New Roman"/>
          <w:vertAlign w:val="superscript"/>
        </w:rPr>
        <w:t>st</w:t>
      </w:r>
      <w:r w:rsidRPr="005E3FA8">
        <w:rPr>
          <w:rFonts w:ascii="Times New Roman" w:hAnsi="Times New Roman"/>
        </w:rPr>
        <w:t xml:space="preserve"> Cir. 2003);</w:t>
      </w:r>
      <w:r w:rsidR="00832F03" w:rsidRPr="005E3FA8">
        <w:rPr>
          <w:rFonts w:ascii="Times New Roman" w:hAnsi="Times New Roman"/>
        </w:rPr>
        <w:t xml:space="preserve"> </w:t>
      </w:r>
      <w:r w:rsidRPr="005E3FA8">
        <w:rPr>
          <w:rFonts w:ascii="Times New Roman" w:hAnsi="Times New Roman"/>
          <w:i/>
        </w:rPr>
        <w:t>Diaz-Fonseca v. Puerto Rico</w:t>
      </w:r>
      <w:r w:rsidRPr="005E3FA8">
        <w:rPr>
          <w:rFonts w:ascii="Times New Roman" w:hAnsi="Times New Roman"/>
        </w:rPr>
        <w:t>,</w:t>
      </w:r>
      <w:r w:rsidR="00832F03" w:rsidRPr="005E3FA8">
        <w:rPr>
          <w:rFonts w:ascii="Times New Roman" w:hAnsi="Times New Roman"/>
        </w:rPr>
        <w:t xml:space="preserve"> </w:t>
      </w:r>
      <w:r w:rsidRPr="005E3FA8">
        <w:rPr>
          <w:rFonts w:ascii="Times New Roman" w:hAnsi="Times New Roman"/>
        </w:rPr>
        <w:t>451 F.3d 13 (1</w:t>
      </w:r>
      <w:r w:rsidRPr="005E3FA8">
        <w:rPr>
          <w:rFonts w:ascii="Times New Roman" w:hAnsi="Times New Roman"/>
          <w:vertAlign w:val="superscript"/>
        </w:rPr>
        <w:t>st</w:t>
      </w:r>
      <w:r w:rsidRPr="005E3FA8">
        <w:rPr>
          <w:rFonts w:ascii="Times New Roman" w:hAnsi="Times New Roman"/>
        </w:rPr>
        <w:t xml:space="preserve"> Cir. 2006).</w:t>
      </w:r>
      <w:proofErr w:type="gramEnd"/>
      <w:r w:rsidR="00EC693C" w:rsidRPr="005E3FA8">
        <w:rPr>
          <w:rFonts w:ascii="Times New Roman" w:hAnsi="Times New Roman"/>
        </w:rPr>
        <w:t xml:space="preserve">  </w:t>
      </w:r>
      <w:r w:rsidRPr="005E3FA8">
        <w:rPr>
          <w:rFonts w:ascii="Times New Roman" w:hAnsi="Times New Roman"/>
        </w:rPr>
        <w:t>Nor is exhaustion required where there are no factual allegation</w:t>
      </w:r>
      <w:r w:rsidR="00EC693C" w:rsidRPr="005E3FA8">
        <w:rPr>
          <w:rFonts w:ascii="Times New Roman" w:hAnsi="Times New Roman"/>
        </w:rPr>
        <w:t>s</w:t>
      </w:r>
      <w:r w:rsidRPr="005E3FA8">
        <w:rPr>
          <w:rFonts w:ascii="Times New Roman" w:hAnsi="Times New Roman"/>
        </w:rPr>
        <w:t xml:space="preserve"> to indicate that a dispute exists concerning the individual student’s eligibility under the IDEA or Section 504 or the discharge of the School’s procedural and substantive responsibilities under the IDEA or Section 504.  </w:t>
      </w:r>
      <w:r w:rsidR="00B204F4" w:rsidRPr="005E3FA8">
        <w:rPr>
          <w:rFonts w:ascii="Times New Roman" w:eastAsia="Times New Roman" w:hAnsi="Times New Roman"/>
          <w:i/>
          <w:iCs/>
          <w:color w:val="222222"/>
          <w:szCs w:val="20"/>
        </w:rPr>
        <w:t>Hague v.</w:t>
      </w:r>
      <w:r w:rsidR="00911E4E" w:rsidRPr="005E3FA8">
        <w:rPr>
          <w:rFonts w:ascii="Times New Roman" w:eastAsia="Times New Roman" w:hAnsi="Times New Roman"/>
          <w:i/>
          <w:iCs/>
          <w:color w:val="222222"/>
          <w:szCs w:val="20"/>
        </w:rPr>
        <w:t xml:space="preserve"> </w:t>
      </w:r>
      <w:r w:rsidR="00B204F4" w:rsidRPr="005E3FA8">
        <w:rPr>
          <w:rFonts w:ascii="Times New Roman" w:eastAsia="Times New Roman" w:hAnsi="Times New Roman"/>
          <w:i/>
          <w:iCs/>
          <w:color w:val="222222"/>
          <w:szCs w:val="20"/>
        </w:rPr>
        <w:t>Massachusetts Department</w:t>
      </w:r>
      <w:r w:rsidR="00481F8D" w:rsidRPr="005E3FA8">
        <w:rPr>
          <w:rFonts w:ascii="Times New Roman" w:eastAsia="Times New Roman" w:hAnsi="Times New Roman"/>
          <w:i/>
          <w:iCs/>
          <w:color w:val="222222"/>
          <w:szCs w:val="20"/>
        </w:rPr>
        <w:t xml:space="preserve"> </w:t>
      </w:r>
      <w:r w:rsidR="00B204F4" w:rsidRPr="005E3FA8">
        <w:rPr>
          <w:rFonts w:ascii="Times New Roman" w:eastAsia="Times New Roman" w:hAnsi="Times New Roman"/>
          <w:i/>
          <w:iCs/>
          <w:color w:val="222222"/>
          <w:szCs w:val="20"/>
        </w:rPr>
        <w:t>of Elementary</w:t>
      </w:r>
      <w:r w:rsidR="00B204F4" w:rsidRPr="005E3FA8">
        <w:rPr>
          <w:rFonts w:ascii="Times New Roman" w:eastAsia="Times New Roman" w:hAnsi="Times New Roman"/>
          <w:iCs/>
          <w:color w:val="222222"/>
          <w:szCs w:val="20"/>
        </w:rPr>
        <w:t xml:space="preserve"> </w:t>
      </w:r>
      <w:r w:rsidR="00B204F4" w:rsidRPr="005E3FA8">
        <w:rPr>
          <w:rFonts w:ascii="Times New Roman" w:eastAsia="Times New Roman" w:hAnsi="Times New Roman"/>
          <w:i/>
          <w:iCs/>
          <w:color w:val="222222"/>
          <w:szCs w:val="20"/>
        </w:rPr>
        <w:t>and Secondary Education</w:t>
      </w:r>
      <w:r w:rsidR="00B204F4" w:rsidRPr="005E3FA8">
        <w:rPr>
          <w:rFonts w:ascii="Times New Roman" w:eastAsia="Times New Roman" w:hAnsi="Times New Roman"/>
          <w:iCs/>
          <w:color w:val="222222"/>
          <w:sz w:val="20"/>
          <w:szCs w:val="20"/>
        </w:rPr>
        <w:t>,</w:t>
      </w:r>
      <w:r w:rsidR="00911E4E" w:rsidRPr="005E3FA8">
        <w:rPr>
          <w:rFonts w:ascii="Times New Roman" w:eastAsia="Times New Roman" w:hAnsi="Times New Roman"/>
          <w:color w:val="222222"/>
          <w:sz w:val="20"/>
          <w:szCs w:val="20"/>
        </w:rPr>
        <w:t xml:space="preserve"> </w:t>
      </w:r>
      <w:r w:rsidR="00911E4E" w:rsidRPr="005E3FA8">
        <w:rPr>
          <w:rFonts w:ascii="Times New Roman" w:eastAsia="Times New Roman" w:hAnsi="Times New Roman"/>
          <w:color w:val="222222"/>
          <w:szCs w:val="20"/>
        </w:rPr>
        <w:t xml:space="preserve">No. 10-30138-DJC, U.S. Dist. LEXIS 112235 </w:t>
      </w:r>
      <w:r w:rsidR="00481F8D" w:rsidRPr="005E3FA8">
        <w:rPr>
          <w:rFonts w:ascii="Times New Roman" w:eastAsia="Times New Roman" w:hAnsi="Times New Roman"/>
          <w:color w:val="222222"/>
          <w:szCs w:val="20"/>
        </w:rPr>
        <w:t>(D. Mass. Sept. 12, 2011).</w:t>
      </w:r>
      <w:r w:rsidR="00623F8A" w:rsidRPr="005E3FA8">
        <w:rPr>
          <w:rFonts w:ascii="Times New Roman" w:eastAsia="Times New Roman" w:hAnsi="Times New Roman"/>
          <w:color w:val="222222"/>
          <w:szCs w:val="20"/>
        </w:rPr>
        <w:t xml:space="preserve">  </w:t>
      </w:r>
      <w:r w:rsidRPr="005E3FA8">
        <w:rPr>
          <w:rFonts w:ascii="Times New Roman" w:hAnsi="Times New Roman"/>
        </w:rPr>
        <w:t>Finally, where the fact finding necessary to establish the plaintiff’s claims does not require any particular expertise in special education</w:t>
      </w:r>
      <w:r w:rsidR="005062EE" w:rsidRPr="005E3FA8">
        <w:rPr>
          <w:rFonts w:ascii="Times New Roman" w:hAnsi="Times New Roman"/>
        </w:rPr>
        <w:t>,</w:t>
      </w:r>
      <w:r w:rsidRPr="005E3FA8">
        <w:rPr>
          <w:rFonts w:ascii="Times New Roman" w:hAnsi="Times New Roman"/>
        </w:rPr>
        <w:t xml:space="preserve"> exhaustion is not mandatory.  </w:t>
      </w:r>
      <w:proofErr w:type="gramStart"/>
      <w:r w:rsidRPr="005E3FA8">
        <w:rPr>
          <w:rFonts w:ascii="Times New Roman" w:hAnsi="Times New Roman"/>
          <w:i/>
        </w:rPr>
        <w:t>Dr. Frank</w:t>
      </w:r>
      <w:r w:rsidR="00C4114F" w:rsidRPr="005E3FA8">
        <w:rPr>
          <w:rFonts w:ascii="Times New Roman" w:hAnsi="Times New Roman"/>
          <w:i/>
        </w:rPr>
        <w:t>l</w:t>
      </w:r>
      <w:r w:rsidRPr="005E3FA8">
        <w:rPr>
          <w:rFonts w:ascii="Times New Roman" w:hAnsi="Times New Roman"/>
          <w:i/>
        </w:rPr>
        <w:t xml:space="preserve">in Perkins School v. King Philip </w:t>
      </w:r>
      <w:r w:rsidR="00A2243F" w:rsidRPr="005E3FA8">
        <w:rPr>
          <w:rFonts w:ascii="Times New Roman" w:hAnsi="Times New Roman"/>
          <w:i/>
        </w:rPr>
        <w:t>Regional School District</w:t>
      </w:r>
      <w:r w:rsidR="00C4114F" w:rsidRPr="005E3FA8">
        <w:rPr>
          <w:rFonts w:ascii="Times New Roman" w:hAnsi="Times New Roman"/>
        </w:rPr>
        <w:t>,</w:t>
      </w:r>
      <w:r w:rsidR="00911E4E" w:rsidRPr="005E3FA8">
        <w:rPr>
          <w:rFonts w:ascii="Times New Roman" w:hAnsi="Times New Roman"/>
        </w:rPr>
        <w:t xml:space="preserve"> </w:t>
      </w:r>
      <w:r w:rsidRPr="005E3FA8">
        <w:rPr>
          <w:rFonts w:ascii="Times New Roman" w:hAnsi="Times New Roman"/>
        </w:rPr>
        <w:t xml:space="preserve">25 Mass. L. </w:t>
      </w:r>
      <w:proofErr w:type="spellStart"/>
      <w:r w:rsidRPr="005E3FA8">
        <w:rPr>
          <w:rFonts w:ascii="Times New Roman" w:hAnsi="Times New Roman"/>
        </w:rPr>
        <w:t>Rptr</w:t>
      </w:r>
      <w:proofErr w:type="spellEnd"/>
      <w:r w:rsidR="00A2243F" w:rsidRPr="005E3FA8">
        <w:rPr>
          <w:rFonts w:ascii="Times New Roman" w:hAnsi="Times New Roman"/>
        </w:rPr>
        <w:t>.</w:t>
      </w:r>
      <w:r w:rsidRPr="005E3FA8">
        <w:rPr>
          <w:rFonts w:ascii="Times New Roman" w:hAnsi="Times New Roman"/>
        </w:rPr>
        <w:t xml:space="preserve"> 549 (2009 Mass Super).</w:t>
      </w:r>
      <w:proofErr w:type="gramEnd"/>
    </w:p>
    <w:p w:rsidR="00F928CC" w:rsidRPr="005E3FA8" w:rsidRDefault="00F928CC" w:rsidP="002A1934">
      <w:pPr>
        <w:pStyle w:val="NoSpacing"/>
        <w:rPr>
          <w:rFonts w:ascii="Times New Roman" w:hAnsi="Times New Roman"/>
        </w:rPr>
      </w:pPr>
    </w:p>
    <w:p w:rsidR="00726776" w:rsidRPr="005E3FA8" w:rsidRDefault="00EC3301" w:rsidP="002A1934">
      <w:pPr>
        <w:pStyle w:val="NoSpacing"/>
        <w:rPr>
          <w:rFonts w:ascii="Times New Roman" w:hAnsi="Times New Roman"/>
        </w:rPr>
      </w:pPr>
      <w:r w:rsidRPr="005E3FA8">
        <w:rPr>
          <w:rFonts w:ascii="Times New Roman" w:eastAsia="Times New Roman" w:hAnsi="Times New Roman"/>
          <w:color w:val="222222"/>
          <w:szCs w:val="20"/>
        </w:rPr>
        <w:t xml:space="preserve">     </w:t>
      </w:r>
      <w:r w:rsidR="00262281" w:rsidRPr="005E3FA8">
        <w:rPr>
          <w:rFonts w:ascii="Times New Roman" w:hAnsi="Times New Roman"/>
        </w:rPr>
        <w:t xml:space="preserve"> In</w:t>
      </w:r>
      <w:r w:rsidR="00832F03" w:rsidRPr="005E3FA8">
        <w:rPr>
          <w:rFonts w:ascii="Times New Roman" w:hAnsi="Times New Roman"/>
        </w:rPr>
        <w:t xml:space="preserve"> a particularly instructive case,</w:t>
      </w:r>
      <w:r w:rsidR="00262281" w:rsidRPr="005E3FA8">
        <w:rPr>
          <w:rFonts w:ascii="Times New Roman" w:hAnsi="Times New Roman"/>
        </w:rPr>
        <w:t xml:space="preserve"> </w:t>
      </w:r>
      <w:r w:rsidR="00262281" w:rsidRPr="005E3FA8">
        <w:rPr>
          <w:rFonts w:ascii="Times New Roman" w:hAnsi="Times New Roman"/>
          <w:i/>
        </w:rPr>
        <w:t>Bowden</w:t>
      </w:r>
      <w:r w:rsidR="00832F03" w:rsidRPr="005E3FA8">
        <w:rPr>
          <w:rFonts w:ascii="Times New Roman" w:hAnsi="Times New Roman"/>
        </w:rPr>
        <w:t>,</w:t>
      </w:r>
      <w:r w:rsidR="00864FE2" w:rsidRPr="005E3FA8">
        <w:rPr>
          <w:rFonts w:ascii="Times New Roman" w:hAnsi="Times New Roman"/>
        </w:rPr>
        <w:t xml:space="preserve"> </w:t>
      </w:r>
      <w:r w:rsidR="00623F8A" w:rsidRPr="005E3FA8">
        <w:rPr>
          <w:rFonts w:ascii="Times New Roman" w:hAnsi="Times New Roman"/>
          <w:i/>
        </w:rPr>
        <w:t>supra</w:t>
      </w:r>
      <w:r w:rsidR="00864FE2" w:rsidRPr="005E3FA8">
        <w:rPr>
          <w:rFonts w:ascii="Times New Roman" w:hAnsi="Times New Roman"/>
          <w:i/>
        </w:rPr>
        <w:t>,</w:t>
      </w:r>
      <w:r w:rsidR="00262281" w:rsidRPr="005E3FA8">
        <w:rPr>
          <w:rFonts w:ascii="Times New Roman" w:hAnsi="Times New Roman"/>
        </w:rPr>
        <w:t xml:space="preserve"> t</w:t>
      </w:r>
      <w:r w:rsidR="00CC4398" w:rsidRPr="005E3FA8">
        <w:rPr>
          <w:rFonts w:ascii="Times New Roman" w:hAnsi="Times New Roman"/>
        </w:rPr>
        <w:t>he Federal</w:t>
      </w:r>
      <w:r w:rsidR="00726776" w:rsidRPr="005E3FA8">
        <w:rPr>
          <w:rFonts w:ascii="Times New Roman" w:hAnsi="Times New Roman"/>
        </w:rPr>
        <w:t xml:space="preserve"> District Court considered whether exhaustion of administrative procedures is a prerequisite to federal court filing for all claims arising out of the alleged mistreatment of a student with disabilities by public school officials.  Judge </w:t>
      </w:r>
      <w:proofErr w:type="spellStart"/>
      <w:r w:rsidR="00726776" w:rsidRPr="005E3FA8">
        <w:rPr>
          <w:rFonts w:ascii="Times New Roman" w:hAnsi="Times New Roman"/>
        </w:rPr>
        <w:t>Woodlock</w:t>
      </w:r>
      <w:proofErr w:type="spellEnd"/>
      <w:r w:rsidR="00726776" w:rsidRPr="005E3FA8">
        <w:rPr>
          <w:rFonts w:ascii="Times New Roman" w:hAnsi="Times New Roman"/>
        </w:rPr>
        <w:t xml:space="preserve"> noted:</w:t>
      </w:r>
    </w:p>
    <w:p w:rsidR="00726776" w:rsidRPr="005E3FA8" w:rsidRDefault="00726776" w:rsidP="002A1934">
      <w:pPr>
        <w:pStyle w:val="NoSpacing"/>
        <w:rPr>
          <w:rFonts w:ascii="Times New Roman" w:hAnsi="Times New Roman"/>
        </w:rPr>
      </w:pPr>
      <w:r w:rsidRPr="005E3FA8">
        <w:rPr>
          <w:rFonts w:ascii="Times New Roman" w:hAnsi="Times New Roman"/>
        </w:rPr>
        <w:tab/>
      </w:r>
      <w:r w:rsidR="00B64343" w:rsidRPr="005E3FA8">
        <w:rPr>
          <w:rFonts w:ascii="Times New Roman" w:hAnsi="Times New Roman"/>
        </w:rPr>
        <w:t>The district and appella</w:t>
      </w:r>
      <w:r w:rsidR="00EA7331" w:rsidRPr="005E3FA8">
        <w:rPr>
          <w:rFonts w:ascii="Times New Roman" w:hAnsi="Times New Roman"/>
        </w:rPr>
        <w:t>te</w:t>
      </w:r>
      <w:r w:rsidR="00B64343" w:rsidRPr="005E3FA8">
        <w:rPr>
          <w:rFonts w:ascii="Times New Roman" w:hAnsi="Times New Roman"/>
        </w:rPr>
        <w:t xml:space="preserve"> courts in </w:t>
      </w:r>
      <w:r w:rsidR="00B64343" w:rsidRPr="005E3FA8">
        <w:rPr>
          <w:rFonts w:ascii="Times New Roman" w:hAnsi="Times New Roman"/>
          <w:i/>
        </w:rPr>
        <w:t>Frazier</w:t>
      </w:r>
      <w:r w:rsidR="00B64343" w:rsidRPr="005E3FA8">
        <w:rPr>
          <w:rFonts w:ascii="Times New Roman" w:hAnsi="Times New Roman"/>
        </w:rPr>
        <w:t xml:space="preserve"> dismissed on exhaustion</w:t>
      </w:r>
    </w:p>
    <w:p w:rsidR="00B64343" w:rsidRPr="005E3FA8" w:rsidRDefault="00B64343"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grounds</w:t>
      </w:r>
      <w:proofErr w:type="gramEnd"/>
      <w:r w:rsidRPr="005E3FA8">
        <w:rPr>
          <w:rFonts w:ascii="Times New Roman" w:hAnsi="Times New Roman"/>
        </w:rPr>
        <w:t xml:space="preserve"> only those claims, though framed as violations of federal law</w:t>
      </w:r>
    </w:p>
    <w:p w:rsidR="00B64343" w:rsidRPr="005E3FA8" w:rsidRDefault="00B64343"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under</w:t>
      </w:r>
      <w:proofErr w:type="gramEnd"/>
      <w:r w:rsidRPr="005E3FA8">
        <w:rPr>
          <w:rFonts w:ascii="Times New Roman" w:hAnsi="Times New Roman"/>
        </w:rPr>
        <w:t xml:space="preserve"> §1983 or of §504</w:t>
      </w:r>
      <w:r w:rsidRPr="005E3FA8">
        <w:rPr>
          <w:rFonts w:ascii="Times New Roman" w:hAnsi="Times New Roman"/>
          <w:u w:val="single"/>
        </w:rPr>
        <w:t xml:space="preserve"> </w:t>
      </w:r>
      <w:r w:rsidRPr="005E3FA8">
        <w:rPr>
          <w:rFonts w:ascii="Times New Roman" w:hAnsi="Times New Roman"/>
        </w:rPr>
        <w:t>of the Rehabilitation Act of 1973, that “are…</w:t>
      </w:r>
    </w:p>
    <w:p w:rsidR="00B64343" w:rsidRPr="005E3FA8" w:rsidRDefault="00B64343" w:rsidP="002A1934">
      <w:pPr>
        <w:pStyle w:val="NoSpacing"/>
        <w:rPr>
          <w:rFonts w:ascii="Times New Roman" w:hAnsi="Times New Roman"/>
          <w:i/>
        </w:rPr>
      </w:pPr>
      <w:r w:rsidRPr="005E3FA8">
        <w:rPr>
          <w:rFonts w:ascii="Times New Roman" w:hAnsi="Times New Roman"/>
        </w:rPr>
        <w:tab/>
      </w:r>
      <w:proofErr w:type="gramStart"/>
      <w:r w:rsidRPr="005E3FA8">
        <w:rPr>
          <w:rFonts w:ascii="Times New Roman" w:hAnsi="Times New Roman"/>
        </w:rPr>
        <w:t>rooted</w:t>
      </w:r>
      <w:proofErr w:type="gramEnd"/>
      <w:r w:rsidRPr="005E3FA8">
        <w:rPr>
          <w:rFonts w:ascii="Times New Roman" w:hAnsi="Times New Roman"/>
        </w:rPr>
        <w:t xml:space="preserve"> in an alleged violation of the IDEA” </w:t>
      </w:r>
      <w:r w:rsidR="005062EE" w:rsidRPr="005E3FA8">
        <w:rPr>
          <w:rFonts w:ascii="Times New Roman" w:hAnsi="Times New Roman"/>
        </w:rPr>
        <w:t xml:space="preserve">122 F. Supp 2d 104, </w:t>
      </w:r>
      <w:r w:rsidRPr="005E3FA8">
        <w:rPr>
          <w:rFonts w:ascii="Times New Roman" w:hAnsi="Times New Roman"/>
        </w:rPr>
        <w:t>111 (D.</w:t>
      </w:r>
      <w:r w:rsidR="00C4114F" w:rsidRPr="005E3FA8">
        <w:rPr>
          <w:rFonts w:ascii="Times New Roman" w:hAnsi="Times New Roman"/>
        </w:rPr>
        <w:t xml:space="preserve"> </w:t>
      </w:r>
      <w:r w:rsidRPr="005E3FA8">
        <w:rPr>
          <w:rFonts w:ascii="Times New Roman" w:hAnsi="Times New Roman"/>
        </w:rPr>
        <w:t xml:space="preserve">Mass 2000), </w:t>
      </w:r>
    </w:p>
    <w:p w:rsidR="00B64343" w:rsidRPr="005E3FA8" w:rsidRDefault="00B64343" w:rsidP="002A1934">
      <w:pPr>
        <w:pStyle w:val="NoSpacing"/>
        <w:rPr>
          <w:rFonts w:ascii="Times New Roman" w:hAnsi="Times New Roman"/>
        </w:rPr>
      </w:pPr>
      <w:r w:rsidRPr="005E3FA8">
        <w:rPr>
          <w:rFonts w:ascii="Times New Roman" w:hAnsi="Times New Roman"/>
          <w:i/>
        </w:rPr>
        <w:tab/>
      </w:r>
      <w:proofErr w:type="spellStart"/>
      <w:proofErr w:type="gramStart"/>
      <w:r w:rsidRPr="005E3FA8">
        <w:rPr>
          <w:rFonts w:ascii="Times New Roman" w:hAnsi="Times New Roman"/>
          <w:i/>
        </w:rPr>
        <w:t>aff’d</w:t>
      </w:r>
      <w:proofErr w:type="spellEnd"/>
      <w:proofErr w:type="gramEnd"/>
      <w:r w:rsidRPr="005E3FA8">
        <w:rPr>
          <w:rFonts w:ascii="Times New Roman" w:hAnsi="Times New Roman"/>
        </w:rPr>
        <w:t>, 276 F.3d at 64.  In fact, claims that were not related to “a free,</w:t>
      </w:r>
    </w:p>
    <w:p w:rsidR="00B64343" w:rsidRPr="005E3FA8" w:rsidRDefault="00B64343"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appropriate</w:t>
      </w:r>
      <w:proofErr w:type="gramEnd"/>
      <w:r w:rsidRPr="005E3FA8">
        <w:rPr>
          <w:rFonts w:ascii="Times New Roman" w:hAnsi="Times New Roman"/>
        </w:rPr>
        <w:t xml:space="preserve"> public education”, such as violations of Title IX based on alleged </w:t>
      </w:r>
    </w:p>
    <w:p w:rsidR="00B64343" w:rsidRPr="005E3FA8" w:rsidRDefault="00B64343"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sexual</w:t>
      </w:r>
      <w:proofErr w:type="gramEnd"/>
      <w:r w:rsidRPr="005E3FA8">
        <w:rPr>
          <w:rFonts w:ascii="Times New Roman" w:hAnsi="Times New Roman"/>
        </w:rPr>
        <w:t xml:space="preserve"> harassment and retaliation, were treated separately and were not</w:t>
      </w:r>
    </w:p>
    <w:p w:rsidR="00B64343" w:rsidRPr="005E3FA8" w:rsidRDefault="00B64343"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subject</w:t>
      </w:r>
      <w:proofErr w:type="gramEnd"/>
      <w:r w:rsidRPr="005E3FA8">
        <w:rPr>
          <w:rFonts w:ascii="Times New Roman" w:hAnsi="Times New Roman"/>
        </w:rPr>
        <w:t xml:space="preserve"> to IDEA exhaustion.  </w:t>
      </w:r>
      <w:proofErr w:type="gramStart"/>
      <w:r w:rsidRPr="005E3FA8">
        <w:rPr>
          <w:rFonts w:ascii="Times New Roman" w:hAnsi="Times New Roman"/>
        </w:rPr>
        <w:t>122 F. Supp. 2d at 111-14.</w:t>
      </w:r>
      <w:proofErr w:type="gramEnd"/>
    </w:p>
    <w:p w:rsidR="00B64343" w:rsidRPr="005E3FA8" w:rsidRDefault="00A2243F" w:rsidP="002A1934">
      <w:pPr>
        <w:pStyle w:val="NoSpacing"/>
        <w:rPr>
          <w:rFonts w:ascii="Times New Roman" w:hAnsi="Times New Roman"/>
        </w:rPr>
      </w:pPr>
      <w:r w:rsidRPr="005E3FA8">
        <w:rPr>
          <w:rFonts w:ascii="Times New Roman" w:hAnsi="Times New Roman"/>
        </w:rPr>
        <w:tab/>
        <w:t>…</w:t>
      </w:r>
    </w:p>
    <w:p w:rsidR="00B64343" w:rsidRPr="005E3FA8" w:rsidRDefault="00B64343" w:rsidP="002A1934">
      <w:pPr>
        <w:pStyle w:val="NoSpacing"/>
        <w:rPr>
          <w:rFonts w:ascii="Times New Roman" w:hAnsi="Times New Roman"/>
        </w:rPr>
      </w:pPr>
      <w:r w:rsidRPr="005E3FA8">
        <w:rPr>
          <w:rFonts w:ascii="Times New Roman" w:hAnsi="Times New Roman"/>
        </w:rPr>
        <w:tab/>
        <w:t>The IDEA does not require that all claims asserted by a disabled student</w:t>
      </w:r>
    </w:p>
    <w:p w:rsidR="00B64343" w:rsidRPr="005E3FA8" w:rsidRDefault="00B64343"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for</w:t>
      </w:r>
      <w:proofErr w:type="gramEnd"/>
      <w:r w:rsidRPr="005E3FA8">
        <w:rPr>
          <w:rFonts w:ascii="Times New Roman" w:hAnsi="Times New Roman"/>
        </w:rPr>
        <w:t xml:space="preserve"> events occurring in a school setting be channeled through the IDEA’s</w:t>
      </w:r>
    </w:p>
    <w:p w:rsidR="00B64343" w:rsidRPr="005E3FA8" w:rsidRDefault="00B64343"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administrative</w:t>
      </w:r>
      <w:proofErr w:type="gramEnd"/>
      <w:r w:rsidRPr="005E3FA8">
        <w:rPr>
          <w:rFonts w:ascii="Times New Roman" w:hAnsi="Times New Roman"/>
        </w:rPr>
        <w:t xml:space="preserve"> procedures.  Rather</w:t>
      </w:r>
      <w:r w:rsidR="006945EB" w:rsidRPr="005E3FA8">
        <w:rPr>
          <w:rFonts w:ascii="Times New Roman" w:hAnsi="Times New Roman"/>
        </w:rPr>
        <w:t xml:space="preserve">, </w:t>
      </w:r>
      <w:r w:rsidR="006945EB" w:rsidRPr="005E3FA8">
        <w:rPr>
          <w:rFonts w:ascii="Times New Roman" w:hAnsi="Times New Roman"/>
          <w:i/>
        </w:rPr>
        <w:t>Frazier</w:t>
      </w:r>
      <w:r w:rsidR="006945EB" w:rsidRPr="005E3FA8">
        <w:rPr>
          <w:rFonts w:ascii="Times New Roman" w:hAnsi="Times New Roman"/>
        </w:rPr>
        <w:t xml:space="preserve"> holds that a plaintiff must</w:t>
      </w:r>
    </w:p>
    <w:p w:rsidR="006945EB" w:rsidRPr="005E3FA8" w:rsidRDefault="006945EB"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exhaust</w:t>
      </w:r>
      <w:proofErr w:type="gramEnd"/>
      <w:r w:rsidRPr="005E3FA8">
        <w:rPr>
          <w:rFonts w:ascii="Times New Roman" w:hAnsi="Times New Roman"/>
        </w:rPr>
        <w:t xml:space="preserve"> administrative procedures with respect to any claim that asserts</w:t>
      </w:r>
    </w:p>
    <w:p w:rsidR="006945EB" w:rsidRPr="005E3FA8" w:rsidRDefault="006945EB"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a</w:t>
      </w:r>
      <w:proofErr w:type="gramEnd"/>
      <w:r w:rsidRPr="005E3FA8">
        <w:rPr>
          <w:rFonts w:ascii="Times New Roman" w:hAnsi="Times New Roman"/>
        </w:rPr>
        <w:t xml:space="preserve"> violation of the right to a FAPE.  In addition, </w:t>
      </w:r>
      <w:r w:rsidRPr="005E3FA8">
        <w:rPr>
          <w:rFonts w:ascii="Times New Roman" w:hAnsi="Times New Roman"/>
          <w:i/>
        </w:rPr>
        <w:t>Frazier</w:t>
      </w:r>
      <w:r w:rsidRPr="005E3FA8">
        <w:rPr>
          <w:rFonts w:ascii="Times New Roman" w:hAnsi="Times New Roman"/>
        </w:rPr>
        <w:t xml:space="preserve"> suggests that a claim </w:t>
      </w:r>
    </w:p>
    <w:p w:rsidR="006945EB" w:rsidRPr="005E3FA8" w:rsidRDefault="006945EB"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asserted</w:t>
      </w:r>
      <w:proofErr w:type="gramEnd"/>
      <w:r w:rsidRPr="005E3FA8">
        <w:rPr>
          <w:rFonts w:ascii="Times New Roman" w:hAnsi="Times New Roman"/>
        </w:rPr>
        <w:t xml:space="preserve"> under non-IDEA law may still be subject to the exhaustion</w:t>
      </w:r>
    </w:p>
    <w:p w:rsidR="006945EB" w:rsidRPr="005E3FA8" w:rsidRDefault="006945EB"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requirement</w:t>
      </w:r>
      <w:proofErr w:type="gramEnd"/>
      <w:r w:rsidRPr="005E3FA8">
        <w:rPr>
          <w:rFonts w:ascii="Times New Roman" w:hAnsi="Times New Roman"/>
        </w:rPr>
        <w:t xml:space="preserve"> if the IDEA procedures either can provide some meaningful</w:t>
      </w:r>
    </w:p>
    <w:p w:rsidR="006945EB" w:rsidRPr="005E3FA8" w:rsidRDefault="006945EB"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relief</w:t>
      </w:r>
      <w:proofErr w:type="gramEnd"/>
      <w:r w:rsidRPr="005E3FA8">
        <w:rPr>
          <w:rFonts w:ascii="Times New Roman" w:hAnsi="Times New Roman"/>
        </w:rPr>
        <w:t xml:space="preserve"> or a superior record on which the court could make its determination.</w:t>
      </w:r>
    </w:p>
    <w:p w:rsidR="006945EB" w:rsidRPr="005E3FA8" w:rsidRDefault="006945EB" w:rsidP="002A1934">
      <w:pPr>
        <w:pStyle w:val="NoSpacing"/>
        <w:rPr>
          <w:rFonts w:ascii="Times New Roman" w:hAnsi="Times New Roman"/>
        </w:rPr>
      </w:pPr>
    </w:p>
    <w:p w:rsidR="006945EB" w:rsidRPr="005E3FA8" w:rsidRDefault="00245D46" w:rsidP="002A1934">
      <w:pPr>
        <w:pStyle w:val="NoSpacing"/>
        <w:rPr>
          <w:rFonts w:ascii="Times New Roman" w:hAnsi="Times New Roman"/>
        </w:rPr>
      </w:pPr>
      <w:r w:rsidRPr="005E3FA8">
        <w:rPr>
          <w:rFonts w:ascii="Times New Roman" w:hAnsi="Times New Roman"/>
        </w:rPr>
        <w:t>The court found</w:t>
      </w:r>
      <w:r w:rsidR="006945EB" w:rsidRPr="005E3FA8">
        <w:rPr>
          <w:rFonts w:ascii="Times New Roman" w:hAnsi="Times New Roman"/>
        </w:rPr>
        <w:t xml:space="preserve"> that the IDEA</w:t>
      </w:r>
      <w:r w:rsidR="00751406" w:rsidRPr="005E3FA8">
        <w:rPr>
          <w:rFonts w:ascii="Times New Roman" w:hAnsi="Times New Roman"/>
        </w:rPr>
        <w:t>’</w:t>
      </w:r>
      <w:r w:rsidR="006945EB" w:rsidRPr="005E3FA8">
        <w:rPr>
          <w:rFonts w:ascii="Times New Roman" w:hAnsi="Times New Roman"/>
        </w:rPr>
        <w:t xml:space="preserve">s exhaustion provisions </w:t>
      </w:r>
      <w:r w:rsidR="00534840" w:rsidRPr="005E3FA8">
        <w:rPr>
          <w:rFonts w:ascii="Times New Roman" w:hAnsi="Times New Roman"/>
        </w:rPr>
        <w:t>did not extend to the plaintiff</w:t>
      </w:r>
      <w:r w:rsidR="006945EB" w:rsidRPr="005E3FA8">
        <w:rPr>
          <w:rFonts w:ascii="Times New Roman" w:hAnsi="Times New Roman"/>
        </w:rPr>
        <w:t>s</w:t>
      </w:r>
      <w:r w:rsidR="00534840" w:rsidRPr="005E3FA8">
        <w:rPr>
          <w:rFonts w:ascii="Times New Roman" w:hAnsi="Times New Roman"/>
        </w:rPr>
        <w:t>’</w:t>
      </w:r>
      <w:r w:rsidR="006945EB" w:rsidRPr="005E3FA8">
        <w:rPr>
          <w:rFonts w:ascii="Times New Roman" w:hAnsi="Times New Roman"/>
        </w:rPr>
        <w:t xml:space="preserve"> 42 U.S.C. §1983 claim</w:t>
      </w:r>
      <w:r w:rsidR="00534840" w:rsidRPr="005E3FA8">
        <w:rPr>
          <w:rFonts w:ascii="Times New Roman" w:hAnsi="Times New Roman"/>
        </w:rPr>
        <w:t xml:space="preserve"> </w:t>
      </w:r>
      <w:r w:rsidR="006945EB" w:rsidRPr="005E3FA8">
        <w:rPr>
          <w:rFonts w:ascii="Times New Roman" w:hAnsi="Times New Roman"/>
        </w:rPr>
        <w:t>for bodily integrity nor to their state tort claim</w:t>
      </w:r>
      <w:r w:rsidRPr="005E3FA8">
        <w:rPr>
          <w:rFonts w:ascii="Times New Roman" w:hAnsi="Times New Roman"/>
        </w:rPr>
        <w:t xml:space="preserve">.  It </w:t>
      </w:r>
      <w:r w:rsidR="006945EB" w:rsidRPr="005E3FA8">
        <w:rPr>
          <w:rFonts w:ascii="Times New Roman" w:hAnsi="Times New Roman"/>
        </w:rPr>
        <w:t xml:space="preserve">observed that although the conduct undergirding all of the plaintiff’s claims was the same, administrative resolution of claims not directly related to a violation of the IDEA’s guarantee of a free, appropriate public education was not warranted.  </w:t>
      </w:r>
      <w:r w:rsidR="00734F59" w:rsidRPr="005E3FA8">
        <w:rPr>
          <w:rFonts w:ascii="Times New Roman" w:hAnsi="Times New Roman"/>
        </w:rPr>
        <w:t>Noting that courts in this jurisdiction have consistently opined that the single most important benefit of the IDEA’s administrative dispute resolution proces</w:t>
      </w:r>
      <w:r w:rsidRPr="005E3FA8">
        <w:rPr>
          <w:rFonts w:ascii="Times New Roman" w:hAnsi="Times New Roman"/>
        </w:rPr>
        <w:t xml:space="preserve">s is the development of a </w:t>
      </w:r>
      <w:r w:rsidR="00734F59" w:rsidRPr="005E3FA8">
        <w:rPr>
          <w:rFonts w:ascii="Times New Roman" w:hAnsi="Times New Roman"/>
        </w:rPr>
        <w:t xml:space="preserve"> pertinent, organized and credible factual record by a fact finder who has expertise and experience in evaluating complex IDEA related c</w:t>
      </w:r>
      <w:r w:rsidR="00864FE2" w:rsidRPr="005E3FA8">
        <w:rPr>
          <w:rFonts w:ascii="Times New Roman" w:hAnsi="Times New Roman"/>
        </w:rPr>
        <w:t>laims and remedies, the  c</w:t>
      </w:r>
      <w:r w:rsidR="00534840" w:rsidRPr="005E3FA8">
        <w:rPr>
          <w:rFonts w:ascii="Times New Roman" w:hAnsi="Times New Roman"/>
        </w:rPr>
        <w:t>ourt found:</w:t>
      </w:r>
    </w:p>
    <w:p w:rsidR="006945EB" w:rsidRPr="005E3FA8" w:rsidRDefault="006945EB" w:rsidP="002A1934">
      <w:pPr>
        <w:pStyle w:val="NoSpacing"/>
        <w:rPr>
          <w:rFonts w:ascii="Times New Roman" w:hAnsi="Times New Roman"/>
        </w:rPr>
      </w:pPr>
      <w:r w:rsidRPr="005E3FA8">
        <w:rPr>
          <w:rFonts w:ascii="Times New Roman" w:hAnsi="Times New Roman"/>
        </w:rPr>
        <w:tab/>
        <w:t xml:space="preserve">Exhaustion of the IDEA administrative process would provide little benefit </w:t>
      </w:r>
    </w:p>
    <w:p w:rsidR="006945EB" w:rsidRPr="005E3FA8" w:rsidRDefault="006945EB"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because</w:t>
      </w:r>
      <w:proofErr w:type="gramEnd"/>
      <w:r w:rsidRPr="005E3FA8">
        <w:rPr>
          <w:rFonts w:ascii="Times New Roman" w:hAnsi="Times New Roman"/>
        </w:rPr>
        <w:t xml:space="preserve"> it can neither provide appropriate relief nor does it offer any particular </w:t>
      </w:r>
    </w:p>
    <w:p w:rsidR="006945EB" w:rsidRPr="005E3FA8" w:rsidRDefault="006945EB"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expertise</w:t>
      </w:r>
      <w:proofErr w:type="gramEnd"/>
      <w:r w:rsidRPr="005E3FA8">
        <w:rPr>
          <w:rFonts w:ascii="Times New Roman" w:hAnsi="Times New Roman"/>
        </w:rPr>
        <w:t>.  In fact, courts are the traditional and more expert arbiters of questi</w:t>
      </w:r>
      <w:r w:rsidR="00E55251" w:rsidRPr="005E3FA8">
        <w:rPr>
          <w:rFonts w:ascii="Times New Roman" w:hAnsi="Times New Roman"/>
        </w:rPr>
        <w:t>ons</w:t>
      </w:r>
    </w:p>
    <w:p w:rsidR="00E55251" w:rsidRPr="005E3FA8" w:rsidRDefault="00E55251"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of</w:t>
      </w:r>
      <w:proofErr w:type="gramEnd"/>
      <w:r w:rsidRPr="005E3FA8">
        <w:rPr>
          <w:rFonts w:ascii="Times New Roman" w:hAnsi="Times New Roman"/>
        </w:rPr>
        <w:t xml:space="preserve"> tort and constitutional law.  Finally, as a matter of statutory interpretation, </w:t>
      </w:r>
    </w:p>
    <w:p w:rsidR="00E55251" w:rsidRPr="005E3FA8" w:rsidRDefault="00E55251"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the</w:t>
      </w:r>
      <w:proofErr w:type="gramEnd"/>
      <w:r w:rsidRPr="005E3FA8">
        <w:rPr>
          <w:rFonts w:ascii="Times New Roman" w:hAnsi="Times New Roman"/>
        </w:rPr>
        <w:t xml:space="preserve"> IDEA exhaustion provision does not apply because the tort and constitutional</w:t>
      </w:r>
    </w:p>
    <w:p w:rsidR="00E55251" w:rsidRPr="005E3FA8" w:rsidRDefault="00E55251" w:rsidP="002A1934">
      <w:pPr>
        <w:pStyle w:val="NoSpacing"/>
        <w:rPr>
          <w:rFonts w:ascii="Times New Roman" w:hAnsi="Times New Roman"/>
        </w:rPr>
      </w:pPr>
      <w:r w:rsidRPr="005E3FA8">
        <w:rPr>
          <w:rFonts w:ascii="Times New Roman" w:hAnsi="Times New Roman"/>
        </w:rPr>
        <w:tab/>
      </w:r>
      <w:proofErr w:type="gramStart"/>
      <w:r w:rsidRPr="005E3FA8">
        <w:rPr>
          <w:rFonts w:ascii="Times New Roman" w:hAnsi="Times New Roman"/>
        </w:rPr>
        <w:t>claims</w:t>
      </w:r>
      <w:proofErr w:type="gramEnd"/>
      <w:r w:rsidRPr="005E3FA8">
        <w:rPr>
          <w:rFonts w:ascii="Times New Roman" w:hAnsi="Times New Roman"/>
        </w:rPr>
        <w:t xml:space="preserve"> are not claims for which relief is available in any sense under the IDEA. </w:t>
      </w:r>
    </w:p>
    <w:p w:rsidR="00E55251" w:rsidRPr="005E3FA8" w:rsidRDefault="003D2139" w:rsidP="002A1934">
      <w:pPr>
        <w:pStyle w:val="NoSpacing"/>
        <w:rPr>
          <w:rFonts w:ascii="Times New Roman" w:hAnsi="Times New Roman"/>
        </w:rPr>
      </w:pPr>
      <w:r w:rsidRPr="005E3FA8">
        <w:rPr>
          <w:rFonts w:ascii="Times New Roman" w:hAnsi="Times New Roman"/>
        </w:rPr>
        <w:t xml:space="preserve">            </w:t>
      </w:r>
      <w:proofErr w:type="gramStart"/>
      <w:r w:rsidR="00E55251" w:rsidRPr="005E3FA8">
        <w:rPr>
          <w:rFonts w:ascii="Times New Roman" w:hAnsi="Times New Roman"/>
        </w:rPr>
        <w:t>(20 U.S.C. §1415 (1).</w:t>
      </w:r>
      <w:r w:rsidR="005062EE" w:rsidRPr="005E3FA8">
        <w:rPr>
          <w:rFonts w:ascii="Times New Roman" w:hAnsi="Times New Roman"/>
        </w:rPr>
        <w:t>)</w:t>
      </w:r>
      <w:proofErr w:type="gramEnd"/>
    </w:p>
    <w:p w:rsidR="00734F59" w:rsidRPr="005E3FA8" w:rsidRDefault="00734F59" w:rsidP="002A1934">
      <w:pPr>
        <w:pStyle w:val="NoSpacing"/>
        <w:rPr>
          <w:rFonts w:ascii="Times New Roman" w:hAnsi="Times New Roman"/>
        </w:rPr>
      </w:pPr>
      <w:proofErr w:type="gramStart"/>
      <w:r w:rsidRPr="005E3FA8">
        <w:rPr>
          <w:rFonts w:ascii="Times New Roman" w:hAnsi="Times New Roman"/>
          <w:i/>
        </w:rPr>
        <w:t>Bowden</w:t>
      </w:r>
      <w:r w:rsidR="003D2139" w:rsidRPr="005E3FA8">
        <w:rPr>
          <w:rFonts w:ascii="Times New Roman" w:hAnsi="Times New Roman"/>
        </w:rPr>
        <w:t>,</w:t>
      </w:r>
      <w:r w:rsidRPr="005E3FA8">
        <w:rPr>
          <w:rFonts w:ascii="Times New Roman" w:hAnsi="Times New Roman"/>
          <w:i/>
        </w:rPr>
        <w:t xml:space="preserve"> supra</w:t>
      </w:r>
      <w:r w:rsidR="00EE7066" w:rsidRPr="005E3FA8">
        <w:rPr>
          <w:rFonts w:ascii="Times New Roman" w:hAnsi="Times New Roman"/>
        </w:rPr>
        <w:t xml:space="preserve"> </w:t>
      </w:r>
      <w:r w:rsidR="005062EE" w:rsidRPr="005E3FA8">
        <w:rPr>
          <w:rFonts w:ascii="Times New Roman" w:hAnsi="Times New Roman"/>
        </w:rPr>
        <w:t>at</w:t>
      </w:r>
      <w:r w:rsidR="003D2139" w:rsidRPr="005E3FA8">
        <w:rPr>
          <w:rFonts w:ascii="Times New Roman" w:hAnsi="Times New Roman"/>
        </w:rPr>
        <w:t xml:space="preserve"> 4.</w:t>
      </w:r>
      <w:proofErr w:type="gramEnd"/>
      <w:r w:rsidR="00EE7066" w:rsidRPr="005E3FA8">
        <w:rPr>
          <w:rStyle w:val="FootnoteReference"/>
          <w:rFonts w:ascii="Times New Roman" w:hAnsi="Times New Roman"/>
        </w:rPr>
        <w:footnoteReference w:id="10"/>
      </w:r>
      <w:r w:rsidR="00EE7066" w:rsidRPr="005E3FA8">
        <w:rPr>
          <w:rFonts w:ascii="Times New Roman" w:hAnsi="Times New Roman"/>
        </w:rPr>
        <w:t xml:space="preserve"> </w:t>
      </w:r>
    </w:p>
    <w:p w:rsidR="00734F59" w:rsidRPr="005E3FA8" w:rsidRDefault="00734F59" w:rsidP="002A1934">
      <w:pPr>
        <w:pStyle w:val="NoSpacing"/>
        <w:rPr>
          <w:rFonts w:ascii="Times New Roman" w:hAnsi="Times New Roman"/>
        </w:rPr>
      </w:pPr>
    </w:p>
    <w:p w:rsidR="00CC4398" w:rsidRPr="005E3FA8" w:rsidRDefault="00424845" w:rsidP="002A1934">
      <w:pPr>
        <w:pStyle w:val="NoSpacing"/>
        <w:rPr>
          <w:rFonts w:ascii="Times New Roman" w:hAnsi="Times New Roman"/>
        </w:rPr>
      </w:pPr>
      <w:r w:rsidRPr="005E3FA8">
        <w:rPr>
          <w:rFonts w:ascii="Times New Roman" w:hAnsi="Times New Roman"/>
        </w:rPr>
        <w:t xml:space="preserve">     </w:t>
      </w:r>
      <w:r w:rsidR="00CC4398" w:rsidRPr="005E3FA8">
        <w:rPr>
          <w:rFonts w:ascii="Times New Roman" w:hAnsi="Times New Roman"/>
        </w:rPr>
        <w:t xml:space="preserve">The facts of the instant matter fit within the parameters described by Judge </w:t>
      </w:r>
      <w:proofErr w:type="spellStart"/>
      <w:r w:rsidR="00CC4398" w:rsidRPr="005E3FA8">
        <w:rPr>
          <w:rFonts w:ascii="Times New Roman" w:hAnsi="Times New Roman"/>
        </w:rPr>
        <w:t>Woodlock</w:t>
      </w:r>
      <w:proofErr w:type="spellEnd"/>
      <w:r w:rsidR="00CC4398" w:rsidRPr="005E3FA8">
        <w:rPr>
          <w:rFonts w:ascii="Times New Roman" w:hAnsi="Times New Roman"/>
        </w:rPr>
        <w:t xml:space="preserve"> in </w:t>
      </w:r>
      <w:r w:rsidR="00CC4398" w:rsidRPr="005E3FA8">
        <w:rPr>
          <w:rFonts w:ascii="Times New Roman" w:hAnsi="Times New Roman"/>
          <w:i/>
        </w:rPr>
        <w:t>Bowden</w:t>
      </w:r>
      <w:r w:rsidR="00CC4398" w:rsidRPr="005E3FA8">
        <w:rPr>
          <w:rFonts w:ascii="Times New Roman" w:hAnsi="Times New Roman"/>
        </w:rPr>
        <w:t xml:space="preserve">, </w:t>
      </w:r>
      <w:r w:rsidR="00CC4398" w:rsidRPr="005E3FA8">
        <w:rPr>
          <w:rFonts w:ascii="Times New Roman" w:hAnsi="Times New Roman"/>
          <w:i/>
        </w:rPr>
        <w:t>supra</w:t>
      </w:r>
      <w:r w:rsidR="00CC4398" w:rsidRPr="005E3FA8">
        <w:rPr>
          <w:rFonts w:ascii="Times New Roman" w:hAnsi="Times New Roman"/>
        </w:rPr>
        <w:t>, as not meeting the statutory purpose of administrative exhaustion, and outside the exhaustion param</w:t>
      </w:r>
      <w:r w:rsidR="00534840" w:rsidRPr="005E3FA8">
        <w:rPr>
          <w:rFonts w:ascii="Times New Roman" w:hAnsi="Times New Roman"/>
        </w:rPr>
        <w:t>eters established by the First C</w:t>
      </w:r>
      <w:r w:rsidR="00CC4398" w:rsidRPr="005E3FA8">
        <w:rPr>
          <w:rFonts w:ascii="Times New Roman" w:hAnsi="Times New Roman"/>
        </w:rPr>
        <w:t xml:space="preserve">ircuit in </w:t>
      </w:r>
      <w:r w:rsidR="00CC4398" w:rsidRPr="005E3FA8">
        <w:rPr>
          <w:rFonts w:ascii="Times New Roman" w:hAnsi="Times New Roman"/>
          <w:i/>
        </w:rPr>
        <w:t>Frazier</w:t>
      </w:r>
      <w:r w:rsidR="00CC4398" w:rsidRPr="005E3FA8">
        <w:rPr>
          <w:rFonts w:ascii="Times New Roman" w:hAnsi="Times New Roman"/>
        </w:rPr>
        <w:t xml:space="preserve">.  Taken together </w:t>
      </w:r>
      <w:r w:rsidR="00CC4398" w:rsidRPr="005E3FA8">
        <w:rPr>
          <w:rFonts w:ascii="Times New Roman" w:hAnsi="Times New Roman"/>
          <w:i/>
        </w:rPr>
        <w:t xml:space="preserve">Frazier </w:t>
      </w:r>
      <w:r w:rsidR="00CC4398" w:rsidRPr="005E3FA8">
        <w:rPr>
          <w:rFonts w:ascii="Times New Roman" w:hAnsi="Times New Roman"/>
        </w:rPr>
        <w:t xml:space="preserve">and its progeny in Massachusetts, in particular </w:t>
      </w:r>
      <w:r w:rsidR="00CC4398" w:rsidRPr="005E3FA8">
        <w:rPr>
          <w:rFonts w:ascii="Times New Roman" w:hAnsi="Times New Roman"/>
          <w:i/>
        </w:rPr>
        <w:t>CBDE</w:t>
      </w:r>
      <w:r w:rsidR="00CC4398" w:rsidRPr="005E3FA8">
        <w:rPr>
          <w:rFonts w:ascii="Times New Roman" w:hAnsi="Times New Roman"/>
        </w:rPr>
        <w:t xml:space="preserve">, </w:t>
      </w:r>
      <w:r w:rsidR="00CC4398" w:rsidRPr="005E3FA8">
        <w:rPr>
          <w:rFonts w:ascii="Times New Roman" w:hAnsi="Times New Roman"/>
          <w:i/>
        </w:rPr>
        <w:t>supra</w:t>
      </w:r>
      <w:r w:rsidR="00CC4398" w:rsidRPr="005E3FA8">
        <w:rPr>
          <w:rFonts w:ascii="Times New Roman" w:hAnsi="Times New Roman"/>
        </w:rPr>
        <w:t>, the most recent U.S. District Court decision to address the principle of exhaustion of administrative remedies under the IDEA, appear to require a three pronged inquiry whenever the IDEA’s exhaustion provision is a consideration.</w:t>
      </w:r>
    </w:p>
    <w:p w:rsidR="00424845" w:rsidRPr="005E3FA8" w:rsidRDefault="00424845" w:rsidP="002A1934">
      <w:pPr>
        <w:pStyle w:val="NoSpacing"/>
        <w:rPr>
          <w:rFonts w:ascii="Times New Roman" w:hAnsi="Times New Roman"/>
        </w:rPr>
      </w:pPr>
      <w:r w:rsidRPr="005E3FA8">
        <w:rPr>
          <w:rFonts w:ascii="Times New Roman" w:hAnsi="Times New Roman"/>
        </w:rPr>
        <w:t xml:space="preserve">     </w:t>
      </w:r>
      <w:r w:rsidR="00CC4398" w:rsidRPr="005E3FA8">
        <w:rPr>
          <w:rFonts w:ascii="Times New Roman" w:hAnsi="Times New Roman"/>
        </w:rPr>
        <w:t xml:space="preserve"> First, is the event(s) giving rise to the student’s claim “related” to the student’s status as a student with disabilities or to the discharge of the school’s obligations under the IDEA, Sect</w:t>
      </w:r>
      <w:r w:rsidRPr="005E3FA8">
        <w:rPr>
          <w:rFonts w:ascii="Times New Roman" w:hAnsi="Times New Roman"/>
        </w:rPr>
        <w:t xml:space="preserve">ion 504 and/or M.G.L. c. 71B?  </w:t>
      </w:r>
    </w:p>
    <w:p w:rsidR="00424845" w:rsidRPr="005E3FA8" w:rsidRDefault="00424845" w:rsidP="002A1934">
      <w:pPr>
        <w:pStyle w:val="NoSpacing"/>
        <w:rPr>
          <w:rFonts w:ascii="Times New Roman" w:hAnsi="Times New Roman"/>
        </w:rPr>
      </w:pPr>
      <w:r w:rsidRPr="005E3FA8">
        <w:rPr>
          <w:rFonts w:ascii="Times New Roman" w:hAnsi="Times New Roman"/>
        </w:rPr>
        <w:t xml:space="preserve">     </w:t>
      </w:r>
      <w:r w:rsidR="00CC4398" w:rsidRPr="005E3FA8">
        <w:rPr>
          <w:rFonts w:ascii="Times New Roman" w:hAnsi="Times New Roman"/>
        </w:rPr>
        <w:t>Second, is the relief the student is seeking available in a claim rooted in the IDEA, Section 504 and/or M.G.L. c. 71B? And</w:t>
      </w:r>
    </w:p>
    <w:p w:rsidR="00CC4398" w:rsidRPr="005E3FA8" w:rsidRDefault="00424845" w:rsidP="002A1934">
      <w:pPr>
        <w:pStyle w:val="NoSpacing"/>
        <w:rPr>
          <w:rFonts w:ascii="Times New Roman" w:hAnsi="Times New Roman"/>
        </w:rPr>
      </w:pPr>
      <w:r w:rsidRPr="005E3FA8">
        <w:rPr>
          <w:rFonts w:ascii="Times New Roman" w:hAnsi="Times New Roman"/>
        </w:rPr>
        <w:t xml:space="preserve">     </w:t>
      </w:r>
      <w:r w:rsidR="00CC4398" w:rsidRPr="005E3FA8">
        <w:rPr>
          <w:rFonts w:ascii="Times New Roman" w:hAnsi="Times New Roman"/>
        </w:rPr>
        <w:t xml:space="preserve">Third, does </w:t>
      </w:r>
      <w:r w:rsidR="008879EC" w:rsidRPr="005E3FA8">
        <w:rPr>
          <w:rFonts w:ascii="Times New Roman" w:hAnsi="Times New Roman"/>
        </w:rPr>
        <w:t>this</w:t>
      </w:r>
      <w:r w:rsidR="00CC4398" w:rsidRPr="005E3FA8">
        <w:rPr>
          <w:rFonts w:ascii="Times New Roman" w:hAnsi="Times New Roman"/>
        </w:rPr>
        <w:t xml:space="preserve"> administrative due process agency have a particular expertise in assessing and determining the factual basis of the student’s claim so as to develop a useful administrative record for a judicial review?</w:t>
      </w:r>
    </w:p>
    <w:p w:rsidR="00F928CC" w:rsidRPr="005E3FA8" w:rsidRDefault="00F928CC" w:rsidP="002A1934">
      <w:pPr>
        <w:pStyle w:val="NoSpacing"/>
        <w:rPr>
          <w:rFonts w:ascii="Times New Roman" w:hAnsi="Times New Roman"/>
        </w:rPr>
      </w:pPr>
    </w:p>
    <w:p w:rsidR="00534840" w:rsidRPr="005E3FA8" w:rsidRDefault="00424845" w:rsidP="002A1934">
      <w:pPr>
        <w:pStyle w:val="NoSpacing"/>
        <w:rPr>
          <w:rFonts w:ascii="Times New Roman" w:hAnsi="Times New Roman"/>
        </w:rPr>
      </w:pPr>
      <w:r w:rsidRPr="005E3FA8">
        <w:rPr>
          <w:rFonts w:ascii="Times New Roman" w:hAnsi="Times New Roman"/>
        </w:rPr>
        <w:t xml:space="preserve">     </w:t>
      </w:r>
      <w:r w:rsidR="00CC4398" w:rsidRPr="005E3FA8">
        <w:rPr>
          <w:rFonts w:ascii="Times New Roman" w:hAnsi="Times New Roman"/>
        </w:rPr>
        <w:t>Even when viewing all the factual allegations set out in the Student’s hearing request as true, drawing all permissible inferences from them in her favor, and taking the most generous view of her legal position in this jurisdiction, I find that the BSEA cannot properly entertain her claim.  The instant matter is distinguishable from those cases in which the courts have found a connec</w:t>
      </w:r>
      <w:r w:rsidR="00534840" w:rsidRPr="005E3FA8">
        <w:rPr>
          <w:rFonts w:ascii="Times New Roman" w:hAnsi="Times New Roman"/>
        </w:rPr>
        <w:t>tion between the IDEA-eligible s</w:t>
      </w:r>
      <w:r w:rsidR="00CC4398" w:rsidRPr="005E3FA8">
        <w:rPr>
          <w:rFonts w:ascii="Times New Roman" w:hAnsi="Times New Roman"/>
        </w:rPr>
        <w:t>tudent’s injury and the school’s IDEA responsibilities</w:t>
      </w:r>
      <w:r w:rsidR="00534840" w:rsidRPr="005E3FA8">
        <w:rPr>
          <w:rFonts w:ascii="Times New Roman" w:hAnsi="Times New Roman"/>
        </w:rPr>
        <w:t>.</w:t>
      </w:r>
      <w:r w:rsidR="00CC4398" w:rsidRPr="005E3FA8">
        <w:rPr>
          <w:rFonts w:ascii="Times New Roman" w:hAnsi="Times New Roman"/>
        </w:rPr>
        <w:t xml:space="preserve">   </w:t>
      </w:r>
    </w:p>
    <w:p w:rsidR="00F928CC" w:rsidRPr="005E3FA8" w:rsidRDefault="00F928CC" w:rsidP="002A1934">
      <w:pPr>
        <w:pStyle w:val="NoSpacing"/>
        <w:rPr>
          <w:rFonts w:ascii="Times New Roman" w:hAnsi="Times New Roman"/>
        </w:rPr>
      </w:pPr>
    </w:p>
    <w:p w:rsidR="00424845" w:rsidRDefault="00CC4398" w:rsidP="002A1934">
      <w:pPr>
        <w:pStyle w:val="NoSpacing"/>
        <w:rPr>
          <w:rFonts w:ascii="Times New Roman" w:hAnsi="Times New Roman"/>
        </w:rPr>
      </w:pPr>
      <w:r w:rsidRPr="005E3FA8">
        <w:rPr>
          <w:rFonts w:ascii="Times New Roman" w:hAnsi="Times New Roman"/>
        </w:rPr>
        <w:t xml:space="preserve"> </w:t>
      </w:r>
      <w:r w:rsidR="00534840" w:rsidRPr="005E3FA8">
        <w:rPr>
          <w:rFonts w:ascii="Times New Roman" w:hAnsi="Times New Roman"/>
        </w:rPr>
        <w:t xml:space="preserve">          </w:t>
      </w:r>
      <w:r w:rsidR="00424845" w:rsidRPr="005E3FA8">
        <w:rPr>
          <w:rFonts w:ascii="Times New Roman" w:hAnsi="Times New Roman"/>
        </w:rPr>
        <w:t xml:space="preserve">Only one of the Parent’s prayers for relief cites a federal statute: 20 U.S.C. § 1983.  This is not, by itself, a law “protecting the rights of children with disabilities”.  It is a procedural vehicle to enforce substantive rights accorded by other federal statutes.  A Section 1983 claim cannot stand on its own. In the special education context 20 U.S.C. § 1983 may be used to enhance an otherwise viable claim under statutes that specifically provide civil rights and due process for students with disabilities such as the IDEA.  It may not, however, provide the only basis for claims under related statutes such as Section 504 or the ADA.  </w:t>
      </w:r>
      <w:proofErr w:type="gramStart"/>
      <w:r w:rsidR="00424845" w:rsidRPr="005E3FA8">
        <w:rPr>
          <w:rFonts w:ascii="Times New Roman" w:hAnsi="Times New Roman"/>
          <w:i/>
        </w:rPr>
        <w:t>M.M.R.Z. v. Puerto Rico</w:t>
      </w:r>
      <w:r w:rsidR="00424845" w:rsidRPr="005E3FA8">
        <w:rPr>
          <w:rFonts w:ascii="Times New Roman" w:hAnsi="Times New Roman"/>
        </w:rPr>
        <w:t>, 528 F.3d 9 (1</w:t>
      </w:r>
      <w:r w:rsidR="00424845" w:rsidRPr="005E3FA8">
        <w:rPr>
          <w:rFonts w:ascii="Times New Roman" w:hAnsi="Times New Roman"/>
          <w:vertAlign w:val="superscript"/>
        </w:rPr>
        <w:t>st</w:t>
      </w:r>
      <w:r w:rsidR="00424845" w:rsidRPr="005E3FA8">
        <w:rPr>
          <w:rFonts w:ascii="Times New Roman" w:hAnsi="Times New Roman"/>
        </w:rPr>
        <w:t>.Cir. 2008).</w:t>
      </w:r>
      <w:proofErr w:type="gramEnd"/>
      <w:r w:rsidR="00424845" w:rsidRPr="005E3FA8">
        <w:rPr>
          <w:rFonts w:ascii="Times New Roman" w:hAnsi="Times New Roman"/>
        </w:rPr>
        <w:t xml:space="preserve">  As neither the Parent’s other claims for relief nor the facts set out in her hearing request implicate a federal statute </w:t>
      </w:r>
      <w:r w:rsidR="00534840" w:rsidRPr="005E3FA8">
        <w:rPr>
          <w:rFonts w:ascii="Times New Roman" w:hAnsi="Times New Roman"/>
        </w:rPr>
        <w:t>specifically designed to</w:t>
      </w:r>
      <w:r w:rsidR="00424845" w:rsidRPr="005E3FA8">
        <w:rPr>
          <w:rFonts w:ascii="Times New Roman" w:hAnsi="Times New Roman"/>
        </w:rPr>
        <w:t xml:space="preserve"> address </w:t>
      </w:r>
      <w:proofErr w:type="spellStart"/>
      <w:r w:rsidR="00424845" w:rsidRPr="005E3FA8">
        <w:rPr>
          <w:rFonts w:ascii="Times New Roman" w:hAnsi="Times New Roman"/>
        </w:rPr>
        <w:t>Xylia’s</w:t>
      </w:r>
      <w:proofErr w:type="spellEnd"/>
      <w:r w:rsidR="00424845" w:rsidRPr="005E3FA8">
        <w:rPr>
          <w:rFonts w:ascii="Times New Roman" w:hAnsi="Times New Roman"/>
        </w:rPr>
        <w:t xml:space="preserve"> status as a student with disabilities, her Section 1983 claim is an insufficient basis on which to posit the jurisdiction of an IDEA dispute resolution administrative agency. </w:t>
      </w:r>
    </w:p>
    <w:p w:rsidR="00390CAC" w:rsidRPr="005E3FA8" w:rsidRDefault="00390CAC" w:rsidP="002A1934">
      <w:pPr>
        <w:pStyle w:val="NoSpacing"/>
        <w:rPr>
          <w:rFonts w:ascii="Times New Roman" w:hAnsi="Times New Roman"/>
        </w:rPr>
      </w:pPr>
    </w:p>
    <w:p w:rsidR="00D46FA1" w:rsidRPr="005E3FA8" w:rsidRDefault="00EC3301" w:rsidP="002A1934">
      <w:pPr>
        <w:pStyle w:val="NoSpacing"/>
        <w:rPr>
          <w:rFonts w:ascii="Times New Roman" w:hAnsi="Times New Roman"/>
        </w:rPr>
      </w:pPr>
      <w:r w:rsidRPr="005E3FA8">
        <w:rPr>
          <w:rFonts w:ascii="Times New Roman" w:hAnsi="Times New Roman"/>
        </w:rPr>
        <w:t xml:space="preserve">     </w:t>
      </w:r>
      <w:r w:rsidR="00D46FA1" w:rsidRPr="005E3FA8">
        <w:rPr>
          <w:rFonts w:ascii="Times New Roman" w:hAnsi="Times New Roman"/>
        </w:rPr>
        <w:t xml:space="preserve"> Furthermore</w:t>
      </w:r>
      <w:r w:rsidR="00424845" w:rsidRPr="005E3FA8">
        <w:rPr>
          <w:rFonts w:ascii="Times New Roman" w:hAnsi="Times New Roman"/>
        </w:rPr>
        <w:t>, i</w:t>
      </w:r>
      <w:r w:rsidR="004F0D24" w:rsidRPr="005E3FA8">
        <w:rPr>
          <w:rFonts w:ascii="Times New Roman" w:hAnsi="Times New Roman"/>
        </w:rPr>
        <w:t>n her request for a hearing at the BSEA the Parent clearly states that she is seeking damages on behalf of herself and her daughter for the common-law tort of negligence.  The basis of her tort claim is negligent supervision by a teacher, a violation of the teache</w:t>
      </w:r>
      <w:r w:rsidR="00C4114F" w:rsidRPr="005E3FA8">
        <w:rPr>
          <w:rFonts w:ascii="Times New Roman" w:hAnsi="Times New Roman"/>
        </w:rPr>
        <w:t>r’s custodial responsibilities.</w:t>
      </w:r>
      <w:r w:rsidR="004F0D24" w:rsidRPr="005E3FA8">
        <w:rPr>
          <w:rStyle w:val="FootnoteReference"/>
          <w:rFonts w:ascii="Times New Roman" w:hAnsi="Times New Roman"/>
        </w:rPr>
        <w:footnoteReference w:id="11"/>
      </w:r>
      <w:r w:rsidR="00424845" w:rsidRPr="005E3FA8">
        <w:rPr>
          <w:rFonts w:ascii="Times New Roman" w:hAnsi="Times New Roman"/>
        </w:rPr>
        <w:t xml:space="preserve">  </w:t>
      </w:r>
      <w:r w:rsidR="009943EE" w:rsidRPr="005E3FA8">
        <w:rPr>
          <w:rFonts w:ascii="Times New Roman" w:hAnsi="Times New Roman"/>
        </w:rPr>
        <w:t xml:space="preserve"> </w:t>
      </w:r>
      <w:r w:rsidR="004F0D24" w:rsidRPr="005E3FA8">
        <w:rPr>
          <w:rFonts w:ascii="Times New Roman" w:hAnsi="Times New Roman"/>
        </w:rPr>
        <w:t xml:space="preserve">The Parent does not assert </w:t>
      </w:r>
      <w:r w:rsidR="00696FEF" w:rsidRPr="005E3FA8">
        <w:rPr>
          <w:rFonts w:ascii="Times New Roman" w:hAnsi="Times New Roman"/>
        </w:rPr>
        <w:t xml:space="preserve">that Springfield failed to provide, or </w:t>
      </w:r>
      <w:r w:rsidR="004F0D24" w:rsidRPr="005E3FA8">
        <w:rPr>
          <w:rFonts w:ascii="Times New Roman" w:hAnsi="Times New Roman"/>
        </w:rPr>
        <w:t xml:space="preserve">that </w:t>
      </w:r>
      <w:proofErr w:type="spellStart"/>
      <w:r w:rsidR="004F0D24" w:rsidRPr="005E3FA8">
        <w:rPr>
          <w:rFonts w:ascii="Times New Roman" w:hAnsi="Times New Roman"/>
        </w:rPr>
        <w:t>Xylia</w:t>
      </w:r>
      <w:proofErr w:type="spellEnd"/>
      <w:r w:rsidR="004F0D24" w:rsidRPr="005E3FA8">
        <w:rPr>
          <w:rFonts w:ascii="Times New Roman" w:hAnsi="Times New Roman"/>
        </w:rPr>
        <w:t xml:space="preserve"> failed at any relevant time to receive</w:t>
      </w:r>
      <w:r w:rsidR="00696FEF" w:rsidRPr="005E3FA8">
        <w:rPr>
          <w:rFonts w:ascii="Times New Roman" w:hAnsi="Times New Roman"/>
        </w:rPr>
        <w:t xml:space="preserve">, </w:t>
      </w:r>
      <w:r w:rsidR="004F0D24" w:rsidRPr="005E3FA8">
        <w:rPr>
          <w:rFonts w:ascii="Times New Roman" w:hAnsi="Times New Roman"/>
        </w:rPr>
        <w:t xml:space="preserve">the free appropriate </w:t>
      </w:r>
      <w:r w:rsidR="00696FEF" w:rsidRPr="005E3FA8">
        <w:rPr>
          <w:rFonts w:ascii="Times New Roman" w:hAnsi="Times New Roman"/>
        </w:rPr>
        <w:t xml:space="preserve">public </w:t>
      </w:r>
      <w:r w:rsidR="004F0D24" w:rsidRPr="005E3FA8">
        <w:rPr>
          <w:rFonts w:ascii="Times New Roman" w:hAnsi="Times New Roman"/>
        </w:rPr>
        <w:t>edu</w:t>
      </w:r>
      <w:r w:rsidR="00864FE2" w:rsidRPr="005E3FA8">
        <w:rPr>
          <w:rFonts w:ascii="Times New Roman" w:hAnsi="Times New Roman"/>
        </w:rPr>
        <w:t>cation to which she</w:t>
      </w:r>
      <w:r w:rsidR="004F0D24" w:rsidRPr="005E3FA8">
        <w:rPr>
          <w:rFonts w:ascii="Times New Roman" w:hAnsi="Times New Roman"/>
        </w:rPr>
        <w:t xml:space="preserve"> is entitled</w:t>
      </w:r>
      <w:r w:rsidR="009943EE" w:rsidRPr="005E3FA8">
        <w:rPr>
          <w:rFonts w:ascii="Times New Roman" w:hAnsi="Times New Roman"/>
        </w:rPr>
        <w:t xml:space="preserve"> under the IDEA</w:t>
      </w:r>
      <w:r w:rsidR="004F0D24" w:rsidRPr="005E3FA8">
        <w:rPr>
          <w:rFonts w:ascii="Times New Roman" w:hAnsi="Times New Roman"/>
        </w:rPr>
        <w:t xml:space="preserve">.  The Parent is not seeking any alteration in the special education services </w:t>
      </w:r>
      <w:proofErr w:type="spellStart"/>
      <w:r w:rsidR="004F0D24" w:rsidRPr="005E3FA8">
        <w:rPr>
          <w:rFonts w:ascii="Times New Roman" w:hAnsi="Times New Roman"/>
        </w:rPr>
        <w:t>Xylia</w:t>
      </w:r>
      <w:proofErr w:type="spellEnd"/>
      <w:r w:rsidR="004F0D24" w:rsidRPr="005E3FA8">
        <w:rPr>
          <w:rFonts w:ascii="Times New Roman" w:hAnsi="Times New Roman"/>
        </w:rPr>
        <w:t xml:space="preserve"> currently receives nor is she seeking a declaration that previously provided or offered</w:t>
      </w:r>
      <w:r w:rsidR="009943EE" w:rsidRPr="005E3FA8">
        <w:rPr>
          <w:rFonts w:ascii="Times New Roman" w:hAnsi="Times New Roman"/>
        </w:rPr>
        <w:t xml:space="preserve"> special education or disability</w:t>
      </w:r>
      <w:r w:rsidR="008332C4" w:rsidRPr="005E3FA8">
        <w:rPr>
          <w:rFonts w:ascii="Times New Roman" w:hAnsi="Times New Roman"/>
        </w:rPr>
        <w:t>-</w:t>
      </w:r>
      <w:r w:rsidR="009943EE" w:rsidRPr="005E3FA8">
        <w:rPr>
          <w:rFonts w:ascii="Times New Roman" w:hAnsi="Times New Roman"/>
        </w:rPr>
        <w:t>related</w:t>
      </w:r>
      <w:r w:rsidR="004F0D24" w:rsidRPr="005E3FA8">
        <w:rPr>
          <w:rFonts w:ascii="Times New Roman" w:hAnsi="Times New Roman"/>
        </w:rPr>
        <w:t xml:space="preserve"> services </w:t>
      </w:r>
      <w:proofErr w:type="gramStart"/>
      <w:r w:rsidR="004F0D24" w:rsidRPr="005E3FA8">
        <w:rPr>
          <w:rFonts w:ascii="Times New Roman" w:hAnsi="Times New Roman"/>
        </w:rPr>
        <w:t>were</w:t>
      </w:r>
      <w:proofErr w:type="gramEnd"/>
      <w:r w:rsidR="004F0D24" w:rsidRPr="005E3FA8">
        <w:rPr>
          <w:rFonts w:ascii="Times New Roman" w:hAnsi="Times New Roman"/>
        </w:rPr>
        <w:t xml:space="preserve"> inappropriate or inadequate.  The Parent is not seeking reimbursement for any special education or related services she provided to </w:t>
      </w:r>
      <w:proofErr w:type="spellStart"/>
      <w:r w:rsidR="004F0D24" w:rsidRPr="005E3FA8">
        <w:rPr>
          <w:rFonts w:ascii="Times New Roman" w:hAnsi="Times New Roman"/>
        </w:rPr>
        <w:t>Xylia</w:t>
      </w:r>
      <w:proofErr w:type="spellEnd"/>
      <w:r w:rsidR="004F0D24" w:rsidRPr="005E3FA8">
        <w:rPr>
          <w:rFonts w:ascii="Times New Roman" w:hAnsi="Times New Roman"/>
        </w:rPr>
        <w:t xml:space="preserve"> privately.  The Parent is not seeking an award of compensatory education to make up for special education services </w:t>
      </w:r>
      <w:proofErr w:type="spellStart"/>
      <w:r w:rsidR="004F0D24" w:rsidRPr="005E3FA8">
        <w:rPr>
          <w:rFonts w:ascii="Times New Roman" w:hAnsi="Times New Roman"/>
        </w:rPr>
        <w:t>Xylia</w:t>
      </w:r>
      <w:proofErr w:type="spellEnd"/>
      <w:r w:rsidR="004F0D24" w:rsidRPr="005E3FA8">
        <w:rPr>
          <w:rFonts w:ascii="Times New Roman" w:hAnsi="Times New Roman"/>
        </w:rPr>
        <w:t xml:space="preserve"> should have received through Springfield but did not.  In short the Parent is not alleging any violation of the IDEA or Section 504 and is not seeking any relief an IDEA administrative due process proceeding has the statutory authority to award.</w:t>
      </w:r>
      <w:r w:rsidR="009943EE" w:rsidRPr="005E3FA8">
        <w:rPr>
          <w:rFonts w:ascii="Times New Roman" w:hAnsi="Times New Roman"/>
        </w:rPr>
        <w:t xml:space="preserve"> The claim of negligent supervision is not related to</w:t>
      </w:r>
      <w:r w:rsidR="008332C4" w:rsidRPr="005E3FA8">
        <w:rPr>
          <w:rFonts w:ascii="Times New Roman" w:hAnsi="Times New Roman"/>
        </w:rPr>
        <w:t>,</w:t>
      </w:r>
      <w:r w:rsidR="00696FEF" w:rsidRPr="005E3FA8">
        <w:rPr>
          <w:rFonts w:ascii="Times New Roman" w:hAnsi="Times New Roman"/>
        </w:rPr>
        <w:t xml:space="preserve"> or peculiar</w:t>
      </w:r>
      <w:r w:rsidR="009943EE" w:rsidRPr="005E3FA8">
        <w:rPr>
          <w:rFonts w:ascii="Times New Roman" w:hAnsi="Times New Roman"/>
        </w:rPr>
        <w:t xml:space="preserve"> to</w:t>
      </w:r>
      <w:r w:rsidR="008332C4" w:rsidRPr="005E3FA8">
        <w:rPr>
          <w:rFonts w:ascii="Times New Roman" w:hAnsi="Times New Roman"/>
        </w:rPr>
        <w:t>,</w:t>
      </w:r>
      <w:r w:rsidR="009943EE" w:rsidRPr="005E3FA8">
        <w:rPr>
          <w:rFonts w:ascii="Times New Roman" w:hAnsi="Times New Roman"/>
        </w:rPr>
        <w:t xml:space="preserve"> </w:t>
      </w:r>
      <w:proofErr w:type="spellStart"/>
      <w:r w:rsidR="009943EE" w:rsidRPr="005E3FA8">
        <w:rPr>
          <w:rFonts w:ascii="Times New Roman" w:hAnsi="Times New Roman"/>
        </w:rPr>
        <w:t>Xylia’s</w:t>
      </w:r>
      <w:proofErr w:type="spellEnd"/>
      <w:r w:rsidR="009943EE" w:rsidRPr="005E3FA8">
        <w:rPr>
          <w:rFonts w:ascii="Times New Roman" w:hAnsi="Times New Roman"/>
        </w:rPr>
        <w:t xml:space="preserve"> status as a student with disabilities.  The claim is one available to any public </w:t>
      </w:r>
      <w:r w:rsidR="00C4114F" w:rsidRPr="005E3FA8">
        <w:rPr>
          <w:rFonts w:ascii="Times New Roman" w:hAnsi="Times New Roman"/>
        </w:rPr>
        <w:t>school student regardless of</w:t>
      </w:r>
      <w:r w:rsidR="009943EE" w:rsidRPr="005E3FA8">
        <w:rPr>
          <w:rFonts w:ascii="Times New Roman" w:hAnsi="Times New Roman"/>
        </w:rPr>
        <w:t xml:space="preserve"> disability status.</w:t>
      </w:r>
      <w:r w:rsidR="00D46FA1" w:rsidRPr="005E3FA8">
        <w:rPr>
          <w:rFonts w:ascii="Times New Roman" w:hAnsi="Times New Roman"/>
        </w:rPr>
        <w:t xml:space="preserve"> </w:t>
      </w:r>
    </w:p>
    <w:p w:rsidR="00F928CC" w:rsidRPr="005E3FA8" w:rsidRDefault="00F928CC" w:rsidP="002A1934">
      <w:pPr>
        <w:pStyle w:val="NoSpacing"/>
        <w:rPr>
          <w:rFonts w:ascii="Times New Roman" w:hAnsi="Times New Roman"/>
        </w:rPr>
      </w:pPr>
    </w:p>
    <w:p w:rsidR="008E0FAA" w:rsidRPr="005E3FA8" w:rsidRDefault="00D46FA1" w:rsidP="002A1934">
      <w:pPr>
        <w:pStyle w:val="NoSpacing"/>
        <w:rPr>
          <w:rFonts w:ascii="Times New Roman" w:hAnsi="Times New Roman"/>
        </w:rPr>
      </w:pPr>
      <w:r w:rsidRPr="005E3FA8">
        <w:rPr>
          <w:rFonts w:ascii="Times New Roman" w:hAnsi="Times New Roman"/>
        </w:rPr>
        <w:t xml:space="preserve">     Second,</w:t>
      </w:r>
      <w:r w:rsidR="008E0FAA" w:rsidRPr="005E3FA8">
        <w:rPr>
          <w:rFonts w:ascii="Times New Roman" w:hAnsi="Times New Roman"/>
        </w:rPr>
        <w:t xml:space="preserve"> since </w:t>
      </w:r>
      <w:r w:rsidR="008E0FAA" w:rsidRPr="005E3FA8">
        <w:rPr>
          <w:rFonts w:ascii="Times New Roman" w:hAnsi="Times New Roman"/>
          <w:i/>
        </w:rPr>
        <w:t>Frazier</w:t>
      </w:r>
      <w:r w:rsidR="008E0FAA" w:rsidRPr="005E3FA8">
        <w:rPr>
          <w:rFonts w:ascii="Times New Roman" w:hAnsi="Times New Roman"/>
        </w:rPr>
        <w:t xml:space="preserve">, courts have permitted claims for solely money damages to be presented at the administrative level when those claims are rooted in an alleged violation of the IDEA. Here the Parent is seeking monetary damages for the injuries </w:t>
      </w:r>
      <w:proofErr w:type="spellStart"/>
      <w:r w:rsidR="008E0FAA" w:rsidRPr="005E3FA8">
        <w:rPr>
          <w:rFonts w:ascii="Times New Roman" w:hAnsi="Times New Roman"/>
        </w:rPr>
        <w:t>Xylia</w:t>
      </w:r>
      <w:proofErr w:type="spellEnd"/>
      <w:r w:rsidR="008E0FAA" w:rsidRPr="005E3FA8">
        <w:rPr>
          <w:rFonts w:ascii="Times New Roman" w:hAnsi="Times New Roman"/>
        </w:rPr>
        <w:t xml:space="preserve"> suffered as a result of the School’s negligent supervision.  She does not seek any “remedy” available under the IDEA, Section 504 and/or M.G.L. c. 71B</w:t>
      </w:r>
      <w:r w:rsidR="008E0FAA" w:rsidRPr="005E3FA8">
        <w:rPr>
          <w:rFonts w:ascii="Times New Roman" w:hAnsi="Times New Roman"/>
          <w:b/>
        </w:rPr>
        <w:t xml:space="preserve">, </w:t>
      </w:r>
      <w:r w:rsidR="008E0FAA" w:rsidRPr="005E3FA8">
        <w:rPr>
          <w:rFonts w:ascii="Times New Roman" w:hAnsi="Times New Roman"/>
        </w:rPr>
        <w:t xml:space="preserve">either in a quantifiable form such as retroactive reimbursement of expenses incurred by the Parent in providing substitute special education services, or in a declaratory form, such as an administrative finding that the School failed to properly meet its IDEA obligations with respect to </w:t>
      </w:r>
      <w:proofErr w:type="spellStart"/>
      <w:r w:rsidR="008E0FAA" w:rsidRPr="005E3FA8">
        <w:rPr>
          <w:rFonts w:ascii="Times New Roman" w:hAnsi="Times New Roman"/>
        </w:rPr>
        <w:t>Xylia</w:t>
      </w:r>
      <w:proofErr w:type="spellEnd"/>
      <w:r w:rsidR="008E0FAA" w:rsidRPr="005E3FA8">
        <w:rPr>
          <w:rFonts w:ascii="Times New Roman" w:hAnsi="Times New Roman"/>
        </w:rPr>
        <w:t xml:space="preserve">.  Similarly the Parent does not allege any deprivation of rights under any other federal statute for which relief authorized by the IDEA might be available.  The Parent does not offer any plausible set of facts that could fairly be construed as a special education claim even if not identified as such in the pleadings.  </w:t>
      </w:r>
    </w:p>
    <w:p w:rsidR="004F0D24" w:rsidRPr="005E3FA8" w:rsidRDefault="00D46FA1" w:rsidP="002A1934">
      <w:pPr>
        <w:pStyle w:val="NoSpacing"/>
        <w:rPr>
          <w:rFonts w:ascii="Times New Roman" w:hAnsi="Times New Roman"/>
        </w:rPr>
      </w:pPr>
      <w:r w:rsidRPr="005E3FA8">
        <w:rPr>
          <w:rFonts w:ascii="Times New Roman" w:hAnsi="Times New Roman"/>
        </w:rPr>
        <w:t xml:space="preserve"> </w:t>
      </w:r>
      <w:proofErr w:type="spellStart"/>
      <w:r w:rsidRPr="005E3FA8">
        <w:rPr>
          <w:rFonts w:ascii="Times New Roman" w:hAnsi="Times New Roman"/>
        </w:rPr>
        <w:t>Xylia’s</w:t>
      </w:r>
      <w:proofErr w:type="spellEnd"/>
      <w:r w:rsidRPr="005E3FA8">
        <w:rPr>
          <w:rFonts w:ascii="Times New Roman" w:hAnsi="Times New Roman"/>
        </w:rPr>
        <w:t xml:space="preserve"> claim of “negligent supervision” arises from her status as a public school student to whom a custodial duty of care is owed.  The School has a primary obligation to keep all students in its care safe, and certainly safe from sexual assault.  The Parent argued that in 2010 the School had a heightened responsibility to protect </w:t>
      </w:r>
      <w:proofErr w:type="spellStart"/>
      <w:r w:rsidRPr="005E3FA8">
        <w:rPr>
          <w:rFonts w:ascii="Times New Roman" w:hAnsi="Times New Roman"/>
        </w:rPr>
        <w:t>Xylia</w:t>
      </w:r>
      <w:proofErr w:type="spellEnd"/>
      <w:r w:rsidRPr="005E3FA8">
        <w:rPr>
          <w:rFonts w:ascii="Times New Roman" w:hAnsi="Times New Roman"/>
        </w:rPr>
        <w:t xml:space="preserve"> from the offending student as it had knowledge of a previous sexual assault in 2009.  That may be true.  The analytical difficulty for the Parent in this action, however, is that the School’s duty of care lies in </w:t>
      </w:r>
      <w:proofErr w:type="spellStart"/>
      <w:r w:rsidRPr="005E3FA8">
        <w:rPr>
          <w:rFonts w:ascii="Times New Roman" w:hAnsi="Times New Roman"/>
        </w:rPr>
        <w:t>Xylia’s</w:t>
      </w:r>
      <w:proofErr w:type="spellEnd"/>
      <w:r w:rsidRPr="005E3FA8">
        <w:rPr>
          <w:rFonts w:ascii="Times New Roman" w:hAnsi="Times New Roman"/>
        </w:rPr>
        <w:t xml:space="preserve"> general student status and in its knowledge of previous bad acts by a peer. Neither the duty of care owed to </w:t>
      </w:r>
      <w:proofErr w:type="spellStart"/>
      <w:r w:rsidRPr="005E3FA8">
        <w:rPr>
          <w:rFonts w:ascii="Times New Roman" w:hAnsi="Times New Roman"/>
        </w:rPr>
        <w:t>Xylia</w:t>
      </w:r>
      <w:proofErr w:type="spellEnd"/>
      <w:r w:rsidRPr="005E3FA8">
        <w:rPr>
          <w:rFonts w:ascii="Times New Roman" w:hAnsi="Times New Roman"/>
        </w:rPr>
        <w:t xml:space="preserve">, nor its breach, is “related” to her status as an IDEA eligible student, to the implementation of her IEP, or to the School’s procedural responsibilities under the IDEA. There is no allegation that the School owed </w:t>
      </w:r>
      <w:proofErr w:type="spellStart"/>
      <w:r w:rsidRPr="005E3FA8">
        <w:rPr>
          <w:rFonts w:ascii="Times New Roman" w:hAnsi="Times New Roman"/>
        </w:rPr>
        <w:t>Xylia</w:t>
      </w:r>
      <w:proofErr w:type="spellEnd"/>
      <w:r w:rsidRPr="005E3FA8">
        <w:rPr>
          <w:rFonts w:ascii="Times New Roman" w:hAnsi="Times New Roman"/>
        </w:rPr>
        <w:t xml:space="preserve"> a heightened duty of care due to her disability, </w:t>
      </w:r>
      <w:proofErr w:type="gramStart"/>
      <w:r w:rsidRPr="005E3FA8">
        <w:rPr>
          <w:rFonts w:ascii="Times New Roman" w:hAnsi="Times New Roman"/>
        </w:rPr>
        <w:t>nor</w:t>
      </w:r>
      <w:proofErr w:type="gramEnd"/>
      <w:r w:rsidRPr="005E3FA8">
        <w:rPr>
          <w:rFonts w:ascii="Times New Roman" w:hAnsi="Times New Roman"/>
        </w:rPr>
        <w:t xml:space="preserve"> that it failed to implement a provision in her IEP related to her vulnerability as a student with a disability. The Parent’s pleadings do not demonstrate any logical link differentiating the custodial duty of care owed to </w:t>
      </w:r>
      <w:proofErr w:type="spellStart"/>
      <w:r w:rsidRPr="005E3FA8">
        <w:rPr>
          <w:rFonts w:ascii="Times New Roman" w:hAnsi="Times New Roman"/>
        </w:rPr>
        <w:t>Xylia</w:t>
      </w:r>
      <w:proofErr w:type="spellEnd"/>
      <w:r w:rsidRPr="005E3FA8">
        <w:rPr>
          <w:rFonts w:ascii="Times New Roman" w:hAnsi="Times New Roman"/>
        </w:rPr>
        <w:t xml:space="preserve"> as a special education student and that owed to any other regular or special education student in the school building.</w:t>
      </w:r>
      <w:r w:rsidR="008E0FAA" w:rsidRPr="005E3FA8">
        <w:rPr>
          <w:rFonts w:ascii="Times New Roman" w:hAnsi="Times New Roman"/>
        </w:rPr>
        <w:t xml:space="preserve"> However disturbing we find the lack of supervision, and its attendant consequences, the Parent has not alleged any plausible connection between them and </w:t>
      </w:r>
      <w:proofErr w:type="spellStart"/>
      <w:r w:rsidR="008E0FAA" w:rsidRPr="005E3FA8">
        <w:rPr>
          <w:rFonts w:ascii="Times New Roman" w:hAnsi="Times New Roman"/>
        </w:rPr>
        <w:t>Xylia’s</w:t>
      </w:r>
      <w:proofErr w:type="spellEnd"/>
      <w:r w:rsidR="008E0FAA" w:rsidRPr="005E3FA8">
        <w:rPr>
          <w:rFonts w:ascii="Times New Roman" w:hAnsi="Times New Roman"/>
        </w:rPr>
        <w:t xml:space="preserve"> status as a student with disabilities nor an association with any deprivation of her special educational rights. </w:t>
      </w:r>
      <w:r w:rsidRPr="005E3FA8">
        <w:rPr>
          <w:rFonts w:ascii="Times New Roman" w:hAnsi="Times New Roman"/>
        </w:rPr>
        <w:t xml:space="preserve"> After a careful</w:t>
      </w:r>
      <w:r w:rsidR="008E0FAA" w:rsidRPr="005E3FA8">
        <w:rPr>
          <w:rFonts w:ascii="Times New Roman" w:hAnsi="Times New Roman"/>
        </w:rPr>
        <w:t xml:space="preserve"> </w:t>
      </w:r>
      <w:r w:rsidRPr="005E3FA8">
        <w:rPr>
          <w:rFonts w:ascii="Times New Roman" w:hAnsi="Times New Roman"/>
        </w:rPr>
        <w:t xml:space="preserve">examination of the Parent’s claims I find there is no </w:t>
      </w:r>
      <w:r w:rsidR="00C47DD7" w:rsidRPr="005E3FA8">
        <w:rPr>
          <w:rFonts w:ascii="Times New Roman" w:hAnsi="Times New Roman"/>
        </w:rPr>
        <w:t xml:space="preserve">demonstrable </w:t>
      </w:r>
      <w:r w:rsidRPr="005E3FA8">
        <w:rPr>
          <w:rFonts w:ascii="Times New Roman" w:hAnsi="Times New Roman"/>
        </w:rPr>
        <w:t xml:space="preserve">nexus between the provision of special education services to </w:t>
      </w:r>
      <w:proofErr w:type="spellStart"/>
      <w:r w:rsidRPr="005E3FA8">
        <w:rPr>
          <w:rFonts w:ascii="Times New Roman" w:hAnsi="Times New Roman"/>
        </w:rPr>
        <w:t>Xylia</w:t>
      </w:r>
      <w:proofErr w:type="spellEnd"/>
      <w:r w:rsidRPr="005E3FA8">
        <w:rPr>
          <w:rFonts w:ascii="Times New Roman" w:hAnsi="Times New Roman"/>
        </w:rPr>
        <w:t xml:space="preserve"> and her claim of negligence which could support a finding that she is making a claim “rooted” in the IDEA</w:t>
      </w:r>
      <w:r w:rsidR="00C47DD7" w:rsidRPr="005E3FA8">
        <w:rPr>
          <w:rFonts w:ascii="Times New Roman" w:hAnsi="Times New Roman"/>
        </w:rPr>
        <w:t>.</w:t>
      </w:r>
    </w:p>
    <w:p w:rsidR="00F928CC" w:rsidRPr="005E3FA8" w:rsidRDefault="00F928CC" w:rsidP="002A1934">
      <w:pPr>
        <w:pStyle w:val="NoSpacing"/>
        <w:rPr>
          <w:rFonts w:ascii="Times New Roman" w:hAnsi="Times New Roman"/>
        </w:rPr>
      </w:pPr>
    </w:p>
    <w:p w:rsidR="00B728BA" w:rsidRPr="005E3FA8" w:rsidRDefault="00864FE2" w:rsidP="002A1934">
      <w:pPr>
        <w:pStyle w:val="NoSpacing"/>
        <w:rPr>
          <w:rFonts w:ascii="Times New Roman" w:hAnsi="Times New Roman"/>
        </w:rPr>
      </w:pPr>
      <w:r w:rsidRPr="005E3FA8">
        <w:rPr>
          <w:rFonts w:ascii="Times New Roman" w:hAnsi="Times New Roman"/>
        </w:rPr>
        <w:tab/>
      </w:r>
      <w:r w:rsidR="008E0FAA" w:rsidRPr="005E3FA8">
        <w:rPr>
          <w:rFonts w:ascii="Times New Roman" w:hAnsi="Times New Roman"/>
        </w:rPr>
        <w:t>Finally</w:t>
      </w:r>
      <w:r w:rsidRPr="005E3FA8">
        <w:rPr>
          <w:rFonts w:ascii="Times New Roman" w:hAnsi="Times New Roman"/>
        </w:rPr>
        <w:t>, t</w:t>
      </w:r>
      <w:r w:rsidR="004F0D24" w:rsidRPr="005E3FA8">
        <w:rPr>
          <w:rFonts w:ascii="Times New Roman" w:hAnsi="Times New Roman"/>
        </w:rPr>
        <w:t>he Parent’s instant tort claim</w:t>
      </w:r>
      <w:r w:rsidR="00F27E36" w:rsidRPr="005E3FA8">
        <w:rPr>
          <w:rFonts w:ascii="Times New Roman" w:hAnsi="Times New Roman"/>
        </w:rPr>
        <w:t xml:space="preserve"> does not meet the</w:t>
      </w:r>
      <w:r w:rsidR="004F0D24" w:rsidRPr="005E3FA8">
        <w:rPr>
          <w:rFonts w:ascii="Times New Roman" w:hAnsi="Times New Roman"/>
        </w:rPr>
        <w:t xml:space="preserve"> elements identified by </w:t>
      </w:r>
      <w:r w:rsidR="00AE1BB6" w:rsidRPr="005E3FA8">
        <w:rPr>
          <w:rFonts w:ascii="Times New Roman" w:hAnsi="Times New Roman"/>
          <w:i/>
        </w:rPr>
        <w:t xml:space="preserve">Frazier </w:t>
      </w:r>
      <w:r w:rsidR="00AE1BB6" w:rsidRPr="005E3FA8">
        <w:rPr>
          <w:rFonts w:ascii="Times New Roman" w:hAnsi="Times New Roman"/>
        </w:rPr>
        <w:t>and</w:t>
      </w:r>
      <w:r w:rsidR="00733420" w:rsidRPr="005E3FA8">
        <w:rPr>
          <w:rFonts w:ascii="Times New Roman" w:hAnsi="Times New Roman"/>
        </w:rPr>
        <w:t xml:space="preserve"> its progeny as supporting the development of an administrative record prior to filing a federal court action.  Those decisions instructed that exhaustion of administrative procedures is required when an IDEA-eligible studen</w:t>
      </w:r>
      <w:r w:rsidR="004D6028" w:rsidRPr="005E3FA8">
        <w:rPr>
          <w:rFonts w:ascii="Times New Roman" w:hAnsi="Times New Roman"/>
        </w:rPr>
        <w:t>t’s</w:t>
      </w:r>
      <w:r w:rsidR="00733420" w:rsidRPr="005E3FA8">
        <w:rPr>
          <w:rFonts w:ascii="Times New Roman" w:hAnsi="Times New Roman"/>
        </w:rPr>
        <w:t xml:space="preserve"> claim is “in some way” related to the denial of a fr</w:t>
      </w:r>
      <w:r w:rsidR="00F27E36" w:rsidRPr="005E3FA8">
        <w:rPr>
          <w:rFonts w:ascii="Times New Roman" w:hAnsi="Times New Roman"/>
        </w:rPr>
        <w:t>ee appropriate public education and where the specialized knowledge of the administrative agency can assist the court in understanding the student’s special education</w:t>
      </w:r>
      <w:r w:rsidR="00733420" w:rsidRPr="005E3FA8">
        <w:rPr>
          <w:rFonts w:ascii="Times New Roman" w:hAnsi="Times New Roman"/>
        </w:rPr>
        <w:t xml:space="preserve"> </w:t>
      </w:r>
      <w:r w:rsidR="00F27E36" w:rsidRPr="005E3FA8">
        <w:rPr>
          <w:rFonts w:ascii="Times New Roman" w:hAnsi="Times New Roman"/>
        </w:rPr>
        <w:t xml:space="preserve">claim.  </w:t>
      </w:r>
      <w:r w:rsidR="00733420" w:rsidRPr="005E3FA8">
        <w:rPr>
          <w:rFonts w:ascii="Times New Roman" w:hAnsi="Times New Roman"/>
        </w:rPr>
        <w:t xml:space="preserve"> Here, </w:t>
      </w:r>
      <w:r w:rsidR="008E0FAA" w:rsidRPr="005E3FA8">
        <w:rPr>
          <w:rFonts w:ascii="Times New Roman" w:hAnsi="Times New Roman"/>
        </w:rPr>
        <w:t xml:space="preserve">as discussed above, </w:t>
      </w:r>
      <w:r w:rsidR="00733420" w:rsidRPr="005E3FA8">
        <w:rPr>
          <w:rFonts w:ascii="Times New Roman" w:hAnsi="Times New Roman"/>
        </w:rPr>
        <w:t xml:space="preserve">even with the most generous lens possible, the facts alleged cannot be logically connected to any denial of FAPE to </w:t>
      </w:r>
      <w:proofErr w:type="spellStart"/>
      <w:r w:rsidR="00733420" w:rsidRPr="005E3FA8">
        <w:rPr>
          <w:rFonts w:ascii="Times New Roman" w:hAnsi="Times New Roman"/>
        </w:rPr>
        <w:t>Xylia</w:t>
      </w:r>
      <w:proofErr w:type="spellEnd"/>
      <w:r w:rsidR="00733420" w:rsidRPr="005E3FA8">
        <w:rPr>
          <w:rFonts w:ascii="Times New Roman" w:hAnsi="Times New Roman"/>
        </w:rPr>
        <w:t xml:space="preserve">.  </w:t>
      </w:r>
      <w:r w:rsidR="00F27E36" w:rsidRPr="005E3FA8">
        <w:rPr>
          <w:rFonts w:ascii="Times New Roman" w:hAnsi="Times New Roman"/>
        </w:rPr>
        <w:t>Also, w</w:t>
      </w:r>
      <w:r w:rsidR="008E0FAA" w:rsidRPr="005E3FA8">
        <w:rPr>
          <w:rFonts w:ascii="Times New Roman" w:hAnsi="Times New Roman"/>
        </w:rPr>
        <w:t>hile</w:t>
      </w:r>
      <w:r w:rsidR="00B728BA" w:rsidRPr="005E3FA8">
        <w:rPr>
          <w:rFonts w:ascii="Times New Roman" w:hAnsi="Times New Roman"/>
        </w:rPr>
        <w:t xml:space="preserve"> courts have typically welcomed the development of a factual record by a specialized administrative agency in complex special education cl</w:t>
      </w:r>
      <w:r w:rsidR="008E0FAA" w:rsidRPr="005E3FA8">
        <w:rPr>
          <w:rFonts w:ascii="Times New Roman" w:hAnsi="Times New Roman"/>
        </w:rPr>
        <w:t>aims</w:t>
      </w:r>
      <w:r w:rsidR="00C47DD7" w:rsidRPr="005E3FA8">
        <w:rPr>
          <w:rFonts w:ascii="Times New Roman" w:hAnsi="Times New Roman"/>
        </w:rPr>
        <w:t>,</w:t>
      </w:r>
      <w:r w:rsidR="008E0FAA" w:rsidRPr="005E3FA8">
        <w:rPr>
          <w:rFonts w:ascii="Times New Roman" w:hAnsi="Times New Roman"/>
        </w:rPr>
        <w:t xml:space="preserve"> </w:t>
      </w:r>
      <w:r w:rsidR="00B728BA" w:rsidRPr="005E3FA8">
        <w:rPr>
          <w:rFonts w:ascii="Times New Roman" w:hAnsi="Times New Roman"/>
        </w:rPr>
        <w:t>a reviewing court could not rely on the expertise or experience of an administrative hearing officer</w:t>
      </w:r>
      <w:r w:rsidR="008E0FAA" w:rsidRPr="005E3FA8">
        <w:rPr>
          <w:rFonts w:ascii="Times New Roman" w:hAnsi="Times New Roman"/>
        </w:rPr>
        <w:t xml:space="preserve"> in this matter</w:t>
      </w:r>
      <w:r w:rsidR="00B728BA" w:rsidRPr="005E3FA8">
        <w:rPr>
          <w:rFonts w:ascii="Times New Roman" w:hAnsi="Times New Roman"/>
        </w:rPr>
        <w:t>.  Unlike judges in cour</w:t>
      </w:r>
      <w:r w:rsidR="00EC3301" w:rsidRPr="005E3FA8">
        <w:rPr>
          <w:rFonts w:ascii="Times New Roman" w:hAnsi="Times New Roman"/>
        </w:rPr>
        <w:t>ts of general jurisdiction, few</w:t>
      </w:r>
      <w:r w:rsidR="00B728BA" w:rsidRPr="005E3FA8">
        <w:rPr>
          <w:rFonts w:ascii="Times New Roman" w:hAnsi="Times New Roman"/>
        </w:rPr>
        <w:t xml:space="preserve"> special edu</w:t>
      </w:r>
      <w:r w:rsidR="00EC3301" w:rsidRPr="005E3FA8">
        <w:rPr>
          <w:rFonts w:ascii="Times New Roman" w:hAnsi="Times New Roman"/>
        </w:rPr>
        <w:t>cation hearing officers have experience in the</w:t>
      </w:r>
      <w:r w:rsidR="00C47DD7" w:rsidRPr="005E3FA8">
        <w:rPr>
          <w:rFonts w:ascii="Times New Roman" w:hAnsi="Times New Roman"/>
        </w:rPr>
        <w:t xml:space="preserve"> type of</w:t>
      </w:r>
      <w:r w:rsidR="00B728BA" w:rsidRPr="005E3FA8">
        <w:rPr>
          <w:rFonts w:ascii="Times New Roman" w:hAnsi="Times New Roman"/>
        </w:rPr>
        <w:t xml:space="preserve"> assessment and evaluation of c</w:t>
      </w:r>
      <w:r w:rsidR="00C47DD7" w:rsidRPr="005E3FA8">
        <w:rPr>
          <w:rFonts w:ascii="Times New Roman" w:hAnsi="Times New Roman"/>
        </w:rPr>
        <w:t>laims of personal injury and</w:t>
      </w:r>
      <w:r w:rsidR="00B728BA" w:rsidRPr="005E3FA8">
        <w:rPr>
          <w:rFonts w:ascii="Times New Roman" w:hAnsi="Times New Roman"/>
        </w:rPr>
        <w:t xml:space="preserve"> calculation of any consequent</w:t>
      </w:r>
      <w:r w:rsidR="00EC3301" w:rsidRPr="005E3FA8">
        <w:rPr>
          <w:rFonts w:ascii="Times New Roman" w:hAnsi="Times New Roman"/>
        </w:rPr>
        <w:t xml:space="preserve"> financial damages that</w:t>
      </w:r>
      <w:r w:rsidR="00B728BA" w:rsidRPr="005E3FA8">
        <w:rPr>
          <w:rFonts w:ascii="Times New Roman" w:hAnsi="Times New Roman"/>
        </w:rPr>
        <w:t xml:space="preserve"> the Parent seeks here.</w:t>
      </w:r>
      <w:r w:rsidR="004D6028" w:rsidRPr="005E3FA8">
        <w:rPr>
          <w:rFonts w:ascii="Times New Roman" w:hAnsi="Times New Roman"/>
        </w:rPr>
        <w:t xml:space="preserve"> Factual findings centered on the Student’s IDEA experience would not provide useful information to a court considering an award of damages due to negligence.</w:t>
      </w:r>
    </w:p>
    <w:p w:rsidR="00F928CC" w:rsidRPr="005E3FA8" w:rsidRDefault="00F928CC" w:rsidP="002A1934">
      <w:pPr>
        <w:pStyle w:val="NoSpacing"/>
        <w:rPr>
          <w:rFonts w:ascii="Times New Roman" w:hAnsi="Times New Roman"/>
        </w:rPr>
      </w:pPr>
    </w:p>
    <w:p w:rsidR="00B728BA" w:rsidRPr="005E3FA8" w:rsidRDefault="00B728BA" w:rsidP="002A1934">
      <w:pPr>
        <w:pStyle w:val="NoSpacing"/>
        <w:rPr>
          <w:rFonts w:ascii="Times New Roman" w:hAnsi="Times New Roman"/>
        </w:rPr>
      </w:pPr>
      <w:r w:rsidRPr="005E3FA8">
        <w:rPr>
          <w:rFonts w:ascii="Times New Roman" w:hAnsi="Times New Roman"/>
        </w:rPr>
        <w:tab/>
        <w:t xml:space="preserve">Furthermore, the development of a factual record concerning </w:t>
      </w:r>
      <w:proofErr w:type="spellStart"/>
      <w:r w:rsidRPr="005E3FA8">
        <w:rPr>
          <w:rFonts w:ascii="Times New Roman" w:hAnsi="Times New Roman"/>
        </w:rPr>
        <w:t>Xylia’s</w:t>
      </w:r>
      <w:proofErr w:type="spellEnd"/>
      <w:r w:rsidR="00C47DD7" w:rsidRPr="005E3FA8">
        <w:rPr>
          <w:rFonts w:ascii="Times New Roman" w:hAnsi="Times New Roman"/>
        </w:rPr>
        <w:t xml:space="preserve"> </w:t>
      </w:r>
      <w:r w:rsidRPr="005E3FA8">
        <w:rPr>
          <w:rFonts w:ascii="Times New Roman" w:hAnsi="Times New Roman"/>
        </w:rPr>
        <w:t>injuries and potential financial compensation brings to the fore other thorny considerations.  There is the general concern that the standards for accepting evidence in administrative hearings, including in particular the routine admission of hearsay, would make the record developed here less useful to a reviewing court tha</w:t>
      </w:r>
      <w:r w:rsidR="003877EA" w:rsidRPr="005E3FA8">
        <w:rPr>
          <w:rFonts w:ascii="Times New Roman" w:hAnsi="Times New Roman"/>
        </w:rPr>
        <w:t>n</w:t>
      </w:r>
      <w:r w:rsidRPr="005E3FA8">
        <w:rPr>
          <w:rFonts w:ascii="Times New Roman" w:hAnsi="Times New Roman"/>
        </w:rPr>
        <w:t xml:space="preserve"> would typically be the case in matters more closely aligned with the expertise of the administrative hearing officer.  Another concern, hopefully unique to this matter, is the nature of the disputed factual allegations that provide the support for the Parent’s “negligent supervision” claim.  At the center of those allegations is a non-party, non</w:t>
      </w:r>
      <w:r w:rsidR="003D2139" w:rsidRPr="005E3FA8">
        <w:rPr>
          <w:rFonts w:ascii="Times New Roman" w:hAnsi="Times New Roman"/>
        </w:rPr>
        <w:t>-</w:t>
      </w:r>
      <w:r w:rsidRPr="005E3FA8">
        <w:rPr>
          <w:rFonts w:ascii="Times New Roman" w:hAnsi="Times New Roman"/>
        </w:rPr>
        <w:t xml:space="preserve"> participa</w:t>
      </w:r>
      <w:r w:rsidR="003877EA" w:rsidRPr="005E3FA8">
        <w:rPr>
          <w:rFonts w:ascii="Times New Roman" w:hAnsi="Times New Roman"/>
        </w:rPr>
        <w:t>nt</w:t>
      </w:r>
      <w:r w:rsidRPr="005E3FA8">
        <w:rPr>
          <w:rFonts w:ascii="Times New Roman" w:hAnsi="Times New Roman"/>
        </w:rPr>
        <w:t xml:space="preserve"> minor with disabilities who is facing related juvenile criminal proceedings, rais</w:t>
      </w:r>
      <w:r w:rsidR="00582F5B" w:rsidRPr="005E3FA8">
        <w:rPr>
          <w:rFonts w:ascii="Times New Roman" w:hAnsi="Times New Roman"/>
        </w:rPr>
        <w:t>ing</w:t>
      </w:r>
      <w:r w:rsidRPr="005E3FA8">
        <w:rPr>
          <w:rFonts w:ascii="Times New Roman" w:hAnsi="Times New Roman"/>
        </w:rPr>
        <w:t xml:space="preserve"> a host of serious due process considerations for which this administrative agency is ill-equipped.  </w:t>
      </w:r>
    </w:p>
    <w:p w:rsidR="003877EA" w:rsidRPr="005E3FA8" w:rsidRDefault="003877EA" w:rsidP="002A1934">
      <w:pPr>
        <w:pStyle w:val="NoSpacing"/>
        <w:rPr>
          <w:rFonts w:ascii="Times New Roman" w:hAnsi="Times New Roman"/>
        </w:rPr>
      </w:pPr>
      <w:r w:rsidRPr="005E3FA8">
        <w:rPr>
          <w:rFonts w:ascii="Times New Roman" w:hAnsi="Times New Roman"/>
        </w:rPr>
        <w:t>Finally,</w:t>
      </w:r>
      <w:r w:rsidR="00582F5B" w:rsidRPr="005E3FA8">
        <w:rPr>
          <w:rFonts w:ascii="Times New Roman" w:hAnsi="Times New Roman"/>
        </w:rPr>
        <w:t xml:space="preserve"> but not insignificantly,</w:t>
      </w:r>
      <w:r w:rsidRPr="005E3FA8">
        <w:rPr>
          <w:rFonts w:ascii="Times New Roman" w:hAnsi="Times New Roman"/>
        </w:rPr>
        <w:t xml:space="preserve"> imposing an administrative fact finding process, with its attendant financial, time and emotional costs, for students with disabilities who advance claims sounding primarily in tort, but not for students without disabilities</w:t>
      </w:r>
      <w:r w:rsidR="000F0FEF" w:rsidRPr="005E3FA8">
        <w:rPr>
          <w:rFonts w:ascii="Times New Roman" w:hAnsi="Times New Roman"/>
        </w:rPr>
        <w:t xml:space="preserve"> making identical claims</w:t>
      </w:r>
      <w:r w:rsidRPr="005E3FA8">
        <w:rPr>
          <w:rFonts w:ascii="Times New Roman" w:hAnsi="Times New Roman"/>
        </w:rPr>
        <w:t>, on the assumption that some attenuated</w:t>
      </w:r>
      <w:r w:rsidR="00EC3301" w:rsidRPr="005E3FA8">
        <w:rPr>
          <w:rFonts w:ascii="Times New Roman" w:hAnsi="Times New Roman"/>
        </w:rPr>
        <w:t>,</w:t>
      </w:r>
      <w:r w:rsidRPr="005E3FA8">
        <w:rPr>
          <w:rFonts w:ascii="Times New Roman" w:hAnsi="Times New Roman"/>
        </w:rPr>
        <w:t xml:space="preserve"> related IDEA claim</w:t>
      </w:r>
      <w:r w:rsidR="000F0FEF" w:rsidRPr="005E3FA8">
        <w:rPr>
          <w:rFonts w:ascii="Times New Roman" w:hAnsi="Times New Roman"/>
        </w:rPr>
        <w:t xml:space="preserve"> might be raised on behalf of a student with disabilities</w:t>
      </w:r>
      <w:r w:rsidRPr="005E3FA8">
        <w:rPr>
          <w:rFonts w:ascii="Times New Roman" w:hAnsi="Times New Roman"/>
        </w:rPr>
        <w:t>, could itself create an</w:t>
      </w:r>
      <w:r w:rsidR="00485DBE" w:rsidRPr="005E3FA8">
        <w:rPr>
          <w:rFonts w:ascii="Times New Roman" w:hAnsi="Times New Roman"/>
        </w:rPr>
        <w:t xml:space="preserve"> inequitable burden and impermissible</w:t>
      </w:r>
      <w:r w:rsidRPr="005E3FA8">
        <w:rPr>
          <w:rFonts w:ascii="Times New Roman" w:hAnsi="Times New Roman"/>
        </w:rPr>
        <w:t xml:space="preserve"> barrier to access to public facilities, i.e. courts, contrary to the ADA.</w:t>
      </w:r>
    </w:p>
    <w:p w:rsidR="00011691" w:rsidRPr="005E3FA8" w:rsidRDefault="00011691" w:rsidP="002A1934">
      <w:pPr>
        <w:pStyle w:val="NoSpacing"/>
        <w:rPr>
          <w:rFonts w:ascii="Times New Roman" w:hAnsi="Times New Roman"/>
        </w:rPr>
      </w:pPr>
    </w:p>
    <w:p w:rsidR="00546995" w:rsidRDefault="00546995" w:rsidP="002A1934">
      <w:pPr>
        <w:pStyle w:val="NoSpacing"/>
        <w:rPr>
          <w:rFonts w:ascii="Times New Roman" w:hAnsi="Times New Roman"/>
          <w:u w:val="single"/>
        </w:rPr>
      </w:pPr>
    </w:p>
    <w:p w:rsidR="004B3D88" w:rsidRPr="005E3FA8" w:rsidRDefault="004B3D88" w:rsidP="002A1934">
      <w:pPr>
        <w:pStyle w:val="NoSpacing"/>
        <w:rPr>
          <w:rFonts w:ascii="Times New Roman" w:hAnsi="Times New Roman"/>
          <w:u w:val="single"/>
        </w:rPr>
      </w:pPr>
      <w:r w:rsidRPr="005E3FA8">
        <w:rPr>
          <w:rFonts w:ascii="Times New Roman" w:hAnsi="Times New Roman"/>
          <w:u w:val="single"/>
        </w:rPr>
        <w:t>CONCLUSION</w:t>
      </w:r>
    </w:p>
    <w:p w:rsidR="0096514A" w:rsidRPr="005E3FA8" w:rsidRDefault="0096514A" w:rsidP="002A1934">
      <w:pPr>
        <w:pStyle w:val="NoSpacing"/>
        <w:rPr>
          <w:rFonts w:ascii="Times New Roman" w:hAnsi="Times New Roman"/>
          <w:u w:val="single"/>
        </w:rPr>
      </w:pPr>
    </w:p>
    <w:p w:rsidR="0096514A" w:rsidRPr="005E3FA8" w:rsidRDefault="00F928CC" w:rsidP="002A1934">
      <w:pPr>
        <w:pStyle w:val="NoSpacing"/>
        <w:rPr>
          <w:rFonts w:ascii="Times New Roman" w:hAnsi="Times New Roman"/>
        </w:rPr>
      </w:pPr>
      <w:r w:rsidRPr="005E3FA8">
        <w:rPr>
          <w:rFonts w:ascii="Times New Roman" w:hAnsi="Times New Roman"/>
        </w:rPr>
        <w:tab/>
      </w:r>
      <w:r w:rsidR="00011691" w:rsidRPr="005E3FA8">
        <w:rPr>
          <w:rFonts w:ascii="Times New Roman" w:hAnsi="Times New Roman"/>
        </w:rPr>
        <w:t>After careful consideration of the facts alleged in the Parent’s pleadings, viewing them in the light most favorable to an</w:t>
      </w:r>
      <w:r w:rsidR="0096514A" w:rsidRPr="005E3FA8">
        <w:rPr>
          <w:rFonts w:ascii="Times New Roman" w:hAnsi="Times New Roman"/>
        </w:rPr>
        <w:t xml:space="preserve">y potential statutory claim she </w:t>
      </w:r>
      <w:r w:rsidR="00011691" w:rsidRPr="005E3FA8">
        <w:rPr>
          <w:rFonts w:ascii="Times New Roman" w:hAnsi="Times New Roman"/>
        </w:rPr>
        <w:t xml:space="preserve">may have, as well as the thoughtful arguments of counsel for both parties and the applicable precedent in this jurisdiction, I find that </w:t>
      </w:r>
      <w:proofErr w:type="spellStart"/>
      <w:r w:rsidR="00011691" w:rsidRPr="005E3FA8">
        <w:rPr>
          <w:rFonts w:ascii="Times New Roman" w:hAnsi="Times New Roman"/>
        </w:rPr>
        <w:t>Xylia’s</w:t>
      </w:r>
      <w:proofErr w:type="spellEnd"/>
      <w:r w:rsidR="00011691" w:rsidRPr="005E3FA8">
        <w:rPr>
          <w:rFonts w:ascii="Times New Roman" w:hAnsi="Times New Roman"/>
        </w:rPr>
        <w:t xml:space="preserve"> claims for relief do not require exhaustion of the administrative remedies available to her</w:t>
      </w:r>
      <w:r w:rsidR="0096514A" w:rsidRPr="005E3FA8">
        <w:rPr>
          <w:rFonts w:ascii="Times New Roman" w:hAnsi="Times New Roman"/>
        </w:rPr>
        <w:t xml:space="preserve"> as a s</w:t>
      </w:r>
      <w:r w:rsidR="00011691" w:rsidRPr="005E3FA8">
        <w:rPr>
          <w:rFonts w:ascii="Times New Roman" w:hAnsi="Times New Roman"/>
        </w:rPr>
        <w:t>tudent with disabilities under the IDEA and, therefore, that dismissal is appropriate.</w:t>
      </w:r>
      <w:r w:rsidR="0096514A" w:rsidRPr="005E3FA8">
        <w:rPr>
          <w:rFonts w:ascii="Times New Roman" w:hAnsi="Times New Roman"/>
        </w:rPr>
        <w:t xml:space="preserve">  First,</w:t>
      </w:r>
      <w:r w:rsidR="00011691" w:rsidRPr="005E3FA8">
        <w:rPr>
          <w:rFonts w:ascii="Times New Roman" w:hAnsi="Times New Roman"/>
        </w:rPr>
        <w:t xml:space="preserve"> </w:t>
      </w:r>
      <w:r w:rsidR="0096514A" w:rsidRPr="005E3FA8">
        <w:rPr>
          <w:rFonts w:ascii="Times New Roman" w:hAnsi="Times New Roman"/>
        </w:rPr>
        <w:t>t</w:t>
      </w:r>
      <w:r w:rsidR="00011691" w:rsidRPr="005E3FA8">
        <w:rPr>
          <w:rFonts w:ascii="Times New Roman" w:hAnsi="Times New Roman"/>
        </w:rPr>
        <w:t>he hearing request does not present a claim on which the BSEA could, with its limited statutory jurisdiction, offer any form of relief, or provide a credible measure of expertise.  In particular, the Student has not set out a claim that is sufficiently related to any violation of the IDEA or Section 504 to bring it within the administrative dispute resolution procedures set out in the IDEA</w:t>
      </w:r>
      <w:r w:rsidR="0096514A" w:rsidRPr="005E3FA8">
        <w:rPr>
          <w:rFonts w:ascii="Times New Roman" w:hAnsi="Times New Roman"/>
        </w:rPr>
        <w:t xml:space="preserve">.  Second, heeding </w:t>
      </w:r>
      <w:r w:rsidR="00B728BA" w:rsidRPr="005E3FA8">
        <w:rPr>
          <w:rFonts w:ascii="Times New Roman" w:hAnsi="Times New Roman"/>
        </w:rPr>
        <w:t>th</w:t>
      </w:r>
      <w:r w:rsidR="00B74EDB" w:rsidRPr="005E3FA8">
        <w:rPr>
          <w:rFonts w:ascii="Times New Roman" w:hAnsi="Times New Roman"/>
        </w:rPr>
        <w:t xml:space="preserve">e directions and cautions </w:t>
      </w:r>
      <w:proofErr w:type="gramStart"/>
      <w:r w:rsidR="00B74EDB" w:rsidRPr="005E3FA8">
        <w:rPr>
          <w:rFonts w:ascii="Times New Roman" w:hAnsi="Times New Roman"/>
        </w:rPr>
        <w:t xml:space="preserve">of </w:t>
      </w:r>
      <w:r w:rsidR="00B728BA" w:rsidRPr="005E3FA8">
        <w:rPr>
          <w:rFonts w:ascii="Times New Roman" w:hAnsi="Times New Roman"/>
        </w:rPr>
        <w:t xml:space="preserve"> courts</w:t>
      </w:r>
      <w:proofErr w:type="gramEnd"/>
      <w:r w:rsidR="00B728BA" w:rsidRPr="005E3FA8">
        <w:rPr>
          <w:rFonts w:ascii="Times New Roman" w:hAnsi="Times New Roman"/>
        </w:rPr>
        <w:t xml:space="preserve"> which have considered the IDEA’s exhaustion provision</w:t>
      </w:r>
      <w:r w:rsidR="00B74EDB" w:rsidRPr="005E3FA8">
        <w:rPr>
          <w:rFonts w:ascii="Times New Roman" w:hAnsi="Times New Roman"/>
        </w:rPr>
        <w:t>,</w:t>
      </w:r>
      <w:r w:rsidR="00B728BA" w:rsidRPr="005E3FA8">
        <w:rPr>
          <w:rFonts w:ascii="Times New Roman" w:hAnsi="Times New Roman"/>
        </w:rPr>
        <w:t xml:space="preserve"> I am persuaded that exhaustion is not required in this matter because </w:t>
      </w:r>
      <w:proofErr w:type="spellStart"/>
      <w:r w:rsidR="00B728BA" w:rsidRPr="005E3FA8">
        <w:rPr>
          <w:rFonts w:ascii="Times New Roman" w:hAnsi="Times New Roman"/>
        </w:rPr>
        <w:t>Xylia’s</w:t>
      </w:r>
      <w:proofErr w:type="spellEnd"/>
      <w:r w:rsidR="00B728BA" w:rsidRPr="005E3FA8">
        <w:rPr>
          <w:rFonts w:ascii="Times New Roman" w:hAnsi="Times New Roman"/>
        </w:rPr>
        <w:t xml:space="preserve"> claim for money damages due to the tort of negligent supervision is not causally connected to her status as a student with disabilities nor to the failure of the school to meet its statutory obligations</w:t>
      </w:r>
      <w:r w:rsidR="00B74EDB" w:rsidRPr="005E3FA8">
        <w:rPr>
          <w:rFonts w:ascii="Times New Roman" w:hAnsi="Times New Roman"/>
        </w:rPr>
        <w:t xml:space="preserve"> under the IDEA, Section 504 or</w:t>
      </w:r>
      <w:r w:rsidR="00B728BA" w:rsidRPr="005E3FA8">
        <w:rPr>
          <w:rFonts w:ascii="Times New Roman" w:hAnsi="Times New Roman"/>
        </w:rPr>
        <w:t xml:space="preserve"> M.G.L. c. 71B. </w:t>
      </w:r>
      <w:r w:rsidR="0096514A" w:rsidRPr="005E3FA8">
        <w:rPr>
          <w:rFonts w:ascii="Times New Roman" w:hAnsi="Times New Roman"/>
        </w:rPr>
        <w:t xml:space="preserve">.  The claims the Student does present, as well as the relief she requests, fall outside the orbit established by </w:t>
      </w:r>
      <w:r w:rsidR="0096514A" w:rsidRPr="005E3FA8">
        <w:rPr>
          <w:rFonts w:ascii="Times New Roman" w:hAnsi="Times New Roman"/>
          <w:i/>
        </w:rPr>
        <w:t>Frazier</w:t>
      </w:r>
      <w:r w:rsidR="0096514A" w:rsidRPr="005E3FA8">
        <w:rPr>
          <w:rFonts w:ascii="Times New Roman" w:hAnsi="Times New Roman"/>
        </w:rPr>
        <w:t>,</w:t>
      </w:r>
      <w:r w:rsidR="0096514A" w:rsidRPr="005E3FA8">
        <w:rPr>
          <w:rFonts w:ascii="Times New Roman" w:hAnsi="Times New Roman"/>
          <w:i/>
        </w:rPr>
        <w:t xml:space="preserve"> supra</w:t>
      </w:r>
      <w:r w:rsidR="008879EC" w:rsidRPr="005E3FA8">
        <w:rPr>
          <w:rFonts w:ascii="Times New Roman" w:hAnsi="Times New Roman"/>
        </w:rPr>
        <w:t>.</w:t>
      </w:r>
    </w:p>
    <w:p w:rsidR="00B728BA" w:rsidRPr="005E3FA8" w:rsidRDefault="00B728BA" w:rsidP="002A1934">
      <w:pPr>
        <w:pStyle w:val="NoSpacing"/>
        <w:rPr>
          <w:rFonts w:ascii="Times New Roman" w:hAnsi="Times New Roman"/>
        </w:rPr>
      </w:pPr>
    </w:p>
    <w:p w:rsidR="00F928CC" w:rsidRPr="005E3FA8" w:rsidRDefault="00F928CC" w:rsidP="002A1934">
      <w:pPr>
        <w:pStyle w:val="NoSpacing"/>
        <w:rPr>
          <w:rFonts w:ascii="Times New Roman" w:hAnsi="Times New Roman"/>
        </w:rPr>
      </w:pPr>
    </w:p>
    <w:p w:rsidR="00546995" w:rsidRDefault="00546995" w:rsidP="002A1934">
      <w:pPr>
        <w:pStyle w:val="NoSpacing"/>
        <w:rPr>
          <w:rFonts w:ascii="Times New Roman" w:hAnsi="Times New Roman"/>
          <w:u w:val="single"/>
        </w:rPr>
      </w:pPr>
    </w:p>
    <w:p w:rsidR="00546995" w:rsidRDefault="00546995" w:rsidP="002A1934">
      <w:pPr>
        <w:pStyle w:val="NoSpacing"/>
        <w:rPr>
          <w:rFonts w:ascii="Times New Roman" w:hAnsi="Times New Roman"/>
          <w:u w:val="single"/>
        </w:rPr>
      </w:pPr>
    </w:p>
    <w:p w:rsidR="00546995" w:rsidRDefault="00546995" w:rsidP="002A1934">
      <w:pPr>
        <w:pStyle w:val="NoSpacing"/>
        <w:rPr>
          <w:rFonts w:ascii="Times New Roman" w:hAnsi="Times New Roman"/>
          <w:u w:val="single"/>
        </w:rPr>
      </w:pPr>
    </w:p>
    <w:p w:rsidR="00546995" w:rsidRDefault="00546995" w:rsidP="002A1934">
      <w:pPr>
        <w:pStyle w:val="NoSpacing"/>
        <w:rPr>
          <w:rFonts w:ascii="Times New Roman" w:hAnsi="Times New Roman"/>
          <w:u w:val="single"/>
        </w:rPr>
      </w:pPr>
    </w:p>
    <w:p w:rsidR="00546995" w:rsidRDefault="00546995" w:rsidP="002A1934">
      <w:pPr>
        <w:pStyle w:val="NoSpacing"/>
        <w:rPr>
          <w:rFonts w:ascii="Times New Roman" w:hAnsi="Times New Roman"/>
          <w:u w:val="single"/>
        </w:rPr>
      </w:pPr>
    </w:p>
    <w:p w:rsidR="003877EA" w:rsidRPr="005E3FA8" w:rsidRDefault="003877EA" w:rsidP="002A1934">
      <w:pPr>
        <w:pStyle w:val="NoSpacing"/>
        <w:rPr>
          <w:rFonts w:ascii="Times New Roman" w:hAnsi="Times New Roman"/>
          <w:u w:val="single"/>
        </w:rPr>
      </w:pPr>
      <w:r w:rsidRPr="005E3FA8">
        <w:rPr>
          <w:rFonts w:ascii="Times New Roman" w:hAnsi="Times New Roman"/>
          <w:u w:val="single"/>
        </w:rPr>
        <w:t>ORDER</w:t>
      </w:r>
    </w:p>
    <w:p w:rsidR="0096514A" w:rsidRPr="005E3FA8" w:rsidRDefault="0096514A" w:rsidP="002A1934">
      <w:pPr>
        <w:pStyle w:val="NoSpacing"/>
        <w:rPr>
          <w:rFonts w:ascii="Times New Roman" w:hAnsi="Times New Roman"/>
          <w:u w:val="single"/>
        </w:rPr>
      </w:pPr>
    </w:p>
    <w:p w:rsidR="0096514A" w:rsidRPr="005E3FA8" w:rsidRDefault="003877EA" w:rsidP="002A1934">
      <w:pPr>
        <w:pStyle w:val="NoSpacing"/>
        <w:rPr>
          <w:rFonts w:ascii="Times New Roman" w:hAnsi="Times New Roman"/>
        </w:rPr>
      </w:pPr>
      <w:r w:rsidRPr="005E3FA8">
        <w:rPr>
          <w:rFonts w:ascii="Times New Roman" w:hAnsi="Times New Roman"/>
        </w:rPr>
        <w:tab/>
        <w:t xml:space="preserve">As there are </w:t>
      </w:r>
      <w:r w:rsidR="00EC3301" w:rsidRPr="005E3FA8">
        <w:rPr>
          <w:rFonts w:ascii="Times New Roman" w:hAnsi="Times New Roman"/>
        </w:rPr>
        <w:t>no IDEA-related issues before the BSEA</w:t>
      </w:r>
      <w:r w:rsidR="000F0FEF" w:rsidRPr="005E3FA8">
        <w:rPr>
          <w:rFonts w:ascii="Times New Roman" w:hAnsi="Times New Roman"/>
        </w:rPr>
        <w:t xml:space="preserve">, the Parent’s Motion for an Evidentiary Hearing is DENIED and </w:t>
      </w:r>
      <w:r w:rsidRPr="005E3FA8">
        <w:rPr>
          <w:rFonts w:ascii="Times New Roman" w:hAnsi="Times New Roman"/>
        </w:rPr>
        <w:t>Springfield’s Motion to Dismi</w:t>
      </w:r>
      <w:r w:rsidR="00EC3301" w:rsidRPr="005E3FA8">
        <w:rPr>
          <w:rFonts w:ascii="Times New Roman" w:hAnsi="Times New Roman"/>
        </w:rPr>
        <w:t>ss is GRANTED</w:t>
      </w:r>
      <w:r w:rsidR="000F0FEF" w:rsidRPr="005E3FA8">
        <w:rPr>
          <w:rFonts w:ascii="Times New Roman" w:hAnsi="Times New Roman"/>
        </w:rPr>
        <w:t>.</w:t>
      </w:r>
      <w:r w:rsidR="00EA7331" w:rsidRPr="005E3FA8">
        <w:rPr>
          <w:rFonts w:ascii="Times New Roman" w:hAnsi="Times New Roman"/>
        </w:rPr>
        <w:tab/>
      </w:r>
    </w:p>
    <w:p w:rsidR="0096514A" w:rsidRPr="005E3FA8" w:rsidRDefault="0096514A" w:rsidP="002A1934">
      <w:pPr>
        <w:pStyle w:val="NoSpacing"/>
        <w:rPr>
          <w:rFonts w:ascii="Times New Roman" w:hAnsi="Times New Roman"/>
        </w:rPr>
      </w:pPr>
    </w:p>
    <w:p w:rsidR="00F928CC" w:rsidRPr="005E3FA8" w:rsidRDefault="00F928CC" w:rsidP="002A1934">
      <w:pPr>
        <w:pStyle w:val="NoSpacing"/>
        <w:rPr>
          <w:rFonts w:ascii="Times New Roman" w:hAnsi="Times New Roman"/>
        </w:rPr>
      </w:pPr>
    </w:p>
    <w:p w:rsidR="00F928CC" w:rsidRDefault="00F928CC" w:rsidP="002A1934">
      <w:pPr>
        <w:pStyle w:val="NoSpacing"/>
        <w:rPr>
          <w:rFonts w:ascii="Times New Roman" w:hAnsi="Times New Roman"/>
        </w:rPr>
      </w:pPr>
    </w:p>
    <w:p w:rsidR="00546995" w:rsidRDefault="00546995" w:rsidP="002A1934">
      <w:pPr>
        <w:pStyle w:val="NoSpacing"/>
        <w:rPr>
          <w:rFonts w:ascii="Times New Roman" w:hAnsi="Times New Roman"/>
        </w:rPr>
      </w:pPr>
    </w:p>
    <w:p w:rsidR="00546995" w:rsidRDefault="00546995" w:rsidP="002A1934">
      <w:pPr>
        <w:pStyle w:val="NoSpacing"/>
        <w:rPr>
          <w:rFonts w:ascii="Times New Roman" w:hAnsi="Times New Roman"/>
        </w:rPr>
      </w:pPr>
    </w:p>
    <w:p w:rsidR="00546995" w:rsidRPr="005E3FA8" w:rsidRDefault="00546995" w:rsidP="002A1934">
      <w:pPr>
        <w:pStyle w:val="NoSpacing"/>
        <w:rPr>
          <w:rFonts w:ascii="Times New Roman" w:hAnsi="Times New Roman"/>
        </w:rPr>
      </w:pPr>
    </w:p>
    <w:p w:rsidR="00F928CC" w:rsidRPr="005E3FA8" w:rsidRDefault="00F928CC" w:rsidP="002A1934">
      <w:pPr>
        <w:pStyle w:val="NoSpacing"/>
        <w:rPr>
          <w:rFonts w:ascii="Times New Roman" w:hAnsi="Times New Roman"/>
        </w:rPr>
      </w:pPr>
    </w:p>
    <w:p w:rsidR="00F928CC" w:rsidRPr="005E3FA8" w:rsidRDefault="00F928CC" w:rsidP="002A1934">
      <w:pPr>
        <w:pStyle w:val="NoSpacing"/>
        <w:rPr>
          <w:rFonts w:ascii="Times New Roman" w:hAnsi="Times New Roman"/>
        </w:rPr>
      </w:pPr>
    </w:p>
    <w:p w:rsidR="00F928CC" w:rsidRPr="005E3FA8" w:rsidRDefault="00F928CC" w:rsidP="002A1934">
      <w:pPr>
        <w:pStyle w:val="NoSpacing"/>
        <w:rPr>
          <w:rFonts w:ascii="Times New Roman" w:hAnsi="Times New Roman"/>
        </w:rPr>
      </w:pPr>
    </w:p>
    <w:p w:rsidR="0096514A" w:rsidRPr="005E3FA8" w:rsidRDefault="00F928CC" w:rsidP="002A1934">
      <w:pPr>
        <w:pStyle w:val="NoSpacing"/>
        <w:rPr>
          <w:rFonts w:ascii="Times New Roman" w:hAnsi="Times New Roman"/>
        </w:rPr>
      </w:pPr>
      <w:r w:rsidRPr="005E3FA8">
        <w:rPr>
          <w:rFonts w:ascii="Times New Roman" w:hAnsi="Times New Roman"/>
        </w:rPr>
        <w:t>________________________</w:t>
      </w:r>
      <w:r w:rsidR="0096514A" w:rsidRPr="005E3FA8">
        <w:rPr>
          <w:rFonts w:ascii="Times New Roman" w:hAnsi="Times New Roman"/>
        </w:rPr>
        <w:t xml:space="preserve">                                    ___________________________</w:t>
      </w:r>
    </w:p>
    <w:p w:rsidR="0096514A" w:rsidRPr="005E3FA8" w:rsidRDefault="00F928CC" w:rsidP="002A1934">
      <w:pPr>
        <w:pStyle w:val="NoSpacing"/>
        <w:rPr>
          <w:rFonts w:ascii="Times New Roman" w:hAnsi="Times New Roman"/>
        </w:rPr>
      </w:pPr>
      <w:r w:rsidRPr="005E3FA8">
        <w:rPr>
          <w:rFonts w:ascii="Times New Roman" w:hAnsi="Times New Roman"/>
        </w:rPr>
        <w:t>By the Hearing Officer</w:t>
      </w:r>
      <w:r w:rsidR="0096514A" w:rsidRPr="005E3FA8">
        <w:rPr>
          <w:rFonts w:ascii="Times New Roman" w:hAnsi="Times New Roman"/>
        </w:rPr>
        <w:t xml:space="preserve">                      </w:t>
      </w:r>
      <w:r w:rsidRPr="005E3FA8">
        <w:rPr>
          <w:rFonts w:ascii="Times New Roman" w:hAnsi="Times New Roman"/>
        </w:rPr>
        <w:t xml:space="preserve">                           </w:t>
      </w:r>
      <w:r w:rsidR="0096514A" w:rsidRPr="005E3FA8">
        <w:rPr>
          <w:rFonts w:ascii="Times New Roman" w:hAnsi="Times New Roman"/>
        </w:rPr>
        <w:t>Date</w:t>
      </w:r>
      <w:r w:rsidRPr="005E3FA8">
        <w:rPr>
          <w:rFonts w:ascii="Times New Roman" w:hAnsi="Times New Roman"/>
        </w:rPr>
        <w:t>d:  November 26, 2012</w:t>
      </w:r>
      <w:r w:rsidR="0096514A" w:rsidRPr="005E3FA8">
        <w:rPr>
          <w:rFonts w:ascii="Times New Roman" w:hAnsi="Times New Roman"/>
        </w:rPr>
        <w:t xml:space="preserve">                                                                           </w:t>
      </w:r>
    </w:p>
    <w:p w:rsidR="00B64343" w:rsidRPr="005E3FA8" w:rsidRDefault="00CA3296" w:rsidP="002A1934">
      <w:pPr>
        <w:pStyle w:val="NoSpacing"/>
        <w:rPr>
          <w:rFonts w:ascii="Times New Roman" w:hAnsi="Times New Roman"/>
        </w:rPr>
      </w:pPr>
      <w:r>
        <w:rPr>
          <w:rFonts w:ascii="Times New Roman" w:hAnsi="Times New Roman"/>
        </w:rPr>
        <w:t>Lindsay Byrne</w:t>
      </w:r>
      <w:r w:rsidR="00B64343" w:rsidRPr="005E3FA8">
        <w:rPr>
          <w:rFonts w:ascii="Times New Roman" w:hAnsi="Times New Roman"/>
        </w:rPr>
        <w:tab/>
      </w:r>
    </w:p>
    <w:p w:rsidR="00995815" w:rsidRPr="005E3FA8" w:rsidRDefault="00995815" w:rsidP="002A1934">
      <w:pPr>
        <w:pStyle w:val="NoSpacing"/>
        <w:rPr>
          <w:rFonts w:ascii="Times New Roman" w:hAnsi="Times New Roman"/>
        </w:rPr>
      </w:pPr>
      <w:r w:rsidRPr="005E3FA8">
        <w:rPr>
          <w:rFonts w:ascii="Times New Roman" w:hAnsi="Times New Roman"/>
        </w:rPr>
        <w:tab/>
      </w:r>
    </w:p>
    <w:p w:rsidR="00484B6B" w:rsidRPr="005E3FA8" w:rsidRDefault="00484B6B" w:rsidP="002A1934">
      <w:pPr>
        <w:pStyle w:val="NoSpacing"/>
        <w:rPr>
          <w:rFonts w:ascii="Times New Roman" w:hAnsi="Times New Roman"/>
        </w:rPr>
      </w:pPr>
    </w:p>
    <w:p w:rsidR="00EE7844" w:rsidRPr="005E3FA8" w:rsidRDefault="00EE7844" w:rsidP="002A1934">
      <w:pPr>
        <w:pStyle w:val="NoSpacing"/>
        <w:rPr>
          <w:rFonts w:ascii="Times New Roman" w:hAnsi="Times New Roman"/>
          <w:b/>
        </w:rPr>
      </w:pPr>
    </w:p>
    <w:sectPr w:rsidR="00EE7844" w:rsidRPr="005E3FA8" w:rsidSect="001A3A59">
      <w:headerReference w:type="default" r:id="rId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8CC" w:rsidRDefault="00F928CC" w:rsidP="00FA23AC">
      <w:r>
        <w:separator/>
      </w:r>
    </w:p>
  </w:endnote>
  <w:endnote w:type="continuationSeparator" w:id="0">
    <w:p w:rsidR="00F928CC" w:rsidRDefault="00F928CC" w:rsidP="00FA23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5024477"/>
      <w:docPartObj>
        <w:docPartGallery w:val="Page Numbers (Bottom of Page)"/>
        <w:docPartUnique/>
      </w:docPartObj>
    </w:sdtPr>
    <w:sdtEndPr>
      <w:rPr>
        <w:noProof/>
      </w:rPr>
    </w:sdtEndPr>
    <w:sdtContent>
      <w:p w:rsidR="00F928CC" w:rsidRDefault="00474500">
        <w:pPr>
          <w:pStyle w:val="Footer"/>
          <w:jc w:val="center"/>
        </w:pPr>
        <w:r>
          <w:fldChar w:fldCharType="begin"/>
        </w:r>
        <w:r w:rsidR="00F928CC">
          <w:instrText xml:space="preserve"> PAGE   \* MERGEFORMAT </w:instrText>
        </w:r>
        <w:r>
          <w:fldChar w:fldCharType="separate"/>
        </w:r>
        <w:r w:rsidR="00DC3DD7">
          <w:rPr>
            <w:noProof/>
          </w:rPr>
          <w:t>11</w:t>
        </w:r>
        <w:r>
          <w:rPr>
            <w:noProof/>
          </w:rPr>
          <w:fldChar w:fldCharType="end"/>
        </w:r>
      </w:p>
    </w:sdtContent>
  </w:sdt>
  <w:p w:rsidR="00F928CC" w:rsidRDefault="00F928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8CC" w:rsidRDefault="00F928CC" w:rsidP="00FA23AC">
      <w:r>
        <w:separator/>
      </w:r>
    </w:p>
  </w:footnote>
  <w:footnote w:type="continuationSeparator" w:id="0">
    <w:p w:rsidR="00F928CC" w:rsidRDefault="00F928CC" w:rsidP="00FA23AC">
      <w:r>
        <w:continuationSeparator/>
      </w:r>
    </w:p>
  </w:footnote>
  <w:footnote w:id="1">
    <w:p w:rsidR="00F928CC" w:rsidRDefault="00F928CC">
      <w:pPr>
        <w:pStyle w:val="FootnoteText"/>
      </w:pPr>
      <w:r>
        <w:rPr>
          <w:rStyle w:val="FootnoteReference"/>
        </w:rPr>
        <w:footnoteRef/>
      </w:r>
      <w:r>
        <w:t xml:space="preserve"> “</w:t>
      </w:r>
      <w:proofErr w:type="spellStart"/>
      <w:r>
        <w:t>Xylia</w:t>
      </w:r>
      <w:proofErr w:type="spellEnd"/>
      <w:r>
        <w:t>” is a pseudonym chosen by the Hearing Officer to protect the privacy of the Student in documents available to the public.</w:t>
      </w:r>
    </w:p>
  </w:footnote>
  <w:footnote w:id="2">
    <w:p w:rsidR="00F928CC" w:rsidRDefault="00F928CC">
      <w:pPr>
        <w:pStyle w:val="FootnoteText"/>
      </w:pPr>
      <w:r>
        <w:rPr>
          <w:rStyle w:val="FootnoteReference"/>
        </w:rPr>
        <w:footnoteRef/>
      </w:r>
      <w:r>
        <w:t xml:space="preserve"> The Parties and the Hearing Officer understood this to be a typographical error and that the Parent intended to set out a claim under 42 U.S.C. Section 1983.</w:t>
      </w:r>
    </w:p>
  </w:footnote>
  <w:footnote w:id="3">
    <w:p w:rsidR="00F928CC" w:rsidRPr="00E7176A" w:rsidRDefault="00F928CC">
      <w:pPr>
        <w:pStyle w:val="FootnoteText"/>
      </w:pPr>
      <w:r>
        <w:rPr>
          <w:rStyle w:val="FootnoteReference"/>
        </w:rPr>
        <w:footnoteRef/>
      </w:r>
      <w:r>
        <w:t xml:space="preserve"> In special education matters before the BSEA, arguments on Motions to Dismiss for lack of jurisdiction under F.R.C.P and M.R.C.P. Rule 12 (b) (1) are frequently indistinguishable from those advanced in Rule 12 (b) (6) Motions and are treated similarly. </w:t>
      </w:r>
      <w:proofErr w:type="gramStart"/>
      <w:r w:rsidRPr="00CE6AB8">
        <w:rPr>
          <w:i/>
        </w:rPr>
        <w:t>Roe v. Johnson</w:t>
      </w:r>
      <w:r>
        <w:t>, No. 11-11858-RWZ, 2012 U.S. Dist. LEXIS 115918 (</w:t>
      </w:r>
      <w:proofErr w:type="spellStart"/>
      <w:r>
        <w:t>D.Mass</w:t>
      </w:r>
      <w:proofErr w:type="spellEnd"/>
      <w:r>
        <w:t>.</w:t>
      </w:r>
      <w:proofErr w:type="gramEnd"/>
      <w:r>
        <w:t xml:space="preserve"> August 17, 2012); </w:t>
      </w:r>
      <w:r w:rsidRPr="00CE6AB8">
        <w:rPr>
          <w:i/>
        </w:rPr>
        <w:t>Hague v. Massachusetts</w:t>
      </w:r>
      <w:r>
        <w:t xml:space="preserve"> </w:t>
      </w:r>
      <w:r w:rsidRPr="00CE6AB8">
        <w:rPr>
          <w:i/>
        </w:rPr>
        <w:t>Department of Elementary and Secondary Education</w:t>
      </w:r>
      <w:r>
        <w:rPr>
          <w:i/>
        </w:rPr>
        <w:t>,</w:t>
      </w:r>
      <w:r>
        <w:t xml:space="preserve"> No. 10-30138-DJC, 2011 U.S. Dist. LEXIS 112235 (D. Mass. September 12, 2011.).</w:t>
      </w:r>
    </w:p>
  </w:footnote>
  <w:footnote w:id="4">
    <w:p w:rsidR="00F928CC" w:rsidRDefault="00F928CC">
      <w:pPr>
        <w:pStyle w:val="FootnoteText"/>
      </w:pPr>
      <w:r>
        <w:rPr>
          <w:rStyle w:val="FootnoteReference"/>
        </w:rPr>
        <w:footnoteRef/>
      </w:r>
      <w:r>
        <w:t xml:space="preserve"> The administrative due process agency has primary jurisdiction over disputes concerning “any matter relating to </w:t>
      </w:r>
      <w:proofErr w:type="gramStart"/>
      <w:r>
        <w:t>a the</w:t>
      </w:r>
      <w:proofErr w:type="gramEnd"/>
      <w:r>
        <w:t xml:space="preserve"> identification, evaluation or educational placement of the child or the provision of a free appropriate public education to such child”. </w:t>
      </w:r>
      <w:proofErr w:type="gramStart"/>
      <w:r>
        <w:t>20 U.S.C. 1415 (b) (6).</w:t>
      </w:r>
      <w:proofErr w:type="gramEnd"/>
      <w:r>
        <w:t xml:space="preserve"> 34 C.F.R</w:t>
      </w:r>
      <w:proofErr w:type="gramStart"/>
      <w:r>
        <w:t>.§</w:t>
      </w:r>
      <w:proofErr w:type="gramEnd"/>
      <w:r>
        <w:t>300.507.</w:t>
      </w:r>
    </w:p>
  </w:footnote>
  <w:footnote w:id="5">
    <w:p w:rsidR="00F928CC" w:rsidRDefault="00F928CC">
      <w:pPr>
        <w:pStyle w:val="FootnoteText"/>
      </w:pPr>
      <w:r>
        <w:rPr>
          <w:rStyle w:val="FootnoteReference"/>
        </w:rPr>
        <w:footnoteRef/>
      </w:r>
      <w:r>
        <w:t xml:space="preserve">The Massachusetts regulations clarifying the applicable language in </w:t>
      </w:r>
      <w:proofErr w:type="spellStart"/>
      <w:r>
        <w:t>M.G.L.c</w:t>
      </w:r>
      <w:proofErr w:type="spellEnd"/>
      <w:r>
        <w:t xml:space="preserve"> 71B Section 3 provide: </w:t>
      </w:r>
      <w:proofErr w:type="gramStart"/>
      <w:r>
        <w:t>“ (</w:t>
      </w:r>
      <w:proofErr w:type="gramEnd"/>
      <w:r>
        <w:t xml:space="preserve">a) A parent or a school district, except as provided in  603 CMR 28.08 (3) (c) and (d), may request mediation and/or a hearing at any time on any matter concerning the eligibility, evaluation, placement, IEP, provision of special education in accordance with state and federal law, or procedural protections of state and federal law for students with disabilities.  A parent of a student with a disability may also request a hearing on any issue involving the denial of the free appropriate public education guaranteed by Section 504 of the Rehabilitation Act of 1973, as set forth in 34 CFR §§104.31-104.39.  </w:t>
      </w:r>
      <w:proofErr w:type="gramStart"/>
      <w:r>
        <w:t>801 CMR 28.08 (3) (a).”</w:t>
      </w:r>
      <w:proofErr w:type="gramEnd"/>
    </w:p>
  </w:footnote>
  <w:footnote w:id="6">
    <w:p w:rsidR="00F928CC" w:rsidRDefault="00F928CC">
      <w:pPr>
        <w:pStyle w:val="FootnoteText"/>
      </w:pPr>
      <w:r>
        <w:rPr>
          <w:rStyle w:val="FootnoteReference"/>
        </w:rPr>
        <w:footnoteRef/>
      </w:r>
      <w:proofErr w:type="gramStart"/>
      <w:r>
        <w:t>“ The</w:t>
      </w:r>
      <w:proofErr w:type="gramEnd"/>
      <w:r>
        <w:t xml:space="preserve"> Party requesting the due process hearing shall not be allowed to raise issues at the due process hearing that were not raised in the notice filed under subsection (b) (7)” .  </w:t>
      </w:r>
      <w:proofErr w:type="gramStart"/>
      <w:r>
        <w:t>(Hearing Request) 20 U.S. § 1415 (f) (3) (B).</w:t>
      </w:r>
      <w:proofErr w:type="gramEnd"/>
    </w:p>
  </w:footnote>
  <w:footnote w:id="7">
    <w:p w:rsidR="00F928CC" w:rsidRPr="007403F0" w:rsidRDefault="00F928CC">
      <w:pPr>
        <w:pStyle w:val="FootnoteText"/>
      </w:pPr>
      <w:r>
        <w:rPr>
          <w:rStyle w:val="FootnoteReference"/>
        </w:rPr>
        <w:footnoteRef/>
      </w:r>
      <w:r>
        <w:t xml:space="preserve">Compare </w:t>
      </w:r>
      <w:r w:rsidRPr="00CD4F03">
        <w:rPr>
          <w:i/>
        </w:rPr>
        <w:t>Payne v. Peninsula School District</w:t>
      </w:r>
      <w:r w:rsidRPr="00CD4F03">
        <w:t>,</w:t>
      </w:r>
      <w:r>
        <w:t xml:space="preserve"> 653 F.3d 863 (9</w:t>
      </w:r>
      <w:r w:rsidRPr="007403F0">
        <w:rPr>
          <w:vertAlign w:val="superscript"/>
        </w:rPr>
        <w:t>th</w:t>
      </w:r>
      <w:r>
        <w:t xml:space="preserve"> Cir. 2011) which overruled a line of previously decided cases using an analysis similar to that employed in </w:t>
      </w:r>
      <w:r w:rsidRPr="00CD4F03">
        <w:rPr>
          <w:i/>
        </w:rPr>
        <w:t>Frazier</w:t>
      </w:r>
      <w:r w:rsidRPr="00CD4F03">
        <w:t>,</w:t>
      </w:r>
      <w:r w:rsidRPr="00CD4F03">
        <w:rPr>
          <w:i/>
        </w:rPr>
        <w:t xml:space="preserve"> supra,</w:t>
      </w:r>
      <w:r>
        <w:t xml:space="preserve"> to hold that the IDEA’s exhaustion provision does not apply to matters in which the pleadings do not establish a claim for relief that is actually available under the IDEA.</w:t>
      </w:r>
    </w:p>
  </w:footnote>
  <w:footnote w:id="8">
    <w:p w:rsidR="00F928CC" w:rsidRDefault="00F928CC">
      <w:pPr>
        <w:pStyle w:val="FootnoteText"/>
      </w:pPr>
      <w:r>
        <w:rPr>
          <w:rStyle w:val="FootnoteReference"/>
        </w:rPr>
        <w:footnoteRef/>
      </w:r>
      <w:r>
        <w:t xml:space="preserve"> For the reader’s reference the IDEA’s exhaustion provision is found at 20 U.S.C</w:t>
      </w:r>
      <w:proofErr w:type="gramStart"/>
      <w:r>
        <w:t>.</w:t>
      </w:r>
      <w:r>
        <w:rPr>
          <w:i/>
        </w:rPr>
        <w:t>§</w:t>
      </w:r>
      <w:proofErr w:type="gramEnd"/>
      <w:r>
        <w:rPr>
          <w:i/>
        </w:rPr>
        <w:t>1415(l).  It</w:t>
      </w:r>
      <w:r>
        <w:t xml:space="preserve"> provides: </w:t>
      </w:r>
    </w:p>
    <w:p w:rsidR="00F928CC" w:rsidRDefault="00F928CC" w:rsidP="00EC3301">
      <w:pPr>
        <w:pStyle w:val="FootnoteText"/>
      </w:pPr>
      <w:r>
        <w:t xml:space="preserve">“Nothing in this chapter shall be construed to restrict or limit the rights, procedures, and remedies available under the Constitution, the Americans with Disabilities Act of 1990 [42 U.S.C. § 12101 </w:t>
      </w:r>
      <w:r>
        <w:rPr>
          <w:i/>
        </w:rPr>
        <w:t>et seq</w:t>
      </w:r>
      <w:r>
        <w:t xml:space="preserve">.], title V of the Rehabilitation Act of 1973 [29 U.S.C. §79.0 </w:t>
      </w:r>
      <w:r>
        <w:rPr>
          <w:i/>
        </w:rPr>
        <w:t>et seq.</w:t>
      </w:r>
      <w:r>
        <w:t xml:space="preserve">], or other Federal laws protecting the rights of children with disabilities, </w:t>
      </w:r>
      <w:r>
        <w:rPr>
          <w:i/>
        </w:rPr>
        <w:t>except that before the filing of a civil action under such laws seeking relief that is also available under this subchapter, the procedures under subsections (f) and (g) shall be exhausted to the same extent as would be required had the action been brought under this subchapter.” (</w:t>
      </w:r>
      <w:proofErr w:type="gramStart"/>
      <w:r>
        <w:t>emphasis</w:t>
      </w:r>
      <w:proofErr w:type="gramEnd"/>
      <w:r>
        <w:t xml:space="preserve"> added).  (</w:t>
      </w:r>
      <w:proofErr w:type="gramStart"/>
      <w:r>
        <w:t>subsections</w:t>
      </w:r>
      <w:proofErr w:type="gramEnd"/>
      <w:r>
        <w:t xml:space="preserve"> (f) and (g) refer to the administrative due process system required under the IDEA.</w:t>
      </w:r>
      <w:r w:rsidRPr="00EC3301">
        <w:rPr>
          <w:rStyle w:val="FootnoteReference"/>
        </w:rPr>
        <w:t xml:space="preserve"> </w:t>
      </w:r>
    </w:p>
    <w:p w:rsidR="00F928CC" w:rsidRPr="007F0F68" w:rsidRDefault="00F928CC" w:rsidP="00EC3301">
      <w:pPr>
        <w:pStyle w:val="FootnoteText"/>
      </w:pPr>
      <w:r>
        <w:t xml:space="preserve">     The topic of exhaustion of administrative processes in general has been addressed previously by the BSEA.  Both Hearing Officer Crane and Hearing Officer Oliver have written thorough and elegant analytical rulings discussing the parameters of the IDEA’s exhaustion provision. I cannot improve upon them and refer the interested reader to the original sources.  </w:t>
      </w:r>
      <w:r w:rsidRPr="00FC0ACE">
        <w:rPr>
          <w:i/>
        </w:rPr>
        <w:t>In Re: CBDE</w:t>
      </w:r>
      <w:r>
        <w:t xml:space="preserve">, 17 MSER 43 (Crane 2011);  </w:t>
      </w:r>
      <w:r w:rsidRPr="00FC0ACE">
        <w:rPr>
          <w:i/>
        </w:rPr>
        <w:t xml:space="preserve">In Re: Mashpee Public Schools, 14 MSER 143 </w:t>
      </w:r>
      <w:r>
        <w:rPr>
          <w:i/>
        </w:rPr>
        <w:t xml:space="preserve">(Crane </w:t>
      </w:r>
      <w:r w:rsidRPr="00FC0ACE">
        <w:rPr>
          <w:i/>
        </w:rPr>
        <w:t>2006);  Jane v. Lexington Public Schools</w:t>
      </w:r>
      <w:r>
        <w:t>, BSEA No. 08-3060, Ruling on Motion To Determine Scope of Hearing (Oliver, 8/19/2008 (unpublished))..</w:t>
      </w:r>
    </w:p>
    <w:p w:rsidR="00F928CC" w:rsidRPr="0086328F" w:rsidRDefault="00F928CC" w:rsidP="00CD4F03">
      <w:pPr>
        <w:pStyle w:val="FootnoteText"/>
        <w:jc w:val="both"/>
      </w:pPr>
    </w:p>
  </w:footnote>
  <w:footnote w:id="9">
    <w:p w:rsidR="00F928CC" w:rsidRPr="0014588B" w:rsidRDefault="00F928CC">
      <w:pPr>
        <w:pStyle w:val="FootnoteText"/>
      </w:pPr>
      <w:r>
        <w:rPr>
          <w:rStyle w:val="FootnoteReference"/>
        </w:rPr>
        <w:footnoteRef/>
      </w:r>
      <w:r>
        <w:t xml:space="preserve"> For a discussion of monetary damages and the IDEA see:  </w:t>
      </w:r>
      <w:r w:rsidRPr="00CD4F03">
        <w:rPr>
          <w:i/>
        </w:rPr>
        <w:t>Diaz-Fonseca v. Puerto Rico</w:t>
      </w:r>
      <w:r>
        <w:t>, 451 F</w:t>
      </w:r>
      <w:r w:rsidRPr="0014588B">
        <w:t>3d. 13 ( 1</w:t>
      </w:r>
      <w:r w:rsidRPr="0014588B">
        <w:rPr>
          <w:vertAlign w:val="superscript"/>
        </w:rPr>
        <w:t>st</w:t>
      </w:r>
      <w:r w:rsidRPr="0014588B">
        <w:t xml:space="preserve"> Cir. </w:t>
      </w:r>
      <w:r w:rsidRPr="00CD4F03">
        <w:t>2006);</w:t>
      </w:r>
      <w:r w:rsidRPr="00CD4F03">
        <w:rPr>
          <w:i/>
        </w:rPr>
        <w:t xml:space="preserve">   Nieves-Marquez v. Puerto Rico</w:t>
      </w:r>
      <w:r>
        <w:t>, 353 F. 3d 108 (1</w:t>
      </w:r>
      <w:r w:rsidRPr="0014588B">
        <w:rPr>
          <w:vertAlign w:val="superscript"/>
        </w:rPr>
        <w:t>st</w:t>
      </w:r>
      <w:r>
        <w:t xml:space="preserve"> Cir. 2003)</w:t>
      </w:r>
    </w:p>
  </w:footnote>
  <w:footnote w:id="10">
    <w:p w:rsidR="00F928CC" w:rsidRDefault="00F928CC">
      <w:pPr>
        <w:pStyle w:val="FootnoteText"/>
      </w:pPr>
      <w:r>
        <w:rPr>
          <w:rStyle w:val="FootnoteReference"/>
        </w:rPr>
        <w:footnoteRef/>
      </w:r>
      <w:r>
        <w:t xml:space="preserve"> Judge </w:t>
      </w:r>
      <w:proofErr w:type="spellStart"/>
      <w:r>
        <w:t>Woodlock’s</w:t>
      </w:r>
      <w:proofErr w:type="spellEnd"/>
      <w:r>
        <w:t xml:space="preserve"> discussion and application of the exhaustion provision of the IDEA in</w:t>
      </w:r>
      <w:r w:rsidRPr="00696FEF">
        <w:rPr>
          <w:u w:val="single"/>
        </w:rPr>
        <w:t xml:space="preserve"> </w:t>
      </w:r>
      <w:r w:rsidRPr="005062EE">
        <w:rPr>
          <w:i/>
        </w:rPr>
        <w:t>Bowden</w:t>
      </w:r>
      <w:r w:rsidRPr="005062EE">
        <w:t>,</w:t>
      </w:r>
      <w:r w:rsidRPr="005062EE">
        <w:rPr>
          <w:i/>
        </w:rPr>
        <w:t xml:space="preserve"> supra</w:t>
      </w:r>
      <w:r>
        <w:t xml:space="preserve">, and subsequently in </w:t>
      </w:r>
      <w:r w:rsidRPr="005062EE">
        <w:rPr>
          <w:i/>
        </w:rPr>
        <w:t>CBDE</w:t>
      </w:r>
      <w:r w:rsidRPr="005062EE">
        <w:t>,</w:t>
      </w:r>
      <w:r>
        <w:t xml:space="preserve"> No. 11-10874-DPW, 2012 WL 4482296 (D. Mass. September 27,2012) is consistent with the evolution of the treatment of this provision in other jurisdictions.  In </w:t>
      </w:r>
      <w:r w:rsidRPr="00FC0ACE">
        <w:rPr>
          <w:i/>
        </w:rPr>
        <w:t>Payne v. Peninsula School District</w:t>
      </w:r>
      <w:r>
        <w:t>, 653 F.3</w:t>
      </w:r>
      <w:r w:rsidRPr="00696FEF">
        <w:rPr>
          <w:vertAlign w:val="superscript"/>
        </w:rPr>
        <w:t>rd</w:t>
      </w:r>
      <w:r>
        <w:t xml:space="preserve"> 863 (9</w:t>
      </w:r>
      <w:r w:rsidRPr="00696FEF">
        <w:rPr>
          <w:vertAlign w:val="superscript"/>
        </w:rPr>
        <w:t>th</w:t>
      </w:r>
      <w:r>
        <w:t xml:space="preserve"> Cir. 2011) the 9</w:t>
      </w:r>
      <w:r w:rsidRPr="00696FEF">
        <w:rPr>
          <w:vertAlign w:val="superscript"/>
        </w:rPr>
        <w:t>th</w:t>
      </w:r>
      <w:r>
        <w:t xml:space="preserve"> Circuit wrote: “We hold that the IDEA’s exhaustion provision applies only in cases where the relief sought by a plaintiff in the pleadings is available under the IDEA.  Non-IDEA claims that do not seek relief available under the IDEA are not subject to the exhaustion requirement, even if they allege injuries that could conceivably have been addressed by the IDEA.  We overrule our previous cases to the extent they state otherwise.”</w:t>
      </w:r>
    </w:p>
  </w:footnote>
  <w:footnote w:id="11">
    <w:p w:rsidR="00F928CC" w:rsidRDefault="00F928CC">
      <w:pPr>
        <w:pStyle w:val="FootnoteText"/>
      </w:pPr>
      <w:r>
        <w:rPr>
          <w:rStyle w:val="FootnoteReference"/>
        </w:rPr>
        <w:footnoteRef/>
      </w:r>
      <w:r>
        <w:t xml:space="preserve"> M.G.L. c. </w:t>
      </w:r>
      <w:proofErr w:type="gramStart"/>
      <w:r>
        <w:t>258  Sections</w:t>
      </w:r>
      <w:proofErr w:type="gramEnd"/>
      <w:r>
        <w:t xml:space="preserve"> 2, 3 provide that the state superior court has exclusive jurisdiction of actions claiming damages for the negligence of public employees.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8CC" w:rsidRDefault="00F928C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60467"/>
    <w:multiLevelType w:val="hybridMultilevel"/>
    <w:tmpl w:val="2D36B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8E530C"/>
    <w:multiLevelType w:val="hybridMultilevel"/>
    <w:tmpl w:val="7DACA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rsids>
    <w:rsidRoot w:val="00FA23AC"/>
    <w:rsid w:val="00011691"/>
    <w:rsid w:val="000153FF"/>
    <w:rsid w:val="00044604"/>
    <w:rsid w:val="000B474D"/>
    <w:rsid w:val="000D0807"/>
    <w:rsid w:val="000F0FEF"/>
    <w:rsid w:val="000F5A20"/>
    <w:rsid w:val="0014588B"/>
    <w:rsid w:val="001A3A59"/>
    <w:rsid w:val="001B7E40"/>
    <w:rsid w:val="001C0AAC"/>
    <w:rsid w:val="00201156"/>
    <w:rsid w:val="00245D46"/>
    <w:rsid w:val="00262281"/>
    <w:rsid w:val="002A1934"/>
    <w:rsid w:val="002E19EA"/>
    <w:rsid w:val="003005EE"/>
    <w:rsid w:val="00344DE1"/>
    <w:rsid w:val="0036271A"/>
    <w:rsid w:val="003877EA"/>
    <w:rsid w:val="00390CAC"/>
    <w:rsid w:val="00392877"/>
    <w:rsid w:val="003A3940"/>
    <w:rsid w:val="003B7CCF"/>
    <w:rsid w:val="003C3676"/>
    <w:rsid w:val="003D2139"/>
    <w:rsid w:val="00424845"/>
    <w:rsid w:val="00424932"/>
    <w:rsid w:val="00426B9E"/>
    <w:rsid w:val="004332CC"/>
    <w:rsid w:val="00440474"/>
    <w:rsid w:val="00460C43"/>
    <w:rsid w:val="00474500"/>
    <w:rsid w:val="00481F8D"/>
    <w:rsid w:val="00484B6B"/>
    <w:rsid w:val="00485DBE"/>
    <w:rsid w:val="004A54E0"/>
    <w:rsid w:val="004B3D88"/>
    <w:rsid w:val="004D6028"/>
    <w:rsid w:val="004E3F7B"/>
    <w:rsid w:val="004F0D24"/>
    <w:rsid w:val="005062EE"/>
    <w:rsid w:val="005257B2"/>
    <w:rsid w:val="00534840"/>
    <w:rsid w:val="00546995"/>
    <w:rsid w:val="00581382"/>
    <w:rsid w:val="00582F5B"/>
    <w:rsid w:val="00584AAF"/>
    <w:rsid w:val="00591BD8"/>
    <w:rsid w:val="005B631A"/>
    <w:rsid w:val="005E3FA8"/>
    <w:rsid w:val="005E5738"/>
    <w:rsid w:val="005F3277"/>
    <w:rsid w:val="00617119"/>
    <w:rsid w:val="00623F8A"/>
    <w:rsid w:val="006447AD"/>
    <w:rsid w:val="00646882"/>
    <w:rsid w:val="006945EB"/>
    <w:rsid w:val="00696FEF"/>
    <w:rsid w:val="006B5F36"/>
    <w:rsid w:val="00726776"/>
    <w:rsid w:val="00733420"/>
    <w:rsid w:val="00734F59"/>
    <w:rsid w:val="007403F0"/>
    <w:rsid w:val="00751406"/>
    <w:rsid w:val="007B18D1"/>
    <w:rsid w:val="007C7B50"/>
    <w:rsid w:val="007C7D79"/>
    <w:rsid w:val="007F0F68"/>
    <w:rsid w:val="00807E1D"/>
    <w:rsid w:val="00832F03"/>
    <w:rsid w:val="008332C4"/>
    <w:rsid w:val="00836D46"/>
    <w:rsid w:val="00860528"/>
    <w:rsid w:val="0086328F"/>
    <w:rsid w:val="00864FE2"/>
    <w:rsid w:val="008879EC"/>
    <w:rsid w:val="008E0FAA"/>
    <w:rsid w:val="008F3513"/>
    <w:rsid w:val="00911E4E"/>
    <w:rsid w:val="00924413"/>
    <w:rsid w:val="0096514A"/>
    <w:rsid w:val="00987810"/>
    <w:rsid w:val="009943EE"/>
    <w:rsid w:val="00995815"/>
    <w:rsid w:val="009A41BB"/>
    <w:rsid w:val="009E1A7A"/>
    <w:rsid w:val="00A1427E"/>
    <w:rsid w:val="00A2243F"/>
    <w:rsid w:val="00A34585"/>
    <w:rsid w:val="00A54EDD"/>
    <w:rsid w:val="00A70EA4"/>
    <w:rsid w:val="00A96A07"/>
    <w:rsid w:val="00AB71C2"/>
    <w:rsid w:val="00AE1BB6"/>
    <w:rsid w:val="00AF19B7"/>
    <w:rsid w:val="00B204F4"/>
    <w:rsid w:val="00B6114C"/>
    <w:rsid w:val="00B64343"/>
    <w:rsid w:val="00B728BA"/>
    <w:rsid w:val="00B74EDB"/>
    <w:rsid w:val="00BB63A3"/>
    <w:rsid w:val="00BE17DE"/>
    <w:rsid w:val="00C21135"/>
    <w:rsid w:val="00C4114F"/>
    <w:rsid w:val="00C47DD7"/>
    <w:rsid w:val="00C73DBD"/>
    <w:rsid w:val="00C815AE"/>
    <w:rsid w:val="00C8673F"/>
    <w:rsid w:val="00CA3296"/>
    <w:rsid w:val="00CC4398"/>
    <w:rsid w:val="00CD4F03"/>
    <w:rsid w:val="00CD6F2C"/>
    <w:rsid w:val="00CE1856"/>
    <w:rsid w:val="00CE5588"/>
    <w:rsid w:val="00CE6AB8"/>
    <w:rsid w:val="00CE6C09"/>
    <w:rsid w:val="00D3777D"/>
    <w:rsid w:val="00D46FA1"/>
    <w:rsid w:val="00D51D65"/>
    <w:rsid w:val="00D66E7C"/>
    <w:rsid w:val="00D73DEF"/>
    <w:rsid w:val="00D84306"/>
    <w:rsid w:val="00DC3DD7"/>
    <w:rsid w:val="00DF4B60"/>
    <w:rsid w:val="00E2513F"/>
    <w:rsid w:val="00E41725"/>
    <w:rsid w:val="00E55251"/>
    <w:rsid w:val="00E66530"/>
    <w:rsid w:val="00E7176A"/>
    <w:rsid w:val="00E73245"/>
    <w:rsid w:val="00E9040B"/>
    <w:rsid w:val="00E96776"/>
    <w:rsid w:val="00EA053C"/>
    <w:rsid w:val="00EA58A7"/>
    <w:rsid w:val="00EA7331"/>
    <w:rsid w:val="00EC3301"/>
    <w:rsid w:val="00EC693C"/>
    <w:rsid w:val="00EC695F"/>
    <w:rsid w:val="00EE7066"/>
    <w:rsid w:val="00EE7844"/>
    <w:rsid w:val="00F27E36"/>
    <w:rsid w:val="00F368BA"/>
    <w:rsid w:val="00F74BDA"/>
    <w:rsid w:val="00F852F1"/>
    <w:rsid w:val="00F928CC"/>
    <w:rsid w:val="00FA23AC"/>
    <w:rsid w:val="00FC0ACE"/>
    <w:rsid w:val="00FD607B"/>
    <w:rsid w:val="00FE39C1"/>
    <w:rsid w:val="00FE6F15"/>
    <w:rsid w:val="00FF7E30"/>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FA23AC"/>
    <w:rPr>
      <w:sz w:val="20"/>
      <w:szCs w:val="20"/>
    </w:rPr>
  </w:style>
  <w:style w:type="character" w:customStyle="1" w:styleId="FootnoteTextChar">
    <w:name w:val="Footnote Text Char"/>
    <w:basedOn w:val="DefaultParagraphFont"/>
    <w:link w:val="FootnoteText"/>
    <w:uiPriority w:val="99"/>
    <w:semiHidden/>
    <w:rsid w:val="00FA23AC"/>
    <w:rPr>
      <w:sz w:val="20"/>
      <w:szCs w:val="20"/>
    </w:rPr>
  </w:style>
  <w:style w:type="character" w:styleId="FootnoteReference">
    <w:name w:val="footnote reference"/>
    <w:basedOn w:val="DefaultParagraphFont"/>
    <w:uiPriority w:val="99"/>
    <w:semiHidden/>
    <w:unhideWhenUsed/>
    <w:rsid w:val="00FA23AC"/>
    <w:rPr>
      <w:vertAlign w:val="superscript"/>
    </w:rPr>
  </w:style>
  <w:style w:type="paragraph" w:styleId="Header">
    <w:name w:val="header"/>
    <w:basedOn w:val="Normal"/>
    <w:link w:val="HeaderChar"/>
    <w:uiPriority w:val="99"/>
    <w:unhideWhenUsed/>
    <w:rsid w:val="00C73DBD"/>
    <w:pPr>
      <w:tabs>
        <w:tab w:val="center" w:pos="4680"/>
        <w:tab w:val="right" w:pos="9360"/>
      </w:tabs>
    </w:pPr>
  </w:style>
  <w:style w:type="character" w:customStyle="1" w:styleId="HeaderChar">
    <w:name w:val="Header Char"/>
    <w:basedOn w:val="DefaultParagraphFont"/>
    <w:link w:val="Header"/>
    <w:uiPriority w:val="99"/>
    <w:rsid w:val="00C73DBD"/>
    <w:rPr>
      <w:sz w:val="24"/>
      <w:szCs w:val="24"/>
    </w:rPr>
  </w:style>
  <w:style w:type="paragraph" w:styleId="Footer">
    <w:name w:val="footer"/>
    <w:basedOn w:val="Normal"/>
    <w:link w:val="FooterChar"/>
    <w:uiPriority w:val="99"/>
    <w:unhideWhenUsed/>
    <w:rsid w:val="00C73DBD"/>
    <w:pPr>
      <w:tabs>
        <w:tab w:val="center" w:pos="4680"/>
        <w:tab w:val="right" w:pos="9360"/>
      </w:tabs>
    </w:pPr>
  </w:style>
  <w:style w:type="character" w:customStyle="1" w:styleId="FooterChar">
    <w:name w:val="Footer Char"/>
    <w:basedOn w:val="DefaultParagraphFont"/>
    <w:link w:val="Footer"/>
    <w:uiPriority w:val="99"/>
    <w:rsid w:val="00C73DBD"/>
    <w:rPr>
      <w:sz w:val="24"/>
      <w:szCs w:val="24"/>
    </w:rPr>
  </w:style>
  <w:style w:type="paragraph" w:styleId="BalloonText">
    <w:name w:val="Balloon Text"/>
    <w:basedOn w:val="Normal"/>
    <w:link w:val="BalloonTextChar"/>
    <w:uiPriority w:val="99"/>
    <w:semiHidden/>
    <w:unhideWhenUsed/>
    <w:rsid w:val="00424932"/>
    <w:rPr>
      <w:rFonts w:ascii="Tahoma" w:hAnsi="Tahoma" w:cs="Tahoma"/>
      <w:sz w:val="16"/>
      <w:szCs w:val="16"/>
    </w:rPr>
  </w:style>
  <w:style w:type="character" w:customStyle="1" w:styleId="BalloonTextChar">
    <w:name w:val="Balloon Text Char"/>
    <w:basedOn w:val="DefaultParagraphFont"/>
    <w:link w:val="BalloonText"/>
    <w:uiPriority w:val="99"/>
    <w:semiHidden/>
    <w:rsid w:val="004249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FA23AC"/>
    <w:rPr>
      <w:sz w:val="20"/>
      <w:szCs w:val="20"/>
    </w:rPr>
  </w:style>
  <w:style w:type="character" w:customStyle="1" w:styleId="FootnoteTextChar">
    <w:name w:val="Footnote Text Char"/>
    <w:basedOn w:val="DefaultParagraphFont"/>
    <w:link w:val="FootnoteText"/>
    <w:uiPriority w:val="99"/>
    <w:semiHidden/>
    <w:rsid w:val="00FA23AC"/>
    <w:rPr>
      <w:sz w:val="20"/>
      <w:szCs w:val="20"/>
    </w:rPr>
  </w:style>
  <w:style w:type="character" w:styleId="FootnoteReference">
    <w:name w:val="footnote reference"/>
    <w:basedOn w:val="DefaultParagraphFont"/>
    <w:uiPriority w:val="99"/>
    <w:semiHidden/>
    <w:unhideWhenUsed/>
    <w:rsid w:val="00FA23AC"/>
    <w:rPr>
      <w:vertAlign w:val="superscript"/>
    </w:rPr>
  </w:style>
  <w:style w:type="paragraph" w:styleId="Header">
    <w:name w:val="header"/>
    <w:basedOn w:val="Normal"/>
    <w:link w:val="HeaderChar"/>
    <w:uiPriority w:val="99"/>
    <w:unhideWhenUsed/>
    <w:rsid w:val="00C73DBD"/>
    <w:pPr>
      <w:tabs>
        <w:tab w:val="center" w:pos="4680"/>
        <w:tab w:val="right" w:pos="9360"/>
      </w:tabs>
    </w:pPr>
  </w:style>
  <w:style w:type="character" w:customStyle="1" w:styleId="HeaderChar">
    <w:name w:val="Header Char"/>
    <w:basedOn w:val="DefaultParagraphFont"/>
    <w:link w:val="Header"/>
    <w:uiPriority w:val="99"/>
    <w:rsid w:val="00C73DBD"/>
    <w:rPr>
      <w:sz w:val="24"/>
      <w:szCs w:val="24"/>
    </w:rPr>
  </w:style>
  <w:style w:type="paragraph" w:styleId="Footer">
    <w:name w:val="footer"/>
    <w:basedOn w:val="Normal"/>
    <w:link w:val="FooterChar"/>
    <w:uiPriority w:val="99"/>
    <w:unhideWhenUsed/>
    <w:rsid w:val="00C73DBD"/>
    <w:pPr>
      <w:tabs>
        <w:tab w:val="center" w:pos="4680"/>
        <w:tab w:val="right" w:pos="9360"/>
      </w:tabs>
    </w:pPr>
  </w:style>
  <w:style w:type="character" w:customStyle="1" w:styleId="FooterChar">
    <w:name w:val="Footer Char"/>
    <w:basedOn w:val="DefaultParagraphFont"/>
    <w:link w:val="Footer"/>
    <w:uiPriority w:val="99"/>
    <w:rsid w:val="00C73DBD"/>
    <w:rPr>
      <w:sz w:val="24"/>
      <w:szCs w:val="24"/>
    </w:rPr>
  </w:style>
  <w:style w:type="paragraph" w:styleId="BalloonText">
    <w:name w:val="Balloon Text"/>
    <w:basedOn w:val="Normal"/>
    <w:link w:val="BalloonTextChar"/>
    <w:uiPriority w:val="99"/>
    <w:semiHidden/>
    <w:unhideWhenUsed/>
    <w:rsid w:val="00424932"/>
    <w:rPr>
      <w:rFonts w:ascii="Tahoma" w:hAnsi="Tahoma" w:cs="Tahoma"/>
      <w:sz w:val="16"/>
      <w:szCs w:val="16"/>
    </w:rPr>
  </w:style>
  <w:style w:type="character" w:customStyle="1" w:styleId="BalloonTextChar">
    <w:name w:val="Balloon Text Char"/>
    <w:basedOn w:val="DefaultParagraphFont"/>
    <w:link w:val="BalloonText"/>
    <w:uiPriority w:val="99"/>
    <w:semiHidden/>
    <w:rsid w:val="004249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0173167">
      <w:bodyDiv w:val="1"/>
      <w:marLeft w:val="0"/>
      <w:marRight w:val="0"/>
      <w:marTop w:val="0"/>
      <w:marBottom w:val="0"/>
      <w:divBdr>
        <w:top w:val="none" w:sz="0" w:space="0" w:color="auto"/>
        <w:left w:val="none" w:sz="0" w:space="0" w:color="auto"/>
        <w:bottom w:val="none" w:sz="0" w:space="0" w:color="auto"/>
        <w:right w:val="none" w:sz="0" w:space="0" w:color="auto"/>
      </w:divBdr>
      <w:divsChild>
        <w:div w:id="2137530018">
          <w:marLeft w:val="0"/>
          <w:marRight w:val="0"/>
          <w:marTop w:val="0"/>
          <w:marBottom w:val="0"/>
          <w:divBdr>
            <w:top w:val="none" w:sz="0" w:space="0" w:color="auto"/>
            <w:left w:val="none" w:sz="0" w:space="0" w:color="auto"/>
            <w:bottom w:val="none" w:sz="0" w:space="0" w:color="auto"/>
            <w:right w:val="none" w:sz="0" w:space="0" w:color="auto"/>
          </w:divBdr>
          <w:divsChild>
            <w:div w:id="1685522185">
              <w:marLeft w:val="0"/>
              <w:marRight w:val="0"/>
              <w:marTop w:val="0"/>
              <w:marBottom w:val="0"/>
              <w:divBdr>
                <w:top w:val="none" w:sz="0" w:space="0" w:color="auto"/>
                <w:left w:val="none" w:sz="0" w:space="0" w:color="auto"/>
                <w:bottom w:val="none" w:sz="0" w:space="0" w:color="auto"/>
                <w:right w:val="none" w:sz="0" w:space="0" w:color="auto"/>
              </w:divBdr>
              <w:divsChild>
                <w:div w:id="791675917">
                  <w:marLeft w:val="0"/>
                  <w:marRight w:val="0"/>
                  <w:marTop w:val="0"/>
                  <w:marBottom w:val="0"/>
                  <w:divBdr>
                    <w:top w:val="none" w:sz="0" w:space="0" w:color="auto"/>
                    <w:left w:val="none" w:sz="0" w:space="0" w:color="auto"/>
                    <w:bottom w:val="none" w:sz="0" w:space="0" w:color="auto"/>
                    <w:right w:val="none" w:sz="0" w:space="0" w:color="auto"/>
                  </w:divBdr>
                  <w:divsChild>
                    <w:div w:id="1834946906">
                      <w:marLeft w:val="0"/>
                      <w:marRight w:val="0"/>
                      <w:marTop w:val="0"/>
                      <w:marBottom w:val="0"/>
                      <w:divBdr>
                        <w:top w:val="none" w:sz="0" w:space="0" w:color="auto"/>
                        <w:left w:val="none" w:sz="0" w:space="0" w:color="auto"/>
                        <w:bottom w:val="none" w:sz="0" w:space="0" w:color="auto"/>
                        <w:right w:val="none" w:sz="0" w:space="0" w:color="auto"/>
                      </w:divBdr>
                      <w:divsChild>
                        <w:div w:id="2035303258">
                          <w:marLeft w:val="0"/>
                          <w:marRight w:val="0"/>
                          <w:marTop w:val="0"/>
                          <w:marBottom w:val="0"/>
                          <w:divBdr>
                            <w:top w:val="none" w:sz="0" w:space="0" w:color="auto"/>
                            <w:left w:val="none" w:sz="0" w:space="0" w:color="auto"/>
                            <w:bottom w:val="none" w:sz="0" w:space="0" w:color="auto"/>
                            <w:right w:val="none" w:sz="0" w:space="0" w:color="auto"/>
                          </w:divBdr>
                          <w:divsChild>
                            <w:div w:id="5990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756096">
      <w:bodyDiv w:val="1"/>
      <w:marLeft w:val="0"/>
      <w:marRight w:val="0"/>
      <w:marTop w:val="0"/>
      <w:marBottom w:val="0"/>
      <w:divBdr>
        <w:top w:val="none" w:sz="0" w:space="0" w:color="auto"/>
        <w:left w:val="none" w:sz="0" w:space="0" w:color="auto"/>
        <w:bottom w:val="none" w:sz="0" w:space="0" w:color="auto"/>
        <w:right w:val="none" w:sz="0" w:space="0" w:color="auto"/>
      </w:divBdr>
      <w:divsChild>
        <w:div w:id="855384938">
          <w:marLeft w:val="0"/>
          <w:marRight w:val="0"/>
          <w:marTop w:val="0"/>
          <w:marBottom w:val="0"/>
          <w:divBdr>
            <w:top w:val="none" w:sz="0" w:space="0" w:color="auto"/>
            <w:left w:val="none" w:sz="0" w:space="0" w:color="auto"/>
            <w:bottom w:val="none" w:sz="0" w:space="0" w:color="auto"/>
            <w:right w:val="none" w:sz="0" w:space="0" w:color="auto"/>
          </w:divBdr>
          <w:divsChild>
            <w:div w:id="1288127300">
              <w:marLeft w:val="0"/>
              <w:marRight w:val="0"/>
              <w:marTop w:val="0"/>
              <w:marBottom w:val="0"/>
              <w:divBdr>
                <w:top w:val="none" w:sz="0" w:space="0" w:color="auto"/>
                <w:left w:val="none" w:sz="0" w:space="0" w:color="auto"/>
                <w:bottom w:val="none" w:sz="0" w:space="0" w:color="auto"/>
                <w:right w:val="none" w:sz="0" w:space="0" w:color="auto"/>
              </w:divBdr>
              <w:divsChild>
                <w:div w:id="416636967">
                  <w:marLeft w:val="0"/>
                  <w:marRight w:val="0"/>
                  <w:marTop w:val="0"/>
                  <w:marBottom w:val="0"/>
                  <w:divBdr>
                    <w:top w:val="none" w:sz="0" w:space="0" w:color="auto"/>
                    <w:left w:val="none" w:sz="0" w:space="0" w:color="auto"/>
                    <w:bottom w:val="none" w:sz="0" w:space="0" w:color="auto"/>
                    <w:right w:val="none" w:sz="0" w:space="0" w:color="auto"/>
                  </w:divBdr>
                  <w:divsChild>
                    <w:div w:id="809785411">
                      <w:marLeft w:val="0"/>
                      <w:marRight w:val="0"/>
                      <w:marTop w:val="0"/>
                      <w:marBottom w:val="0"/>
                      <w:divBdr>
                        <w:top w:val="none" w:sz="0" w:space="0" w:color="auto"/>
                        <w:left w:val="none" w:sz="0" w:space="0" w:color="auto"/>
                        <w:bottom w:val="none" w:sz="0" w:space="0" w:color="auto"/>
                        <w:right w:val="none" w:sz="0" w:space="0" w:color="auto"/>
                      </w:divBdr>
                      <w:divsChild>
                        <w:div w:id="79907576">
                          <w:marLeft w:val="0"/>
                          <w:marRight w:val="0"/>
                          <w:marTop w:val="0"/>
                          <w:marBottom w:val="0"/>
                          <w:divBdr>
                            <w:top w:val="none" w:sz="0" w:space="0" w:color="auto"/>
                            <w:left w:val="none" w:sz="0" w:space="0" w:color="auto"/>
                            <w:bottom w:val="none" w:sz="0" w:space="0" w:color="auto"/>
                            <w:right w:val="none" w:sz="0" w:space="0" w:color="auto"/>
                          </w:divBdr>
                          <w:divsChild>
                            <w:div w:id="6827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769CD-37AB-4B45-93D0-F6ACADED5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4552</Words>
  <Characters>25951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Springfield P. S. BSEA #12-0781</vt:lpstr>
    </vt:vector>
  </TitlesOfParts>
  <Company/>
  <LinksUpToDate>false</LinksUpToDate>
  <CharactersWithSpaces>30443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Springfield P. S. BSEA #12-0781</dc:title>
  <dc:subject/>
  <dc:creator>ESE</dc:creator>
  <cp:keywords/>
  <cp:lastModifiedBy>dzou</cp:lastModifiedBy>
  <cp:revision>6</cp:revision>
  <cp:lastPrinted>2012-11-26T20:01:00Z</cp:lastPrinted>
  <dcterms:created xsi:type="dcterms:W3CDTF">2012-12-12T20:49:00Z</dcterms:created>
  <dcterms:modified xsi:type="dcterms:W3CDTF">2015-12-30T20:48:00Z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26 2012</vt:lpwstr>
  </property>
</Properties>
</file>