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626" w:rsidRPr="00526E91" w:rsidRDefault="00D30626" w:rsidP="00D20EC7">
      <w:pPr>
        <w:pStyle w:val="Title"/>
        <w:rPr>
          <w:sz w:val="28"/>
          <w:szCs w:val="28"/>
        </w:rPr>
      </w:pPr>
      <w:r w:rsidRPr="00526E91">
        <w:rPr>
          <w:sz w:val="28"/>
          <w:szCs w:val="28"/>
        </w:rPr>
        <w:t>COMMONWEALTH OF MASSACHUSETTS</w:t>
      </w:r>
    </w:p>
    <w:p w:rsidR="00D30626" w:rsidRPr="00526E91" w:rsidRDefault="00D30626" w:rsidP="00D20EC7">
      <w:pPr>
        <w:pStyle w:val="Subtitle"/>
        <w:jc w:val="center"/>
        <w:rPr>
          <w:b/>
          <w:smallCaps/>
          <w:sz w:val="28"/>
          <w:szCs w:val="28"/>
          <w:u w:val="none"/>
        </w:rPr>
      </w:pPr>
      <w:r w:rsidRPr="00526E91">
        <w:rPr>
          <w:b/>
          <w:smallCaps/>
          <w:sz w:val="28"/>
          <w:szCs w:val="28"/>
          <w:u w:val="none"/>
        </w:rPr>
        <w:t>Division of Administrative Law Appeals</w:t>
      </w:r>
    </w:p>
    <w:p w:rsidR="005C5FC8" w:rsidRPr="00526E91" w:rsidRDefault="00D30626" w:rsidP="00D20EC7">
      <w:pPr>
        <w:jc w:val="center"/>
        <w:rPr>
          <w:b/>
          <w:smallCaps/>
          <w:sz w:val="28"/>
          <w:szCs w:val="28"/>
        </w:rPr>
      </w:pPr>
      <w:r w:rsidRPr="00526E91">
        <w:rPr>
          <w:b/>
          <w:smallCaps/>
          <w:sz w:val="28"/>
          <w:szCs w:val="28"/>
        </w:rPr>
        <w:t>Bureau of Special Education Appeals</w:t>
      </w:r>
    </w:p>
    <w:p w:rsidR="005C5FC8" w:rsidRPr="00526E91" w:rsidRDefault="005C5FC8" w:rsidP="00D20EC7">
      <w:pPr>
        <w:rPr>
          <w:b/>
        </w:rPr>
      </w:pPr>
    </w:p>
    <w:p w:rsidR="00AE27EC" w:rsidRPr="00526E91" w:rsidRDefault="00AE27EC" w:rsidP="00D20EC7">
      <w:pPr>
        <w:pStyle w:val="Heading1"/>
        <w:rPr>
          <w:b/>
          <w:sz w:val="25"/>
        </w:rPr>
      </w:pPr>
    </w:p>
    <w:p w:rsidR="005C5FC8" w:rsidRPr="00526E91" w:rsidRDefault="005C5FC8" w:rsidP="00D20EC7">
      <w:pPr>
        <w:pStyle w:val="Heading1"/>
        <w:rPr>
          <w:b/>
          <w:sz w:val="25"/>
        </w:rPr>
      </w:pPr>
      <w:r w:rsidRPr="00526E91">
        <w:rPr>
          <w:b/>
          <w:sz w:val="25"/>
        </w:rPr>
        <w:t>In Re:</w:t>
      </w:r>
      <w:r w:rsidRPr="00526E91">
        <w:rPr>
          <w:b/>
          <w:sz w:val="25"/>
        </w:rPr>
        <w:tab/>
      </w:r>
      <w:r w:rsidR="004858FE" w:rsidRPr="00526E91">
        <w:rPr>
          <w:b/>
          <w:sz w:val="25"/>
        </w:rPr>
        <w:t>School District</w:t>
      </w:r>
      <w:r w:rsidR="00391138" w:rsidRPr="00526E91">
        <w:rPr>
          <w:rStyle w:val="FootnoteReference"/>
          <w:b/>
          <w:sz w:val="25"/>
        </w:rPr>
        <w:footnoteReference w:id="1"/>
      </w:r>
      <w:r w:rsidR="00994BCA">
        <w:rPr>
          <w:b/>
          <w:sz w:val="25"/>
        </w:rPr>
        <w:tab/>
      </w:r>
      <w:r w:rsidR="00994BCA">
        <w:rPr>
          <w:b/>
          <w:sz w:val="25"/>
        </w:rPr>
        <w:tab/>
      </w:r>
      <w:r w:rsidR="00994BCA">
        <w:rPr>
          <w:b/>
          <w:sz w:val="25"/>
        </w:rPr>
        <w:tab/>
      </w:r>
      <w:r w:rsidR="00994BCA">
        <w:rPr>
          <w:b/>
          <w:sz w:val="25"/>
        </w:rPr>
        <w:tab/>
      </w:r>
      <w:r w:rsidR="00994BCA">
        <w:rPr>
          <w:b/>
          <w:sz w:val="25"/>
        </w:rPr>
        <w:tab/>
      </w:r>
      <w:r w:rsidR="00994BCA">
        <w:rPr>
          <w:b/>
          <w:sz w:val="25"/>
        </w:rPr>
        <w:tab/>
      </w:r>
      <w:r w:rsidR="00994BCA">
        <w:rPr>
          <w:b/>
          <w:sz w:val="25"/>
        </w:rPr>
        <w:tab/>
      </w:r>
      <w:r w:rsidR="003A4C9A">
        <w:rPr>
          <w:b/>
          <w:sz w:val="25"/>
        </w:rPr>
        <w:t>BSEA #</w:t>
      </w:r>
      <w:r w:rsidR="009802ED">
        <w:rPr>
          <w:b/>
          <w:sz w:val="25"/>
        </w:rPr>
        <w:t>12-7316</w:t>
      </w:r>
    </w:p>
    <w:p w:rsidR="005C5FC8" w:rsidRPr="00526E91" w:rsidRDefault="005C5FC8" w:rsidP="00D20EC7"/>
    <w:p w:rsidR="005C5FC8" w:rsidRPr="00526E91" w:rsidRDefault="005C5FC8" w:rsidP="00D20EC7">
      <w:pPr>
        <w:jc w:val="center"/>
        <w:rPr>
          <w:b/>
        </w:rPr>
      </w:pPr>
      <w:r w:rsidRPr="00526E91">
        <w:rPr>
          <w:b/>
        </w:rPr>
        <w:t>DECISION</w:t>
      </w:r>
    </w:p>
    <w:p w:rsidR="005C5FC8" w:rsidRPr="00526E91" w:rsidRDefault="005C5FC8" w:rsidP="00D20EC7"/>
    <w:p w:rsidR="005C5FC8" w:rsidRPr="00526E91" w:rsidRDefault="005C5FC8" w:rsidP="00D20EC7"/>
    <w:p w:rsidR="005C5FC8" w:rsidRPr="00526E91" w:rsidRDefault="005C5FC8" w:rsidP="00D20EC7">
      <w:r w:rsidRPr="00526E91">
        <w:t xml:space="preserve">This decision is issued pursuant to the Individuals with Disabilities Education Act (20 USC 1400 </w:t>
      </w:r>
      <w:r w:rsidRPr="00526E91">
        <w:rPr>
          <w:i/>
        </w:rPr>
        <w:t>et seq</w:t>
      </w:r>
      <w:r w:rsidRPr="00526E91">
        <w:t>.), Section 504 of the Rehabilitation Act of 1973 (29 USC 794), the state special education law (MGL c. 71B), the state Administrative Procedure Act (MGL c. 30A), and the regulations promulgated under these statutes.</w:t>
      </w:r>
    </w:p>
    <w:p w:rsidR="005C5FC8" w:rsidRPr="00526E91" w:rsidRDefault="005C5FC8" w:rsidP="00D20EC7"/>
    <w:p w:rsidR="005C5FC8" w:rsidRPr="00526E91" w:rsidRDefault="00391138" w:rsidP="00D20EC7">
      <w:r w:rsidRPr="00526E91">
        <w:t xml:space="preserve">By agreement of the parties and pursuant to BSEA Hearing Rule XII, this matter is decided solely on the basis of documents that have been filed </w:t>
      </w:r>
      <w:r w:rsidR="00717BD1" w:rsidRPr="00526E91">
        <w:t xml:space="preserve">jointly </w:t>
      </w:r>
      <w:r w:rsidRPr="00526E91">
        <w:t>by Parent</w:t>
      </w:r>
      <w:r w:rsidR="00717BD1" w:rsidRPr="00526E91">
        <w:t>s and the</w:t>
      </w:r>
      <w:r w:rsidR="004858FE" w:rsidRPr="00526E91">
        <w:t xml:space="preserve"> School District</w:t>
      </w:r>
      <w:r w:rsidRPr="00526E91">
        <w:t xml:space="preserve"> and that ar</w:t>
      </w:r>
      <w:r w:rsidR="00717BD1" w:rsidRPr="00526E91">
        <w:t xml:space="preserve">e marked as exhibits 1 through </w:t>
      </w:r>
      <w:r w:rsidRPr="00526E91">
        <w:t xml:space="preserve">8.  </w:t>
      </w:r>
      <w:r w:rsidR="00817D51" w:rsidRPr="00526E91">
        <w:t xml:space="preserve">The parties waived </w:t>
      </w:r>
      <w:r w:rsidRPr="00526E91">
        <w:t>their right to make closing argument</w:t>
      </w:r>
      <w:r w:rsidR="005B15C1" w:rsidRPr="00526E91">
        <w:t>s</w:t>
      </w:r>
      <w:r w:rsidR="00372618">
        <w:t>, and the record closed on July 6, 2012 when the exhibits were filed</w:t>
      </w:r>
      <w:r w:rsidRPr="00526E91">
        <w:t>.</w:t>
      </w:r>
      <w:r w:rsidRPr="00526E91">
        <w:rPr>
          <w:rStyle w:val="FootnoteReference"/>
        </w:rPr>
        <w:footnoteReference w:id="2"/>
      </w:r>
    </w:p>
    <w:p w:rsidR="00391138" w:rsidRPr="00526E91" w:rsidRDefault="00391138" w:rsidP="00D20EC7"/>
    <w:p w:rsidR="005C5FC8" w:rsidRPr="00526E91" w:rsidRDefault="0065398A" w:rsidP="00D20EC7">
      <w:pPr>
        <w:pStyle w:val="Heading2"/>
        <w:jc w:val="center"/>
        <w:rPr>
          <w:sz w:val="25"/>
        </w:rPr>
      </w:pPr>
      <w:r w:rsidRPr="00526E91">
        <w:rPr>
          <w:sz w:val="25"/>
        </w:rPr>
        <w:t>ISSUE</w:t>
      </w:r>
      <w:r w:rsidR="00976B05" w:rsidRPr="00526E91">
        <w:rPr>
          <w:sz w:val="25"/>
        </w:rPr>
        <w:t>S</w:t>
      </w:r>
      <w:r w:rsidR="005C5FC8" w:rsidRPr="00526E91">
        <w:rPr>
          <w:sz w:val="25"/>
        </w:rPr>
        <w:t xml:space="preserve"> </w:t>
      </w:r>
    </w:p>
    <w:p w:rsidR="005C5FC8" w:rsidRPr="00526E91" w:rsidRDefault="005C5FC8" w:rsidP="00D20EC7">
      <w:pPr>
        <w:rPr>
          <w:b/>
        </w:rPr>
      </w:pPr>
    </w:p>
    <w:p w:rsidR="00976B05" w:rsidRPr="00526E91" w:rsidRDefault="00532396" w:rsidP="00D20EC7">
      <w:r w:rsidRPr="00526E91">
        <w:t>The issue</w:t>
      </w:r>
      <w:r w:rsidR="00976B05" w:rsidRPr="00526E91">
        <w:t>s</w:t>
      </w:r>
      <w:r w:rsidR="005C5FC8" w:rsidRPr="00526E91">
        <w:t xml:space="preserve"> to be decided in this case </w:t>
      </w:r>
      <w:r w:rsidR="00976B05" w:rsidRPr="00526E91">
        <w:t>are</w:t>
      </w:r>
      <w:r w:rsidR="00391138" w:rsidRPr="00526E91">
        <w:t xml:space="preserve"> </w:t>
      </w:r>
      <w:r w:rsidR="00976B05" w:rsidRPr="00526E91">
        <w:t>as follows:</w:t>
      </w:r>
    </w:p>
    <w:p w:rsidR="00976B05" w:rsidRPr="00526E91" w:rsidRDefault="00976B05" w:rsidP="00D20EC7"/>
    <w:p w:rsidR="00717BD1" w:rsidRPr="00526E91" w:rsidRDefault="00717BD1" w:rsidP="00717BD1">
      <w:pPr>
        <w:numPr>
          <w:ilvl w:val="0"/>
          <w:numId w:val="3"/>
        </w:numPr>
        <w:ind w:left="1080"/>
      </w:pPr>
      <w:r w:rsidRPr="00526E91">
        <w:t>Is the IEP most recently proposed by the</w:t>
      </w:r>
      <w:r w:rsidR="004858FE" w:rsidRPr="00526E91">
        <w:t xml:space="preserve"> School District</w:t>
      </w:r>
      <w:r w:rsidRPr="00526E91">
        <w:t xml:space="preserve"> for the 2012-2013 school year reasonably calculated to provide Student with a free appropriate public education in the least restrictive environment?  </w:t>
      </w:r>
    </w:p>
    <w:p w:rsidR="00717BD1" w:rsidRPr="00526E91" w:rsidRDefault="00717BD1" w:rsidP="00717BD1">
      <w:pPr>
        <w:pStyle w:val="BodyText"/>
        <w:numPr>
          <w:ilvl w:val="0"/>
          <w:numId w:val="3"/>
        </w:numPr>
        <w:spacing w:line="240" w:lineRule="auto"/>
        <w:ind w:left="1080"/>
      </w:pPr>
      <w:r w:rsidRPr="00526E91">
        <w:t xml:space="preserve">If not, can additions or other modifications be made to the IEP in order to satisfy this standard? </w:t>
      </w:r>
    </w:p>
    <w:p w:rsidR="00717BD1" w:rsidRPr="00526E91" w:rsidRDefault="00717BD1" w:rsidP="00717BD1">
      <w:pPr>
        <w:numPr>
          <w:ilvl w:val="0"/>
          <w:numId w:val="3"/>
        </w:numPr>
        <w:ind w:left="1080"/>
      </w:pPr>
      <w:r w:rsidRPr="00526E91">
        <w:t xml:space="preserve">If not, would placement at </w:t>
      </w:r>
      <w:r w:rsidR="003A4C9A">
        <w:t xml:space="preserve">the Landmark School (Landmark) </w:t>
      </w:r>
      <w:r w:rsidRPr="00526E91">
        <w:t>satisfy this standard?</w:t>
      </w:r>
    </w:p>
    <w:p w:rsidR="00717BD1" w:rsidRPr="00526E91" w:rsidRDefault="0012147A" w:rsidP="00717BD1">
      <w:pPr>
        <w:numPr>
          <w:ilvl w:val="0"/>
          <w:numId w:val="3"/>
        </w:numPr>
        <w:ind w:left="1080"/>
      </w:pPr>
      <w:r w:rsidRPr="00526E91">
        <w:t>Was</w:t>
      </w:r>
      <w:r w:rsidR="00717BD1" w:rsidRPr="00526E91">
        <w:t xml:space="preserve"> the IEP proposed by the</w:t>
      </w:r>
      <w:r w:rsidR="004858FE" w:rsidRPr="00526E91">
        <w:t xml:space="preserve"> School District</w:t>
      </w:r>
      <w:r w:rsidR="00717BD1" w:rsidRPr="00526E91">
        <w:t xml:space="preserve"> for the 2011-2012 school year reasonably calculated to provide Student with a free appropriate public education in the least restrictive environment; and if not, are Parents entitled to reimbursement for expenses relative to Parents’ unilateral placement at Landmark, including transportation expenses?</w:t>
      </w:r>
      <w:r w:rsidR="004D3598" w:rsidRPr="00526E91">
        <w:rPr>
          <w:rStyle w:val="FootnoteReference"/>
        </w:rPr>
        <w:footnoteReference w:id="3"/>
      </w:r>
    </w:p>
    <w:p w:rsidR="004D3598" w:rsidRPr="00526E91" w:rsidRDefault="004D3598" w:rsidP="00D20EC7">
      <w:pPr>
        <w:pStyle w:val="Title"/>
        <w:jc w:val="left"/>
      </w:pPr>
    </w:p>
    <w:p w:rsidR="00D53E20" w:rsidRPr="00526E91" w:rsidRDefault="00D53E20" w:rsidP="00D20EC7">
      <w:pPr>
        <w:pStyle w:val="Title"/>
        <w:jc w:val="left"/>
      </w:pPr>
    </w:p>
    <w:p w:rsidR="00D53E20" w:rsidRPr="00526E91" w:rsidRDefault="00D53E20" w:rsidP="00D20EC7">
      <w:pPr>
        <w:pStyle w:val="Title"/>
        <w:jc w:val="left"/>
      </w:pPr>
    </w:p>
    <w:p w:rsidR="00D53E20" w:rsidRPr="00526E91" w:rsidRDefault="00D53E20" w:rsidP="00D20EC7">
      <w:pPr>
        <w:pStyle w:val="Title"/>
        <w:jc w:val="left"/>
      </w:pPr>
    </w:p>
    <w:p w:rsidR="005C5FC8" w:rsidRPr="00526E91" w:rsidRDefault="005C5FC8" w:rsidP="00D20EC7">
      <w:pPr>
        <w:pStyle w:val="Title"/>
      </w:pPr>
      <w:r w:rsidRPr="00526E91">
        <w:lastRenderedPageBreak/>
        <w:t>FACTS</w:t>
      </w:r>
    </w:p>
    <w:p w:rsidR="005C5FC8" w:rsidRPr="00526E91" w:rsidRDefault="005C5FC8" w:rsidP="00D20EC7">
      <w:pPr>
        <w:pStyle w:val="FootnoteText"/>
        <w:rPr>
          <w:b/>
          <w:sz w:val="25"/>
        </w:rPr>
      </w:pPr>
    </w:p>
    <w:p w:rsidR="005E5448" w:rsidRPr="00526E91" w:rsidRDefault="00080E75" w:rsidP="004C57F5">
      <w:r w:rsidRPr="00526E91">
        <w:t xml:space="preserve">Student is </w:t>
      </w:r>
      <w:r w:rsidR="00543AF3" w:rsidRPr="00526E91">
        <w:t>a 14-year-old</w:t>
      </w:r>
      <w:r w:rsidR="00717BD1" w:rsidRPr="00526E91">
        <w:t xml:space="preserve"> </w:t>
      </w:r>
      <w:r w:rsidR="00E72458" w:rsidRPr="00526E91">
        <w:t xml:space="preserve">boy </w:t>
      </w:r>
      <w:r w:rsidR="00543AF3" w:rsidRPr="00526E91">
        <w:t>who recently completed 8</w:t>
      </w:r>
      <w:r w:rsidR="00543AF3" w:rsidRPr="00526E91">
        <w:rPr>
          <w:vertAlign w:val="superscript"/>
        </w:rPr>
        <w:t>th</w:t>
      </w:r>
      <w:r w:rsidR="00E72458" w:rsidRPr="00526E91">
        <w:t xml:space="preserve"> grade.  He </w:t>
      </w:r>
      <w:r w:rsidR="00460897" w:rsidRPr="00526E91">
        <w:t>has attended Landmark since November 28, 2011</w:t>
      </w:r>
      <w:r w:rsidR="0012147A" w:rsidRPr="00526E91">
        <w:t>,</w:t>
      </w:r>
      <w:r w:rsidR="00460897" w:rsidRPr="00526E91">
        <w:t xml:space="preserve"> pursuant to Parents’ unilateral placement.</w:t>
      </w:r>
    </w:p>
    <w:p w:rsidR="00460897" w:rsidRPr="00526E91" w:rsidRDefault="00460897" w:rsidP="004C57F5"/>
    <w:p w:rsidR="00460897" w:rsidRPr="00526E91" w:rsidRDefault="00460897" w:rsidP="004C57F5">
      <w:r w:rsidRPr="00526E91">
        <w:t>Student has average intelligence.  He has also been diagnosed with a Language-Based Learning Disability, Dyslexia, Reading Disorder, Disorder of Written Expression, Mathematics Disorder and Attention Deficit Hyperactivity Disorder</w:t>
      </w:r>
      <w:r w:rsidR="00A17D9A" w:rsidRPr="00526E91">
        <w:t xml:space="preserve"> (ADHD)</w:t>
      </w:r>
      <w:r w:rsidRPr="00526E91">
        <w:t xml:space="preserve">.  As a result, Student has demonstrated deficits with respect to attention, self-regulation, executive </w:t>
      </w:r>
      <w:r w:rsidR="00744DA9" w:rsidRPr="00526E91">
        <w:t>functioning</w:t>
      </w:r>
      <w:r w:rsidRPr="00526E91">
        <w:t xml:space="preserve">, verbal memory, auditory processing, reading and writing, word </w:t>
      </w:r>
      <w:r w:rsidR="00A1086D" w:rsidRPr="00526E91">
        <w:t>retriev</w:t>
      </w:r>
      <w:r w:rsidRPr="00526E91">
        <w:t xml:space="preserve">al, </w:t>
      </w:r>
      <w:r w:rsidR="00A1086D" w:rsidRPr="00526E91">
        <w:t>self-</w:t>
      </w:r>
      <w:r w:rsidRPr="00526E91">
        <w:t>esteem and emotional issues</w:t>
      </w:r>
      <w:r w:rsidR="00A1086D" w:rsidRPr="00526E91">
        <w:t xml:space="preserve"> that are likely associated with his learning disabilities.</w:t>
      </w:r>
      <w:r w:rsidR="00833B23" w:rsidRPr="00526E91">
        <w:t xml:space="preserve">  </w:t>
      </w:r>
      <w:proofErr w:type="gramStart"/>
      <w:r w:rsidR="00833B23" w:rsidRPr="00526E91">
        <w:t>Exhibits 2B, 3, 4, 7</w:t>
      </w:r>
      <w:r w:rsidR="0012147A" w:rsidRPr="00526E91">
        <w:t>A</w:t>
      </w:r>
      <w:r w:rsidR="00833B23" w:rsidRPr="00526E91">
        <w:t>.</w:t>
      </w:r>
      <w:proofErr w:type="gramEnd"/>
    </w:p>
    <w:p w:rsidR="00A17D9A" w:rsidRPr="00526E91" w:rsidRDefault="00A17D9A" w:rsidP="004C57F5"/>
    <w:p w:rsidR="00A17D9A" w:rsidRPr="00526E91" w:rsidRDefault="00A17D9A" w:rsidP="004C57F5">
      <w:r w:rsidRPr="00526E91">
        <w:t xml:space="preserve">Student </w:t>
      </w:r>
      <w:r w:rsidR="00543AF3" w:rsidRPr="00526E91">
        <w:t>has been</w:t>
      </w:r>
      <w:r w:rsidRPr="00526E91">
        <w:t xml:space="preserve"> receiving special education services</w:t>
      </w:r>
      <w:r w:rsidR="00E72458" w:rsidRPr="00526E91">
        <w:t xml:space="preserve"> from the School District</w:t>
      </w:r>
      <w:r w:rsidRPr="00526E91">
        <w:t xml:space="preserve"> </w:t>
      </w:r>
      <w:r w:rsidR="00543AF3" w:rsidRPr="00526E91">
        <w:t>since</w:t>
      </w:r>
      <w:r w:rsidRPr="00526E91">
        <w:t xml:space="preserve"> second grade </w:t>
      </w:r>
      <w:r w:rsidR="00543AF3" w:rsidRPr="00526E91">
        <w:t xml:space="preserve">when he was determined eligible.  He </w:t>
      </w:r>
      <w:r w:rsidRPr="00526E91">
        <w:t>began receiving reading, math and counseling services to address math and reading deficits and issues with self-esteem.  Student has continued to be eligible and receive special education and related services</w:t>
      </w:r>
      <w:r w:rsidR="0012147A" w:rsidRPr="00526E91">
        <w:t xml:space="preserve"> through the present.  </w:t>
      </w:r>
      <w:proofErr w:type="gramStart"/>
      <w:r w:rsidR="0012147A" w:rsidRPr="00526E91">
        <w:t>Exhibits 1, 7A</w:t>
      </w:r>
      <w:r w:rsidRPr="00526E91">
        <w:t>.</w:t>
      </w:r>
      <w:proofErr w:type="gramEnd"/>
    </w:p>
    <w:p w:rsidR="00A17D9A" w:rsidRPr="00526E91" w:rsidRDefault="00A17D9A" w:rsidP="004C57F5"/>
    <w:p w:rsidR="00A17D9A" w:rsidRPr="00526E91" w:rsidRDefault="00A17D9A" w:rsidP="004C57F5">
      <w:proofErr w:type="gramStart"/>
      <w:r w:rsidRPr="00526E91">
        <w:t>In January 2008 (Student’s 4</w:t>
      </w:r>
      <w:r w:rsidRPr="00526E91">
        <w:rPr>
          <w:vertAlign w:val="superscript"/>
        </w:rPr>
        <w:t>th</w:t>
      </w:r>
      <w:r w:rsidRPr="00526E91">
        <w:t xml:space="preserve"> grade), Parents arranged for a private neuropsychological evaluation by Elizabeth </w:t>
      </w:r>
      <w:proofErr w:type="spellStart"/>
      <w:r w:rsidRPr="00526E91">
        <w:t>Goodell</w:t>
      </w:r>
      <w:proofErr w:type="spellEnd"/>
      <w:r w:rsidRPr="00526E91">
        <w:t>, PhD.</w:t>
      </w:r>
      <w:proofErr w:type="gramEnd"/>
      <w:r w:rsidRPr="00526E91">
        <w:t xml:space="preserve">  Dr. </w:t>
      </w:r>
      <w:proofErr w:type="spellStart"/>
      <w:r w:rsidRPr="00526E91">
        <w:t>Goodell</w:t>
      </w:r>
      <w:proofErr w:type="spellEnd"/>
      <w:r w:rsidRPr="00526E91">
        <w:t xml:space="preserve"> diagnosed Student with a </w:t>
      </w:r>
      <w:r w:rsidR="00744DA9" w:rsidRPr="00526E91">
        <w:t>Language</w:t>
      </w:r>
      <w:r w:rsidRPr="00526E91">
        <w:t>-Based Learning Disability and ADHD.  She recommended that Student be placed in small</w:t>
      </w:r>
      <w:r w:rsidR="00D82272" w:rsidRPr="00526E91">
        <w:t xml:space="preserve"> </w:t>
      </w:r>
      <w:r w:rsidRPr="00526E91">
        <w:t xml:space="preserve">classes with similar peers and </w:t>
      </w:r>
      <w:r w:rsidR="00543AF3" w:rsidRPr="00526E91">
        <w:t xml:space="preserve">that he </w:t>
      </w:r>
      <w:r w:rsidRPr="00526E91">
        <w:t xml:space="preserve">receive multisensory teaching with language programming throughout the day.  She also proposed that Student receive 1:1 pull-out instruction to address his decoding, fluency and comprehension </w:t>
      </w:r>
      <w:r w:rsidR="00744DA9" w:rsidRPr="00526E91">
        <w:t>deficits</w:t>
      </w:r>
      <w:r w:rsidRPr="00526E91">
        <w:t>.</w:t>
      </w:r>
      <w:r w:rsidR="00D82272" w:rsidRPr="00526E91">
        <w:t xml:space="preserve">  </w:t>
      </w:r>
      <w:r w:rsidR="00543AF3" w:rsidRPr="00526E91">
        <w:t>In addition</w:t>
      </w:r>
      <w:r w:rsidR="00833B23" w:rsidRPr="00526E91">
        <w:t>, she</w:t>
      </w:r>
      <w:r w:rsidR="00D82272" w:rsidRPr="00526E91">
        <w:t xml:space="preserve"> noted: “If he does not make effective progress and/or if issues </w:t>
      </w:r>
      <w:r w:rsidR="00833B23" w:rsidRPr="00526E91">
        <w:t>with self-esteem school anxiety incr</w:t>
      </w:r>
      <w:r w:rsidR="00D82272" w:rsidRPr="00526E91">
        <w:t xml:space="preserve">ease, placement in a separate, language-based </w:t>
      </w:r>
      <w:r w:rsidR="008405B1" w:rsidRPr="00526E91">
        <w:t>program</w:t>
      </w:r>
      <w:r w:rsidR="00D82272" w:rsidRPr="00526E91">
        <w:t xml:space="preserve"> should be considered.”  </w:t>
      </w:r>
      <w:proofErr w:type="gramStart"/>
      <w:r w:rsidR="00D82272" w:rsidRPr="00526E91">
        <w:t>Exhibit 3.</w:t>
      </w:r>
      <w:proofErr w:type="gramEnd"/>
    </w:p>
    <w:p w:rsidR="008E6302" w:rsidRPr="00526E91" w:rsidRDefault="008E6302" w:rsidP="004C57F5"/>
    <w:p w:rsidR="008E6302" w:rsidRPr="00526E91" w:rsidRDefault="008E6302" w:rsidP="004C57F5">
      <w:r w:rsidRPr="00526E91">
        <w:t xml:space="preserve">In June 2008, </w:t>
      </w:r>
      <w:r w:rsidR="00543AF3" w:rsidRPr="00526E91">
        <w:t>t</w:t>
      </w:r>
      <w:r w:rsidR="004858FE" w:rsidRPr="00526E91">
        <w:t>he School District</w:t>
      </w:r>
      <w:r w:rsidRPr="00526E91">
        <w:t xml:space="preserve"> conducted a three-year evaluation of Student, including psychological, occupational therapy, and speech-language evaluations.  The IEP Team convened on June 18, 2008 to review Dr. </w:t>
      </w:r>
      <w:proofErr w:type="spellStart"/>
      <w:r w:rsidRPr="00526E91">
        <w:t>Goodell’s</w:t>
      </w:r>
      <w:proofErr w:type="spellEnd"/>
      <w:r w:rsidRPr="00526E91">
        <w:t xml:space="preserve"> evaluation and </w:t>
      </w:r>
      <w:r w:rsidR="00543AF3" w:rsidRPr="00526E91">
        <w:t>t</w:t>
      </w:r>
      <w:r w:rsidR="004858FE" w:rsidRPr="00526E91">
        <w:t>he School District</w:t>
      </w:r>
      <w:r w:rsidRPr="00526E91">
        <w:t>’</w:t>
      </w:r>
      <w:r w:rsidR="00543AF3" w:rsidRPr="00526E91">
        <w:t>s</w:t>
      </w:r>
      <w:r w:rsidRPr="00526E91">
        <w:t xml:space="preserve"> three-year evaluation.  </w:t>
      </w:r>
      <w:r w:rsidR="004858FE" w:rsidRPr="00526E91">
        <w:t xml:space="preserve">The </w:t>
      </w:r>
      <w:r w:rsidR="00543AF3" w:rsidRPr="00526E91">
        <w:t>Team</w:t>
      </w:r>
      <w:r w:rsidRPr="00526E91">
        <w:t xml:space="preserve"> proposed an IEP for 5</w:t>
      </w:r>
      <w:r w:rsidRPr="00526E91">
        <w:rPr>
          <w:vertAlign w:val="superscript"/>
        </w:rPr>
        <w:t>th</w:t>
      </w:r>
      <w:r w:rsidRPr="00526E91">
        <w:t xml:space="preserve"> grade that added pull-out services to address Student’s language, math and emotional deficits.  </w:t>
      </w:r>
      <w:proofErr w:type="gramStart"/>
      <w:r w:rsidR="00833B23" w:rsidRPr="00526E91">
        <w:t>Exhibit</w:t>
      </w:r>
      <w:r w:rsidR="0012147A" w:rsidRPr="00526E91">
        <w:t>s</w:t>
      </w:r>
      <w:r w:rsidR="00833B23" w:rsidRPr="00526E91">
        <w:t xml:space="preserve"> 1</w:t>
      </w:r>
      <w:r w:rsidR="0012147A" w:rsidRPr="00526E91">
        <w:t>, 7A</w:t>
      </w:r>
      <w:r w:rsidR="00833B23" w:rsidRPr="00526E91">
        <w:t>.</w:t>
      </w:r>
      <w:proofErr w:type="gramEnd"/>
    </w:p>
    <w:p w:rsidR="008E6302" w:rsidRPr="00526E91" w:rsidRDefault="008E6302" w:rsidP="004C57F5"/>
    <w:p w:rsidR="00833B23" w:rsidRPr="00526E91" w:rsidRDefault="001856DC" w:rsidP="00833B23">
      <w:r w:rsidRPr="00526E91">
        <w:t>In June 2010 (near the end of Student’s 6</w:t>
      </w:r>
      <w:r w:rsidRPr="00526E91">
        <w:rPr>
          <w:vertAlign w:val="superscript"/>
        </w:rPr>
        <w:t>th</w:t>
      </w:r>
      <w:r w:rsidRPr="00526E91">
        <w:t xml:space="preserve"> grade), </w:t>
      </w:r>
      <w:r w:rsidR="00833B23" w:rsidRPr="00526E91">
        <w:t>t</w:t>
      </w:r>
      <w:r w:rsidR="004858FE" w:rsidRPr="00526E91">
        <w:t>he School District</w:t>
      </w:r>
      <w:r w:rsidRPr="00526E91">
        <w:t xml:space="preserve"> conducted another three-year evaluation.  </w:t>
      </w:r>
      <w:r w:rsidR="00E72458" w:rsidRPr="00526E91">
        <w:t>As part of this evaluation, s</w:t>
      </w:r>
      <w:r w:rsidRPr="00526E91">
        <w:t xml:space="preserve">peech-language testing done in June 2010 </w:t>
      </w:r>
      <w:r w:rsidR="00E72458" w:rsidRPr="00526E91">
        <w:t>(as compared to testing in</w:t>
      </w:r>
      <w:r w:rsidRPr="00526E91">
        <w:t xml:space="preserve"> June 2008</w:t>
      </w:r>
      <w:r w:rsidR="00E72458" w:rsidRPr="00526E91">
        <w:t>)</w:t>
      </w:r>
      <w:r w:rsidRPr="00526E91">
        <w:t xml:space="preserve"> show</w:t>
      </w:r>
      <w:r w:rsidR="00E72458" w:rsidRPr="00526E91">
        <w:t>ed</w:t>
      </w:r>
      <w:r w:rsidRPr="00526E91">
        <w:t xml:space="preserve"> that Student’s scores dropped from the 50</w:t>
      </w:r>
      <w:r w:rsidRPr="00526E91">
        <w:rPr>
          <w:vertAlign w:val="superscript"/>
        </w:rPr>
        <w:t>th</w:t>
      </w:r>
      <w:r w:rsidRPr="00526E91">
        <w:t xml:space="preserve"> to 25</w:t>
      </w:r>
      <w:r w:rsidRPr="00526E91">
        <w:rPr>
          <w:vertAlign w:val="superscript"/>
        </w:rPr>
        <w:t>th</w:t>
      </w:r>
      <w:r w:rsidRPr="00526E91">
        <w:t xml:space="preserve"> percentile in receptive language, from the 63</w:t>
      </w:r>
      <w:r w:rsidRPr="00526E91">
        <w:rPr>
          <w:vertAlign w:val="superscript"/>
        </w:rPr>
        <w:t>rd</w:t>
      </w:r>
      <w:r w:rsidRPr="00526E91">
        <w:t xml:space="preserve"> to 25</w:t>
      </w:r>
      <w:r w:rsidRPr="00526E91">
        <w:rPr>
          <w:vertAlign w:val="superscript"/>
        </w:rPr>
        <w:t>th</w:t>
      </w:r>
      <w:r w:rsidRPr="00526E91">
        <w:t xml:space="preserve"> </w:t>
      </w:r>
      <w:r w:rsidR="00744DA9" w:rsidRPr="00526E91">
        <w:t>percentile</w:t>
      </w:r>
      <w:r w:rsidRPr="00526E91">
        <w:t xml:space="preserve"> in the</w:t>
      </w:r>
      <w:r w:rsidR="00CD7843" w:rsidRPr="00526E91">
        <w:t xml:space="preserve"> </w:t>
      </w:r>
      <w:r w:rsidR="00744DA9" w:rsidRPr="00526E91">
        <w:t>expressive</w:t>
      </w:r>
      <w:r w:rsidRPr="00526E91">
        <w:t xml:space="preserve"> language and following directions subtests, and from the 50</w:t>
      </w:r>
      <w:r w:rsidRPr="00526E91">
        <w:rPr>
          <w:vertAlign w:val="superscript"/>
        </w:rPr>
        <w:t>th</w:t>
      </w:r>
      <w:r w:rsidRPr="00526E91">
        <w:t xml:space="preserve"> to 25</w:t>
      </w:r>
      <w:r w:rsidRPr="00526E91">
        <w:rPr>
          <w:vertAlign w:val="superscript"/>
        </w:rPr>
        <w:t>th</w:t>
      </w:r>
      <w:r w:rsidRPr="00526E91">
        <w:t xml:space="preserve"> percentile in the recalling </w:t>
      </w:r>
      <w:r w:rsidR="00744DA9" w:rsidRPr="00526E91">
        <w:t>sentences</w:t>
      </w:r>
      <w:r w:rsidRPr="00526E91">
        <w:t xml:space="preserve"> subtests of the Clinical Evaluation of Language Fundamentals (4</w:t>
      </w:r>
      <w:r w:rsidRPr="00526E91">
        <w:rPr>
          <w:vertAlign w:val="superscript"/>
        </w:rPr>
        <w:t>th</w:t>
      </w:r>
      <w:r w:rsidRPr="00526E91">
        <w:t xml:space="preserve"> ed.).  </w:t>
      </w:r>
      <w:r w:rsidR="00CD7843" w:rsidRPr="00526E91">
        <w:t xml:space="preserve">On WISC testing conducted two years </w:t>
      </w:r>
      <w:r w:rsidR="00744DA9" w:rsidRPr="00526E91">
        <w:t>earlier</w:t>
      </w:r>
      <w:r w:rsidR="00CD7843" w:rsidRPr="00526E91">
        <w:t xml:space="preserve"> (June 2008), Student showed </w:t>
      </w:r>
      <w:r w:rsidR="00744DA9" w:rsidRPr="00526E91">
        <w:t>significant</w:t>
      </w:r>
      <w:r w:rsidR="00CD7843" w:rsidRPr="00526E91">
        <w:t xml:space="preserve"> </w:t>
      </w:r>
      <w:r w:rsidR="00744DA9" w:rsidRPr="00526E91">
        <w:t>declines</w:t>
      </w:r>
      <w:r w:rsidR="00CD7843" w:rsidRPr="00526E91">
        <w:t xml:space="preserve"> in both verbal comprehension and perceptual </w:t>
      </w:r>
      <w:r w:rsidR="00744DA9" w:rsidRPr="00526E91">
        <w:t>reasoning</w:t>
      </w:r>
      <w:r w:rsidR="00CD7843" w:rsidRPr="00526E91">
        <w:t>.</w:t>
      </w:r>
      <w:r w:rsidR="0012147A" w:rsidRPr="00526E91">
        <w:t xml:space="preserve">   </w:t>
      </w:r>
      <w:proofErr w:type="gramStart"/>
      <w:r w:rsidR="0012147A" w:rsidRPr="00526E91">
        <w:t xml:space="preserve">Exhibits </w:t>
      </w:r>
      <w:r w:rsidR="00833B23" w:rsidRPr="00526E91">
        <w:t>4A, 4B, 4C.</w:t>
      </w:r>
      <w:proofErr w:type="gramEnd"/>
    </w:p>
    <w:p w:rsidR="00744DA9" w:rsidRPr="00526E91" w:rsidRDefault="00744DA9" w:rsidP="004C57F5"/>
    <w:p w:rsidR="00744DA9" w:rsidRPr="00526E91" w:rsidRDefault="00744DA9" w:rsidP="004C57F5">
      <w:r w:rsidRPr="00526E91">
        <w:lastRenderedPageBreak/>
        <w:t>On September 28, 2010</w:t>
      </w:r>
      <w:r w:rsidR="00833B23" w:rsidRPr="00526E91">
        <w:t xml:space="preserve"> (the beginning of the 2010-2011 school year)</w:t>
      </w:r>
      <w:r w:rsidRPr="00526E91">
        <w:t xml:space="preserve">, the IEP Team convened to review </w:t>
      </w:r>
      <w:r w:rsidR="00543AF3" w:rsidRPr="00526E91">
        <w:t>t</w:t>
      </w:r>
      <w:r w:rsidR="004858FE" w:rsidRPr="00526E91">
        <w:t>he School District</w:t>
      </w:r>
      <w:r w:rsidRPr="00526E91">
        <w:t>’</w:t>
      </w:r>
      <w:r w:rsidR="00853D80" w:rsidRPr="00526E91">
        <w:t>s</w:t>
      </w:r>
      <w:r w:rsidRPr="00526E91">
        <w:t xml:space="preserve"> evaluations.  </w:t>
      </w:r>
      <w:r w:rsidR="004858FE" w:rsidRPr="00526E91">
        <w:t>The School District</w:t>
      </w:r>
      <w:r w:rsidRPr="00526E91">
        <w:t xml:space="preserve"> proposed a continuation of the 6</w:t>
      </w:r>
      <w:r w:rsidRPr="00526E91">
        <w:rPr>
          <w:vertAlign w:val="superscript"/>
        </w:rPr>
        <w:t>th</w:t>
      </w:r>
      <w:r w:rsidRPr="00526E91">
        <w:t xml:space="preserve"> grade IEP.  Parents advised </w:t>
      </w:r>
      <w:r w:rsidR="00543AF3" w:rsidRPr="00526E91">
        <w:t>t</w:t>
      </w:r>
      <w:r w:rsidR="004858FE" w:rsidRPr="00526E91">
        <w:t>he School District</w:t>
      </w:r>
      <w:r w:rsidRPr="00526E91">
        <w:t xml:space="preserve"> that they were concerned </w:t>
      </w:r>
      <w:r w:rsidR="00EC5B35" w:rsidRPr="00526E91">
        <w:t>about</w:t>
      </w:r>
      <w:r w:rsidRPr="00526E91">
        <w:t xml:space="preserve"> their son’s inability to independently </w:t>
      </w:r>
      <w:r w:rsidR="00EC5B35" w:rsidRPr="00526E91">
        <w:t>solve</w:t>
      </w:r>
      <w:r w:rsidRPr="00526E91">
        <w:t xml:space="preserve"> multi-step math problems, his </w:t>
      </w:r>
      <w:r w:rsidR="00EC5B35" w:rsidRPr="00526E91">
        <w:t>difficulties</w:t>
      </w:r>
      <w:r w:rsidRPr="00526E91">
        <w:t xml:space="preserve"> in reading comprehension and spelling, and his lack of self-confidence.  Parents informed </w:t>
      </w:r>
      <w:r w:rsidR="00543AF3" w:rsidRPr="00526E91">
        <w:t>t</w:t>
      </w:r>
      <w:r w:rsidR="004858FE" w:rsidRPr="00526E91">
        <w:t>he School District</w:t>
      </w:r>
      <w:r w:rsidRPr="00526E91">
        <w:t xml:space="preserve"> that they intended to </w:t>
      </w:r>
      <w:r w:rsidR="00EC5B35" w:rsidRPr="00526E91">
        <w:t>investigate</w:t>
      </w:r>
      <w:r w:rsidRPr="00526E91">
        <w:t xml:space="preserve"> other schools for their son.</w:t>
      </w:r>
      <w:r w:rsidR="00833B23" w:rsidRPr="00526E91">
        <w:t xml:space="preserve"> During 7</w:t>
      </w:r>
      <w:r w:rsidR="00833B23" w:rsidRPr="00526E91">
        <w:rPr>
          <w:vertAlign w:val="superscript"/>
        </w:rPr>
        <w:t>th</w:t>
      </w:r>
      <w:r w:rsidR="00833B23" w:rsidRPr="00526E91">
        <w:t xml:space="preserve"> grade, Student received private tutoring and private psychotherapy.  </w:t>
      </w:r>
      <w:proofErr w:type="gramStart"/>
      <w:r w:rsidR="007278AB" w:rsidRPr="00526E91">
        <w:t>Exhibit 1.</w:t>
      </w:r>
      <w:proofErr w:type="gramEnd"/>
    </w:p>
    <w:p w:rsidR="00744DA9" w:rsidRPr="00526E91" w:rsidRDefault="00744DA9" w:rsidP="004C57F5"/>
    <w:p w:rsidR="00744DA9" w:rsidRPr="00526E91" w:rsidRDefault="00744DA9" w:rsidP="004C57F5">
      <w:r w:rsidRPr="00526E91">
        <w:t xml:space="preserve">On December 8, 2010, the IEP Team re-convened at Parents’ request to review Student’s progress.  Parents again expressed concerns regarding their son’s academic progress and </w:t>
      </w:r>
      <w:r w:rsidR="00EC5B35" w:rsidRPr="00526E91">
        <w:t>emotional</w:t>
      </w:r>
      <w:r w:rsidRPr="00526E91">
        <w:t xml:space="preserve"> issues; they advised </w:t>
      </w:r>
      <w:r w:rsidR="00543AF3" w:rsidRPr="00526E91">
        <w:t>t</w:t>
      </w:r>
      <w:r w:rsidR="004858FE" w:rsidRPr="00526E91">
        <w:t>he School District</w:t>
      </w:r>
      <w:r w:rsidRPr="00526E91">
        <w:t xml:space="preserve"> that they were exploring other placements; and they requested that </w:t>
      </w:r>
      <w:r w:rsidR="00543AF3" w:rsidRPr="00526E91">
        <w:t>t</w:t>
      </w:r>
      <w:r w:rsidR="004858FE" w:rsidRPr="00526E91">
        <w:t>he School District</w:t>
      </w:r>
      <w:r w:rsidRPr="00526E91">
        <w:t xml:space="preserve"> fund</w:t>
      </w:r>
      <w:r w:rsidR="007C08C2" w:rsidRPr="00526E91">
        <w:t xml:space="preserve"> a </w:t>
      </w:r>
      <w:r w:rsidR="00EC5B35" w:rsidRPr="00526E91">
        <w:t>language</w:t>
      </w:r>
      <w:r w:rsidR="007C08C2" w:rsidRPr="00526E91">
        <w:t xml:space="preserve">-based program for their son.  </w:t>
      </w:r>
      <w:r w:rsidR="004858FE" w:rsidRPr="00526E91">
        <w:t>The School District</w:t>
      </w:r>
      <w:r w:rsidR="007C08C2" w:rsidRPr="00526E91">
        <w:t xml:space="preserve"> declined the Parents’ request to change Student’s services and placement, but offered 20 hours of compensatory tutoring so that Student could make up work that he had missed when he was out of school with the flu.  By letter of December 8, 2010, Parents formally notified </w:t>
      </w:r>
      <w:r w:rsidR="007278AB" w:rsidRPr="00526E91">
        <w:t>t</w:t>
      </w:r>
      <w:r w:rsidR="004858FE" w:rsidRPr="00526E91">
        <w:t>he School District</w:t>
      </w:r>
      <w:r w:rsidR="007C08C2" w:rsidRPr="00526E91">
        <w:t xml:space="preserve"> of their intent to seek an alternative educational placement.</w:t>
      </w:r>
      <w:r w:rsidR="007278AB" w:rsidRPr="00526E91">
        <w:t xml:space="preserve">  </w:t>
      </w:r>
      <w:proofErr w:type="gramStart"/>
      <w:r w:rsidR="007278AB" w:rsidRPr="00526E91">
        <w:t>Exhibit 1.</w:t>
      </w:r>
      <w:proofErr w:type="gramEnd"/>
    </w:p>
    <w:p w:rsidR="007C08C2" w:rsidRPr="00526E91" w:rsidRDefault="007C08C2" w:rsidP="004C57F5"/>
    <w:p w:rsidR="007C08C2" w:rsidRPr="00526E91" w:rsidRDefault="007C08C2" w:rsidP="004C57F5">
      <w:r w:rsidRPr="00526E91">
        <w:t xml:space="preserve">In February and March 2011, Parents arranged for private testing by Eileen </w:t>
      </w:r>
      <w:proofErr w:type="spellStart"/>
      <w:r w:rsidRPr="00526E91">
        <w:t>Antalek</w:t>
      </w:r>
      <w:proofErr w:type="spellEnd"/>
      <w:r w:rsidRPr="00526E91">
        <w:t xml:space="preserve">, </w:t>
      </w:r>
      <w:proofErr w:type="spellStart"/>
      <w:r w:rsidRPr="00526E91">
        <w:t>EdD</w:t>
      </w:r>
      <w:proofErr w:type="spellEnd"/>
      <w:r w:rsidRPr="00526E91">
        <w:t>, a school psychologist and learning disabilities and written language specialist.  She reviewed former evaluations and administered a number of tests.</w:t>
      </w:r>
      <w:r w:rsidR="007278AB" w:rsidRPr="00526E91">
        <w:t xml:space="preserve">  </w:t>
      </w:r>
      <w:proofErr w:type="gramStart"/>
      <w:r w:rsidR="007278AB" w:rsidRPr="00526E91">
        <w:t>Exhibit 7A.</w:t>
      </w:r>
      <w:proofErr w:type="gramEnd"/>
    </w:p>
    <w:p w:rsidR="007C08C2" w:rsidRPr="00526E91" w:rsidRDefault="007C08C2" w:rsidP="004C57F5"/>
    <w:p w:rsidR="00491D31" w:rsidRPr="00526E91" w:rsidRDefault="007C08C2" w:rsidP="004C57F5">
      <w:r w:rsidRPr="00526E91">
        <w:t xml:space="preserve">Dr. </w:t>
      </w:r>
      <w:proofErr w:type="spellStart"/>
      <w:r w:rsidRPr="00526E91">
        <w:t>Antalek</w:t>
      </w:r>
      <w:proofErr w:type="spellEnd"/>
      <w:r w:rsidRPr="00526E91">
        <w:t xml:space="preserve"> found that </w:t>
      </w:r>
      <w:r w:rsidR="00976C30" w:rsidRPr="00526E91">
        <w:t xml:space="preserve">Student’s verbal scores on the WISC were declining.  </w:t>
      </w:r>
      <w:proofErr w:type="gramStart"/>
      <w:r w:rsidR="00976C30" w:rsidRPr="00526E91">
        <w:t>His reading fluency scores were at the 21</w:t>
      </w:r>
      <w:r w:rsidR="00976C30" w:rsidRPr="00526E91">
        <w:rPr>
          <w:vertAlign w:val="superscript"/>
        </w:rPr>
        <w:t>st</w:t>
      </w:r>
      <w:r w:rsidR="00976C30" w:rsidRPr="00526E91">
        <w:t xml:space="preserve"> percentile, which was a decline from 28</w:t>
      </w:r>
      <w:r w:rsidR="00976C30" w:rsidRPr="00526E91">
        <w:rPr>
          <w:vertAlign w:val="superscript"/>
        </w:rPr>
        <w:t>th</w:t>
      </w:r>
      <w:r w:rsidR="00976C30" w:rsidRPr="00526E91">
        <w:t xml:space="preserve"> percentile on </w:t>
      </w:r>
      <w:r w:rsidR="004858FE" w:rsidRPr="00526E91">
        <w:t>The School District</w:t>
      </w:r>
      <w:r w:rsidR="00976C30" w:rsidRPr="00526E91">
        <w:t>’ evaluation in June 2008 and a further decline from his 47</w:t>
      </w:r>
      <w:r w:rsidR="00976C30" w:rsidRPr="00526E91">
        <w:rPr>
          <w:vertAlign w:val="superscript"/>
        </w:rPr>
        <w:t>th</w:t>
      </w:r>
      <w:r w:rsidR="00976C30" w:rsidRPr="00526E91">
        <w:t xml:space="preserve"> percentile when </w:t>
      </w:r>
      <w:r w:rsidR="00A3017F" w:rsidRPr="00526E91">
        <w:t>t</w:t>
      </w:r>
      <w:r w:rsidR="004858FE" w:rsidRPr="00526E91">
        <w:t>he School District</w:t>
      </w:r>
      <w:r w:rsidR="00976C30" w:rsidRPr="00526E91">
        <w:t xml:space="preserve"> first evaluated Student in November 2005.</w:t>
      </w:r>
      <w:proofErr w:type="gramEnd"/>
      <w:r w:rsidR="00976C30" w:rsidRPr="00526E91">
        <w:t xml:space="preserve">  Student’s other WISC verbal subtests scores and math fluency scores showed a similar pattern.</w:t>
      </w:r>
      <w:r w:rsidR="00491D31" w:rsidRPr="00526E91">
        <w:t xml:space="preserve">  </w:t>
      </w:r>
      <w:proofErr w:type="gramStart"/>
      <w:r w:rsidR="0012147A" w:rsidRPr="00526E91">
        <w:t xml:space="preserve">Exhibits </w:t>
      </w:r>
      <w:r w:rsidR="00526E91" w:rsidRPr="00526E91">
        <w:t xml:space="preserve">3, </w:t>
      </w:r>
      <w:r w:rsidR="00A3017F" w:rsidRPr="00526E91">
        <w:t>4, 7</w:t>
      </w:r>
      <w:r w:rsidR="0012147A" w:rsidRPr="00526E91">
        <w:t>A</w:t>
      </w:r>
      <w:r w:rsidR="00A3017F" w:rsidRPr="00526E91">
        <w:t>.</w:t>
      </w:r>
      <w:proofErr w:type="gramEnd"/>
    </w:p>
    <w:p w:rsidR="00491D31" w:rsidRPr="00526E91" w:rsidRDefault="00491D31" w:rsidP="004C57F5"/>
    <w:p w:rsidR="00A3017F" w:rsidRPr="00526E91" w:rsidRDefault="00491D31" w:rsidP="00A3017F">
      <w:r w:rsidRPr="00526E91">
        <w:t xml:space="preserve">Dr. </w:t>
      </w:r>
      <w:proofErr w:type="spellStart"/>
      <w:r w:rsidRPr="00526E91">
        <w:t>Antalek’s</w:t>
      </w:r>
      <w:proofErr w:type="spellEnd"/>
      <w:r w:rsidRPr="00526E91">
        <w:t xml:space="preserve"> evaluations also showed decline in academic skills.  She found Student’s spelling scores to be at less than the 1</w:t>
      </w:r>
      <w:r w:rsidRPr="00526E91">
        <w:rPr>
          <w:vertAlign w:val="superscript"/>
        </w:rPr>
        <w:t>st</w:t>
      </w:r>
      <w:r w:rsidRPr="00526E91">
        <w:t xml:space="preserve"> percentile, as compared to the 33</w:t>
      </w:r>
      <w:r w:rsidRPr="00526E91">
        <w:rPr>
          <w:vertAlign w:val="superscript"/>
        </w:rPr>
        <w:t>rd</w:t>
      </w:r>
      <w:r w:rsidRPr="00526E91">
        <w:t xml:space="preserve"> percentile when </w:t>
      </w:r>
      <w:r w:rsidR="00A3017F" w:rsidRPr="00526E91">
        <w:t>t</w:t>
      </w:r>
      <w:r w:rsidR="004858FE" w:rsidRPr="00526E91">
        <w:t>he School District</w:t>
      </w:r>
      <w:r w:rsidRPr="00526E91">
        <w:t xml:space="preserve"> tested Student in November 2008.  Student’s WISC scores on the Letter-Word </w:t>
      </w:r>
      <w:r w:rsidR="00EC5B35" w:rsidRPr="00526E91">
        <w:t>Identification</w:t>
      </w:r>
      <w:r w:rsidRPr="00526E91">
        <w:t xml:space="preserve"> subtests were at the 35</w:t>
      </w:r>
      <w:r w:rsidRPr="00526E91">
        <w:rPr>
          <w:vertAlign w:val="superscript"/>
        </w:rPr>
        <w:t>th</w:t>
      </w:r>
      <w:r w:rsidRPr="00526E91">
        <w:t xml:space="preserve"> percentile, a </w:t>
      </w:r>
      <w:r w:rsidR="00EC5B35" w:rsidRPr="00526E91">
        <w:t>decline</w:t>
      </w:r>
      <w:r w:rsidRPr="00526E91">
        <w:t xml:space="preserve"> from the 57</w:t>
      </w:r>
      <w:r w:rsidRPr="00526E91">
        <w:rPr>
          <w:vertAlign w:val="superscript"/>
        </w:rPr>
        <w:t>th</w:t>
      </w:r>
      <w:r w:rsidRPr="00526E91">
        <w:t xml:space="preserve"> percentile when tested by </w:t>
      </w:r>
      <w:r w:rsidR="00A3017F" w:rsidRPr="00526E91">
        <w:t>t</w:t>
      </w:r>
      <w:r w:rsidR="004858FE" w:rsidRPr="00526E91">
        <w:t>he School District</w:t>
      </w:r>
      <w:r w:rsidRPr="00526E91">
        <w:t xml:space="preserve"> in November 2005.</w:t>
      </w:r>
      <w:r w:rsidR="0012147A" w:rsidRPr="00526E91">
        <w:t xml:space="preserve">  </w:t>
      </w:r>
      <w:proofErr w:type="gramStart"/>
      <w:r w:rsidR="0012147A" w:rsidRPr="00526E91">
        <w:t xml:space="preserve">Exhibits </w:t>
      </w:r>
      <w:r w:rsidR="00526E91" w:rsidRPr="00526E91">
        <w:t xml:space="preserve">3, </w:t>
      </w:r>
      <w:r w:rsidR="00A3017F" w:rsidRPr="00526E91">
        <w:t>4, 7</w:t>
      </w:r>
      <w:r w:rsidR="0012147A" w:rsidRPr="00526E91">
        <w:t>A</w:t>
      </w:r>
      <w:r w:rsidR="00A3017F" w:rsidRPr="00526E91">
        <w:t>.</w:t>
      </w:r>
      <w:proofErr w:type="gramEnd"/>
    </w:p>
    <w:p w:rsidR="007C08C2" w:rsidRPr="00526E91" w:rsidRDefault="007C08C2" w:rsidP="004C57F5"/>
    <w:p w:rsidR="00A3017F" w:rsidRPr="00526E91" w:rsidRDefault="00491D31" w:rsidP="00A3017F">
      <w:r w:rsidRPr="00526E91">
        <w:t xml:space="preserve">Similarly, Dr. </w:t>
      </w:r>
      <w:proofErr w:type="spellStart"/>
      <w:r w:rsidRPr="00526E91">
        <w:t>Antalek</w:t>
      </w:r>
      <w:proofErr w:type="spellEnd"/>
      <w:r w:rsidRPr="00526E91">
        <w:t xml:space="preserve"> found that </w:t>
      </w:r>
      <w:r w:rsidR="00A3017F" w:rsidRPr="00526E91">
        <w:t>on the Woodcock-Johnson Psycho-Educational Battery (3</w:t>
      </w:r>
      <w:r w:rsidR="00A3017F" w:rsidRPr="00526E91">
        <w:rPr>
          <w:vertAlign w:val="superscript"/>
        </w:rPr>
        <w:t>rd</w:t>
      </w:r>
      <w:r w:rsidR="00A3017F" w:rsidRPr="00526E91">
        <w:t xml:space="preserve"> ed.), </w:t>
      </w:r>
      <w:r w:rsidRPr="00526E91">
        <w:t>Student’s word attack scores were at the 11</w:t>
      </w:r>
      <w:r w:rsidRPr="00526E91">
        <w:rPr>
          <w:vertAlign w:val="superscript"/>
        </w:rPr>
        <w:t>th</w:t>
      </w:r>
      <w:r w:rsidRPr="00526E91">
        <w:t xml:space="preserve"> percentile, a decline from this 58</w:t>
      </w:r>
      <w:r w:rsidRPr="00526E91">
        <w:rPr>
          <w:vertAlign w:val="superscript"/>
        </w:rPr>
        <w:t>th</w:t>
      </w:r>
      <w:r w:rsidRPr="00526E91">
        <w:t xml:space="preserve"> percentile scores when </w:t>
      </w:r>
      <w:r w:rsidR="00A3017F" w:rsidRPr="00526E91">
        <w:t>t</w:t>
      </w:r>
      <w:r w:rsidR="004858FE" w:rsidRPr="00526E91">
        <w:t>he School District</w:t>
      </w:r>
      <w:r w:rsidRPr="00526E91">
        <w:t xml:space="preserve"> tested</w:t>
      </w:r>
      <w:r w:rsidR="00907C4A" w:rsidRPr="00526E91">
        <w:t xml:space="preserve"> him</w:t>
      </w:r>
      <w:r w:rsidRPr="00526E91">
        <w:t xml:space="preserve"> in </w:t>
      </w:r>
      <w:r w:rsidR="00EC5B35" w:rsidRPr="00526E91">
        <w:t>November</w:t>
      </w:r>
      <w:r w:rsidRPr="00526E91">
        <w:t xml:space="preserve"> 2005.  His Math Fluency scores were found to be at the 11</w:t>
      </w:r>
      <w:r w:rsidRPr="00526E91">
        <w:rPr>
          <w:vertAlign w:val="superscript"/>
        </w:rPr>
        <w:t>th</w:t>
      </w:r>
      <w:r w:rsidRPr="00526E91">
        <w:t xml:space="preserve"> percentile, a decline from the previous 19</w:t>
      </w:r>
      <w:r w:rsidRPr="00526E91">
        <w:rPr>
          <w:vertAlign w:val="superscript"/>
        </w:rPr>
        <w:t>th</w:t>
      </w:r>
      <w:r w:rsidRPr="00526E91">
        <w:t xml:space="preserve"> </w:t>
      </w:r>
      <w:r w:rsidR="00EC5B35" w:rsidRPr="00526E91">
        <w:t>percentile</w:t>
      </w:r>
      <w:r w:rsidRPr="00526E91">
        <w:t xml:space="preserve"> scores from </w:t>
      </w:r>
      <w:r w:rsidR="00A3017F" w:rsidRPr="00526E91">
        <w:t>t</w:t>
      </w:r>
      <w:r w:rsidR="004858FE" w:rsidRPr="00526E91">
        <w:t>he School District</w:t>
      </w:r>
      <w:r w:rsidRPr="00526E91">
        <w:t xml:space="preserve"> testing.  On the Test of Word Reading Efficiency, Student scored at the 5</w:t>
      </w:r>
      <w:r w:rsidRPr="00526E91">
        <w:rPr>
          <w:vertAlign w:val="superscript"/>
        </w:rPr>
        <w:t>th</w:t>
      </w:r>
      <w:r w:rsidRPr="00526E91">
        <w:t xml:space="preserve"> </w:t>
      </w:r>
      <w:r w:rsidR="00EC5B35" w:rsidRPr="00526E91">
        <w:t>percentile</w:t>
      </w:r>
      <w:r w:rsidRPr="00526E91">
        <w:t xml:space="preserve"> on the Sight Word Efficiency Subtest, a decline from the 42</w:t>
      </w:r>
      <w:r w:rsidRPr="00526E91">
        <w:rPr>
          <w:vertAlign w:val="superscript"/>
        </w:rPr>
        <w:t>nd</w:t>
      </w:r>
      <w:r w:rsidRPr="00526E91">
        <w:t xml:space="preserve"> percentile </w:t>
      </w:r>
      <w:r w:rsidR="00EC5B35" w:rsidRPr="00526E91">
        <w:t>performance</w:t>
      </w:r>
      <w:r w:rsidRPr="00526E91">
        <w:t xml:space="preserve"> cited by Dr. </w:t>
      </w:r>
      <w:proofErr w:type="spellStart"/>
      <w:r w:rsidRPr="00526E91">
        <w:t>Goodell</w:t>
      </w:r>
      <w:proofErr w:type="spellEnd"/>
      <w:r w:rsidRPr="00526E91">
        <w:t xml:space="preserve"> in </w:t>
      </w:r>
      <w:r w:rsidR="00EC5B35" w:rsidRPr="00526E91">
        <w:t>January</w:t>
      </w:r>
      <w:r w:rsidRPr="00526E91">
        <w:t xml:space="preserve"> 2008.  He scored in the 4</w:t>
      </w:r>
      <w:r w:rsidRPr="00526E91">
        <w:rPr>
          <w:vertAlign w:val="superscript"/>
        </w:rPr>
        <w:t>th</w:t>
      </w:r>
      <w:r w:rsidRPr="00526E91">
        <w:t xml:space="preserve"> </w:t>
      </w:r>
      <w:r w:rsidR="00EC5B35" w:rsidRPr="00526E91">
        <w:t>percentile</w:t>
      </w:r>
      <w:r w:rsidRPr="00526E91">
        <w:t xml:space="preserve"> on the Phonemic Decoding Subtest, a decline from the 35</w:t>
      </w:r>
      <w:r w:rsidRPr="00526E91">
        <w:rPr>
          <w:vertAlign w:val="superscript"/>
        </w:rPr>
        <w:t>th</w:t>
      </w:r>
      <w:r w:rsidRPr="00526E91">
        <w:t xml:space="preserve"> percentile score obtained by Dr. </w:t>
      </w:r>
      <w:proofErr w:type="spellStart"/>
      <w:r w:rsidRPr="00526E91">
        <w:t>Goodell</w:t>
      </w:r>
      <w:proofErr w:type="spellEnd"/>
      <w:r w:rsidRPr="00526E91">
        <w:t xml:space="preserve"> in January 2008.</w:t>
      </w:r>
      <w:r w:rsidR="0012147A" w:rsidRPr="00526E91">
        <w:t xml:space="preserve">  </w:t>
      </w:r>
      <w:proofErr w:type="gramStart"/>
      <w:r w:rsidR="0012147A" w:rsidRPr="00526E91">
        <w:t xml:space="preserve">Exhibits </w:t>
      </w:r>
      <w:r w:rsidR="00A3017F" w:rsidRPr="00526E91">
        <w:t>3, 4, 7</w:t>
      </w:r>
      <w:r w:rsidR="008B424E" w:rsidRPr="00526E91">
        <w:t>A</w:t>
      </w:r>
      <w:r w:rsidR="00A3017F" w:rsidRPr="00526E91">
        <w:t>.</w:t>
      </w:r>
      <w:proofErr w:type="gramEnd"/>
    </w:p>
    <w:p w:rsidR="007C08C2" w:rsidRPr="00526E91" w:rsidRDefault="007C08C2" w:rsidP="004C57F5"/>
    <w:p w:rsidR="007C08C2" w:rsidRPr="00526E91" w:rsidRDefault="007C08C2" w:rsidP="004C57F5">
      <w:r w:rsidRPr="00526E91">
        <w:lastRenderedPageBreak/>
        <w:t xml:space="preserve">Dr. </w:t>
      </w:r>
      <w:proofErr w:type="spellStart"/>
      <w:r w:rsidRPr="00526E91">
        <w:t>Antalek</w:t>
      </w:r>
      <w:proofErr w:type="spellEnd"/>
      <w:r w:rsidRPr="00526E91">
        <w:t xml:space="preserve"> identified Student as having a significant Language-Based Learning Disability (Dyslexia) consisting of a Reading Disorder, a Disorder of </w:t>
      </w:r>
      <w:r w:rsidR="00EC5B35" w:rsidRPr="00526E91">
        <w:t>Written</w:t>
      </w:r>
      <w:r w:rsidRPr="00526E91">
        <w:t xml:space="preserve"> Expression, a Math Disorder and a Learning Disorder NOS.  She also found that Student displayed concomitant learning disabilities in the areas of executive function, visual memory, word retrieval, and auditory attention.</w:t>
      </w:r>
      <w:r w:rsidR="00A3017F" w:rsidRPr="00526E91">
        <w:t xml:space="preserve">  </w:t>
      </w:r>
      <w:proofErr w:type="gramStart"/>
      <w:r w:rsidR="00A3017F" w:rsidRPr="00526E91">
        <w:t>Exhibit 7</w:t>
      </w:r>
      <w:r w:rsidR="008B424E" w:rsidRPr="00526E91">
        <w:t>A</w:t>
      </w:r>
      <w:r w:rsidR="00A3017F" w:rsidRPr="00526E91">
        <w:t>.</w:t>
      </w:r>
      <w:proofErr w:type="gramEnd"/>
    </w:p>
    <w:p w:rsidR="00946671" w:rsidRPr="00526E91" w:rsidRDefault="00946671" w:rsidP="004C57F5"/>
    <w:p w:rsidR="00946671" w:rsidRPr="00526E91" w:rsidRDefault="00946671" w:rsidP="004C57F5">
      <w:r w:rsidRPr="00526E91">
        <w:t xml:space="preserve">On May 25, 2011, the IEP Team convened to consider Student’s progress, Dr. </w:t>
      </w:r>
      <w:proofErr w:type="spellStart"/>
      <w:r w:rsidRPr="00526E91">
        <w:t>Antalek’s</w:t>
      </w:r>
      <w:proofErr w:type="spellEnd"/>
      <w:r w:rsidRPr="00526E91">
        <w:t xml:space="preserve"> evaluation, and concerns expressed by Student’s private therapist, Joanna Huntington, LICSW.  In a letter</w:t>
      </w:r>
      <w:r w:rsidR="007278AB" w:rsidRPr="00526E91">
        <w:t xml:space="preserve"> dated May 25</w:t>
      </w:r>
      <w:r w:rsidR="007278AB" w:rsidRPr="00526E91">
        <w:rPr>
          <w:vertAlign w:val="superscript"/>
        </w:rPr>
        <w:t>th</w:t>
      </w:r>
      <w:r w:rsidRPr="00526E91">
        <w:t>, Ms. Huntington explain</w:t>
      </w:r>
      <w:r w:rsidR="008B424E" w:rsidRPr="00526E91">
        <w:t>ed that Student felt inadequate and</w:t>
      </w:r>
      <w:r w:rsidRPr="00526E91">
        <w:t xml:space="preserve"> </w:t>
      </w:r>
      <w:r w:rsidR="007C1E99" w:rsidRPr="00526E91">
        <w:t>incompetent</w:t>
      </w:r>
      <w:r w:rsidR="008B424E" w:rsidRPr="00526E91">
        <w:t>,</w:t>
      </w:r>
      <w:r w:rsidRPr="00526E91">
        <w:t xml:space="preserve"> </w:t>
      </w:r>
      <w:r w:rsidR="007C1E99" w:rsidRPr="00526E91">
        <w:t>and</w:t>
      </w:r>
      <w:r w:rsidRPr="00526E91">
        <w:t xml:space="preserve"> </w:t>
      </w:r>
      <w:r w:rsidR="008B424E" w:rsidRPr="00526E91">
        <w:t xml:space="preserve">that he </w:t>
      </w:r>
      <w:r w:rsidRPr="00526E91">
        <w:t>did not feel any connection to what he was being taught in the classroom</w:t>
      </w:r>
      <w:r w:rsidR="00907C4A" w:rsidRPr="00526E91">
        <w:t>,</w:t>
      </w:r>
      <w:r w:rsidRPr="00526E91">
        <w:t xml:space="preserve"> not because of </w:t>
      </w:r>
      <w:r w:rsidR="007C1E99" w:rsidRPr="00526E91">
        <w:t>lack</w:t>
      </w:r>
      <w:r w:rsidRPr="00526E91">
        <w:t xml:space="preserve"> of </w:t>
      </w:r>
      <w:r w:rsidR="007C1E99" w:rsidRPr="00526E91">
        <w:t>interest</w:t>
      </w:r>
      <w:r w:rsidRPr="00526E91">
        <w:t xml:space="preserve"> but because there was a disconnect between what was being taught and what he could understand.  </w:t>
      </w:r>
      <w:proofErr w:type="gramStart"/>
      <w:r w:rsidR="007278AB" w:rsidRPr="00526E91">
        <w:t>Exhibits 1, 6.</w:t>
      </w:r>
      <w:proofErr w:type="gramEnd"/>
    </w:p>
    <w:p w:rsidR="00C1442B" w:rsidRPr="00526E91" w:rsidRDefault="00C1442B" w:rsidP="004C57F5"/>
    <w:p w:rsidR="00C1442B" w:rsidRPr="00526E91" w:rsidRDefault="00C1442B" w:rsidP="004C57F5">
      <w:r w:rsidRPr="00526E91">
        <w:t xml:space="preserve">At the Team meeting, </w:t>
      </w:r>
      <w:r w:rsidR="004858FE" w:rsidRPr="00526E91">
        <w:t>the School District</w:t>
      </w:r>
      <w:r w:rsidRPr="00526E91">
        <w:t xml:space="preserve"> took the position that it could continue to meet Student’s needs appropriately without adopting Dr. </w:t>
      </w:r>
      <w:proofErr w:type="spellStart"/>
      <w:r w:rsidRPr="00526E91">
        <w:t>Antalek’s</w:t>
      </w:r>
      <w:proofErr w:type="spellEnd"/>
      <w:r w:rsidRPr="00526E91">
        <w:t xml:space="preserve"> recommendations</w:t>
      </w:r>
      <w:r w:rsidR="0012147A" w:rsidRPr="00526E91">
        <w:t xml:space="preserve"> for placement in a substantially-separate, language-based program</w:t>
      </w:r>
      <w:r w:rsidR="00097B52" w:rsidRPr="00526E91">
        <w:t xml:space="preserve">.  The School District offered </w:t>
      </w:r>
      <w:r w:rsidRPr="00526E91">
        <w:t>an IEP amendment that added a co-taught self-contained math class and a reading tutorial for two 53-minute class period per seven-day cycle.  Parents continued to take the position that they were dissatisfied and were considering an outside placement, specifically Landmark.</w:t>
      </w:r>
      <w:r w:rsidR="00526E91" w:rsidRPr="00526E91">
        <w:t xml:space="preserve">  </w:t>
      </w:r>
      <w:proofErr w:type="gramStart"/>
      <w:r w:rsidR="00526E91" w:rsidRPr="00526E91">
        <w:t>Exhibit 1.</w:t>
      </w:r>
      <w:proofErr w:type="gramEnd"/>
    </w:p>
    <w:p w:rsidR="007278AB" w:rsidRPr="00526E91" w:rsidRDefault="007278AB" w:rsidP="004C57F5"/>
    <w:p w:rsidR="007278AB" w:rsidRPr="00526E91" w:rsidRDefault="007278AB" w:rsidP="004C57F5">
      <w:r w:rsidRPr="00526E91">
        <w:t xml:space="preserve">For the 2010-2011 school </w:t>
      </w:r>
      <w:proofErr w:type="gramStart"/>
      <w:r w:rsidRPr="00526E91">
        <w:t>year</w:t>
      </w:r>
      <w:proofErr w:type="gramEnd"/>
      <w:r w:rsidRPr="00526E91">
        <w:t xml:space="preserve"> (7</w:t>
      </w:r>
      <w:r w:rsidRPr="00526E91">
        <w:rPr>
          <w:vertAlign w:val="superscript"/>
        </w:rPr>
        <w:t>th</w:t>
      </w:r>
      <w:r w:rsidRPr="00526E91">
        <w:t xml:space="preserve"> grade), Student’s grades were as follows:</w:t>
      </w:r>
    </w:p>
    <w:p w:rsidR="007278AB" w:rsidRPr="00526E91" w:rsidRDefault="007278AB" w:rsidP="004C57F5"/>
    <w:p w:rsidR="007278AB" w:rsidRPr="00526E91" w:rsidRDefault="007278AB" w:rsidP="007278AB">
      <w:pPr>
        <w:ind w:left="720"/>
      </w:pPr>
      <w:r w:rsidRPr="00526E91">
        <w:t>Math:  D+</w:t>
      </w:r>
    </w:p>
    <w:p w:rsidR="007278AB" w:rsidRPr="00526E91" w:rsidRDefault="007278AB" w:rsidP="007278AB">
      <w:pPr>
        <w:ind w:left="720"/>
      </w:pPr>
      <w:r w:rsidRPr="00526E91">
        <w:t>World geography:  D+</w:t>
      </w:r>
    </w:p>
    <w:p w:rsidR="007278AB" w:rsidRPr="00526E91" w:rsidRDefault="007278AB" w:rsidP="007278AB">
      <w:pPr>
        <w:ind w:left="720"/>
      </w:pPr>
      <w:r w:rsidRPr="00526E91">
        <w:t>Learning strategies:  P</w:t>
      </w:r>
    </w:p>
    <w:p w:rsidR="007278AB" w:rsidRPr="00526E91" w:rsidRDefault="007278AB" w:rsidP="007278AB">
      <w:pPr>
        <w:ind w:left="720"/>
      </w:pPr>
      <w:r w:rsidRPr="00526E91">
        <w:t>Physical education:  A-</w:t>
      </w:r>
    </w:p>
    <w:p w:rsidR="007278AB" w:rsidRPr="00526E91" w:rsidRDefault="007278AB" w:rsidP="007278AB">
      <w:pPr>
        <w:ind w:left="720"/>
      </w:pPr>
      <w:r w:rsidRPr="00526E91">
        <w:t>Reading:  B-</w:t>
      </w:r>
    </w:p>
    <w:p w:rsidR="007278AB" w:rsidRPr="00526E91" w:rsidRDefault="007278AB" w:rsidP="007278AB">
      <w:pPr>
        <w:ind w:left="720"/>
      </w:pPr>
      <w:r w:rsidRPr="00526E91">
        <w:t>Language Arts:  B-</w:t>
      </w:r>
    </w:p>
    <w:p w:rsidR="007278AB" w:rsidRPr="00526E91" w:rsidRDefault="007278AB" w:rsidP="007278AB">
      <w:pPr>
        <w:ind w:left="720"/>
      </w:pPr>
      <w:r w:rsidRPr="00526E91">
        <w:t xml:space="preserve">Science:  </w:t>
      </w:r>
      <w:proofErr w:type="gramStart"/>
      <w:r w:rsidRPr="00526E91">
        <w:t>C  [</w:t>
      </w:r>
      <w:proofErr w:type="gramEnd"/>
      <w:r w:rsidRPr="00526E91">
        <w:t>Exhibit 5B]</w:t>
      </w:r>
      <w:r w:rsidR="00931963" w:rsidRPr="00526E91">
        <w:t>.</w:t>
      </w:r>
    </w:p>
    <w:p w:rsidR="007278AB" w:rsidRPr="00526E91" w:rsidRDefault="007278AB" w:rsidP="004C57F5"/>
    <w:p w:rsidR="0037281C" w:rsidRPr="00526E91" w:rsidRDefault="0088697B" w:rsidP="004C57F5">
      <w:r w:rsidRPr="00526E91">
        <w:t xml:space="preserve">On September 26, 2011, the IEP Team re-convened and </w:t>
      </w:r>
      <w:r w:rsidR="001D6D12" w:rsidRPr="00526E91">
        <w:t>proposed</w:t>
      </w:r>
      <w:r w:rsidR="0043329C" w:rsidRPr="00526E91">
        <w:t xml:space="preserve"> an IEP for 8</w:t>
      </w:r>
      <w:r w:rsidR="0043329C" w:rsidRPr="00526E91">
        <w:rPr>
          <w:vertAlign w:val="superscript"/>
        </w:rPr>
        <w:t>th</w:t>
      </w:r>
      <w:r w:rsidR="0043329C" w:rsidRPr="00526E91">
        <w:t xml:space="preserve"> grade </w:t>
      </w:r>
      <w:r w:rsidR="009A4F44" w:rsidRPr="00526E91">
        <w:t>(his 201</w:t>
      </w:r>
      <w:r w:rsidR="0043329C" w:rsidRPr="00526E91">
        <w:t xml:space="preserve">1-2012 </w:t>
      </w:r>
      <w:r w:rsidR="001D6D12" w:rsidRPr="00526E91">
        <w:t>school</w:t>
      </w:r>
      <w:r w:rsidR="0043329C" w:rsidRPr="00526E91">
        <w:t xml:space="preserve"> </w:t>
      </w:r>
      <w:proofErr w:type="gramStart"/>
      <w:r w:rsidR="0043329C" w:rsidRPr="00526E91">
        <w:t>year</w:t>
      </w:r>
      <w:proofErr w:type="gramEnd"/>
      <w:r w:rsidR="0043329C" w:rsidRPr="00526E91">
        <w:t xml:space="preserve">) that would place Student in regular education science with paraprofessional support, and would provide special education classes for English Language Arts, math and reading.  The IEP also proposed a reading tutorial for two 53-minute periods per week and a learning strategies </w:t>
      </w:r>
      <w:r w:rsidR="001D6D12" w:rsidRPr="00526E91">
        <w:t>class</w:t>
      </w:r>
      <w:r w:rsidR="0043329C" w:rsidRPr="00526E91">
        <w:t xml:space="preserve"> for three 53-minute periods per week.  </w:t>
      </w:r>
      <w:proofErr w:type="gramStart"/>
      <w:r w:rsidR="00D82272" w:rsidRPr="00526E91">
        <w:t>Exhibit 2B.</w:t>
      </w:r>
      <w:proofErr w:type="gramEnd"/>
    </w:p>
    <w:p w:rsidR="009A4F44" w:rsidRPr="00526E91" w:rsidRDefault="009A4F44" w:rsidP="004C57F5"/>
    <w:p w:rsidR="009A4F44" w:rsidRPr="00526E91" w:rsidRDefault="009A4F44" w:rsidP="004C57F5">
      <w:r w:rsidRPr="00526E91">
        <w:t>On October 20, 2011</w:t>
      </w:r>
      <w:r w:rsidR="00931963" w:rsidRPr="00526E91">
        <w:t>,</w:t>
      </w:r>
      <w:r w:rsidRPr="00526E91">
        <w:t xml:space="preserve"> Landmark notified Parents that </w:t>
      </w:r>
      <w:r w:rsidR="0088697B" w:rsidRPr="00526E91">
        <w:t>Student</w:t>
      </w:r>
      <w:r w:rsidRPr="00526E91">
        <w:t xml:space="preserve"> had been accepted</w:t>
      </w:r>
      <w:r w:rsidR="008F03C9" w:rsidRPr="00526E91">
        <w:t xml:space="preserve"> and</w:t>
      </w:r>
      <w:r w:rsidRPr="00526E91">
        <w:t xml:space="preserve"> that there was space available for him.  By letter of October 28, 2011, Parents notified the School District of their intent to place their son at Landmark and to seek public funding of this placement.</w:t>
      </w:r>
      <w:r w:rsidR="00D82272" w:rsidRPr="00526E91">
        <w:t xml:space="preserve">  Exhibit 2C.</w:t>
      </w:r>
    </w:p>
    <w:p w:rsidR="009A4F44" w:rsidRPr="00526E91" w:rsidRDefault="009A4F44" w:rsidP="004C57F5"/>
    <w:p w:rsidR="009A4F44" w:rsidRPr="00526E91" w:rsidRDefault="009A4F44" w:rsidP="004C57F5">
      <w:proofErr w:type="gramStart"/>
      <w:r w:rsidRPr="00526E91">
        <w:t xml:space="preserve">On November 3, 2011 while Student continued to attend the School District’s program, Dr. </w:t>
      </w:r>
      <w:proofErr w:type="spellStart"/>
      <w:r w:rsidRPr="00526E91">
        <w:t>Antalek</w:t>
      </w:r>
      <w:proofErr w:type="spellEnd"/>
      <w:r w:rsidRPr="00526E91">
        <w:t xml:space="preserve"> observed Student in his educational program</w:t>
      </w:r>
      <w:r w:rsidR="001C4D0B" w:rsidRPr="00526E91">
        <w:t>, including reading, social studies, and English Language Arts</w:t>
      </w:r>
      <w:r w:rsidRPr="00526E91">
        <w:t>.</w:t>
      </w:r>
      <w:proofErr w:type="gramEnd"/>
      <w:r w:rsidRPr="00526E91">
        <w:t xml:space="preserve">  Dr. </w:t>
      </w:r>
      <w:proofErr w:type="spellStart"/>
      <w:r w:rsidRPr="00526E91">
        <w:t>Antalek</w:t>
      </w:r>
      <w:proofErr w:type="spellEnd"/>
      <w:r w:rsidRPr="00526E91">
        <w:t xml:space="preserve"> concluded that this program was not appropriate for </w:t>
      </w:r>
      <w:r w:rsidRPr="00526E91">
        <w:lastRenderedPageBreak/>
        <w:t>Student and reiterated her recommendation that he be placed in a language-based program.</w:t>
      </w:r>
      <w:r w:rsidR="001C4D0B" w:rsidRPr="00526E91">
        <w:t xml:space="preserve">  </w:t>
      </w:r>
      <w:proofErr w:type="gramStart"/>
      <w:r w:rsidR="001C4D0B" w:rsidRPr="00526E91">
        <w:t>Exhibit 7B.</w:t>
      </w:r>
      <w:proofErr w:type="gramEnd"/>
    </w:p>
    <w:p w:rsidR="001C381C" w:rsidRPr="00526E91" w:rsidRDefault="001C381C" w:rsidP="004C57F5"/>
    <w:p w:rsidR="001C381C" w:rsidRPr="00526E91" w:rsidRDefault="001C381C" w:rsidP="004C57F5">
      <w:r w:rsidRPr="00526E91">
        <w:t xml:space="preserve">On November 28, 2011, Student began attending Landmark.  On February 2, 2012, Dr. </w:t>
      </w:r>
      <w:proofErr w:type="spellStart"/>
      <w:r w:rsidRPr="00526E91">
        <w:t>Antalek</w:t>
      </w:r>
      <w:proofErr w:type="spellEnd"/>
      <w:r w:rsidRPr="00526E91">
        <w:t xml:space="preserve"> observed Student at Landmark and concluded that it was an appropriate program for him.</w:t>
      </w:r>
      <w:r w:rsidR="00FF3A24" w:rsidRPr="00526E91">
        <w:t xml:space="preserve">  Exhibit</w:t>
      </w:r>
      <w:r w:rsidR="00097B52" w:rsidRPr="00526E91">
        <w:t xml:space="preserve"> </w:t>
      </w:r>
      <w:r w:rsidR="00FF3A24" w:rsidRPr="00526E91">
        <w:t>7C.</w:t>
      </w:r>
    </w:p>
    <w:p w:rsidR="004D3598" w:rsidRPr="00526E91" w:rsidRDefault="004D3598" w:rsidP="004C57F5"/>
    <w:p w:rsidR="001C381C" w:rsidRPr="00526E91" w:rsidRDefault="00D82272" w:rsidP="001C381C">
      <w:r w:rsidRPr="00526E91">
        <w:t>The Team proposed an IEP for the beginning of 9</w:t>
      </w:r>
      <w:r w:rsidR="001C381C" w:rsidRPr="00526E91">
        <w:rPr>
          <w:vertAlign w:val="superscript"/>
        </w:rPr>
        <w:t>th</w:t>
      </w:r>
      <w:r w:rsidR="001C381C" w:rsidRPr="00526E91">
        <w:t xml:space="preserve"> grade (his 2012-2013 school </w:t>
      </w:r>
      <w:proofErr w:type="gramStart"/>
      <w:r w:rsidR="001C381C" w:rsidRPr="00526E91">
        <w:t>year</w:t>
      </w:r>
      <w:proofErr w:type="gramEnd"/>
      <w:r w:rsidR="001C381C" w:rsidRPr="00526E91">
        <w:t xml:space="preserve">) that would place Student in regular education science and social studies with special education support, and would provide special education classes for English Language Arts, math and reading.  The IEP also proposed a reading tutorial for two 56-minute periods per week and academic support for six 56-minute periods per week.  </w:t>
      </w:r>
      <w:proofErr w:type="gramStart"/>
      <w:r w:rsidRPr="00526E91">
        <w:t>Exhibit 2B.</w:t>
      </w:r>
      <w:proofErr w:type="gramEnd"/>
    </w:p>
    <w:p w:rsidR="004C57F5" w:rsidRPr="00526E91" w:rsidRDefault="004C57F5" w:rsidP="004C57F5">
      <w:pPr>
        <w:rPr>
          <w:bCs/>
        </w:rPr>
      </w:pPr>
    </w:p>
    <w:p w:rsidR="005C5FC8" w:rsidRPr="00526E91" w:rsidRDefault="0001528C" w:rsidP="00D20EC7">
      <w:pPr>
        <w:jc w:val="center"/>
        <w:rPr>
          <w:b/>
        </w:rPr>
      </w:pPr>
      <w:r w:rsidRPr="00526E91">
        <w:rPr>
          <w:b/>
        </w:rPr>
        <w:t>LEGAL STANDARDS</w:t>
      </w:r>
    </w:p>
    <w:p w:rsidR="0001528C" w:rsidRPr="00526E91" w:rsidRDefault="0001528C" w:rsidP="00D20EC7">
      <w:pPr>
        <w:jc w:val="center"/>
        <w:rPr>
          <w:b/>
        </w:rPr>
      </w:pPr>
    </w:p>
    <w:p w:rsidR="00A22231" w:rsidRPr="00526E91" w:rsidRDefault="00A22231" w:rsidP="00A22231">
      <w:pPr>
        <w:rPr>
          <w:rFonts w:eastAsia="Arial Unicode MS"/>
          <w:szCs w:val="24"/>
        </w:rPr>
      </w:pPr>
      <w:r w:rsidRPr="00526E91">
        <w:rPr>
          <w:rFonts w:eastAsia="Arial Unicode MS"/>
          <w:szCs w:val="24"/>
        </w:rPr>
        <w:t>It is not disputed that Student is an individual with a disability, falling within the purview of the federal Individuals with Disabilities Education Act (IDEA)</w:t>
      </w:r>
      <w:r w:rsidRPr="00526E91">
        <w:rPr>
          <w:rFonts w:eastAsia="Arial Unicode MS"/>
          <w:szCs w:val="24"/>
          <w:vertAlign w:val="superscript"/>
        </w:rPr>
        <w:footnoteReference w:id="4"/>
      </w:r>
      <w:r w:rsidRPr="00526E91">
        <w:rPr>
          <w:rFonts w:eastAsia="Arial Unicode MS"/>
          <w:szCs w:val="24"/>
        </w:rPr>
        <w:t xml:space="preserve"> and the Massachusetts special education statute.</w:t>
      </w:r>
      <w:r w:rsidRPr="00526E91">
        <w:rPr>
          <w:rFonts w:eastAsia="Arial Unicode MS"/>
          <w:szCs w:val="24"/>
          <w:vertAlign w:val="superscript"/>
        </w:rPr>
        <w:footnoteReference w:id="5"/>
      </w:r>
      <w:r w:rsidRPr="00526E91">
        <w:rPr>
          <w:rFonts w:eastAsia="Arial Unicode MS"/>
          <w:szCs w:val="24"/>
        </w:rPr>
        <w:t xml:space="preserve">  </w:t>
      </w:r>
    </w:p>
    <w:p w:rsidR="00A1086D" w:rsidRPr="00526E91" w:rsidRDefault="00A1086D" w:rsidP="00A22231">
      <w:pPr>
        <w:rPr>
          <w:rFonts w:eastAsia="Arial Unicode MS"/>
          <w:szCs w:val="24"/>
        </w:rPr>
      </w:pPr>
    </w:p>
    <w:p w:rsidR="00A22231" w:rsidRPr="00526E91" w:rsidRDefault="00A22231" w:rsidP="00A22231">
      <w:pPr>
        <w:rPr>
          <w:szCs w:val="19"/>
        </w:rPr>
      </w:pPr>
      <w:r w:rsidRPr="00526E91">
        <w:rPr>
          <w:szCs w:val="24"/>
        </w:rPr>
        <w:t>The IDEA was enacted “</w:t>
      </w:r>
      <w:r w:rsidRPr="00526E91">
        <w:rPr>
          <w:szCs w:val="19"/>
        </w:rPr>
        <w:t>to ensure that all children with disabilities have available to them a free appropriate public education”,</w:t>
      </w:r>
      <w:r w:rsidRPr="00526E91">
        <w:rPr>
          <w:szCs w:val="24"/>
        </w:rPr>
        <w:t xml:space="preserve"> i.e. a "FAPE."</w:t>
      </w:r>
      <w:r w:rsidRPr="00526E91">
        <w:rPr>
          <w:szCs w:val="24"/>
          <w:vertAlign w:val="superscript"/>
        </w:rPr>
        <w:footnoteReference w:id="6"/>
      </w:r>
      <w:r w:rsidRPr="00526E91">
        <w:rPr>
          <w:szCs w:val="24"/>
        </w:rPr>
        <w:t xml:space="preserve">  The IDEA envisions a collaboration between school officials and parents to develop an individualized education program ("IEP"), which is "[t]he primary vehicle for delivery of a FAPE" and must be "individually designed to suit a particular child".</w:t>
      </w:r>
      <w:r w:rsidRPr="00526E91">
        <w:rPr>
          <w:szCs w:val="24"/>
          <w:vertAlign w:val="superscript"/>
        </w:rPr>
        <w:footnoteReference w:id="7"/>
      </w:r>
      <w:r w:rsidRPr="00526E91">
        <w:rPr>
          <w:szCs w:val="24"/>
        </w:rPr>
        <w:t xml:space="preserve">  Although a student is not entitled to the maximum educational benefit possible, "an IEP must be reasonably calculated to confer a meaningful educational benefit."</w:t>
      </w:r>
      <w:r w:rsidRPr="00526E91">
        <w:rPr>
          <w:szCs w:val="24"/>
          <w:vertAlign w:val="superscript"/>
        </w:rPr>
        <w:footnoteReference w:id="8"/>
      </w:r>
    </w:p>
    <w:p w:rsidR="00A22231" w:rsidRPr="00526E91" w:rsidRDefault="00A22231" w:rsidP="00A22231">
      <w:pPr>
        <w:rPr>
          <w:szCs w:val="19"/>
        </w:rPr>
      </w:pPr>
    </w:p>
    <w:p w:rsidR="00A22231" w:rsidRPr="00526E91" w:rsidRDefault="00A22231" w:rsidP="00A22231">
      <w:pPr>
        <w:rPr>
          <w:i/>
          <w:iCs/>
          <w:szCs w:val="19"/>
        </w:rPr>
      </w:pPr>
      <w:r w:rsidRPr="00526E91">
        <w:rPr>
          <w:szCs w:val="19"/>
        </w:rPr>
        <w:t xml:space="preserve">The IDEA and Massachusetts law reflect a preference for mainstreaming disabled students. This entails ensuring, “[t]o the maximum extent appropriate,” that disabled children </w:t>
      </w:r>
      <w:proofErr w:type="gramStart"/>
      <w:r w:rsidRPr="00526E91">
        <w:rPr>
          <w:szCs w:val="19"/>
        </w:rPr>
        <w:t>are</w:t>
      </w:r>
      <w:proofErr w:type="gramEnd"/>
      <w:r w:rsidRPr="00526E91">
        <w:rPr>
          <w:szCs w:val="19"/>
        </w:rPr>
        <w:t xml:space="preserve"> taught with nondisabled children.</w:t>
      </w:r>
      <w:r w:rsidRPr="00526E91">
        <w:rPr>
          <w:szCs w:val="19"/>
          <w:vertAlign w:val="superscript"/>
        </w:rPr>
        <w:footnoteReference w:id="9"/>
      </w:r>
      <w:r w:rsidRPr="00526E91">
        <w:rPr>
          <w:szCs w:val="19"/>
        </w:rPr>
        <w:t xml:space="preserve"> “The goal, then, is to find the least restrictive educational environment that will accommodate the child's legitimate needs.”</w:t>
      </w:r>
      <w:r w:rsidRPr="00526E91">
        <w:rPr>
          <w:szCs w:val="19"/>
          <w:vertAlign w:val="superscript"/>
        </w:rPr>
        <w:footnoteReference w:id="10"/>
      </w:r>
      <w:r w:rsidRPr="00526E91">
        <w:rPr>
          <w:szCs w:val="19"/>
        </w:rPr>
        <w:t xml:space="preserve">  </w:t>
      </w:r>
    </w:p>
    <w:p w:rsidR="00A22231" w:rsidRPr="00526E91" w:rsidRDefault="00A22231" w:rsidP="00A22231">
      <w:pPr>
        <w:rPr>
          <w:szCs w:val="19"/>
        </w:rPr>
      </w:pPr>
    </w:p>
    <w:p w:rsidR="00A22231" w:rsidRPr="00526E91" w:rsidRDefault="00A22231" w:rsidP="00A22231">
      <w:pPr>
        <w:rPr>
          <w:rFonts w:cs="Courier New"/>
        </w:rPr>
      </w:pPr>
      <w:r w:rsidRPr="00526E91">
        <w:rPr>
          <w:color w:val="000000"/>
        </w:rPr>
        <w:lastRenderedPageBreak/>
        <w:t xml:space="preserve">In the application of these standards, federal case law clarifies that </w:t>
      </w:r>
      <w:r w:rsidRPr="00526E91">
        <w:t>“levels of progress must be judged with respect to the potential of the particular child”</w:t>
      </w:r>
      <w:r w:rsidRPr="00526E91">
        <w:rPr>
          <w:color w:val="000000"/>
          <w:vertAlign w:val="superscript"/>
        </w:rPr>
        <w:footnoteReference w:id="11"/>
      </w:r>
      <w:r w:rsidRPr="00526E91">
        <w:t xml:space="preserve"> unless the potential is “unknowable”</w:t>
      </w:r>
      <w:r w:rsidRPr="00526E91">
        <w:rPr>
          <w:vertAlign w:val="superscript"/>
        </w:rPr>
        <w:footnoteReference w:id="12"/>
      </w:r>
      <w:r w:rsidRPr="00526E91">
        <w:t xml:space="preserve"> because </w:t>
      </w:r>
      <w:r w:rsidRPr="00526E91">
        <w:rPr>
          <w:color w:val="000000"/>
        </w:rPr>
        <w:t>“</w:t>
      </w:r>
      <w:r w:rsidRPr="00526E91">
        <w:rPr>
          <w:color w:val="000000"/>
          <w:szCs w:val="19"/>
        </w:rPr>
        <w:t>benefits obtainable by children at one end of the spectrum will differ dramatically from those obtainable by children at the other end, with infinite variations in between</w:t>
      </w:r>
      <w:r w:rsidRPr="00526E91">
        <w:rPr>
          <w:color w:val="000000"/>
        </w:rPr>
        <w:t>”.</w:t>
      </w:r>
      <w:r w:rsidRPr="00526E91">
        <w:rPr>
          <w:color w:val="000000"/>
          <w:vertAlign w:val="superscript"/>
        </w:rPr>
        <w:footnoteReference w:id="13"/>
      </w:r>
      <w:r w:rsidRPr="00526E91">
        <w:rPr>
          <w:color w:val="000000"/>
        </w:rPr>
        <w:t xml:space="preserve"> </w:t>
      </w:r>
      <w:r w:rsidRPr="00526E91">
        <w:t xml:space="preserve"> Thus, in sum, the “IDEA requires an IEP to confer a meaningful educational benefit gauged in relation to the potential of the child at issue.”</w:t>
      </w:r>
      <w:r w:rsidRPr="00526E91">
        <w:rPr>
          <w:vertAlign w:val="superscript"/>
        </w:rPr>
        <w:footnoteReference w:id="14"/>
      </w:r>
    </w:p>
    <w:p w:rsidR="00A22231" w:rsidRPr="00526E91" w:rsidRDefault="00A22231" w:rsidP="00A22231">
      <w:pPr>
        <w:spacing w:after="45"/>
        <w:ind w:right="75"/>
        <w:rPr>
          <w:iCs/>
          <w:color w:val="000000"/>
          <w:szCs w:val="24"/>
        </w:rPr>
      </w:pPr>
    </w:p>
    <w:p w:rsidR="00A22231" w:rsidRPr="00526E91" w:rsidRDefault="00A22231" w:rsidP="00A22231">
      <w:pPr>
        <w:spacing w:after="45"/>
        <w:ind w:right="75"/>
        <w:rPr>
          <w:iCs/>
          <w:color w:val="000000"/>
          <w:szCs w:val="24"/>
        </w:rPr>
      </w:pPr>
      <w:r w:rsidRPr="00526E91">
        <w:rPr>
          <w:szCs w:val="19"/>
        </w:rPr>
        <w:t>FAPE is defined by the IDEA to include state educational standards,</w:t>
      </w:r>
      <w:r w:rsidRPr="00526E91">
        <w:rPr>
          <w:szCs w:val="19"/>
          <w:vertAlign w:val="superscript"/>
        </w:rPr>
        <w:footnoteReference w:id="15"/>
      </w:r>
      <w:r w:rsidRPr="00526E91">
        <w:rPr>
          <w:szCs w:val="19"/>
        </w:rPr>
        <w:t xml:space="preserve"> which </w:t>
      </w:r>
      <w:r w:rsidRPr="00526E91">
        <w:rPr>
          <w:szCs w:val="24"/>
        </w:rPr>
        <w:t>may exceed the federal floor</w:t>
      </w:r>
      <w:r w:rsidRPr="00526E91">
        <w:rPr>
          <w:szCs w:val="19"/>
        </w:rPr>
        <w:t>.</w:t>
      </w:r>
      <w:r w:rsidRPr="00526E91">
        <w:rPr>
          <w:szCs w:val="19"/>
          <w:vertAlign w:val="superscript"/>
        </w:rPr>
        <w:footnoteReference w:id="16"/>
      </w:r>
      <w:r w:rsidRPr="00526E91">
        <w:rPr>
          <w:szCs w:val="19"/>
        </w:rPr>
        <w:t xml:space="preserve">  Massachusetts </w:t>
      </w:r>
      <w:r w:rsidRPr="00526E91">
        <w:rPr>
          <w:iCs/>
          <w:color w:val="000000"/>
          <w:szCs w:val="24"/>
        </w:rPr>
        <w:t>standards require that a proposed IEP include specialized instruction and related services designed to enable Student to make effective progress and develop his or her individual educational potential.</w:t>
      </w:r>
      <w:r w:rsidRPr="00526E91">
        <w:rPr>
          <w:szCs w:val="24"/>
          <w:vertAlign w:val="superscript"/>
        </w:rPr>
        <w:footnoteReference w:id="17"/>
      </w:r>
    </w:p>
    <w:p w:rsidR="00A22231" w:rsidRPr="00526E91" w:rsidRDefault="00A22231" w:rsidP="00A22231">
      <w:pPr>
        <w:spacing w:after="45"/>
        <w:ind w:right="75"/>
        <w:rPr>
          <w:iCs/>
          <w:color w:val="000000"/>
          <w:szCs w:val="24"/>
        </w:rPr>
      </w:pPr>
    </w:p>
    <w:p w:rsidR="0001528C" w:rsidRPr="00526E91" w:rsidRDefault="0001528C" w:rsidP="00D20EC7">
      <w:pPr>
        <w:autoSpaceDE w:val="0"/>
        <w:autoSpaceDN w:val="0"/>
        <w:adjustRightInd w:val="0"/>
        <w:rPr>
          <w:rFonts w:cs="Courier New"/>
        </w:rPr>
      </w:pPr>
      <w:r w:rsidRPr="00526E91">
        <w:rPr>
          <w:rFonts w:cs="Courier New"/>
        </w:rPr>
        <w:t xml:space="preserve">In the event that </w:t>
      </w:r>
      <w:r w:rsidR="004858FE" w:rsidRPr="00526E91">
        <w:rPr>
          <w:rFonts w:cs="Courier New"/>
        </w:rPr>
        <w:t>the School District</w:t>
      </w:r>
      <w:r w:rsidR="004D3598" w:rsidRPr="00526E91">
        <w:rPr>
          <w:rFonts w:cs="Courier New"/>
        </w:rPr>
        <w:t xml:space="preserve"> failed to provide FAPE, P</w:t>
      </w:r>
      <w:r w:rsidRPr="00526E91">
        <w:rPr>
          <w:rFonts w:cs="Courier New"/>
        </w:rPr>
        <w:t>arent</w:t>
      </w:r>
      <w:r w:rsidR="004D3598" w:rsidRPr="00526E91">
        <w:rPr>
          <w:rFonts w:cs="Courier New"/>
        </w:rPr>
        <w:t>s may enroll S</w:t>
      </w:r>
      <w:r w:rsidRPr="00526E91">
        <w:rPr>
          <w:rFonts w:cs="Courier New"/>
        </w:rPr>
        <w:t>tudent in a private placement and seek reimbursement as equitable relief.</w:t>
      </w:r>
      <w:r w:rsidRPr="00526E91">
        <w:rPr>
          <w:rStyle w:val="FootnoteReference"/>
          <w:rFonts w:cs="Courier New"/>
        </w:rPr>
        <w:footnoteReference w:id="18"/>
      </w:r>
      <w:r w:rsidRPr="00526E91">
        <w:rPr>
          <w:rFonts w:cs="Courier New"/>
        </w:rPr>
        <w:t xml:space="preserve">  </w:t>
      </w:r>
    </w:p>
    <w:p w:rsidR="0065398A" w:rsidRPr="00526E91" w:rsidRDefault="0065398A" w:rsidP="00D20EC7">
      <w:pPr>
        <w:pStyle w:val="NormalWeb"/>
        <w:spacing w:before="0" w:beforeAutospacing="0" w:after="0" w:afterAutospacing="0"/>
        <w:rPr>
          <w:rFonts w:ascii="Times New Roman" w:hAnsi="Times New Roman"/>
          <w:sz w:val="25"/>
        </w:rPr>
      </w:pPr>
    </w:p>
    <w:p w:rsidR="00532396" w:rsidRPr="00526E91" w:rsidRDefault="00AA5415" w:rsidP="00D20EC7">
      <w:pPr>
        <w:tabs>
          <w:tab w:val="left" w:pos="-1440"/>
        </w:tabs>
        <w:rPr>
          <w:bCs/>
        </w:rPr>
      </w:pPr>
      <w:r w:rsidRPr="00526E91">
        <w:rPr>
          <w:bCs/>
        </w:rPr>
        <w:t xml:space="preserve">As the moving party seeking relief, </w:t>
      </w:r>
      <w:r w:rsidR="00645BC4" w:rsidRPr="00526E91">
        <w:rPr>
          <w:bCs/>
        </w:rPr>
        <w:t>Parent</w:t>
      </w:r>
      <w:r w:rsidR="00FF3A24" w:rsidRPr="00526E91">
        <w:t xml:space="preserve">s have </w:t>
      </w:r>
      <w:r w:rsidR="00532396" w:rsidRPr="00526E91">
        <w:t>the burden of persuasion.</w:t>
      </w:r>
      <w:r w:rsidR="00532396" w:rsidRPr="00526E91">
        <w:rPr>
          <w:rStyle w:val="FootnoteReference"/>
          <w:rFonts w:cs="Arial"/>
          <w:color w:val="000000"/>
          <w:szCs w:val="18"/>
        </w:rPr>
        <w:footnoteReference w:id="19"/>
      </w:r>
      <w:r w:rsidR="00532396" w:rsidRPr="00526E91">
        <w:t xml:space="preserve"> </w:t>
      </w:r>
    </w:p>
    <w:p w:rsidR="00532396" w:rsidRPr="00526E91" w:rsidRDefault="00532396" w:rsidP="00D20EC7"/>
    <w:p w:rsidR="0001528C" w:rsidRPr="00526E91" w:rsidRDefault="0001528C" w:rsidP="00D20EC7">
      <w:pPr>
        <w:jc w:val="center"/>
        <w:rPr>
          <w:b/>
          <w:bCs/>
        </w:rPr>
      </w:pPr>
      <w:r w:rsidRPr="00526E91">
        <w:rPr>
          <w:b/>
          <w:bCs/>
        </w:rPr>
        <w:t>DISCUSSION</w:t>
      </w:r>
    </w:p>
    <w:p w:rsidR="00EA5EAD" w:rsidRPr="00526E91" w:rsidRDefault="00EA5EAD" w:rsidP="00264D87"/>
    <w:p w:rsidR="00097B52" w:rsidRPr="00526E91" w:rsidRDefault="00264D87" w:rsidP="00264D87">
      <w:r w:rsidRPr="00526E91">
        <w:t xml:space="preserve">The most recent and </w:t>
      </w:r>
      <w:r w:rsidR="000A64A5" w:rsidRPr="00526E91">
        <w:t>comprehensive</w:t>
      </w:r>
      <w:r w:rsidRPr="00526E91">
        <w:t xml:space="preserve"> </w:t>
      </w:r>
      <w:r w:rsidR="00E72458" w:rsidRPr="00526E91">
        <w:t>evaluation</w:t>
      </w:r>
      <w:r w:rsidRPr="00526E91">
        <w:t xml:space="preserve"> </w:t>
      </w:r>
      <w:r w:rsidR="00EA5EAD" w:rsidRPr="00526E91">
        <w:t xml:space="preserve">of Student </w:t>
      </w:r>
      <w:r w:rsidRPr="00526E91">
        <w:t xml:space="preserve">was done by </w:t>
      </w:r>
      <w:r w:rsidR="008B2956" w:rsidRPr="00526E91">
        <w:t xml:space="preserve">Dr. </w:t>
      </w:r>
      <w:proofErr w:type="spellStart"/>
      <w:r w:rsidR="008B2956" w:rsidRPr="00526E91">
        <w:t>Antalek</w:t>
      </w:r>
      <w:proofErr w:type="spellEnd"/>
      <w:r w:rsidRPr="00526E91">
        <w:t xml:space="preserve"> in 2011.  </w:t>
      </w:r>
    </w:p>
    <w:p w:rsidR="00097B52" w:rsidRPr="00526E91" w:rsidRDefault="00097B52" w:rsidP="00264D87"/>
    <w:p w:rsidR="00264D87" w:rsidRPr="00526E91" w:rsidRDefault="00264D87" w:rsidP="00264D87">
      <w:r w:rsidRPr="00526E91">
        <w:lastRenderedPageBreak/>
        <w:t xml:space="preserve">In addition to her own testing, she provided a review of all relevant previous educational testing.  </w:t>
      </w:r>
      <w:r w:rsidR="00097B52" w:rsidRPr="00526E91">
        <w:t>As will be discussed below in greater detail</w:t>
      </w:r>
      <w:r w:rsidRPr="00526E91">
        <w:t xml:space="preserve">, </w:t>
      </w:r>
      <w:r w:rsidR="00097B52" w:rsidRPr="00526E91">
        <w:t xml:space="preserve">her findings </w:t>
      </w:r>
      <w:r w:rsidR="002C7E56" w:rsidRPr="00526E91">
        <w:t xml:space="preserve">and recommendations </w:t>
      </w:r>
      <w:r w:rsidRPr="00526E91">
        <w:t>make clear that Student has not been making effective or meaningful progress commensurate with his educational potential</w:t>
      </w:r>
      <w:r w:rsidR="00097B52" w:rsidRPr="00526E91">
        <w:t xml:space="preserve"> and that Student will not likely do so without placement in a substantially-separate, language-based program such as Landmark</w:t>
      </w:r>
      <w:r w:rsidRPr="00526E91">
        <w:t xml:space="preserve">.  </w:t>
      </w:r>
      <w:r w:rsidR="00097B52" w:rsidRPr="00526E91">
        <w:t xml:space="preserve">There are no </w:t>
      </w:r>
      <w:r w:rsidR="00AA1316">
        <w:t xml:space="preserve">current </w:t>
      </w:r>
      <w:r w:rsidR="00097B52" w:rsidRPr="00526E91">
        <w:t xml:space="preserve">evaluations or other written reports in the record that dispute or contradict the findings and recommendations of Dr. </w:t>
      </w:r>
      <w:proofErr w:type="spellStart"/>
      <w:r w:rsidR="00097B52" w:rsidRPr="00526E91">
        <w:t>Antalek</w:t>
      </w:r>
      <w:proofErr w:type="spellEnd"/>
      <w:r w:rsidR="00097B52" w:rsidRPr="00526E91">
        <w:t xml:space="preserve">.  </w:t>
      </w:r>
      <w:proofErr w:type="gramStart"/>
      <w:r w:rsidRPr="00526E91">
        <w:t>Exhibit</w:t>
      </w:r>
      <w:r w:rsidR="00C52575">
        <w:t>s</w:t>
      </w:r>
      <w:r w:rsidRPr="00526E91">
        <w:t xml:space="preserve"> 7A</w:t>
      </w:r>
      <w:r w:rsidR="00097B52" w:rsidRPr="00526E91">
        <w:t>, 7B, 7C</w:t>
      </w:r>
      <w:r w:rsidRPr="00526E91">
        <w:t>.</w:t>
      </w:r>
      <w:proofErr w:type="gramEnd"/>
    </w:p>
    <w:p w:rsidR="00264D87" w:rsidRPr="00526E91" w:rsidRDefault="00264D87" w:rsidP="008B2956"/>
    <w:p w:rsidR="008B2956" w:rsidRPr="00526E91" w:rsidRDefault="00264D87" w:rsidP="008B2956">
      <w:r w:rsidRPr="00526E91">
        <w:t xml:space="preserve">Dr. </w:t>
      </w:r>
      <w:proofErr w:type="spellStart"/>
      <w:r w:rsidRPr="00526E91">
        <w:t>Antalek</w:t>
      </w:r>
      <w:proofErr w:type="spellEnd"/>
      <w:r w:rsidRPr="00526E91">
        <w:t xml:space="preserve"> </w:t>
      </w:r>
      <w:r w:rsidR="008B2956" w:rsidRPr="00526E91">
        <w:t xml:space="preserve">found that Student </w:t>
      </w:r>
      <w:r w:rsidR="002C7E56" w:rsidRPr="00526E91">
        <w:t>has at least average educational potential.  She noted</w:t>
      </w:r>
      <w:r w:rsidR="00526E91" w:rsidRPr="00526E91">
        <w:t xml:space="preserve"> </w:t>
      </w:r>
      <w:r w:rsidR="002C7E56" w:rsidRPr="00526E91">
        <w:t xml:space="preserve">that he </w:t>
      </w:r>
      <w:r w:rsidR="008B2956" w:rsidRPr="00526E91">
        <w:t xml:space="preserve">“is a bright and delightful boy who is experiencing a great deal of failure in school and is rapidly becoming school phobic.”  She </w:t>
      </w:r>
      <w:r w:rsidR="00DD7605" w:rsidRPr="00526E91">
        <w:t>further stated</w:t>
      </w:r>
      <w:r w:rsidR="008B2956" w:rsidRPr="00526E91">
        <w:t xml:space="preserve"> that although Student i</w:t>
      </w:r>
      <w:r w:rsidR="00F92504" w:rsidRPr="00526E91">
        <w:t xml:space="preserve">s “at least of average </w:t>
      </w:r>
      <w:proofErr w:type="gramStart"/>
      <w:r w:rsidR="00F92504" w:rsidRPr="00526E91">
        <w:t>ability, …</w:t>
      </w:r>
      <w:proofErr w:type="gramEnd"/>
      <w:r w:rsidR="008B2956" w:rsidRPr="00526E91">
        <w:t xml:space="preserve"> [a]</w:t>
      </w:r>
      <w:proofErr w:type="spellStart"/>
      <w:r w:rsidR="008B2956" w:rsidRPr="00526E91">
        <w:t>cademically</w:t>
      </w:r>
      <w:proofErr w:type="spellEnd"/>
      <w:r w:rsidR="008B2956" w:rsidRPr="00526E91">
        <w:t xml:space="preserve">, [Student] is struggling.  His word reading and decoding skills have never been adequately addressed, and [Student’s] word reading and decoding skills are significantly weak.”  “He is reading well below grade level, but this has been overlooked largely due to the fact that [Student] can answer multiple-choice questions adequately using his strong logic skills.”  She further noted his inability to spell correctly, with even “simple, everyday words” being a challenge for him; and his written language skills were “significantly below grade expected levels.”  Even in math which “should be [Student’s] </w:t>
      </w:r>
      <w:proofErr w:type="gramStart"/>
      <w:r w:rsidR="008B2956" w:rsidRPr="00526E91">
        <w:t>strength, …</w:t>
      </w:r>
      <w:proofErr w:type="gramEnd"/>
      <w:r w:rsidR="008B2956" w:rsidRPr="00526E91">
        <w:t xml:space="preserve"> he is currently struggling.”  </w:t>
      </w:r>
      <w:proofErr w:type="gramStart"/>
      <w:r w:rsidR="008B2956" w:rsidRPr="00526E91">
        <w:t>Exhibit 7A.</w:t>
      </w:r>
      <w:proofErr w:type="gramEnd"/>
    </w:p>
    <w:p w:rsidR="008B2956" w:rsidRPr="00526E91" w:rsidRDefault="008B2956" w:rsidP="008B2956"/>
    <w:p w:rsidR="008B2956" w:rsidRPr="00526E91" w:rsidRDefault="008B2956" w:rsidP="008B2956">
      <w:r w:rsidRPr="00526E91">
        <w:t xml:space="preserve">Dr. </w:t>
      </w:r>
      <w:proofErr w:type="spellStart"/>
      <w:r w:rsidRPr="00526E91">
        <w:t>Antalek</w:t>
      </w:r>
      <w:proofErr w:type="spellEnd"/>
      <w:r w:rsidRPr="00526E91">
        <w:t xml:space="preserve"> also found that “executive functioning weaknesses appear to be impairing [Student’s] ability to organize even his thinking and response style.”  She therefore found that “in addition to supports to address his specific academic weakness, [Student] will need additional support to help him reorganize the way he views himself and others, and to help him develop more appropriate </w:t>
      </w:r>
      <w:proofErr w:type="spellStart"/>
      <w:r w:rsidRPr="00526E91">
        <w:t>metacognitive</w:t>
      </w:r>
      <w:proofErr w:type="spellEnd"/>
      <w:r w:rsidRPr="00526E91">
        <w:t xml:space="preserve"> strategies.”  </w:t>
      </w:r>
      <w:proofErr w:type="gramStart"/>
      <w:r w:rsidRPr="00526E91">
        <w:t>Exhibit 7A.</w:t>
      </w:r>
      <w:proofErr w:type="gramEnd"/>
    </w:p>
    <w:p w:rsidR="008B2956" w:rsidRPr="00526E91" w:rsidRDefault="008B2956" w:rsidP="008B2956"/>
    <w:p w:rsidR="008B2956" w:rsidRPr="00526E91" w:rsidRDefault="008B2956" w:rsidP="008B2956">
      <w:r w:rsidRPr="00526E91">
        <w:t xml:space="preserve">Dr. </w:t>
      </w:r>
      <w:proofErr w:type="spellStart"/>
      <w:r w:rsidRPr="00526E91">
        <w:t>Antalek</w:t>
      </w:r>
      <w:proofErr w:type="spellEnd"/>
      <w:r w:rsidRPr="00526E91">
        <w:t xml:space="preserve"> summarized, as follows, Student’s potential to succeed, </w:t>
      </w:r>
      <w:proofErr w:type="gramStart"/>
      <w:r w:rsidRPr="00526E91">
        <w:t>the</w:t>
      </w:r>
      <w:proofErr w:type="gramEnd"/>
      <w:r w:rsidRPr="00526E91">
        <w:t xml:space="preserve"> School District’s continuing failure to meet appropriately Student’s educational needs, and the likely future implications if appropriate educational services are not provided:  </w:t>
      </w:r>
    </w:p>
    <w:p w:rsidR="008B2956" w:rsidRPr="00526E91" w:rsidRDefault="008B2956" w:rsidP="008B2956"/>
    <w:p w:rsidR="008B2956" w:rsidRPr="00526E91" w:rsidRDefault="008B2956" w:rsidP="00853D80">
      <w:pPr>
        <w:ind w:left="720"/>
      </w:pPr>
      <w:r w:rsidRPr="00526E91">
        <w:t>[Student] can and should be successful given the appropriate remediation and supports, but at present [he] is school phobic and is developing a number of somatic symptoms that are illustrative of the anxiety he feels.  While ADHD, inattentive type is noted due to impulsiv</w:t>
      </w:r>
      <w:r w:rsidR="005B3036">
        <w:t>ity and organization, this play</w:t>
      </w:r>
      <w:r w:rsidRPr="00526E91">
        <w:t xml:space="preserve">s minor role in [his] performance.   Of greater concern </w:t>
      </w:r>
      <w:proofErr w:type="gramStart"/>
      <w:r w:rsidRPr="00526E91">
        <w:t>is</w:t>
      </w:r>
      <w:proofErr w:type="gramEnd"/>
      <w:r w:rsidRPr="00526E91">
        <w:t xml:space="preserve"> [Student’s] language-based learning disability (surface dyslexia), executive function weaknesses, dyscalculia, </w:t>
      </w:r>
      <w:proofErr w:type="spellStart"/>
      <w:r w:rsidRPr="00526E91">
        <w:t>dysgraphia</w:t>
      </w:r>
      <w:proofErr w:type="spellEnd"/>
      <w:r w:rsidRPr="00526E91">
        <w:t>, and other learning issues that have failed to be addressed adequately.  Without appropriate remediation and support, [Student] will experie</w:t>
      </w:r>
      <w:r w:rsidR="00DD7605" w:rsidRPr="00526E91">
        <w:t xml:space="preserve">nce additional failure </w:t>
      </w:r>
      <w:r w:rsidRPr="00526E91">
        <w:t>….</w:t>
      </w:r>
      <w:r w:rsidR="00DD7605" w:rsidRPr="00526E91">
        <w:t>.</w:t>
      </w:r>
      <w:r w:rsidR="00853D80" w:rsidRPr="00526E91">
        <w:t xml:space="preserve">  </w:t>
      </w:r>
      <w:proofErr w:type="gramStart"/>
      <w:r w:rsidRPr="00526E91">
        <w:t>[Exhibit 7A.]</w:t>
      </w:r>
      <w:proofErr w:type="gramEnd"/>
    </w:p>
    <w:p w:rsidR="008B2956" w:rsidRPr="00526E91" w:rsidRDefault="008B2956" w:rsidP="008B2956"/>
    <w:p w:rsidR="008B2956" w:rsidRPr="00526E91" w:rsidRDefault="008B2956" w:rsidP="008B2956">
      <w:r w:rsidRPr="00526E91">
        <w:t xml:space="preserve">Dr. </w:t>
      </w:r>
      <w:proofErr w:type="spellStart"/>
      <w:r w:rsidRPr="00526E91">
        <w:t>Antalek</w:t>
      </w:r>
      <w:proofErr w:type="spellEnd"/>
      <w:r w:rsidRPr="00526E91">
        <w:t xml:space="preserve"> recommended that Student be placed in a language-based, learning disabilities classroom that incorporated language-based strategies and accommodations throughout the day.  She recommended that his placement use a rule-based reading program and that he be taught with peers with average to above-average cognitive abilities.  </w:t>
      </w:r>
      <w:proofErr w:type="gramStart"/>
      <w:r w:rsidRPr="00526E91">
        <w:t>Exhibit 7A.</w:t>
      </w:r>
      <w:proofErr w:type="gramEnd"/>
    </w:p>
    <w:p w:rsidR="008B2956" w:rsidRPr="00526E91" w:rsidRDefault="008B2956" w:rsidP="008B2956"/>
    <w:p w:rsidR="001C4D0B" w:rsidRPr="00526E91" w:rsidRDefault="001C4D0B" w:rsidP="001C4D0B">
      <w:r w:rsidRPr="00526E91">
        <w:lastRenderedPageBreak/>
        <w:t xml:space="preserve">On November 3, 2011, Dr. </w:t>
      </w:r>
      <w:proofErr w:type="spellStart"/>
      <w:r w:rsidRPr="00526E91">
        <w:t>Antalek</w:t>
      </w:r>
      <w:proofErr w:type="spellEnd"/>
      <w:r w:rsidRPr="00526E91">
        <w:t xml:space="preserve"> observed Student in his educational program</w:t>
      </w:r>
      <w:r w:rsidR="0087415C" w:rsidRPr="00526E91">
        <w:t xml:space="preserve"> in</w:t>
      </w:r>
      <w:r w:rsidR="00264D87" w:rsidRPr="00526E91">
        <w:t xml:space="preserve"> the School District</w:t>
      </w:r>
      <w:r w:rsidRPr="00526E91">
        <w:t xml:space="preserve">, including reading, social studies, and English Language Arts.  Dr. </w:t>
      </w:r>
      <w:proofErr w:type="spellStart"/>
      <w:r w:rsidRPr="00526E91">
        <w:t>Antalek</w:t>
      </w:r>
      <w:proofErr w:type="spellEnd"/>
      <w:r w:rsidRPr="00526E91">
        <w:t xml:space="preserve"> concluded that this program was not appropriate for Student and reiterated her </w:t>
      </w:r>
      <w:r w:rsidR="00853D80" w:rsidRPr="00526E91">
        <w:t>previous conclusion that Student cannot be appropriately educated using this program model</w:t>
      </w:r>
      <w:r w:rsidRPr="00526E91">
        <w:t xml:space="preserve">.  More specifically, Dr. </w:t>
      </w:r>
      <w:proofErr w:type="spellStart"/>
      <w:r w:rsidRPr="00526E91">
        <w:t>Antalek</w:t>
      </w:r>
      <w:proofErr w:type="spellEnd"/>
      <w:r w:rsidRPr="00526E91">
        <w:t xml:space="preserve"> wrote as follows:</w:t>
      </w:r>
    </w:p>
    <w:p w:rsidR="001C4D0B" w:rsidRPr="00526E91" w:rsidRDefault="001C4D0B" w:rsidP="001C4D0B"/>
    <w:p w:rsidR="001C4D0B" w:rsidRPr="00526E91" w:rsidRDefault="001C4D0B" w:rsidP="002024CE">
      <w:pPr>
        <w:ind w:left="720"/>
      </w:pPr>
      <w:r w:rsidRPr="00526E91">
        <w:t xml:space="preserve">It was evident that [Student] was struggling in each of his classes.  ….  He also expressed discomfort with some of the students in his classrooms.   ….  </w:t>
      </w:r>
    </w:p>
    <w:p w:rsidR="001C4D0B" w:rsidRPr="00526E91" w:rsidRDefault="001C4D0B" w:rsidP="001C4D0B"/>
    <w:p w:rsidR="001C4D0B" w:rsidRPr="00526E91" w:rsidRDefault="001C4D0B" w:rsidP="00F47EA3">
      <w:pPr>
        <w:ind w:left="720"/>
      </w:pPr>
      <w:r w:rsidRPr="00526E91">
        <w:t xml:space="preserve">Of greater concern is that fact that </w:t>
      </w:r>
      <w:r w:rsidR="002024CE" w:rsidRPr="00526E91">
        <w:t>[Student] still cannot read.  In</w:t>
      </w:r>
      <w:r w:rsidRPr="00526E91">
        <w:t xml:space="preserve"> spite of the fact that [Student] has been identified with an IEP since the second grade, and is currently in the eighth grade, his independent </w:t>
      </w:r>
      <w:r w:rsidR="00F47EA3" w:rsidRPr="00526E91">
        <w:t>reading has been described as fa</w:t>
      </w:r>
      <w:r w:rsidRPr="00526E91">
        <w:t>lling at about the fourth or fifth grade level.  ….</w:t>
      </w:r>
    </w:p>
    <w:p w:rsidR="001C4D0B" w:rsidRPr="00526E91" w:rsidRDefault="001C4D0B" w:rsidP="00F47EA3">
      <w:pPr>
        <w:ind w:left="720"/>
      </w:pPr>
    </w:p>
    <w:p w:rsidR="001C4D0B" w:rsidRPr="00526E91" w:rsidRDefault="001C4D0B" w:rsidP="00F47EA3">
      <w:pPr>
        <w:ind w:left="720"/>
      </w:pPr>
      <w:r w:rsidRPr="00526E91">
        <w:t xml:space="preserve">While the team at [the School District] has made efforts to support [Student], they have not been able to make comprehensive accommodations and remediation appropriate to [his] individual needs.  As a result, he </w:t>
      </w:r>
      <w:r w:rsidR="00062839" w:rsidRPr="00526E91">
        <w:t>has</w:t>
      </w:r>
      <w:r w:rsidRPr="00526E91">
        <w:t xml:space="preserve"> not made effective</w:t>
      </w:r>
      <w:r w:rsidR="00F47EA3" w:rsidRPr="00526E91">
        <w:t xml:space="preserve"> academic progress.  In</w:t>
      </w:r>
      <w:r w:rsidRPr="00526E91">
        <w:t xml:space="preserve"> fact, [Student] </w:t>
      </w:r>
      <w:r w:rsidR="00062839" w:rsidRPr="00526E91">
        <w:t>has</w:t>
      </w:r>
      <w:r w:rsidRPr="00526E91">
        <w:t xml:space="preserve"> not made any progress academically and he has regressed socially and emotionally.  </w:t>
      </w:r>
      <w:r w:rsidR="00F47EA3" w:rsidRPr="00526E91">
        <w:t xml:space="preserve">…  This observer is certain that [the School District] has made their best effort, but they are unable to provide the level of </w:t>
      </w:r>
      <w:r w:rsidR="00062839" w:rsidRPr="00526E91">
        <w:t>individualized</w:t>
      </w:r>
      <w:r w:rsidR="00F47EA3" w:rsidRPr="00526E91">
        <w:t xml:space="preserve"> academic support </w:t>
      </w:r>
      <w:r w:rsidR="00062839" w:rsidRPr="00526E91">
        <w:t>that</w:t>
      </w:r>
      <w:r w:rsidR="00F47EA3" w:rsidRPr="00526E91">
        <w:t xml:space="preserve"> [Student] needs to become an independent learner.   </w:t>
      </w:r>
      <w:proofErr w:type="gramStart"/>
      <w:r w:rsidR="00F47EA3" w:rsidRPr="00526E91">
        <w:t>[Exhibit 7B.]</w:t>
      </w:r>
      <w:proofErr w:type="gramEnd"/>
    </w:p>
    <w:p w:rsidR="008B2956" w:rsidRPr="00526E91" w:rsidRDefault="008B2956" w:rsidP="008B2956"/>
    <w:p w:rsidR="00264D87" w:rsidRPr="00526E91" w:rsidRDefault="00264D87" w:rsidP="00264D87">
      <w:r w:rsidRPr="00526E91">
        <w:t xml:space="preserve">Dr. </w:t>
      </w:r>
      <w:proofErr w:type="spellStart"/>
      <w:r w:rsidRPr="00526E91">
        <w:t>Antalek’s</w:t>
      </w:r>
      <w:proofErr w:type="spellEnd"/>
      <w:r w:rsidRPr="00526E91">
        <w:t xml:space="preserve"> concerns regarding Student’s educational future within </w:t>
      </w:r>
      <w:r w:rsidR="00907C4A" w:rsidRPr="00526E91">
        <w:t>the School District’s</w:t>
      </w:r>
      <w:r w:rsidRPr="00526E91">
        <w:t xml:space="preserve"> program are </w:t>
      </w:r>
      <w:r w:rsidR="000A64A5" w:rsidRPr="00526E91">
        <w:t>heightened</w:t>
      </w:r>
      <w:r w:rsidRPr="00526E91">
        <w:t xml:space="preserve"> by the report from Student’s private therapist (Ms. Huntington).  In a letter dated May 25</w:t>
      </w:r>
      <w:r w:rsidRPr="00526E91">
        <w:rPr>
          <w:vertAlign w:val="superscript"/>
        </w:rPr>
        <w:t>th</w:t>
      </w:r>
      <w:r w:rsidRPr="00526E91">
        <w:t xml:space="preserve">, Ms. Huntington explained that Student “feels complete hopelessness when it comes to any success he is capable of having in school” and cautioned that without proper intervention, Student would “continue to identify as a failure”.  </w:t>
      </w:r>
      <w:proofErr w:type="gramStart"/>
      <w:r w:rsidRPr="00526E91">
        <w:t>Exhibit 6.</w:t>
      </w:r>
      <w:proofErr w:type="gramEnd"/>
    </w:p>
    <w:p w:rsidR="0044663B" w:rsidRPr="00526E91" w:rsidRDefault="0044663B" w:rsidP="00264D87"/>
    <w:p w:rsidR="00EA5EAD" w:rsidRPr="00526E91" w:rsidRDefault="00EA5EAD" w:rsidP="00EA5EAD">
      <w:r w:rsidRPr="00526E91">
        <w:t>Also as described in the Facts section, above, Student’s standardized test scores have been dropping in certain important respects.  At the same time, it is not disputed that Student is of at least average intelligence and has the potential to make substantial educational progress</w:t>
      </w:r>
      <w:r w:rsidR="001E23E8" w:rsidRPr="00526E91">
        <w:t xml:space="preserve"> in his deficit areas</w:t>
      </w:r>
      <w:r w:rsidRPr="00526E91">
        <w:t>.</w:t>
      </w:r>
    </w:p>
    <w:p w:rsidR="00EA5EAD" w:rsidRPr="00526E91" w:rsidRDefault="00EA5EAD" w:rsidP="00264D87"/>
    <w:p w:rsidR="0044663B" w:rsidRPr="00526E91" w:rsidRDefault="00526E91" w:rsidP="0044663B">
      <w:r w:rsidRPr="00526E91">
        <w:t>This evidentiary record</w:t>
      </w:r>
      <w:r w:rsidR="0044663B" w:rsidRPr="00526E91">
        <w:t xml:space="preserve"> amply demonstrates that the IEPs proposed by the School District for the 2011-2012 school </w:t>
      </w:r>
      <w:proofErr w:type="gramStart"/>
      <w:r w:rsidR="0044663B" w:rsidRPr="00526E91">
        <w:t>year</w:t>
      </w:r>
      <w:proofErr w:type="gramEnd"/>
      <w:r w:rsidR="0044663B" w:rsidRPr="00526E91">
        <w:t xml:space="preserve"> and the 2012-2013 school year were not reasonably calculated to provide Student with a free appropriate public education in the least restrictive environment.  The evidence also is persuasive that these IEPs could not have been (and cannot now</w:t>
      </w:r>
      <w:r w:rsidR="00F92504" w:rsidRPr="00526E91">
        <w:t xml:space="preserve"> be)</w:t>
      </w:r>
      <w:r w:rsidR="0044663B" w:rsidRPr="00526E91">
        <w:t xml:space="preserve"> made appropriate through the addition or modification </w:t>
      </w:r>
      <w:r w:rsidR="001E23E8" w:rsidRPr="00526E91">
        <w:t>of services.  R</w:t>
      </w:r>
      <w:r w:rsidR="0044663B" w:rsidRPr="00526E91">
        <w:t xml:space="preserve">ather, an appropriate program can only be provided through a substantially-separate, language-based placement.  </w:t>
      </w:r>
    </w:p>
    <w:p w:rsidR="0044663B" w:rsidRPr="00526E91" w:rsidRDefault="0044663B" w:rsidP="0044663B"/>
    <w:p w:rsidR="0044663B" w:rsidRPr="00526E91" w:rsidRDefault="0044663B" w:rsidP="0044663B">
      <w:r w:rsidRPr="00526E91">
        <w:t>Finally, I consider whet</w:t>
      </w:r>
      <w:r w:rsidR="00853D80" w:rsidRPr="00526E91">
        <w:t>her placement at Landmark would</w:t>
      </w:r>
      <w:r w:rsidRPr="00526E91">
        <w:t xml:space="preserve"> satisfy this standard.</w:t>
      </w:r>
    </w:p>
    <w:p w:rsidR="00264D87" w:rsidRPr="00526E91" w:rsidRDefault="00264D87" w:rsidP="008B2956"/>
    <w:p w:rsidR="00FF3A24" w:rsidRPr="00526E91" w:rsidRDefault="00FF3A24" w:rsidP="008B2956">
      <w:r w:rsidRPr="00526E91">
        <w:t xml:space="preserve">On February 2, 2012, Dr. </w:t>
      </w:r>
      <w:proofErr w:type="spellStart"/>
      <w:r w:rsidRPr="00526E91">
        <w:t>Antalek</w:t>
      </w:r>
      <w:proofErr w:type="spellEnd"/>
      <w:r w:rsidRPr="00526E91">
        <w:t xml:space="preserve"> observed Student at Landmark.  In addition to </w:t>
      </w:r>
      <w:r w:rsidR="00853D80" w:rsidRPr="00526E91">
        <w:t>finding</w:t>
      </w:r>
      <w:r w:rsidRPr="00526E91">
        <w:t xml:space="preserve"> that Landmark offered the educational program required by Student to make effective progress </w:t>
      </w:r>
      <w:r w:rsidRPr="00526E91">
        <w:lastRenderedPageBreak/>
        <w:t xml:space="preserve">commensurate with his potential, she noted that Student was already demonstrating important measures of progress in the short period of time that he had been attending </w:t>
      </w:r>
      <w:r w:rsidR="00D95806" w:rsidRPr="00526E91">
        <w:t>Landmark</w:t>
      </w:r>
      <w:r w:rsidRPr="00526E91">
        <w:t>.  She explained as follows:</w:t>
      </w:r>
    </w:p>
    <w:p w:rsidR="00FF3A24" w:rsidRPr="00526E91" w:rsidRDefault="00FF3A24" w:rsidP="008B2956"/>
    <w:p w:rsidR="00966AE4" w:rsidRPr="00526E91" w:rsidRDefault="00FF3A24" w:rsidP="004D3598">
      <w:pPr>
        <w:ind w:left="720"/>
      </w:pPr>
      <w:r w:rsidRPr="00526E91">
        <w:t xml:space="preserve">In the short time that [Student] has attended the Landmark School, he has become more confident and competent as a learner.  He appears comfortable in his classes, takes part in class discussions with </w:t>
      </w:r>
      <w:r w:rsidR="00D95806" w:rsidRPr="00526E91">
        <w:t>great</w:t>
      </w:r>
      <w:r w:rsidRPr="00526E91">
        <w:t xml:space="preserve"> enthusiasm and </w:t>
      </w:r>
      <w:proofErr w:type="spellStart"/>
      <w:r w:rsidR="00D95806" w:rsidRPr="00526E91">
        <w:t>interst</w:t>
      </w:r>
      <w:proofErr w:type="spellEnd"/>
      <w:r w:rsidR="00D95806" w:rsidRPr="00526E91">
        <w:t>,</w:t>
      </w:r>
      <w:r w:rsidRPr="00526E91">
        <w:t xml:space="preserve"> and is completing his homework assignments.  He receives a great deal of support in each of these classes as well as </w:t>
      </w:r>
      <w:r w:rsidR="00D95806" w:rsidRPr="00526E91">
        <w:t>remediation</w:t>
      </w:r>
      <w:r w:rsidRPr="00526E91">
        <w:t xml:space="preserve"> for reading, </w:t>
      </w:r>
      <w:r w:rsidR="00D95806" w:rsidRPr="00526E91">
        <w:t>written</w:t>
      </w:r>
      <w:r w:rsidRPr="00526E91">
        <w:t xml:space="preserve"> language, organization, and the development of inferential reasoning.</w:t>
      </w:r>
      <w:r w:rsidR="00966AE4" w:rsidRPr="00526E91">
        <w:t xml:space="preserve">  [Exhibit 7C.]</w:t>
      </w:r>
    </w:p>
    <w:p w:rsidR="00FF3A24" w:rsidRPr="00526E91" w:rsidRDefault="00FF3A24" w:rsidP="008B2956"/>
    <w:p w:rsidR="00853D80" w:rsidRPr="00526E91" w:rsidRDefault="00853D80" w:rsidP="008B2956">
      <w:r w:rsidRPr="00526E91">
        <w:t xml:space="preserve">The only other evidence in the record regarding the appropriateness of Landmark are progress reports and grades from Landmark, all of which indicate that Student is making effective and meaningful progress commensurate with his educational potential.  </w:t>
      </w:r>
      <w:proofErr w:type="gramStart"/>
      <w:r w:rsidRPr="00526E91">
        <w:t>Exhibit 8.</w:t>
      </w:r>
      <w:proofErr w:type="gramEnd"/>
      <w:r w:rsidRPr="00526E91">
        <w:t xml:space="preserve">  </w:t>
      </w:r>
    </w:p>
    <w:p w:rsidR="00853D80" w:rsidRPr="00526E91" w:rsidRDefault="00853D80" w:rsidP="008B2956"/>
    <w:p w:rsidR="0044663B" w:rsidRPr="00526E91" w:rsidRDefault="0044663B" w:rsidP="008B2956">
      <w:r w:rsidRPr="00526E91">
        <w:t>I conclude that the undisputed evidence is that Landmark is an appropriate placement for Student.</w:t>
      </w:r>
    </w:p>
    <w:p w:rsidR="00D53E20" w:rsidRPr="00526E91" w:rsidRDefault="00D53E20" w:rsidP="008B2956"/>
    <w:p w:rsidR="005C5FC8" w:rsidRPr="00526E91" w:rsidRDefault="005C5FC8" w:rsidP="00D20EC7">
      <w:pPr>
        <w:jc w:val="center"/>
        <w:rPr>
          <w:b/>
        </w:rPr>
      </w:pPr>
      <w:r w:rsidRPr="00526E91">
        <w:rPr>
          <w:b/>
        </w:rPr>
        <w:t>ORDER</w:t>
      </w:r>
    </w:p>
    <w:p w:rsidR="005C5FC8" w:rsidRPr="00526E91" w:rsidRDefault="005C5FC8" w:rsidP="00D20EC7"/>
    <w:p w:rsidR="0087415C" w:rsidRPr="00526E91" w:rsidRDefault="0087415C" w:rsidP="0087415C">
      <w:pPr>
        <w:pStyle w:val="Footer"/>
        <w:tabs>
          <w:tab w:val="clear" w:pos="4320"/>
          <w:tab w:val="clear" w:pos="8640"/>
        </w:tabs>
      </w:pPr>
      <w:r w:rsidRPr="00526E91">
        <w:t xml:space="preserve">The IEP proposed by the School District for the 2011-2012 school </w:t>
      </w:r>
      <w:proofErr w:type="gramStart"/>
      <w:r w:rsidRPr="00526E91">
        <w:t>year</w:t>
      </w:r>
      <w:proofErr w:type="gramEnd"/>
      <w:r w:rsidRPr="00526E91">
        <w:t xml:space="preserve"> was not reasonably calculated to provide Student with a free appropriate public education in the least restrictive environment.  Placement at Landmark satisfies this standard.</w:t>
      </w:r>
    </w:p>
    <w:p w:rsidR="0087415C" w:rsidRPr="00526E91" w:rsidRDefault="0087415C" w:rsidP="0044663B"/>
    <w:p w:rsidR="0044663B" w:rsidRPr="00526E91" w:rsidRDefault="001E23E8" w:rsidP="0044663B">
      <w:r w:rsidRPr="00526E91">
        <w:t>T</w:t>
      </w:r>
      <w:r w:rsidR="0044663B" w:rsidRPr="00526E91">
        <w:t xml:space="preserve">he IEP proposed by the School District for the 2012-2013 school </w:t>
      </w:r>
      <w:proofErr w:type="gramStart"/>
      <w:r w:rsidR="0044663B" w:rsidRPr="00526E91">
        <w:t>year</w:t>
      </w:r>
      <w:proofErr w:type="gramEnd"/>
      <w:r w:rsidR="0044663B" w:rsidRPr="00526E91">
        <w:t xml:space="preserve"> </w:t>
      </w:r>
      <w:r w:rsidRPr="00526E91">
        <w:t xml:space="preserve">is not </w:t>
      </w:r>
      <w:r w:rsidR="0044663B" w:rsidRPr="00526E91">
        <w:t xml:space="preserve">reasonably calculated to provide Student with a free appropriate public education in the </w:t>
      </w:r>
      <w:r w:rsidRPr="00526E91">
        <w:t>least restrictive environment.  A</w:t>
      </w:r>
      <w:r w:rsidR="0044663B" w:rsidRPr="00526E91">
        <w:t xml:space="preserve">dditions or other modifications </w:t>
      </w:r>
      <w:r w:rsidRPr="00526E91">
        <w:t xml:space="preserve">cannot </w:t>
      </w:r>
      <w:r w:rsidR="0044663B" w:rsidRPr="00526E91">
        <w:t xml:space="preserve">be made to the IEP in </w:t>
      </w:r>
      <w:r w:rsidRPr="00526E91">
        <w:t>order to satisfy this standard.  P</w:t>
      </w:r>
      <w:r w:rsidR="0044663B" w:rsidRPr="00526E91">
        <w:t xml:space="preserve">lacement at </w:t>
      </w:r>
      <w:r w:rsidRPr="00526E91">
        <w:t>Landmark School satisfies this standard.</w:t>
      </w:r>
    </w:p>
    <w:p w:rsidR="001E23E8" w:rsidRPr="00526E91" w:rsidRDefault="001E23E8" w:rsidP="0044663B">
      <w:pPr>
        <w:pStyle w:val="Footer"/>
        <w:tabs>
          <w:tab w:val="clear" w:pos="4320"/>
          <w:tab w:val="clear" w:pos="8640"/>
        </w:tabs>
      </w:pPr>
    </w:p>
    <w:p w:rsidR="00976B05" w:rsidRPr="00526E91" w:rsidRDefault="001E23E8" w:rsidP="0044663B">
      <w:pPr>
        <w:pStyle w:val="Footer"/>
        <w:tabs>
          <w:tab w:val="clear" w:pos="4320"/>
          <w:tab w:val="clear" w:pos="8640"/>
        </w:tabs>
      </w:pPr>
      <w:r w:rsidRPr="00526E91">
        <w:t>Accordingly, the School District shall prospectively place Student at Landmark and shall reimburse</w:t>
      </w:r>
      <w:r w:rsidR="0044663B" w:rsidRPr="00526E91">
        <w:t xml:space="preserve"> Parents for expenses relative to Parents’ unilateral placement at Landmark, in</w:t>
      </w:r>
      <w:r w:rsidRPr="00526E91">
        <w:t>cluding</w:t>
      </w:r>
      <w:r w:rsidR="0012737E" w:rsidRPr="00526E91">
        <w:t xml:space="preserve"> tuition and</w:t>
      </w:r>
      <w:r w:rsidRPr="00526E91">
        <w:t xml:space="preserve"> transportation expenses.</w:t>
      </w:r>
    </w:p>
    <w:p w:rsidR="001E23E8" w:rsidRPr="00526E91" w:rsidRDefault="001E23E8" w:rsidP="0044663B">
      <w:pPr>
        <w:pStyle w:val="Footer"/>
        <w:tabs>
          <w:tab w:val="clear" w:pos="4320"/>
          <w:tab w:val="clear" w:pos="8640"/>
        </w:tabs>
        <w:rPr>
          <w:color w:val="000000"/>
        </w:rPr>
      </w:pPr>
    </w:p>
    <w:p w:rsidR="001E118A" w:rsidRPr="00526E91" w:rsidRDefault="001E118A" w:rsidP="00D20EC7"/>
    <w:p w:rsidR="005C5FC8" w:rsidRPr="00526E91" w:rsidRDefault="005C5FC8" w:rsidP="00D20EC7">
      <w:r w:rsidRPr="00526E91">
        <w:t>By the Hearing Officer,</w:t>
      </w:r>
    </w:p>
    <w:p w:rsidR="005C5FC8" w:rsidRPr="00526E91" w:rsidRDefault="005C5FC8" w:rsidP="00D20EC7"/>
    <w:p w:rsidR="005C5FC8" w:rsidRPr="00526E91" w:rsidRDefault="005C5FC8" w:rsidP="00D20EC7"/>
    <w:p w:rsidR="005C5FC8" w:rsidRPr="00526E91" w:rsidRDefault="005C5FC8" w:rsidP="00D20EC7"/>
    <w:p w:rsidR="005C5FC8" w:rsidRPr="00526E91" w:rsidRDefault="005C5FC8" w:rsidP="00D20EC7">
      <w:pPr>
        <w:pStyle w:val="Footer"/>
        <w:tabs>
          <w:tab w:val="clear" w:pos="4320"/>
          <w:tab w:val="clear" w:pos="8640"/>
        </w:tabs>
      </w:pPr>
      <w:r w:rsidRPr="00526E91">
        <w:t>William Crane</w:t>
      </w:r>
    </w:p>
    <w:p w:rsidR="00D20EC7" w:rsidRPr="00526E91" w:rsidRDefault="005C5FC8" w:rsidP="00D20EC7">
      <w:r w:rsidRPr="00526E91">
        <w:t>Dated</w:t>
      </w:r>
      <w:r w:rsidR="007F17C5" w:rsidRPr="00526E91">
        <w:t xml:space="preserve">: </w:t>
      </w:r>
      <w:r w:rsidR="00853D80" w:rsidRPr="00526E91">
        <w:t>July 25</w:t>
      </w:r>
      <w:r w:rsidR="007F17C5" w:rsidRPr="00526E91">
        <w:t>, 2012</w:t>
      </w:r>
    </w:p>
    <w:p w:rsidR="00D20EC7" w:rsidRPr="00526E91" w:rsidRDefault="00D20EC7" w:rsidP="00D20EC7">
      <w:pPr>
        <w:pStyle w:val="Heading1"/>
        <w:jc w:val="center"/>
        <w:rPr>
          <w:b/>
          <w:bCs/>
          <w:sz w:val="28"/>
          <w:szCs w:val="28"/>
        </w:rPr>
      </w:pPr>
      <w:r w:rsidRPr="00526E91">
        <w:rPr>
          <w:sz w:val="25"/>
        </w:rPr>
        <w:br w:type="page"/>
      </w:r>
      <w:r w:rsidRPr="00526E91">
        <w:rPr>
          <w:b/>
          <w:sz w:val="28"/>
          <w:szCs w:val="28"/>
        </w:rPr>
        <w:lastRenderedPageBreak/>
        <w:t>COMMONWEALTH OF MASSACHUSETTS</w:t>
      </w:r>
    </w:p>
    <w:p w:rsidR="00D20EC7" w:rsidRPr="00526E91" w:rsidRDefault="00D20EC7" w:rsidP="00D20EC7">
      <w:pPr>
        <w:jc w:val="center"/>
        <w:rPr>
          <w:b/>
          <w:smallCaps/>
          <w:sz w:val="28"/>
          <w:szCs w:val="28"/>
        </w:rPr>
      </w:pPr>
      <w:r w:rsidRPr="00526E91">
        <w:rPr>
          <w:b/>
          <w:smallCaps/>
          <w:sz w:val="28"/>
          <w:szCs w:val="28"/>
        </w:rPr>
        <w:t>Division of Administrative Law Appeals</w:t>
      </w:r>
    </w:p>
    <w:p w:rsidR="00D20EC7" w:rsidRPr="00526E91" w:rsidRDefault="00D20EC7" w:rsidP="00D20EC7">
      <w:pPr>
        <w:pStyle w:val="Heading1"/>
        <w:jc w:val="center"/>
        <w:rPr>
          <w:b/>
          <w:bCs/>
          <w:smallCaps/>
          <w:sz w:val="28"/>
          <w:szCs w:val="28"/>
        </w:rPr>
      </w:pPr>
      <w:r w:rsidRPr="00526E91">
        <w:rPr>
          <w:b/>
          <w:bCs/>
          <w:smallCaps/>
          <w:sz w:val="28"/>
          <w:szCs w:val="28"/>
        </w:rPr>
        <w:t>Bureau of Special Education Appeals</w:t>
      </w:r>
    </w:p>
    <w:p w:rsidR="00D20EC7" w:rsidRPr="00526E91" w:rsidRDefault="00D20EC7" w:rsidP="00D20EC7">
      <w:pPr>
        <w:tabs>
          <w:tab w:val="left" w:pos="-720"/>
        </w:tabs>
        <w:suppressAutoHyphens/>
        <w:jc w:val="center"/>
        <w:rPr>
          <w:b/>
          <w:spacing w:val="-3"/>
          <w:sz w:val="28"/>
        </w:rPr>
      </w:pPr>
    </w:p>
    <w:p w:rsidR="00D20EC7" w:rsidRPr="00526E91" w:rsidRDefault="00D20EC7" w:rsidP="00D20EC7">
      <w:pPr>
        <w:tabs>
          <w:tab w:val="left" w:pos="-720"/>
        </w:tabs>
        <w:suppressAutoHyphens/>
        <w:jc w:val="center"/>
        <w:rPr>
          <w:b/>
          <w:spacing w:val="-3"/>
        </w:rPr>
      </w:pPr>
    </w:p>
    <w:p w:rsidR="00D20EC7" w:rsidRPr="00526E91" w:rsidRDefault="00D20EC7" w:rsidP="00D20EC7">
      <w:pPr>
        <w:pStyle w:val="Heading1"/>
        <w:jc w:val="center"/>
        <w:rPr>
          <w:b/>
          <w:sz w:val="25"/>
        </w:rPr>
      </w:pPr>
      <w:r w:rsidRPr="00526E91">
        <w:rPr>
          <w:b/>
          <w:sz w:val="25"/>
        </w:rPr>
        <w:t>THE BUREAU’S DECISION, INCLUDING RIGHTS OF APPEAL</w:t>
      </w:r>
    </w:p>
    <w:p w:rsidR="00D20EC7" w:rsidRPr="00526E91" w:rsidRDefault="00D20EC7" w:rsidP="00D20EC7">
      <w:pPr>
        <w:tabs>
          <w:tab w:val="left" w:pos="-720"/>
        </w:tabs>
        <w:suppressAutoHyphens/>
        <w:rPr>
          <w:b/>
          <w:spacing w:val="-3"/>
          <w:u w:val="single"/>
        </w:rPr>
      </w:pPr>
    </w:p>
    <w:p w:rsidR="00D20EC7" w:rsidRPr="00526E91" w:rsidRDefault="00D20EC7" w:rsidP="00D20EC7">
      <w:pPr>
        <w:tabs>
          <w:tab w:val="left" w:pos="-720"/>
        </w:tabs>
        <w:suppressAutoHyphens/>
        <w:rPr>
          <w:b/>
          <w:spacing w:val="-3"/>
          <w:u w:val="single"/>
        </w:rPr>
      </w:pPr>
    </w:p>
    <w:p w:rsidR="00D20EC7" w:rsidRPr="00526E91" w:rsidRDefault="00D20EC7" w:rsidP="00D20EC7">
      <w:pPr>
        <w:pStyle w:val="BodyText"/>
        <w:spacing w:line="240" w:lineRule="auto"/>
      </w:pPr>
      <w:r w:rsidRPr="00526E91">
        <w:rPr>
          <w:b/>
          <w:bCs/>
          <w:u w:val="single"/>
        </w:rPr>
        <w:t>Effect of the Decision</w:t>
      </w:r>
    </w:p>
    <w:p w:rsidR="00D20EC7" w:rsidRPr="00526E91" w:rsidRDefault="00D20EC7" w:rsidP="00D20EC7">
      <w:pPr>
        <w:pStyle w:val="BodyText"/>
        <w:spacing w:line="240" w:lineRule="auto"/>
      </w:pPr>
    </w:p>
    <w:p w:rsidR="00D20EC7" w:rsidRPr="00526E91" w:rsidRDefault="00D20EC7" w:rsidP="00D20EC7">
      <w:pPr>
        <w:pStyle w:val="BodyText"/>
        <w:spacing w:line="240" w:lineRule="auto"/>
      </w:pPr>
      <w:r w:rsidRPr="00526E91">
        <w:t>20 U.S.C. s. 1415(</w:t>
      </w:r>
      <w:proofErr w:type="spellStart"/>
      <w:r w:rsidRPr="00526E91">
        <w:t>i</w:t>
      </w:r>
      <w:proofErr w:type="spellEnd"/>
      <w:proofErr w:type="gramStart"/>
      <w:r w:rsidRPr="00526E91">
        <w:t>)(</w:t>
      </w:r>
      <w:proofErr w:type="gramEnd"/>
      <w:r w:rsidRPr="00526E91">
        <w:t xml:space="preserve">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 </w:t>
      </w:r>
    </w:p>
    <w:p w:rsidR="00D20EC7" w:rsidRPr="00526E91" w:rsidRDefault="00D20EC7" w:rsidP="00D20EC7">
      <w:pPr>
        <w:tabs>
          <w:tab w:val="left" w:pos="-720"/>
        </w:tabs>
        <w:suppressAutoHyphens/>
        <w:rPr>
          <w:spacing w:val="-3"/>
        </w:rPr>
      </w:pPr>
    </w:p>
    <w:p w:rsidR="00D20EC7" w:rsidRPr="00526E91" w:rsidRDefault="00D20EC7" w:rsidP="00D20EC7">
      <w:pPr>
        <w:tabs>
          <w:tab w:val="left" w:pos="-720"/>
        </w:tabs>
        <w:suppressAutoHyphens/>
        <w:rPr>
          <w:spacing w:val="-3"/>
        </w:rPr>
      </w:pPr>
      <w:r w:rsidRPr="00526E91">
        <w:rPr>
          <w:spacing w:val="-3"/>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rsidR="00D20EC7" w:rsidRPr="00526E91" w:rsidRDefault="00D20EC7" w:rsidP="00D20EC7">
      <w:pPr>
        <w:tabs>
          <w:tab w:val="left" w:pos="-720"/>
        </w:tabs>
        <w:suppressAutoHyphens/>
        <w:rPr>
          <w:spacing w:val="-3"/>
        </w:rPr>
      </w:pPr>
    </w:p>
    <w:p w:rsidR="00D20EC7" w:rsidRPr="00526E91" w:rsidRDefault="00D20EC7" w:rsidP="00D20EC7">
      <w:pPr>
        <w:tabs>
          <w:tab w:val="left" w:pos="-720"/>
        </w:tabs>
        <w:suppressAutoHyphens/>
        <w:rPr>
          <w:spacing w:val="-3"/>
        </w:rPr>
      </w:pPr>
      <w:r w:rsidRPr="00526E91">
        <w:rPr>
          <w:spacing w:val="-3"/>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proofErr w:type="gramStart"/>
      <w:r w:rsidRPr="00526E91">
        <w:rPr>
          <w:i/>
          <w:spacing w:val="-3"/>
        </w:rPr>
        <w:t>School Committee of Burlington, v. Massachusetts Department of Education</w:t>
      </w:r>
      <w:r w:rsidRPr="00526E91">
        <w:rPr>
          <w:spacing w:val="-3"/>
        </w:rPr>
        <w:t>, 471 U.S. 359 (1985).</w:t>
      </w:r>
      <w:proofErr w:type="gramEnd"/>
      <w:r w:rsidRPr="00526E91">
        <w:rPr>
          <w:spacing w:val="-3"/>
        </w:rPr>
        <w:t xml:space="preserve">  Otherwise, a party seeking to change the child's placement during the pendency of judicial proceedings must seek a preliminary injunction ordering such a change in placement from the court having jurisdiction over the appeal. </w:t>
      </w:r>
      <w:proofErr w:type="spellStart"/>
      <w:proofErr w:type="gramStart"/>
      <w:r w:rsidRPr="00526E91">
        <w:rPr>
          <w:i/>
          <w:spacing w:val="-3"/>
        </w:rPr>
        <w:t>Honig</w:t>
      </w:r>
      <w:proofErr w:type="spellEnd"/>
      <w:r w:rsidRPr="00526E91">
        <w:rPr>
          <w:i/>
          <w:spacing w:val="-3"/>
        </w:rPr>
        <w:t xml:space="preserve"> v. Doe</w:t>
      </w:r>
      <w:r w:rsidRPr="00526E91">
        <w:rPr>
          <w:spacing w:val="-3"/>
        </w:rPr>
        <w:t xml:space="preserve">, 484 U.S. 305 (1988); </w:t>
      </w:r>
      <w:r w:rsidRPr="00526E91">
        <w:rPr>
          <w:i/>
          <w:spacing w:val="-3"/>
        </w:rPr>
        <w:t>Doe v. Brookline</w:t>
      </w:r>
      <w:r w:rsidRPr="00526E91">
        <w:rPr>
          <w:spacing w:val="-3"/>
        </w:rPr>
        <w:t>, 722 F.2d 910 (1st Cir. 1983).</w:t>
      </w:r>
      <w:proofErr w:type="gramEnd"/>
    </w:p>
    <w:p w:rsidR="00D20EC7" w:rsidRPr="00526E91" w:rsidRDefault="00D20EC7" w:rsidP="00D20EC7">
      <w:pPr>
        <w:tabs>
          <w:tab w:val="left" w:pos="-720"/>
        </w:tabs>
        <w:suppressAutoHyphens/>
        <w:rPr>
          <w:spacing w:val="-3"/>
        </w:rPr>
      </w:pPr>
    </w:p>
    <w:p w:rsidR="00D20EC7" w:rsidRPr="00526E91" w:rsidRDefault="00D20EC7" w:rsidP="00D20EC7">
      <w:pPr>
        <w:tabs>
          <w:tab w:val="left" w:pos="-720"/>
        </w:tabs>
        <w:suppressAutoHyphens/>
        <w:rPr>
          <w:b/>
          <w:spacing w:val="-3"/>
          <w:u w:val="single"/>
        </w:rPr>
      </w:pPr>
    </w:p>
    <w:p w:rsidR="00D20EC7" w:rsidRPr="00526E91" w:rsidRDefault="00D20EC7" w:rsidP="00D20EC7">
      <w:pPr>
        <w:tabs>
          <w:tab w:val="left" w:pos="-720"/>
        </w:tabs>
        <w:suppressAutoHyphens/>
        <w:rPr>
          <w:b/>
          <w:spacing w:val="-3"/>
          <w:u w:val="single"/>
        </w:rPr>
      </w:pPr>
      <w:r w:rsidRPr="00526E91">
        <w:rPr>
          <w:b/>
          <w:spacing w:val="-3"/>
          <w:u w:val="single"/>
        </w:rPr>
        <w:t>Compliance</w:t>
      </w:r>
    </w:p>
    <w:p w:rsidR="00D20EC7" w:rsidRPr="00526E91" w:rsidRDefault="00D20EC7" w:rsidP="00D20EC7">
      <w:pPr>
        <w:tabs>
          <w:tab w:val="left" w:pos="-720"/>
        </w:tabs>
        <w:suppressAutoHyphens/>
        <w:rPr>
          <w:b/>
          <w:spacing w:val="-3"/>
          <w:u w:val="single"/>
        </w:rPr>
      </w:pPr>
    </w:p>
    <w:p w:rsidR="00D20EC7" w:rsidRPr="00526E91" w:rsidRDefault="00D20EC7" w:rsidP="00D20EC7">
      <w:pPr>
        <w:pStyle w:val="BodyText2"/>
        <w:spacing w:line="240" w:lineRule="auto"/>
      </w:pPr>
      <w:r w:rsidRPr="00526E91">
        <w:t>A party contending that a Bureau of Special Education Appeals decision is not being implemented may file a motion with the Bureau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Education or other office for appropriate enforcement action.  603 CMR 28.08(6</w:t>
      </w:r>
      <w:proofErr w:type="gramStart"/>
      <w:r w:rsidRPr="00526E91">
        <w:t>)(</w:t>
      </w:r>
      <w:proofErr w:type="gramEnd"/>
      <w:r w:rsidRPr="00526E91">
        <w:t>b).</w:t>
      </w:r>
    </w:p>
    <w:p w:rsidR="00D20EC7" w:rsidRPr="00526E91" w:rsidRDefault="00D20EC7" w:rsidP="00D20EC7">
      <w:pPr>
        <w:pStyle w:val="BodyText"/>
        <w:spacing w:line="240" w:lineRule="auto"/>
        <w:rPr>
          <w:b/>
          <w:u w:val="single"/>
        </w:rPr>
      </w:pPr>
    </w:p>
    <w:p w:rsidR="00D20EC7" w:rsidRPr="00526E91" w:rsidRDefault="00D20EC7" w:rsidP="00D20EC7">
      <w:pPr>
        <w:pStyle w:val="BodyText"/>
        <w:spacing w:line="240" w:lineRule="auto"/>
        <w:rPr>
          <w:b/>
          <w:u w:val="single"/>
        </w:rPr>
      </w:pPr>
      <w:r w:rsidRPr="00526E91">
        <w:rPr>
          <w:b/>
          <w:u w:val="single"/>
        </w:rPr>
        <w:t>Rights of Appeal</w:t>
      </w:r>
    </w:p>
    <w:p w:rsidR="00D20EC7" w:rsidRPr="00526E91" w:rsidRDefault="00D20EC7" w:rsidP="00D20EC7">
      <w:pPr>
        <w:pStyle w:val="BodyText"/>
        <w:spacing w:line="240" w:lineRule="auto"/>
        <w:rPr>
          <w:b/>
          <w:u w:val="single"/>
        </w:rPr>
      </w:pPr>
    </w:p>
    <w:p w:rsidR="00D20EC7" w:rsidRPr="00526E91" w:rsidRDefault="00D20EC7" w:rsidP="00D20EC7">
      <w:pPr>
        <w:pStyle w:val="BodyText"/>
        <w:spacing w:line="240" w:lineRule="auto"/>
      </w:pPr>
      <w:r w:rsidRPr="00526E91">
        <w:t>Any party aggrieved by a decision of the Bureau of Special Education Appeals may file a complaint in the state court of competent jurisdiction or in the District Court of the United States for Massachusetts, for review of the Bureau decision.  20 U.S.C. s. 1415(</w:t>
      </w:r>
      <w:proofErr w:type="spellStart"/>
      <w:r w:rsidRPr="00526E91">
        <w:t>i</w:t>
      </w:r>
      <w:proofErr w:type="spellEnd"/>
      <w:proofErr w:type="gramStart"/>
      <w:r w:rsidRPr="00526E91">
        <w:t>)(</w:t>
      </w:r>
      <w:proofErr w:type="gramEnd"/>
      <w:r w:rsidRPr="00526E91">
        <w:t xml:space="preserve">2).  </w:t>
      </w:r>
    </w:p>
    <w:p w:rsidR="00D20EC7" w:rsidRPr="00526E91" w:rsidRDefault="00D20EC7" w:rsidP="00D20EC7">
      <w:pPr>
        <w:tabs>
          <w:tab w:val="left" w:pos="-720"/>
        </w:tabs>
        <w:suppressAutoHyphens/>
      </w:pPr>
    </w:p>
    <w:p w:rsidR="00D20EC7" w:rsidRPr="00526E91" w:rsidRDefault="00D20EC7" w:rsidP="00D20EC7">
      <w:pPr>
        <w:tabs>
          <w:tab w:val="left" w:pos="-720"/>
        </w:tabs>
        <w:suppressAutoHyphens/>
      </w:pPr>
      <w:r w:rsidRPr="00526E91">
        <w:t>An appeal of a Bureau decision to state superior court or to federal district court must be filed within ninety (90) days from the date of the decision.  20 U.S.C. s. 1415(</w:t>
      </w:r>
      <w:proofErr w:type="spellStart"/>
      <w:r w:rsidRPr="00526E91">
        <w:t>i</w:t>
      </w:r>
      <w:proofErr w:type="spellEnd"/>
      <w:proofErr w:type="gramStart"/>
      <w:r w:rsidRPr="00526E91">
        <w:t>)(</w:t>
      </w:r>
      <w:proofErr w:type="gramEnd"/>
      <w:r w:rsidRPr="00526E91">
        <w:t xml:space="preserve">2)(B).  </w:t>
      </w:r>
    </w:p>
    <w:p w:rsidR="00D20EC7" w:rsidRPr="00526E91" w:rsidRDefault="00D20EC7" w:rsidP="00D20EC7">
      <w:pPr>
        <w:pStyle w:val="BodyText"/>
        <w:spacing w:line="240" w:lineRule="auto"/>
      </w:pPr>
    </w:p>
    <w:p w:rsidR="00D20EC7" w:rsidRPr="00526E91" w:rsidRDefault="00D20EC7" w:rsidP="00D20EC7">
      <w:pPr>
        <w:tabs>
          <w:tab w:val="left" w:pos="-720"/>
        </w:tabs>
        <w:suppressAutoHyphens/>
        <w:rPr>
          <w:spacing w:val="-3"/>
        </w:rPr>
      </w:pPr>
    </w:p>
    <w:p w:rsidR="00D20EC7" w:rsidRPr="00526E91" w:rsidRDefault="00D20EC7" w:rsidP="00D20EC7">
      <w:pPr>
        <w:tabs>
          <w:tab w:val="left" w:pos="-720"/>
        </w:tabs>
        <w:suppressAutoHyphens/>
        <w:rPr>
          <w:b/>
          <w:spacing w:val="-3"/>
          <w:u w:val="single"/>
        </w:rPr>
      </w:pPr>
      <w:r w:rsidRPr="00526E91">
        <w:rPr>
          <w:b/>
          <w:spacing w:val="-3"/>
          <w:u w:val="single"/>
        </w:rPr>
        <w:t>Confidentiality</w:t>
      </w:r>
    </w:p>
    <w:p w:rsidR="00D20EC7" w:rsidRPr="00526E91" w:rsidRDefault="00D20EC7" w:rsidP="00D20EC7">
      <w:pPr>
        <w:tabs>
          <w:tab w:val="left" w:pos="-720"/>
        </w:tabs>
        <w:suppressAutoHyphens/>
        <w:rPr>
          <w:b/>
          <w:spacing w:val="-3"/>
          <w:u w:val="single"/>
        </w:rPr>
      </w:pPr>
    </w:p>
    <w:p w:rsidR="00D20EC7" w:rsidRPr="00526E91" w:rsidRDefault="00D20EC7" w:rsidP="00D20EC7">
      <w:pPr>
        <w:tabs>
          <w:tab w:val="left" w:pos="-720"/>
        </w:tabs>
        <w:suppressAutoHyphens/>
        <w:rPr>
          <w:spacing w:val="-3"/>
        </w:rPr>
      </w:pPr>
      <w:r w:rsidRPr="00526E91">
        <w:rPr>
          <w:spacing w:val="-3"/>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w:t>
      </w:r>
      <w:proofErr w:type="gramStart"/>
      <w:r w:rsidR="007C1E99" w:rsidRPr="00526E91">
        <w:rPr>
          <w:spacing w:val="-3"/>
        </w:rPr>
        <w:t xml:space="preserve">See </w:t>
      </w:r>
      <w:r w:rsidR="007C1E99" w:rsidRPr="00526E91">
        <w:rPr>
          <w:i/>
          <w:spacing w:val="-3"/>
        </w:rPr>
        <w:t>Webster Grove</w:t>
      </w:r>
      <w:r w:rsidR="007C1E99" w:rsidRPr="00526E91">
        <w:rPr>
          <w:spacing w:val="-3"/>
          <w:u w:val="single"/>
        </w:rPr>
        <w:t xml:space="preserve"> </w:t>
      </w:r>
      <w:r w:rsidR="007C1E99" w:rsidRPr="00526E91">
        <w:rPr>
          <w:i/>
          <w:spacing w:val="-3"/>
        </w:rPr>
        <w:t>School District v. Pulitzer Publishing Company</w:t>
      </w:r>
      <w:r w:rsidR="007C1E99" w:rsidRPr="00526E91">
        <w:rPr>
          <w:spacing w:val="-3"/>
        </w:rPr>
        <w:t>, 898 F.2d 1371 (8th Cir. 1990).</w:t>
      </w:r>
      <w:proofErr w:type="gramEnd"/>
      <w:r w:rsidR="007C1E99" w:rsidRPr="00526E91">
        <w:rPr>
          <w:spacing w:val="-3"/>
        </w:rPr>
        <w:t xml:space="preserve">  </w:t>
      </w:r>
      <w:r w:rsidRPr="00526E91">
        <w:rPr>
          <w:spacing w:val="-3"/>
        </w:rPr>
        <w:t>If the appealing party does not seek to impound the documents, the Bureau of Special Education Appeals, through the Attorney General's Office, may move to impound the documents.</w:t>
      </w:r>
    </w:p>
    <w:p w:rsidR="00D20EC7" w:rsidRPr="00526E91" w:rsidRDefault="00D20EC7" w:rsidP="00D20EC7">
      <w:pPr>
        <w:tabs>
          <w:tab w:val="left" w:pos="-720"/>
        </w:tabs>
        <w:suppressAutoHyphens/>
        <w:rPr>
          <w:spacing w:val="-3"/>
        </w:rPr>
      </w:pPr>
    </w:p>
    <w:p w:rsidR="00D20EC7" w:rsidRPr="00526E91" w:rsidRDefault="00D20EC7" w:rsidP="00D20EC7">
      <w:pPr>
        <w:tabs>
          <w:tab w:val="left" w:pos="-720"/>
        </w:tabs>
        <w:suppressAutoHyphens/>
        <w:rPr>
          <w:spacing w:val="-3"/>
        </w:rPr>
      </w:pPr>
    </w:p>
    <w:p w:rsidR="00D20EC7" w:rsidRPr="00526E91" w:rsidRDefault="00D20EC7" w:rsidP="00D20EC7">
      <w:pPr>
        <w:tabs>
          <w:tab w:val="left" w:pos="-720"/>
        </w:tabs>
        <w:suppressAutoHyphens/>
        <w:rPr>
          <w:b/>
          <w:spacing w:val="-3"/>
          <w:u w:val="single"/>
        </w:rPr>
      </w:pPr>
      <w:r w:rsidRPr="00526E91">
        <w:rPr>
          <w:b/>
          <w:spacing w:val="-3"/>
          <w:u w:val="single"/>
        </w:rPr>
        <w:t>Record of the Hearing</w:t>
      </w:r>
    </w:p>
    <w:p w:rsidR="00D20EC7" w:rsidRPr="00526E91" w:rsidRDefault="00D20EC7" w:rsidP="00D20EC7">
      <w:pPr>
        <w:tabs>
          <w:tab w:val="left" w:pos="-720"/>
        </w:tabs>
        <w:suppressAutoHyphens/>
        <w:rPr>
          <w:b/>
          <w:spacing w:val="-3"/>
          <w:u w:val="single"/>
        </w:rPr>
      </w:pPr>
    </w:p>
    <w:p w:rsidR="00D20EC7" w:rsidRPr="00526E91" w:rsidRDefault="00D20EC7" w:rsidP="00D20EC7">
      <w:pPr>
        <w:tabs>
          <w:tab w:val="left" w:pos="-720"/>
        </w:tabs>
        <w:suppressAutoHyphens/>
        <w:rPr>
          <w:spacing w:val="-3"/>
        </w:rPr>
      </w:pPr>
      <w:r w:rsidRPr="00526E91">
        <w:rPr>
          <w:spacing w:val="-3"/>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rsidR="00D20EC7" w:rsidRPr="00526E91" w:rsidRDefault="00D20EC7" w:rsidP="00D20EC7">
      <w:pPr>
        <w:tabs>
          <w:tab w:val="left" w:pos="-720"/>
        </w:tabs>
        <w:suppressAutoHyphens/>
        <w:rPr>
          <w:spacing w:val="-3"/>
        </w:rPr>
      </w:pPr>
    </w:p>
    <w:p w:rsidR="00D20EC7" w:rsidRPr="00526E91" w:rsidRDefault="00D20EC7" w:rsidP="00D20EC7"/>
    <w:p w:rsidR="00D20EC7" w:rsidRPr="00526E91" w:rsidRDefault="00D20EC7" w:rsidP="00D20EC7"/>
    <w:p w:rsidR="00D20EC7" w:rsidRPr="00526E91" w:rsidRDefault="00D20EC7" w:rsidP="00D20EC7">
      <w:pPr>
        <w:autoSpaceDE w:val="0"/>
        <w:autoSpaceDN w:val="0"/>
        <w:adjustRightInd w:val="0"/>
      </w:pPr>
    </w:p>
    <w:p w:rsidR="00D20EC7" w:rsidRPr="00526E91" w:rsidRDefault="00D20EC7" w:rsidP="00D20EC7"/>
    <w:p w:rsidR="00D20EC7" w:rsidRPr="00526E91" w:rsidRDefault="00D20EC7" w:rsidP="00D20EC7"/>
    <w:p w:rsidR="00D20EC7" w:rsidRPr="00526E91" w:rsidRDefault="00D20EC7" w:rsidP="00D20EC7"/>
    <w:p w:rsidR="005C5FC8" w:rsidRPr="00526E91" w:rsidRDefault="005C5FC8" w:rsidP="00D20EC7"/>
    <w:p w:rsidR="005C5FC8" w:rsidRPr="00526E91" w:rsidRDefault="005C5FC8" w:rsidP="00D20EC7">
      <w:pPr>
        <w:tabs>
          <w:tab w:val="left" w:pos="-720"/>
        </w:tabs>
        <w:suppressAutoHyphens/>
        <w:jc w:val="both"/>
      </w:pPr>
    </w:p>
    <w:sectPr w:rsidR="005C5FC8" w:rsidRPr="00526E91" w:rsidSect="00E45DDE">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C35" w:rsidRDefault="001F2C35">
      <w:r>
        <w:separator/>
      </w:r>
    </w:p>
  </w:endnote>
  <w:endnote w:type="continuationSeparator" w:id="0">
    <w:p w:rsidR="001F2C35" w:rsidRDefault="001F2C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16" w:rsidRDefault="001D2AE6">
    <w:pPr>
      <w:pStyle w:val="Footer"/>
      <w:framePr w:wrap="around" w:vAnchor="text" w:hAnchor="margin" w:xAlign="center" w:y="1"/>
      <w:rPr>
        <w:rStyle w:val="PageNumber"/>
      </w:rPr>
    </w:pPr>
    <w:r>
      <w:rPr>
        <w:rStyle w:val="PageNumber"/>
      </w:rPr>
      <w:fldChar w:fldCharType="begin"/>
    </w:r>
    <w:r w:rsidR="00AA1316">
      <w:rPr>
        <w:rStyle w:val="PageNumber"/>
      </w:rPr>
      <w:instrText xml:space="preserve">PAGE  </w:instrText>
    </w:r>
    <w:r>
      <w:rPr>
        <w:rStyle w:val="PageNumber"/>
      </w:rPr>
      <w:fldChar w:fldCharType="separate"/>
    </w:r>
    <w:r w:rsidR="00AA1316">
      <w:rPr>
        <w:rStyle w:val="PageNumber"/>
        <w:noProof/>
      </w:rPr>
      <w:t>1</w:t>
    </w:r>
    <w:r>
      <w:rPr>
        <w:rStyle w:val="PageNumber"/>
      </w:rPr>
      <w:fldChar w:fldCharType="end"/>
    </w:r>
  </w:p>
  <w:p w:rsidR="00AA1316" w:rsidRDefault="00AA13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16" w:rsidRDefault="001D2AE6">
    <w:pPr>
      <w:pStyle w:val="Footer"/>
      <w:framePr w:wrap="around" w:vAnchor="text" w:hAnchor="margin" w:xAlign="center" w:y="1"/>
      <w:rPr>
        <w:rStyle w:val="PageNumber"/>
      </w:rPr>
    </w:pPr>
    <w:r>
      <w:rPr>
        <w:rStyle w:val="PageNumber"/>
      </w:rPr>
      <w:fldChar w:fldCharType="begin"/>
    </w:r>
    <w:r w:rsidR="00AA1316">
      <w:rPr>
        <w:rStyle w:val="PageNumber"/>
      </w:rPr>
      <w:instrText xml:space="preserve">PAGE  </w:instrText>
    </w:r>
    <w:r>
      <w:rPr>
        <w:rStyle w:val="PageNumber"/>
      </w:rPr>
      <w:fldChar w:fldCharType="separate"/>
    </w:r>
    <w:r w:rsidR="00994BCA">
      <w:rPr>
        <w:rStyle w:val="PageNumber"/>
        <w:noProof/>
      </w:rPr>
      <w:t>2</w:t>
    </w:r>
    <w:r>
      <w:rPr>
        <w:rStyle w:val="PageNumber"/>
      </w:rPr>
      <w:fldChar w:fldCharType="end"/>
    </w:r>
  </w:p>
  <w:p w:rsidR="00AA1316" w:rsidRDefault="00AA13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C35" w:rsidRDefault="001F2C35">
      <w:r>
        <w:separator/>
      </w:r>
    </w:p>
  </w:footnote>
  <w:footnote w:type="continuationSeparator" w:id="0">
    <w:p w:rsidR="001F2C35" w:rsidRDefault="001F2C35">
      <w:r>
        <w:continuationSeparator/>
      </w:r>
    </w:p>
  </w:footnote>
  <w:footnote w:id="1">
    <w:p w:rsidR="00AA1316" w:rsidRPr="000A64A5" w:rsidRDefault="00AA1316">
      <w:pPr>
        <w:pStyle w:val="FootnoteText"/>
      </w:pPr>
      <w:r w:rsidRPr="000A64A5">
        <w:rPr>
          <w:rStyle w:val="FootnoteReference"/>
        </w:rPr>
        <w:footnoteRef/>
      </w:r>
      <w:r w:rsidRPr="000A64A5">
        <w:t xml:space="preserve"> At the request of both parties, the name of the School District is not identified in this Decision, and other names and personally identifiable information have also been redacted in order to protect the privacy of Student.</w:t>
      </w:r>
    </w:p>
  </w:footnote>
  <w:footnote w:id="2">
    <w:p w:rsidR="00AA1316" w:rsidRPr="000A64A5" w:rsidRDefault="00AA1316">
      <w:pPr>
        <w:pStyle w:val="FootnoteText"/>
      </w:pPr>
      <w:r w:rsidRPr="000A64A5">
        <w:rPr>
          <w:rStyle w:val="FootnoteReference"/>
        </w:rPr>
        <w:footnoteRef/>
      </w:r>
      <w:r w:rsidRPr="000A64A5">
        <w:t xml:space="preserve"> Parents are represented by Attorney Constance Hilton, and the School District is represented by Mary Ellen </w:t>
      </w:r>
      <w:proofErr w:type="spellStart"/>
      <w:r w:rsidRPr="000A64A5">
        <w:t>Sowyrda</w:t>
      </w:r>
      <w:proofErr w:type="spellEnd"/>
      <w:r w:rsidRPr="000A64A5">
        <w:t>.</w:t>
      </w:r>
    </w:p>
  </w:footnote>
  <w:footnote w:id="3">
    <w:p w:rsidR="00AA1316" w:rsidRPr="000A64A5" w:rsidRDefault="00AA1316">
      <w:pPr>
        <w:pStyle w:val="FootnoteText"/>
      </w:pPr>
      <w:r w:rsidRPr="000A64A5">
        <w:rPr>
          <w:rStyle w:val="FootnoteReference"/>
        </w:rPr>
        <w:footnoteRef/>
      </w:r>
      <w:r w:rsidRPr="000A64A5">
        <w:t xml:space="preserve"> Parents withdrew their claim for compensatory services.</w:t>
      </w:r>
    </w:p>
  </w:footnote>
  <w:footnote w:id="4">
    <w:p w:rsidR="00AA1316" w:rsidRPr="000A64A5" w:rsidRDefault="00AA1316" w:rsidP="00A22231">
      <w:pPr>
        <w:rPr>
          <w:sz w:val="20"/>
        </w:rPr>
      </w:pPr>
      <w:r w:rsidRPr="000A64A5">
        <w:rPr>
          <w:rStyle w:val="FootnoteReference"/>
          <w:sz w:val="20"/>
        </w:rPr>
        <w:footnoteRef/>
      </w:r>
      <w:r w:rsidRPr="000A64A5">
        <w:rPr>
          <w:sz w:val="20"/>
        </w:rPr>
        <w:t xml:space="preserve"> </w:t>
      </w:r>
      <w:proofErr w:type="gramStart"/>
      <w:r w:rsidRPr="000A64A5">
        <w:rPr>
          <w:sz w:val="20"/>
        </w:rPr>
        <w:t xml:space="preserve">20 USC 1400 </w:t>
      </w:r>
      <w:r w:rsidRPr="000A64A5">
        <w:rPr>
          <w:i/>
          <w:sz w:val="20"/>
        </w:rPr>
        <w:t>et seq</w:t>
      </w:r>
      <w:r w:rsidRPr="000A64A5">
        <w:rPr>
          <w:sz w:val="20"/>
        </w:rPr>
        <w:t>.</w:t>
      </w:r>
      <w:proofErr w:type="gramEnd"/>
      <w:r w:rsidRPr="000A64A5">
        <w:rPr>
          <w:sz w:val="20"/>
        </w:rPr>
        <w:t xml:space="preserve">  </w:t>
      </w:r>
    </w:p>
  </w:footnote>
  <w:footnote w:id="5">
    <w:p w:rsidR="00AA1316" w:rsidRPr="000A64A5" w:rsidRDefault="00AA1316" w:rsidP="00A22231">
      <w:pPr>
        <w:pStyle w:val="FootnoteText"/>
      </w:pPr>
      <w:r w:rsidRPr="000A64A5">
        <w:rPr>
          <w:rStyle w:val="FootnoteReference"/>
        </w:rPr>
        <w:footnoteRef/>
      </w:r>
      <w:r w:rsidRPr="000A64A5">
        <w:t xml:space="preserve"> </w:t>
      </w:r>
      <w:proofErr w:type="gramStart"/>
      <w:r w:rsidRPr="000A64A5">
        <w:t>MGL c. 71B.</w:t>
      </w:r>
      <w:proofErr w:type="gramEnd"/>
    </w:p>
  </w:footnote>
  <w:footnote w:id="6">
    <w:p w:rsidR="00AA1316" w:rsidRPr="000A64A5" w:rsidRDefault="00AA1316" w:rsidP="00A22231">
      <w:pPr>
        <w:pStyle w:val="FootnoteText"/>
      </w:pPr>
      <w:r w:rsidRPr="000A64A5">
        <w:rPr>
          <w:rStyle w:val="FootnoteReference"/>
        </w:rPr>
        <w:footnoteRef/>
      </w:r>
      <w:r w:rsidRPr="000A64A5">
        <w:t xml:space="preserve"> 20 U.S.C. § 1400 (d</w:t>
      </w:r>
      <w:proofErr w:type="gramStart"/>
      <w:r w:rsidRPr="000A64A5">
        <w:t>)(</w:t>
      </w:r>
      <w:proofErr w:type="gramEnd"/>
      <w:r w:rsidRPr="000A64A5">
        <w:t>1)(A).</w:t>
      </w:r>
    </w:p>
  </w:footnote>
  <w:footnote w:id="7">
    <w:p w:rsidR="00AA1316" w:rsidRPr="000A64A5" w:rsidRDefault="00AA1316" w:rsidP="00A22231">
      <w:pPr>
        <w:pStyle w:val="FootnoteText"/>
      </w:pPr>
      <w:r w:rsidRPr="000A64A5">
        <w:rPr>
          <w:rStyle w:val="FootnoteReference"/>
        </w:rPr>
        <w:footnoteRef/>
      </w:r>
      <w:r w:rsidRPr="000A64A5">
        <w:t xml:space="preserve"> </w:t>
      </w:r>
      <w:proofErr w:type="gramStart"/>
      <w:r w:rsidRPr="000A64A5">
        <w:rPr>
          <w:i/>
        </w:rPr>
        <w:t>D.B. v. Esposito</w:t>
      </w:r>
      <w:r w:rsidRPr="000A64A5">
        <w:t>, 675 F.3d 26, 34 (1</w:t>
      </w:r>
      <w:r w:rsidRPr="000A64A5">
        <w:rPr>
          <w:vertAlign w:val="superscript"/>
        </w:rPr>
        <w:t>st</w:t>
      </w:r>
      <w:r w:rsidRPr="000A64A5">
        <w:t xml:space="preserve"> Cir. 2012) (internal quotations omitted).</w:t>
      </w:r>
      <w:proofErr w:type="gramEnd"/>
      <w:r w:rsidRPr="000A64A5">
        <w:t xml:space="preserve"> </w:t>
      </w:r>
    </w:p>
  </w:footnote>
  <w:footnote w:id="8">
    <w:p w:rsidR="00AA1316" w:rsidRPr="000A64A5" w:rsidRDefault="00AA1316" w:rsidP="00A22231">
      <w:pPr>
        <w:rPr>
          <w:sz w:val="20"/>
          <w:szCs w:val="19"/>
        </w:rPr>
      </w:pPr>
      <w:r w:rsidRPr="000A64A5">
        <w:rPr>
          <w:rStyle w:val="FootnoteReference"/>
          <w:sz w:val="20"/>
        </w:rPr>
        <w:footnoteRef/>
      </w:r>
      <w:r w:rsidRPr="000A64A5">
        <w:rPr>
          <w:sz w:val="20"/>
        </w:rPr>
        <w:t xml:space="preserve"> </w:t>
      </w:r>
      <w:r w:rsidRPr="000A64A5">
        <w:rPr>
          <w:i/>
          <w:sz w:val="20"/>
        </w:rPr>
        <w:t>Id.</w:t>
      </w:r>
      <w:r w:rsidRPr="000A64A5">
        <w:rPr>
          <w:sz w:val="20"/>
        </w:rPr>
        <w:t xml:space="preserve">  See also</w:t>
      </w:r>
      <w:r w:rsidRPr="000A64A5">
        <w:rPr>
          <w:bCs/>
          <w:i/>
          <w:color w:val="000000"/>
          <w:kern w:val="36"/>
          <w:sz w:val="20"/>
          <w:szCs w:val="19"/>
        </w:rPr>
        <w:t xml:space="preserve"> Sebastian M. v. King Philip Regional School Dist.</w:t>
      </w:r>
      <w:r w:rsidRPr="000A64A5">
        <w:rPr>
          <w:color w:val="000000"/>
          <w:kern w:val="36"/>
          <w:sz w:val="20"/>
        </w:rPr>
        <w:t xml:space="preserve">, </w:t>
      </w:r>
      <w:r w:rsidRPr="000A64A5">
        <w:rPr>
          <w:color w:val="000000"/>
          <w:kern w:val="36"/>
          <w:sz w:val="20"/>
          <w:szCs w:val="14"/>
        </w:rPr>
        <w:t>2012 WL 2877588 (1</w:t>
      </w:r>
      <w:r w:rsidRPr="000A64A5">
        <w:rPr>
          <w:color w:val="000000"/>
          <w:kern w:val="36"/>
          <w:sz w:val="20"/>
          <w:szCs w:val="14"/>
          <w:vertAlign w:val="superscript"/>
        </w:rPr>
        <w:t>st</w:t>
      </w:r>
      <w:r w:rsidRPr="000A64A5">
        <w:rPr>
          <w:color w:val="000000"/>
          <w:kern w:val="36"/>
          <w:sz w:val="20"/>
          <w:szCs w:val="14"/>
        </w:rPr>
        <w:t xml:space="preserve"> Cir. 2012) (requiring “meaningful educational benefit”)</w:t>
      </w:r>
      <w:proofErr w:type="gramStart"/>
      <w:r w:rsidRPr="000A64A5">
        <w:rPr>
          <w:color w:val="000000"/>
          <w:kern w:val="36"/>
          <w:sz w:val="20"/>
          <w:szCs w:val="14"/>
        </w:rPr>
        <w:t xml:space="preserve">; </w:t>
      </w:r>
      <w:r w:rsidRPr="000A64A5">
        <w:rPr>
          <w:sz w:val="20"/>
        </w:rPr>
        <w:t xml:space="preserve"> </w:t>
      </w:r>
      <w:r w:rsidRPr="000A64A5">
        <w:rPr>
          <w:i/>
          <w:sz w:val="20"/>
        </w:rPr>
        <w:t>I.M</w:t>
      </w:r>
      <w:proofErr w:type="gramEnd"/>
      <w:r w:rsidRPr="000A64A5">
        <w:rPr>
          <w:i/>
          <w:sz w:val="20"/>
        </w:rPr>
        <w:t>. ex rel. C.C. v. Northampton Public Schools</w:t>
      </w:r>
      <w:r w:rsidRPr="000A64A5">
        <w:rPr>
          <w:sz w:val="20"/>
        </w:rPr>
        <w:t>, 2012 WL 2206887, *1 (</w:t>
      </w:r>
      <w:proofErr w:type="spellStart"/>
      <w:r w:rsidRPr="000A64A5">
        <w:rPr>
          <w:sz w:val="20"/>
        </w:rPr>
        <w:t>D.Mass</w:t>
      </w:r>
      <w:proofErr w:type="spellEnd"/>
      <w:r w:rsidRPr="000A64A5">
        <w:rPr>
          <w:sz w:val="20"/>
        </w:rPr>
        <w:t>. 2012).</w:t>
      </w:r>
    </w:p>
  </w:footnote>
  <w:footnote w:id="9">
    <w:p w:rsidR="00AA1316" w:rsidRPr="000A64A5" w:rsidRDefault="00AA1316" w:rsidP="00A22231">
      <w:pPr>
        <w:autoSpaceDE w:val="0"/>
        <w:autoSpaceDN w:val="0"/>
        <w:adjustRightInd w:val="0"/>
        <w:rPr>
          <w:rFonts w:cs="Courier New"/>
          <w:sz w:val="20"/>
        </w:rPr>
      </w:pPr>
      <w:r w:rsidRPr="000A64A5">
        <w:rPr>
          <w:rStyle w:val="FootnoteReference"/>
          <w:sz w:val="20"/>
        </w:rPr>
        <w:footnoteRef/>
      </w:r>
      <w:r w:rsidRPr="000A64A5">
        <w:rPr>
          <w:sz w:val="20"/>
        </w:rPr>
        <w:t xml:space="preserve"> </w:t>
      </w:r>
      <w:r w:rsidRPr="000A64A5">
        <w:rPr>
          <w:sz w:val="20"/>
          <w:szCs w:val="19"/>
        </w:rPr>
        <w:t>20 U.S.C. § 1412(a</w:t>
      </w:r>
      <w:proofErr w:type="gramStart"/>
      <w:r w:rsidRPr="000A64A5">
        <w:rPr>
          <w:sz w:val="20"/>
          <w:szCs w:val="19"/>
        </w:rPr>
        <w:t>)(</w:t>
      </w:r>
      <w:proofErr w:type="gramEnd"/>
      <w:r w:rsidRPr="000A64A5">
        <w:rPr>
          <w:sz w:val="20"/>
          <w:szCs w:val="19"/>
        </w:rPr>
        <w:t xml:space="preserve">5)(A); MGL c. 71B, s. 1.  </w:t>
      </w:r>
      <w:r w:rsidRPr="000A64A5">
        <w:rPr>
          <w:rFonts w:cs="Courier New"/>
          <w:sz w:val="20"/>
        </w:rPr>
        <w:t xml:space="preserve">See also </w:t>
      </w:r>
      <w:r w:rsidRPr="000A64A5">
        <w:rPr>
          <w:sz w:val="20"/>
        </w:rPr>
        <w:t xml:space="preserve">20 US </w:t>
      </w:r>
      <w:r w:rsidRPr="000A64A5">
        <w:rPr>
          <w:rFonts w:cs="Courier New"/>
          <w:sz w:val="20"/>
        </w:rPr>
        <w:t xml:space="preserve">§ </w:t>
      </w:r>
      <w:r w:rsidRPr="000A64A5">
        <w:rPr>
          <w:sz w:val="20"/>
        </w:rPr>
        <w:t>1400(d</w:t>
      </w:r>
      <w:proofErr w:type="gramStart"/>
      <w:r w:rsidRPr="000A64A5">
        <w:rPr>
          <w:sz w:val="20"/>
        </w:rPr>
        <w:t>)(</w:t>
      </w:r>
      <w:proofErr w:type="gramEnd"/>
      <w:r w:rsidRPr="000A64A5">
        <w:rPr>
          <w:sz w:val="20"/>
        </w:rPr>
        <w:t xml:space="preserve">1)(A); 20 USC </w:t>
      </w:r>
      <w:r w:rsidRPr="000A64A5">
        <w:rPr>
          <w:rFonts w:cs="Courier New"/>
          <w:sz w:val="20"/>
        </w:rPr>
        <w:t xml:space="preserve">§ </w:t>
      </w:r>
      <w:r w:rsidRPr="000A64A5">
        <w:rPr>
          <w:sz w:val="20"/>
        </w:rPr>
        <w:t xml:space="preserve">1412(a)(1)(A); 34 CFR </w:t>
      </w:r>
      <w:r w:rsidRPr="000A64A5">
        <w:rPr>
          <w:rFonts w:cs="Courier New"/>
          <w:sz w:val="20"/>
        </w:rPr>
        <w:t>300.114(a)(2(</w:t>
      </w:r>
      <w:proofErr w:type="spellStart"/>
      <w:r w:rsidRPr="000A64A5">
        <w:rPr>
          <w:rFonts w:cs="Courier New"/>
          <w:sz w:val="20"/>
        </w:rPr>
        <w:t>i</w:t>
      </w:r>
      <w:proofErr w:type="spellEnd"/>
      <w:r w:rsidRPr="000A64A5">
        <w:rPr>
          <w:rFonts w:cs="Courier New"/>
          <w:sz w:val="20"/>
        </w:rPr>
        <w:t>)</w:t>
      </w:r>
      <w:r w:rsidRPr="000A64A5">
        <w:rPr>
          <w:sz w:val="20"/>
        </w:rPr>
        <w:t>; 603 CMR 28.06(2)(c).</w:t>
      </w:r>
    </w:p>
  </w:footnote>
  <w:footnote w:id="10">
    <w:p w:rsidR="00AA1316" w:rsidRPr="000A64A5" w:rsidRDefault="00AA1316" w:rsidP="00A22231">
      <w:pPr>
        <w:rPr>
          <w:sz w:val="20"/>
          <w:szCs w:val="19"/>
        </w:rPr>
      </w:pPr>
      <w:r w:rsidRPr="000A64A5">
        <w:rPr>
          <w:rStyle w:val="FootnoteReference"/>
          <w:sz w:val="20"/>
        </w:rPr>
        <w:footnoteRef/>
      </w:r>
      <w:r w:rsidRPr="000A64A5">
        <w:rPr>
          <w:sz w:val="20"/>
        </w:rPr>
        <w:t xml:space="preserve"> </w:t>
      </w:r>
      <w:proofErr w:type="gramStart"/>
      <w:r w:rsidRPr="000A64A5">
        <w:rPr>
          <w:i/>
          <w:sz w:val="20"/>
        </w:rPr>
        <w:t>C.G. ex rel. A.S. v. Five Town Community School Dist</w:t>
      </w:r>
      <w:r w:rsidRPr="000A64A5">
        <w:rPr>
          <w:sz w:val="20"/>
        </w:rPr>
        <w:t>., 513 F.3d 279, 285 (1</w:t>
      </w:r>
      <w:r w:rsidRPr="000A64A5">
        <w:rPr>
          <w:sz w:val="20"/>
          <w:vertAlign w:val="superscript"/>
        </w:rPr>
        <w:t>st</w:t>
      </w:r>
      <w:r w:rsidRPr="000A64A5">
        <w:rPr>
          <w:sz w:val="20"/>
        </w:rPr>
        <w:t xml:space="preserve"> Cir. 2008).</w:t>
      </w:r>
      <w:proofErr w:type="gramEnd"/>
      <w:r w:rsidRPr="000A64A5">
        <w:rPr>
          <w:sz w:val="20"/>
        </w:rPr>
        <w:t xml:space="preserve">  See also</w:t>
      </w:r>
      <w:r w:rsidRPr="000A64A5">
        <w:rPr>
          <w:i/>
          <w:iCs/>
          <w:sz w:val="20"/>
          <w:szCs w:val="19"/>
        </w:rPr>
        <w:t xml:space="preserve"> </w:t>
      </w:r>
      <w:r w:rsidRPr="000A64A5">
        <w:rPr>
          <w:rStyle w:val="groupheading2"/>
          <w:rFonts w:ascii="Times New Roman" w:hAnsi="Times New Roman"/>
          <w:b w:val="0"/>
          <w:bCs w:val="0"/>
          <w:i/>
          <w:iCs/>
          <w:sz w:val="20"/>
        </w:rPr>
        <w:t>Rafferty v. Cranston Public School Committee</w:t>
      </w:r>
      <w:r w:rsidRPr="000A64A5">
        <w:rPr>
          <w:i/>
          <w:sz w:val="20"/>
        </w:rPr>
        <w:t xml:space="preserve">, </w:t>
      </w:r>
      <w:r w:rsidRPr="000A64A5">
        <w:rPr>
          <w:rStyle w:val="CITE"/>
          <w:i w:val="0"/>
          <w:iCs/>
          <w:sz w:val="20"/>
          <w:szCs w:val="25"/>
        </w:rPr>
        <w:t>315 F.3d 21, 26</w:t>
      </w:r>
      <w:r w:rsidRPr="000A64A5">
        <w:rPr>
          <w:sz w:val="20"/>
        </w:rPr>
        <w:t xml:space="preserve"> (1</w:t>
      </w:r>
      <w:r w:rsidRPr="000A64A5">
        <w:rPr>
          <w:sz w:val="20"/>
          <w:vertAlign w:val="superscript"/>
        </w:rPr>
        <w:t>st</w:t>
      </w:r>
      <w:r w:rsidRPr="000A64A5">
        <w:rPr>
          <w:sz w:val="20"/>
        </w:rPr>
        <w:t xml:space="preserve"> Cir. 2002) (</w:t>
      </w:r>
      <w:r w:rsidRPr="000A64A5">
        <w:rPr>
          <w:color w:val="000000"/>
          <w:sz w:val="20"/>
          <w:szCs w:val="19"/>
        </w:rPr>
        <w:t xml:space="preserve">“Mainstreaming may not be ignored, even to fulfill substantive educational criteria.”), </w:t>
      </w:r>
      <w:r w:rsidRPr="000A64A5">
        <w:rPr>
          <w:sz w:val="20"/>
        </w:rPr>
        <w:t xml:space="preserve">quoting </w:t>
      </w:r>
      <w:r w:rsidRPr="000A64A5">
        <w:rPr>
          <w:i/>
          <w:sz w:val="20"/>
        </w:rPr>
        <w:t>Roland v. Concord School Committee</w:t>
      </w:r>
      <w:r w:rsidRPr="000A64A5">
        <w:rPr>
          <w:sz w:val="20"/>
        </w:rPr>
        <w:t>, 910 F.2d 983, 992-993 (1</w:t>
      </w:r>
      <w:r w:rsidRPr="000A64A5">
        <w:rPr>
          <w:sz w:val="20"/>
          <w:vertAlign w:val="superscript"/>
        </w:rPr>
        <w:t>st</w:t>
      </w:r>
      <w:r w:rsidRPr="000A64A5">
        <w:rPr>
          <w:sz w:val="20"/>
        </w:rPr>
        <w:t xml:space="preserve"> Cir. 1990).</w:t>
      </w:r>
    </w:p>
  </w:footnote>
  <w:footnote w:id="11">
    <w:p w:rsidR="00AA1316" w:rsidRPr="000A64A5" w:rsidRDefault="00AA1316" w:rsidP="00A22231">
      <w:pPr>
        <w:pStyle w:val="FootnoteText"/>
      </w:pPr>
      <w:r w:rsidRPr="000A64A5">
        <w:rPr>
          <w:rStyle w:val="FootnoteReference"/>
        </w:rPr>
        <w:footnoteRef/>
      </w:r>
      <w:r w:rsidRPr="000A64A5">
        <w:t xml:space="preserve"> </w:t>
      </w:r>
      <w:proofErr w:type="spellStart"/>
      <w:r w:rsidRPr="000A64A5">
        <w:rPr>
          <w:rStyle w:val="groupheading2"/>
          <w:rFonts w:ascii="Times New Roman" w:hAnsi="Times New Roman"/>
          <w:b w:val="0"/>
          <w:bCs w:val="0"/>
          <w:i/>
          <w:iCs/>
          <w:sz w:val="20"/>
        </w:rPr>
        <w:t>Lessard</w:t>
      </w:r>
      <w:proofErr w:type="spellEnd"/>
      <w:r w:rsidRPr="000A64A5">
        <w:rPr>
          <w:bCs/>
          <w:i/>
          <w:iCs/>
        </w:rPr>
        <w:t xml:space="preserve">, </w:t>
      </w:r>
      <w:proofErr w:type="gramStart"/>
      <w:r w:rsidRPr="000A64A5">
        <w:rPr>
          <w:rStyle w:val="informationalsmall4"/>
          <w:rFonts w:ascii="Times New Roman" w:hAnsi="Times New Roman"/>
          <w:bCs/>
          <w:color w:val="000000"/>
          <w:sz w:val="20"/>
        </w:rPr>
        <w:t>518 F.3d at 29</w:t>
      </w:r>
      <w:proofErr w:type="gramEnd"/>
      <w:r w:rsidRPr="000A64A5">
        <w:rPr>
          <w:rStyle w:val="informationalsmall3"/>
          <w:rFonts w:ascii="Times New Roman" w:hAnsi="Times New Roman"/>
          <w:sz w:val="20"/>
        </w:rPr>
        <w:t>.</w:t>
      </w:r>
      <w:r w:rsidRPr="000A64A5">
        <w:t xml:space="preserve">   See also </w:t>
      </w:r>
      <w:r w:rsidRPr="000A64A5">
        <w:rPr>
          <w:i/>
          <w:szCs w:val="19"/>
        </w:rPr>
        <w:t>D.B. v. Esposito</w:t>
      </w:r>
      <w:r w:rsidRPr="000A64A5">
        <w:rPr>
          <w:szCs w:val="19"/>
        </w:rPr>
        <w:t xml:space="preserve">, </w:t>
      </w:r>
      <w:r w:rsidRPr="000A64A5">
        <w:t>2012 WL 975564 (1</w:t>
      </w:r>
      <w:r w:rsidRPr="000A64A5">
        <w:rPr>
          <w:vertAlign w:val="superscript"/>
        </w:rPr>
        <w:t>st</w:t>
      </w:r>
      <w:r w:rsidRPr="000A64A5">
        <w:t xml:space="preserve"> Cir. 2012) (“</w:t>
      </w:r>
      <w:r w:rsidRPr="000A64A5">
        <w:rPr>
          <w:szCs w:val="19"/>
        </w:rPr>
        <w:t>In most cases, an assessment of a child's potential will be a useful tool for evaluating the adequacy of his or her IEP.”).</w:t>
      </w:r>
    </w:p>
  </w:footnote>
  <w:footnote w:id="12">
    <w:p w:rsidR="00AA1316" w:rsidRPr="000A64A5" w:rsidRDefault="00AA1316" w:rsidP="00A22231">
      <w:pPr>
        <w:pStyle w:val="FootnoteText"/>
      </w:pPr>
      <w:r w:rsidRPr="000A64A5">
        <w:rPr>
          <w:rStyle w:val="FootnoteReference"/>
        </w:rPr>
        <w:footnoteRef/>
      </w:r>
      <w:r w:rsidRPr="000A64A5">
        <w:t xml:space="preserve"> See </w:t>
      </w:r>
      <w:r w:rsidRPr="000A64A5">
        <w:rPr>
          <w:i/>
          <w:szCs w:val="19"/>
        </w:rPr>
        <w:t>D.B. v. Esposito</w:t>
      </w:r>
      <w:r w:rsidRPr="000A64A5">
        <w:rPr>
          <w:szCs w:val="19"/>
        </w:rPr>
        <w:t xml:space="preserve">, </w:t>
      </w:r>
      <w:r w:rsidRPr="000A64A5">
        <w:t>2012 WL 975564 (1</w:t>
      </w:r>
      <w:r w:rsidRPr="000A64A5">
        <w:rPr>
          <w:vertAlign w:val="superscript"/>
        </w:rPr>
        <w:t>st</w:t>
      </w:r>
      <w:r w:rsidRPr="000A64A5">
        <w:t xml:space="preserve"> Cir. 2012).</w:t>
      </w:r>
    </w:p>
  </w:footnote>
  <w:footnote w:id="13">
    <w:p w:rsidR="00AA1316" w:rsidRPr="000A64A5" w:rsidRDefault="00AA1316" w:rsidP="00A22231">
      <w:pPr>
        <w:pStyle w:val="FootnoteText"/>
      </w:pPr>
      <w:r w:rsidRPr="000A64A5">
        <w:rPr>
          <w:rStyle w:val="FootnoteReference"/>
        </w:rPr>
        <w:footnoteRef/>
      </w:r>
      <w:r w:rsidRPr="000A64A5">
        <w:t xml:space="preserve"> </w:t>
      </w:r>
      <w:r w:rsidRPr="000A64A5">
        <w:rPr>
          <w:i/>
        </w:rPr>
        <w:t>Rowley</w:t>
      </w:r>
      <w:r w:rsidRPr="000A64A5">
        <w:t>, 458 U.S. at 202.</w:t>
      </w:r>
    </w:p>
  </w:footnote>
  <w:footnote w:id="14">
    <w:p w:rsidR="00AA1316" w:rsidRPr="000A64A5" w:rsidRDefault="00AA1316" w:rsidP="00A22231">
      <w:pPr>
        <w:pStyle w:val="FootnoteText"/>
      </w:pPr>
      <w:r w:rsidRPr="000A64A5">
        <w:rPr>
          <w:rStyle w:val="FootnoteReference"/>
        </w:rPr>
        <w:footnoteRef/>
      </w:r>
      <w:r w:rsidRPr="000A64A5">
        <w:t xml:space="preserve"> </w:t>
      </w:r>
      <w:r w:rsidRPr="000A64A5">
        <w:rPr>
          <w:i/>
          <w:iCs/>
        </w:rPr>
        <w:t xml:space="preserve">Deal v. Hamilton County Board of Education, </w:t>
      </w:r>
      <w:r w:rsidRPr="000A64A5">
        <w:t>392 F.3d 840, 862 (6</w:t>
      </w:r>
      <w:r w:rsidRPr="000A64A5">
        <w:rPr>
          <w:vertAlign w:val="superscript"/>
        </w:rPr>
        <w:t>th</w:t>
      </w:r>
      <w:r w:rsidRPr="000A64A5">
        <w:t xml:space="preserve"> Cir. 2004) (internal quotations and citation omitted).</w:t>
      </w:r>
    </w:p>
  </w:footnote>
  <w:footnote w:id="15">
    <w:p w:rsidR="00AA1316" w:rsidRPr="000A64A5" w:rsidRDefault="00AA1316" w:rsidP="00A22231">
      <w:pPr>
        <w:rPr>
          <w:sz w:val="20"/>
        </w:rPr>
      </w:pPr>
      <w:r w:rsidRPr="000A64A5">
        <w:rPr>
          <w:rStyle w:val="FootnoteReference"/>
          <w:sz w:val="20"/>
        </w:rPr>
        <w:footnoteRef/>
      </w:r>
      <w:r w:rsidRPr="000A64A5">
        <w:rPr>
          <w:sz w:val="20"/>
        </w:rPr>
        <w:t xml:space="preserve"> </w:t>
      </w:r>
      <w:r w:rsidRPr="000A64A5">
        <w:rPr>
          <w:iCs/>
          <w:sz w:val="20"/>
        </w:rPr>
        <w:t>20 USC 1401(9</w:t>
      </w:r>
      <w:proofErr w:type="gramStart"/>
      <w:r w:rsidRPr="000A64A5">
        <w:rPr>
          <w:iCs/>
          <w:sz w:val="20"/>
        </w:rPr>
        <w:t>)(</w:t>
      </w:r>
      <w:proofErr w:type="gramEnd"/>
      <w:r w:rsidRPr="000A64A5">
        <w:rPr>
          <w:iCs/>
          <w:sz w:val="20"/>
        </w:rPr>
        <w:t>b);</w:t>
      </w:r>
      <w:r w:rsidRPr="000A64A5">
        <w:rPr>
          <w:rStyle w:val="documentbody1"/>
          <w:rFonts w:ascii="Times New Roman" w:hAnsi="Times New Roman"/>
          <w:i/>
          <w:iCs/>
          <w:sz w:val="20"/>
        </w:rPr>
        <w:t xml:space="preserve"> </w:t>
      </w:r>
      <w:proofErr w:type="spellStart"/>
      <w:r w:rsidRPr="000A64A5">
        <w:rPr>
          <w:rStyle w:val="documentbody1"/>
          <w:rFonts w:ascii="Times New Roman" w:hAnsi="Times New Roman"/>
          <w:i/>
          <w:iCs/>
          <w:sz w:val="20"/>
        </w:rPr>
        <w:t>Winkelman</w:t>
      </w:r>
      <w:proofErr w:type="spellEnd"/>
      <w:r w:rsidRPr="000A64A5">
        <w:rPr>
          <w:rStyle w:val="documentbody1"/>
          <w:rFonts w:ascii="Times New Roman" w:hAnsi="Times New Roman"/>
          <w:i/>
          <w:iCs/>
          <w:sz w:val="20"/>
        </w:rPr>
        <w:t xml:space="preserve"> v. Parma City School Dist.</w:t>
      </w:r>
      <w:r w:rsidRPr="000A64A5">
        <w:rPr>
          <w:rStyle w:val="documentbody1"/>
          <w:rFonts w:ascii="Times New Roman" w:hAnsi="Times New Roman"/>
          <w:sz w:val="20"/>
        </w:rPr>
        <w:t xml:space="preserve">, </w:t>
      </w:r>
      <w:r w:rsidRPr="000A64A5">
        <w:rPr>
          <w:rStyle w:val="informationalsmall4"/>
          <w:rFonts w:ascii="Times New Roman" w:hAnsi="Times New Roman"/>
          <w:bCs/>
          <w:color w:val="000000"/>
          <w:sz w:val="20"/>
        </w:rPr>
        <w:t>550 U.S. 516, 524</w:t>
      </w:r>
      <w:r w:rsidRPr="000A64A5">
        <w:rPr>
          <w:rStyle w:val="informationalsmall4"/>
          <w:rFonts w:ascii="Times New Roman" w:hAnsi="Times New Roman"/>
          <w:b/>
          <w:bCs/>
          <w:color w:val="000000"/>
          <w:sz w:val="20"/>
        </w:rPr>
        <w:t xml:space="preserve"> </w:t>
      </w:r>
      <w:r w:rsidRPr="000A64A5">
        <w:rPr>
          <w:rStyle w:val="documentbody1"/>
          <w:rFonts w:ascii="Times New Roman" w:hAnsi="Times New Roman"/>
          <w:sz w:val="20"/>
        </w:rPr>
        <w:t>(2007) (“education must … meet the standards of the State educational agency”).</w:t>
      </w:r>
      <w:r w:rsidRPr="000A64A5">
        <w:rPr>
          <w:i/>
          <w:iCs/>
          <w:sz w:val="20"/>
        </w:rPr>
        <w:t xml:space="preserve"> </w:t>
      </w:r>
    </w:p>
  </w:footnote>
  <w:footnote w:id="16">
    <w:p w:rsidR="00AA1316" w:rsidRPr="000A64A5" w:rsidRDefault="00AA1316" w:rsidP="00A22231">
      <w:pPr>
        <w:tabs>
          <w:tab w:val="left" w:pos="-1440"/>
        </w:tabs>
        <w:rPr>
          <w:sz w:val="20"/>
        </w:rPr>
      </w:pPr>
      <w:r w:rsidRPr="000A64A5">
        <w:rPr>
          <w:rStyle w:val="FootnoteReference"/>
          <w:sz w:val="20"/>
        </w:rPr>
        <w:footnoteRef/>
      </w:r>
      <w:r w:rsidRPr="000A64A5">
        <w:rPr>
          <w:sz w:val="20"/>
        </w:rPr>
        <w:t xml:space="preserve"> </w:t>
      </w:r>
      <w:r w:rsidRPr="000A64A5">
        <w:rPr>
          <w:rStyle w:val="CITE"/>
          <w:i w:val="0"/>
          <w:iCs/>
          <w:sz w:val="20"/>
        </w:rPr>
        <w:t xml:space="preserve">See </w:t>
      </w:r>
      <w:proofErr w:type="spellStart"/>
      <w:r w:rsidRPr="000A64A5">
        <w:rPr>
          <w:rStyle w:val="documentbody1"/>
          <w:rFonts w:ascii="Times New Roman" w:hAnsi="Times New Roman"/>
          <w:i/>
          <w:iCs/>
          <w:sz w:val="20"/>
        </w:rPr>
        <w:t>Winkelman</w:t>
      </w:r>
      <w:proofErr w:type="spellEnd"/>
      <w:r w:rsidRPr="000A64A5">
        <w:rPr>
          <w:rStyle w:val="documentbody1"/>
          <w:rFonts w:ascii="Times New Roman" w:hAnsi="Times New Roman"/>
          <w:i/>
          <w:iCs/>
          <w:sz w:val="20"/>
        </w:rPr>
        <w:t xml:space="preserve"> v. Parma City School Dist.</w:t>
      </w:r>
      <w:r w:rsidRPr="000A64A5">
        <w:rPr>
          <w:rStyle w:val="documentbody1"/>
          <w:rFonts w:ascii="Times New Roman" w:hAnsi="Times New Roman"/>
          <w:sz w:val="20"/>
        </w:rPr>
        <w:t xml:space="preserve">, </w:t>
      </w:r>
      <w:r w:rsidRPr="000A64A5">
        <w:rPr>
          <w:rStyle w:val="informationalsmall4"/>
          <w:rFonts w:ascii="Times New Roman" w:hAnsi="Times New Roman"/>
          <w:bCs/>
          <w:color w:val="000000"/>
          <w:sz w:val="20"/>
        </w:rPr>
        <w:t>550 U.S. 516, 524</w:t>
      </w:r>
      <w:r w:rsidRPr="000A64A5">
        <w:rPr>
          <w:rStyle w:val="informationalsmall4"/>
          <w:rFonts w:ascii="Times New Roman" w:hAnsi="Times New Roman"/>
          <w:b/>
          <w:bCs/>
          <w:color w:val="000000"/>
          <w:sz w:val="20"/>
        </w:rPr>
        <w:t xml:space="preserve"> </w:t>
      </w:r>
      <w:r w:rsidRPr="000A64A5">
        <w:rPr>
          <w:rStyle w:val="documentbody1"/>
          <w:rFonts w:ascii="Times New Roman" w:hAnsi="Times New Roman"/>
          <w:sz w:val="20"/>
        </w:rPr>
        <w:t>(2007) (“education must … meet the standards of the State educational agency”);</w:t>
      </w:r>
      <w:r w:rsidRPr="000A64A5">
        <w:rPr>
          <w:i/>
          <w:iCs/>
          <w:sz w:val="20"/>
        </w:rPr>
        <w:t xml:space="preserve"> Mr. I. v. Maine School Administrative District No. 55, </w:t>
      </w:r>
      <w:r w:rsidRPr="000A64A5">
        <w:rPr>
          <w:rStyle w:val="informationalsmall3"/>
          <w:rFonts w:ascii="Times New Roman" w:hAnsi="Times New Roman"/>
          <w:sz w:val="20"/>
        </w:rPr>
        <w:t>480 F.3d 1</w:t>
      </w:r>
      <w:r w:rsidRPr="000A64A5">
        <w:rPr>
          <w:sz w:val="20"/>
        </w:rPr>
        <w:t>, 11 (1</w:t>
      </w:r>
      <w:r w:rsidRPr="000A64A5">
        <w:rPr>
          <w:sz w:val="20"/>
          <w:vertAlign w:val="superscript"/>
        </w:rPr>
        <w:t>st</w:t>
      </w:r>
      <w:r w:rsidRPr="000A64A5">
        <w:rPr>
          <w:sz w:val="20"/>
        </w:rPr>
        <w:t xml:space="preserve"> Cir. 2007)</w:t>
      </w:r>
      <w:r w:rsidRPr="000A64A5">
        <w:rPr>
          <w:iCs/>
          <w:sz w:val="20"/>
        </w:rPr>
        <w:t xml:space="preserve"> (state may “</w:t>
      </w:r>
      <w:r w:rsidRPr="000A64A5">
        <w:rPr>
          <w:rStyle w:val="documentbody1"/>
          <w:rFonts w:ascii="Times New Roman" w:hAnsi="Times New Roman"/>
          <w:sz w:val="20"/>
        </w:rPr>
        <w:t>calibrate its own educational standards, provided it does not set them below the minimum level prescribed by the [IDEA]”)</w:t>
      </w:r>
      <w:r w:rsidRPr="000A64A5">
        <w:rPr>
          <w:sz w:val="20"/>
        </w:rPr>
        <w:t>;</w:t>
      </w:r>
      <w:r w:rsidRPr="000A64A5">
        <w:rPr>
          <w:i/>
          <w:sz w:val="20"/>
        </w:rPr>
        <w:t xml:space="preserve"> David D. v. Dartmouth School Committee</w:t>
      </w:r>
      <w:r w:rsidRPr="000A64A5">
        <w:rPr>
          <w:sz w:val="20"/>
        </w:rPr>
        <w:t>, 775 F.2d 411, 416-423 (1</w:t>
      </w:r>
      <w:r w:rsidRPr="000A64A5">
        <w:rPr>
          <w:sz w:val="20"/>
          <w:vertAlign w:val="superscript"/>
        </w:rPr>
        <w:t>st</w:t>
      </w:r>
      <w:r w:rsidRPr="000A64A5">
        <w:rPr>
          <w:sz w:val="20"/>
        </w:rPr>
        <w:t xml:space="preserve"> Cir. 1985) (incorporating into the IDEA a higher state educational standard), cert. den., 475 U.S. 1140 (1986); </w:t>
      </w:r>
      <w:r w:rsidRPr="000A64A5">
        <w:rPr>
          <w:i/>
          <w:sz w:val="20"/>
        </w:rPr>
        <w:t>Town of Burlington v. Department of Education</w:t>
      </w:r>
      <w:r w:rsidRPr="000A64A5">
        <w:rPr>
          <w:sz w:val="20"/>
        </w:rPr>
        <w:t>, 736 F.2d 773, 792 (1</w:t>
      </w:r>
      <w:r w:rsidRPr="000A64A5">
        <w:rPr>
          <w:sz w:val="20"/>
          <w:vertAlign w:val="superscript"/>
        </w:rPr>
        <w:t>st</w:t>
      </w:r>
      <w:r w:rsidRPr="000A64A5">
        <w:rPr>
          <w:sz w:val="20"/>
        </w:rPr>
        <w:t xml:space="preserve"> Cir. 1984) (states are “free to exceed, both substantively and procedurally, the protection and services to be provided to its disabled children”).</w:t>
      </w:r>
    </w:p>
  </w:footnote>
  <w:footnote w:id="17">
    <w:p w:rsidR="00AA1316" w:rsidRPr="000A64A5" w:rsidRDefault="00AA1316" w:rsidP="00A22231">
      <w:pPr>
        <w:spacing w:after="45"/>
        <w:ind w:right="75"/>
        <w:rPr>
          <w:sz w:val="20"/>
        </w:rPr>
      </w:pPr>
      <w:r w:rsidRPr="000A64A5">
        <w:rPr>
          <w:rStyle w:val="FootnoteReference"/>
          <w:sz w:val="20"/>
        </w:rPr>
        <w:footnoteRef/>
      </w:r>
      <w:r w:rsidRPr="000A64A5">
        <w:rPr>
          <w:sz w:val="20"/>
        </w:rPr>
        <w:t xml:space="preserve"> See </w:t>
      </w:r>
      <w:r w:rsidRPr="000A64A5">
        <w:rPr>
          <w:iCs/>
          <w:sz w:val="20"/>
        </w:rPr>
        <w:t>MGL c. 71B, s. 1 (</w:t>
      </w:r>
      <w:r w:rsidRPr="000A64A5">
        <w:rPr>
          <w:iCs/>
          <w:color w:val="000000"/>
          <w:sz w:val="20"/>
        </w:rPr>
        <w:t>term “special education”</w:t>
      </w:r>
      <w:r w:rsidRPr="000A64A5">
        <w:rPr>
          <w:color w:val="000000"/>
          <w:sz w:val="20"/>
        </w:rPr>
        <w:t xml:space="preserve"> defined to mean “educational programs and assignments including, special classes and programs or services designed to develop the educational potential of children with disabilities.”); </w:t>
      </w:r>
      <w:r w:rsidRPr="000A64A5">
        <w:rPr>
          <w:iCs/>
          <w:sz w:val="20"/>
        </w:rPr>
        <w:t>MGL c. 69, s. 1 (“paramount goal of the commonwealth to provide a public education system of sufficient quality to extend to all children the opportunity to reach their full potential”); 603 CMR 28.01(3) (</w:t>
      </w:r>
      <w:r w:rsidRPr="000A64A5">
        <w:rPr>
          <w:rStyle w:val="documentbody1"/>
          <w:rFonts w:ascii="Times New Roman" w:hAnsi="Times New Roman"/>
          <w:sz w:val="20"/>
        </w:rPr>
        <w:t xml:space="preserve">IEP </w:t>
      </w:r>
      <w:r w:rsidRPr="000A64A5">
        <w:rPr>
          <w:sz w:val="20"/>
        </w:rPr>
        <w:t xml:space="preserve">Team must “include specially designed instruction or related services in the IEP designed to enable the student to progress effectively in the content areas of the general curriculum”).  See also IEP form mandated for all Massachusetts school districts by the Massachusetts Department of Elementary and Secondary Education, at pages 2 of 8 and 3 of 8, which may be found at </w:t>
      </w:r>
      <w:hyperlink r:id="rId1" w:history="1">
        <w:r w:rsidRPr="000A64A5">
          <w:rPr>
            <w:rStyle w:val="Hyperlink"/>
            <w:sz w:val="20"/>
          </w:rPr>
          <w:t>http://www.doe.mass.edu/sped/iep/forms/word/IEP1-8.doc</w:t>
        </w:r>
      </w:hyperlink>
      <w:r w:rsidRPr="000A64A5">
        <w:rPr>
          <w:sz w:val="20"/>
        </w:rPr>
        <w:t xml:space="preserve">    </w:t>
      </w:r>
    </w:p>
  </w:footnote>
  <w:footnote w:id="18">
    <w:p w:rsidR="00AA1316" w:rsidRPr="000A64A5" w:rsidRDefault="00AA1316" w:rsidP="0001528C">
      <w:pPr>
        <w:pStyle w:val="FootnoteText"/>
      </w:pPr>
      <w:r w:rsidRPr="000A64A5">
        <w:rPr>
          <w:rStyle w:val="FootnoteReference"/>
        </w:rPr>
        <w:footnoteRef/>
      </w:r>
      <w:r w:rsidRPr="000A64A5">
        <w:t xml:space="preserve"> </w:t>
      </w:r>
      <w:r w:rsidRPr="000A64A5">
        <w:rPr>
          <w:rFonts w:cs="Courier New"/>
          <w:i/>
          <w:iCs/>
        </w:rPr>
        <w:t>See Sch. Comm. of Town of Burlington, Mass. v.</w:t>
      </w:r>
      <w:r w:rsidRPr="000A64A5">
        <w:rPr>
          <w:rFonts w:cs="Courier New"/>
        </w:rPr>
        <w:t xml:space="preserve"> </w:t>
      </w:r>
      <w:r w:rsidRPr="000A64A5">
        <w:rPr>
          <w:rFonts w:cs="Courier New"/>
          <w:i/>
          <w:iCs/>
        </w:rPr>
        <w:t>Dep’t of Educ.</w:t>
      </w:r>
      <w:r w:rsidRPr="000A64A5">
        <w:rPr>
          <w:rFonts w:cs="Courier New"/>
        </w:rPr>
        <w:t>, 471 U.S. 359, 369-70 (1985) (ordering the reimbursement of parents for the unilateral placement of student in a private school).</w:t>
      </w:r>
    </w:p>
  </w:footnote>
  <w:footnote w:id="19">
    <w:p w:rsidR="00AA1316" w:rsidRPr="000A64A5" w:rsidRDefault="00AA1316" w:rsidP="00532396">
      <w:pPr>
        <w:ind w:right="300"/>
        <w:rPr>
          <w:sz w:val="20"/>
        </w:rPr>
      </w:pPr>
      <w:r w:rsidRPr="000A64A5">
        <w:rPr>
          <w:rStyle w:val="FootnoteReference"/>
          <w:sz w:val="20"/>
        </w:rPr>
        <w:footnoteRef/>
      </w:r>
      <w:r w:rsidRPr="000A64A5">
        <w:rPr>
          <w:sz w:val="20"/>
        </w:rPr>
        <w:t xml:space="preserve">  See </w:t>
      </w:r>
      <w:r w:rsidRPr="000A64A5">
        <w:rPr>
          <w:i/>
          <w:iCs/>
          <w:sz w:val="20"/>
        </w:rPr>
        <w:t xml:space="preserve">Schaffer v. </w:t>
      </w:r>
      <w:proofErr w:type="spellStart"/>
      <w:r w:rsidRPr="000A64A5">
        <w:rPr>
          <w:i/>
          <w:iCs/>
          <w:sz w:val="20"/>
        </w:rPr>
        <w:t>Weast</w:t>
      </w:r>
      <w:proofErr w:type="spellEnd"/>
      <w:r w:rsidRPr="000A64A5">
        <w:rPr>
          <w:sz w:val="20"/>
        </w:rPr>
        <w:t>,</w:t>
      </w:r>
      <w:r w:rsidRPr="000A64A5">
        <w:rPr>
          <w:rStyle w:val="informationalsmall1"/>
          <w:rFonts w:ascii="Times New Roman" w:hAnsi="Times New Roman"/>
          <w:color w:val="000000"/>
          <w:sz w:val="20"/>
        </w:rPr>
        <w:t xml:space="preserve"> </w:t>
      </w:r>
      <w:r w:rsidRPr="000A64A5">
        <w:rPr>
          <w:rStyle w:val="informationalsmall"/>
          <w:sz w:val="20"/>
        </w:rPr>
        <w:t>546 U.S. 49</w:t>
      </w:r>
      <w:r w:rsidRPr="000A64A5">
        <w:rPr>
          <w:rStyle w:val="Emphasis"/>
          <w:i w:val="0"/>
          <w:iCs w:val="0"/>
          <w:color w:val="000000"/>
          <w:sz w:val="20"/>
        </w:rPr>
        <w:t>,</w:t>
      </w:r>
      <w:r w:rsidRPr="000A64A5">
        <w:rPr>
          <w:rStyle w:val="Emphasis"/>
          <w:i w:val="0"/>
          <w:iCs w:val="0"/>
          <w:sz w:val="20"/>
        </w:rPr>
        <w:t xml:space="preserve"> </w:t>
      </w:r>
      <w:r w:rsidRPr="000A64A5">
        <w:rPr>
          <w:rStyle w:val="Emphasis"/>
          <w:i w:val="0"/>
          <w:iCs w:val="0"/>
          <w:color w:val="000000"/>
          <w:sz w:val="20"/>
        </w:rPr>
        <w:t xml:space="preserve">62 </w:t>
      </w:r>
      <w:r w:rsidRPr="000A64A5">
        <w:rPr>
          <w:rStyle w:val="Emphasis"/>
          <w:i w:val="0"/>
          <w:iCs w:val="0"/>
          <w:sz w:val="20"/>
        </w:rPr>
        <w:t xml:space="preserve">(2005) (burden of persuasion </w:t>
      </w:r>
      <w:r w:rsidRPr="000A64A5">
        <w:rPr>
          <w:rFonts w:cs="Arial"/>
          <w:sz w:val="20"/>
          <w:szCs w:val="18"/>
        </w:rPr>
        <w:t>in an administrative hearing challenging an IEP is placed upon the party seeking relief).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51E8"/>
    <w:multiLevelType w:val="hybridMultilevel"/>
    <w:tmpl w:val="06F06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ED7666"/>
    <w:multiLevelType w:val="hybridMultilevel"/>
    <w:tmpl w:val="DAB01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E64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4E10D36"/>
    <w:multiLevelType w:val="hybridMultilevel"/>
    <w:tmpl w:val="DF6CE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487AEA"/>
    <w:multiLevelType w:val="hybridMultilevel"/>
    <w:tmpl w:val="55284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1D6620"/>
    <w:multiLevelType w:val="singleLevel"/>
    <w:tmpl w:val="0409000F"/>
    <w:lvl w:ilvl="0">
      <w:start w:val="1"/>
      <w:numFmt w:val="decimal"/>
      <w:lvlText w:val="%1."/>
      <w:lvlJc w:val="left"/>
      <w:pPr>
        <w:ind w:left="360" w:hanging="360"/>
      </w:pPr>
    </w:lvl>
  </w:abstractNum>
  <w:abstractNum w:abstractNumId="6">
    <w:nsid w:val="4EAD114B"/>
    <w:multiLevelType w:val="singleLevel"/>
    <w:tmpl w:val="0409000F"/>
    <w:lvl w:ilvl="0">
      <w:start w:val="1"/>
      <w:numFmt w:val="decimal"/>
      <w:lvlText w:val="%1."/>
      <w:lvlJc w:val="left"/>
      <w:pPr>
        <w:ind w:left="360" w:hanging="360"/>
      </w:pPr>
    </w:lvl>
  </w:abstractNum>
  <w:abstractNum w:abstractNumId="7">
    <w:nsid w:val="51F55AAC"/>
    <w:multiLevelType w:val="singleLevel"/>
    <w:tmpl w:val="0409000F"/>
    <w:lvl w:ilvl="0">
      <w:start w:val="1"/>
      <w:numFmt w:val="decimal"/>
      <w:lvlText w:val="%1."/>
      <w:lvlJc w:val="left"/>
      <w:pPr>
        <w:ind w:left="360" w:hanging="360"/>
      </w:pPr>
    </w:lvl>
  </w:abstractNum>
  <w:abstractNum w:abstractNumId="8">
    <w:nsid w:val="5A2F732D"/>
    <w:multiLevelType w:val="hybridMultilevel"/>
    <w:tmpl w:val="4E74349C"/>
    <w:lvl w:ilvl="0" w:tplc="D632FB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C48131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
  </w:num>
  <w:num w:numId="3">
    <w:abstractNumId w:val="5"/>
  </w:num>
  <w:num w:numId="4">
    <w:abstractNumId w:val="3"/>
  </w:num>
  <w:num w:numId="5">
    <w:abstractNumId w:val="4"/>
  </w:num>
  <w:num w:numId="6">
    <w:abstractNumId w:val="8"/>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61DD3"/>
    <w:rsid w:val="0000005E"/>
    <w:rsid w:val="0001528C"/>
    <w:rsid w:val="00022D57"/>
    <w:rsid w:val="00053236"/>
    <w:rsid w:val="00054B79"/>
    <w:rsid w:val="00062839"/>
    <w:rsid w:val="0006291F"/>
    <w:rsid w:val="00080E75"/>
    <w:rsid w:val="000850D3"/>
    <w:rsid w:val="00090FA9"/>
    <w:rsid w:val="00092BAF"/>
    <w:rsid w:val="00097B52"/>
    <w:rsid w:val="000A1866"/>
    <w:rsid w:val="000A49BC"/>
    <w:rsid w:val="000A64A5"/>
    <w:rsid w:val="000B0D07"/>
    <w:rsid w:val="000B718D"/>
    <w:rsid w:val="000D1AF0"/>
    <w:rsid w:val="000F7C9A"/>
    <w:rsid w:val="00100A2E"/>
    <w:rsid w:val="0011459F"/>
    <w:rsid w:val="0012147A"/>
    <w:rsid w:val="0012737E"/>
    <w:rsid w:val="0015415A"/>
    <w:rsid w:val="001856DC"/>
    <w:rsid w:val="00196164"/>
    <w:rsid w:val="001A0F05"/>
    <w:rsid w:val="001A3321"/>
    <w:rsid w:val="001B5EA6"/>
    <w:rsid w:val="001C381C"/>
    <w:rsid w:val="001C4D0B"/>
    <w:rsid w:val="001D2AE6"/>
    <w:rsid w:val="001D6D12"/>
    <w:rsid w:val="001D710A"/>
    <w:rsid w:val="001E0AAE"/>
    <w:rsid w:val="001E118A"/>
    <w:rsid w:val="001E16DB"/>
    <w:rsid w:val="001E23E8"/>
    <w:rsid w:val="001E2C31"/>
    <w:rsid w:val="001E58C3"/>
    <w:rsid w:val="001F2C35"/>
    <w:rsid w:val="002024CE"/>
    <w:rsid w:val="00236044"/>
    <w:rsid w:val="00247F89"/>
    <w:rsid w:val="00264D87"/>
    <w:rsid w:val="0028615C"/>
    <w:rsid w:val="0029350E"/>
    <w:rsid w:val="002A137E"/>
    <w:rsid w:val="002B1DFD"/>
    <w:rsid w:val="002B2033"/>
    <w:rsid w:val="002B32E4"/>
    <w:rsid w:val="002C09AD"/>
    <w:rsid w:val="002C551D"/>
    <w:rsid w:val="002C7E56"/>
    <w:rsid w:val="002D7E5B"/>
    <w:rsid w:val="002F0CA6"/>
    <w:rsid w:val="002F4F26"/>
    <w:rsid w:val="00306431"/>
    <w:rsid w:val="003243EF"/>
    <w:rsid w:val="003410F0"/>
    <w:rsid w:val="0034377B"/>
    <w:rsid w:val="00345551"/>
    <w:rsid w:val="00347035"/>
    <w:rsid w:val="003633B5"/>
    <w:rsid w:val="00372618"/>
    <w:rsid w:val="0037281C"/>
    <w:rsid w:val="00380A68"/>
    <w:rsid w:val="00381A6E"/>
    <w:rsid w:val="003844F7"/>
    <w:rsid w:val="00385DE0"/>
    <w:rsid w:val="00387FAA"/>
    <w:rsid w:val="00391138"/>
    <w:rsid w:val="003A4C9A"/>
    <w:rsid w:val="003B5E50"/>
    <w:rsid w:val="003C7A9D"/>
    <w:rsid w:val="003D351B"/>
    <w:rsid w:val="003E25A9"/>
    <w:rsid w:val="003E50C2"/>
    <w:rsid w:val="003F0856"/>
    <w:rsid w:val="00405561"/>
    <w:rsid w:val="004057D1"/>
    <w:rsid w:val="0040789E"/>
    <w:rsid w:val="00410E1E"/>
    <w:rsid w:val="004162C7"/>
    <w:rsid w:val="004251B3"/>
    <w:rsid w:val="00432903"/>
    <w:rsid w:val="0043329C"/>
    <w:rsid w:val="004436C0"/>
    <w:rsid w:val="00446188"/>
    <w:rsid w:val="0044663B"/>
    <w:rsid w:val="00460897"/>
    <w:rsid w:val="00461E06"/>
    <w:rsid w:val="0046554F"/>
    <w:rsid w:val="00471DD1"/>
    <w:rsid w:val="00475F7B"/>
    <w:rsid w:val="004858FE"/>
    <w:rsid w:val="0049055B"/>
    <w:rsid w:val="00491728"/>
    <w:rsid w:val="00491D31"/>
    <w:rsid w:val="004B73B5"/>
    <w:rsid w:val="004C57F5"/>
    <w:rsid w:val="004D3598"/>
    <w:rsid w:val="004F13E9"/>
    <w:rsid w:val="00513494"/>
    <w:rsid w:val="00526E91"/>
    <w:rsid w:val="00532396"/>
    <w:rsid w:val="00533C83"/>
    <w:rsid w:val="005342D1"/>
    <w:rsid w:val="00541D1F"/>
    <w:rsid w:val="00543AF3"/>
    <w:rsid w:val="00547411"/>
    <w:rsid w:val="005549FB"/>
    <w:rsid w:val="0056122A"/>
    <w:rsid w:val="005730BF"/>
    <w:rsid w:val="00591A2D"/>
    <w:rsid w:val="005A43FD"/>
    <w:rsid w:val="005B15C1"/>
    <w:rsid w:val="005B3036"/>
    <w:rsid w:val="005C5FC8"/>
    <w:rsid w:val="005E1E15"/>
    <w:rsid w:val="005E5448"/>
    <w:rsid w:val="005E741D"/>
    <w:rsid w:val="005E75F2"/>
    <w:rsid w:val="00607AA8"/>
    <w:rsid w:val="00625096"/>
    <w:rsid w:val="00631888"/>
    <w:rsid w:val="00634A36"/>
    <w:rsid w:val="00645BC4"/>
    <w:rsid w:val="006477F6"/>
    <w:rsid w:val="0065398A"/>
    <w:rsid w:val="0068601F"/>
    <w:rsid w:val="00690F79"/>
    <w:rsid w:val="00693298"/>
    <w:rsid w:val="00693E96"/>
    <w:rsid w:val="006A4DD3"/>
    <w:rsid w:val="006E222B"/>
    <w:rsid w:val="006F6715"/>
    <w:rsid w:val="00702099"/>
    <w:rsid w:val="00702F89"/>
    <w:rsid w:val="00704C5F"/>
    <w:rsid w:val="007146BD"/>
    <w:rsid w:val="00714AC0"/>
    <w:rsid w:val="007162B8"/>
    <w:rsid w:val="00716722"/>
    <w:rsid w:val="00717BD1"/>
    <w:rsid w:val="007211E6"/>
    <w:rsid w:val="007278AB"/>
    <w:rsid w:val="00732874"/>
    <w:rsid w:val="00741601"/>
    <w:rsid w:val="00744DA9"/>
    <w:rsid w:val="0076220A"/>
    <w:rsid w:val="00771543"/>
    <w:rsid w:val="007B322E"/>
    <w:rsid w:val="007C08C2"/>
    <w:rsid w:val="007C1E99"/>
    <w:rsid w:val="007C5A9B"/>
    <w:rsid w:val="007E6DB1"/>
    <w:rsid w:val="007F17C5"/>
    <w:rsid w:val="00807BDC"/>
    <w:rsid w:val="00817D51"/>
    <w:rsid w:val="00833B23"/>
    <w:rsid w:val="008405B1"/>
    <w:rsid w:val="00841FB1"/>
    <w:rsid w:val="00853D80"/>
    <w:rsid w:val="0087415C"/>
    <w:rsid w:val="0088697B"/>
    <w:rsid w:val="008B2956"/>
    <w:rsid w:val="008B424E"/>
    <w:rsid w:val="008C42B9"/>
    <w:rsid w:val="008D122C"/>
    <w:rsid w:val="008D39A3"/>
    <w:rsid w:val="008E622E"/>
    <w:rsid w:val="008E6302"/>
    <w:rsid w:val="008F03C9"/>
    <w:rsid w:val="00907C4A"/>
    <w:rsid w:val="00931963"/>
    <w:rsid w:val="009358E9"/>
    <w:rsid w:val="00946671"/>
    <w:rsid w:val="0095742F"/>
    <w:rsid w:val="00966AE4"/>
    <w:rsid w:val="00976B05"/>
    <w:rsid w:val="00976C30"/>
    <w:rsid w:val="009802ED"/>
    <w:rsid w:val="00981D4B"/>
    <w:rsid w:val="009902CE"/>
    <w:rsid w:val="00994BCA"/>
    <w:rsid w:val="009A4A7F"/>
    <w:rsid w:val="009A4F44"/>
    <w:rsid w:val="009B1823"/>
    <w:rsid w:val="009C2E09"/>
    <w:rsid w:val="009C6CBD"/>
    <w:rsid w:val="009D1EEE"/>
    <w:rsid w:val="009D629B"/>
    <w:rsid w:val="00A03523"/>
    <w:rsid w:val="00A1086D"/>
    <w:rsid w:val="00A1150A"/>
    <w:rsid w:val="00A136DF"/>
    <w:rsid w:val="00A154D7"/>
    <w:rsid w:val="00A17D9A"/>
    <w:rsid w:val="00A207D9"/>
    <w:rsid w:val="00A22231"/>
    <w:rsid w:val="00A276FC"/>
    <w:rsid w:val="00A3017F"/>
    <w:rsid w:val="00A33923"/>
    <w:rsid w:val="00A51173"/>
    <w:rsid w:val="00A522BE"/>
    <w:rsid w:val="00A60F4D"/>
    <w:rsid w:val="00A61DD3"/>
    <w:rsid w:val="00A76B46"/>
    <w:rsid w:val="00A818B3"/>
    <w:rsid w:val="00A82E40"/>
    <w:rsid w:val="00A84327"/>
    <w:rsid w:val="00AA1316"/>
    <w:rsid w:val="00AA5415"/>
    <w:rsid w:val="00AC36DB"/>
    <w:rsid w:val="00AC561C"/>
    <w:rsid w:val="00AE1104"/>
    <w:rsid w:val="00AE1E28"/>
    <w:rsid w:val="00AE27EC"/>
    <w:rsid w:val="00AF2DE1"/>
    <w:rsid w:val="00B00CD8"/>
    <w:rsid w:val="00B178D1"/>
    <w:rsid w:val="00B27D16"/>
    <w:rsid w:val="00B300E2"/>
    <w:rsid w:val="00B3698A"/>
    <w:rsid w:val="00B4659A"/>
    <w:rsid w:val="00B52A9F"/>
    <w:rsid w:val="00B90E55"/>
    <w:rsid w:val="00BA743C"/>
    <w:rsid w:val="00BB3EE2"/>
    <w:rsid w:val="00BE25B4"/>
    <w:rsid w:val="00BF65C8"/>
    <w:rsid w:val="00C12D03"/>
    <w:rsid w:val="00C1442B"/>
    <w:rsid w:val="00C178C2"/>
    <w:rsid w:val="00C26638"/>
    <w:rsid w:val="00C5131E"/>
    <w:rsid w:val="00C52297"/>
    <w:rsid w:val="00C52575"/>
    <w:rsid w:val="00C6701C"/>
    <w:rsid w:val="00C81127"/>
    <w:rsid w:val="00C81A3C"/>
    <w:rsid w:val="00C90B09"/>
    <w:rsid w:val="00C940E1"/>
    <w:rsid w:val="00CB5644"/>
    <w:rsid w:val="00CC7418"/>
    <w:rsid w:val="00CD7843"/>
    <w:rsid w:val="00CF735E"/>
    <w:rsid w:val="00D0107C"/>
    <w:rsid w:val="00D20EC7"/>
    <w:rsid w:val="00D26A8B"/>
    <w:rsid w:val="00D30626"/>
    <w:rsid w:val="00D30DD6"/>
    <w:rsid w:val="00D33D47"/>
    <w:rsid w:val="00D44AE9"/>
    <w:rsid w:val="00D53E20"/>
    <w:rsid w:val="00D54121"/>
    <w:rsid w:val="00D54738"/>
    <w:rsid w:val="00D6001C"/>
    <w:rsid w:val="00D6450F"/>
    <w:rsid w:val="00D667DB"/>
    <w:rsid w:val="00D82272"/>
    <w:rsid w:val="00D95806"/>
    <w:rsid w:val="00DA7E80"/>
    <w:rsid w:val="00DB2408"/>
    <w:rsid w:val="00DB51A4"/>
    <w:rsid w:val="00DD4870"/>
    <w:rsid w:val="00DD7605"/>
    <w:rsid w:val="00DE0E8B"/>
    <w:rsid w:val="00DE10D9"/>
    <w:rsid w:val="00DF18F2"/>
    <w:rsid w:val="00DF3D0B"/>
    <w:rsid w:val="00E03273"/>
    <w:rsid w:val="00E32C14"/>
    <w:rsid w:val="00E41BF6"/>
    <w:rsid w:val="00E45DDE"/>
    <w:rsid w:val="00E46416"/>
    <w:rsid w:val="00E54B7C"/>
    <w:rsid w:val="00E71EBB"/>
    <w:rsid w:val="00E72458"/>
    <w:rsid w:val="00E81E2A"/>
    <w:rsid w:val="00E83F78"/>
    <w:rsid w:val="00E95FEA"/>
    <w:rsid w:val="00EA5B56"/>
    <w:rsid w:val="00EA5EAD"/>
    <w:rsid w:val="00EB1AA5"/>
    <w:rsid w:val="00EC5B35"/>
    <w:rsid w:val="00ED1E94"/>
    <w:rsid w:val="00ED653B"/>
    <w:rsid w:val="00EE3991"/>
    <w:rsid w:val="00EF040C"/>
    <w:rsid w:val="00F06072"/>
    <w:rsid w:val="00F06B90"/>
    <w:rsid w:val="00F266CC"/>
    <w:rsid w:val="00F37FDB"/>
    <w:rsid w:val="00F47EA3"/>
    <w:rsid w:val="00F63957"/>
    <w:rsid w:val="00F76669"/>
    <w:rsid w:val="00F92504"/>
    <w:rsid w:val="00F96E7C"/>
    <w:rsid w:val="00FB2443"/>
    <w:rsid w:val="00FD037A"/>
    <w:rsid w:val="00FE1DA1"/>
    <w:rsid w:val="00FE3C8D"/>
    <w:rsid w:val="00FE5BE8"/>
    <w:rsid w:val="00FF3A24"/>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E7C"/>
    <w:rPr>
      <w:sz w:val="25"/>
      <w:lang w:eastAsia="en-US"/>
    </w:rPr>
  </w:style>
  <w:style w:type="paragraph" w:styleId="Heading1">
    <w:name w:val="heading 1"/>
    <w:basedOn w:val="Normal"/>
    <w:next w:val="Normal"/>
    <w:qFormat/>
    <w:rsid w:val="00F96E7C"/>
    <w:pPr>
      <w:keepNext/>
      <w:outlineLvl w:val="0"/>
    </w:pPr>
    <w:rPr>
      <w:sz w:val="24"/>
    </w:rPr>
  </w:style>
  <w:style w:type="paragraph" w:styleId="Heading2">
    <w:name w:val="heading 2"/>
    <w:basedOn w:val="Normal"/>
    <w:next w:val="Normal"/>
    <w:qFormat/>
    <w:rsid w:val="00F96E7C"/>
    <w:pPr>
      <w:keepNext/>
      <w:outlineLvl w:val="1"/>
    </w:pPr>
    <w:rPr>
      <w:b/>
      <w:sz w:val="24"/>
    </w:rPr>
  </w:style>
  <w:style w:type="paragraph" w:styleId="Heading3">
    <w:name w:val="heading 3"/>
    <w:basedOn w:val="Normal"/>
    <w:next w:val="Normal"/>
    <w:qFormat/>
    <w:rsid w:val="00F96E7C"/>
    <w:pPr>
      <w:keepNext/>
      <w:jc w:val="center"/>
      <w:outlineLvl w:val="2"/>
    </w:pPr>
    <w:rPr>
      <w:b/>
    </w:rPr>
  </w:style>
  <w:style w:type="paragraph" w:styleId="Heading4">
    <w:name w:val="heading 4"/>
    <w:basedOn w:val="Normal"/>
    <w:next w:val="Normal"/>
    <w:qFormat/>
    <w:rsid w:val="00F96E7C"/>
    <w:pPr>
      <w:keepNext/>
      <w:outlineLvl w:val="3"/>
    </w:pPr>
    <w:rPr>
      <w:u w:val="single"/>
    </w:rPr>
  </w:style>
  <w:style w:type="paragraph" w:styleId="Heading5">
    <w:name w:val="heading 5"/>
    <w:basedOn w:val="Normal"/>
    <w:next w:val="Normal"/>
    <w:qFormat/>
    <w:rsid w:val="00F96E7C"/>
    <w:pPr>
      <w:keepNext/>
      <w:jc w:val="center"/>
      <w:outlineLvl w:val="4"/>
    </w:pPr>
    <w:rPr>
      <w:b/>
      <w:bCs/>
      <w:u w:val="single"/>
    </w:rPr>
  </w:style>
  <w:style w:type="paragraph" w:styleId="Heading6">
    <w:name w:val="heading 6"/>
    <w:basedOn w:val="Normal"/>
    <w:next w:val="Normal"/>
    <w:qFormat/>
    <w:rsid w:val="00F96E7C"/>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96E7C"/>
    <w:pPr>
      <w:ind w:left="720"/>
    </w:pPr>
  </w:style>
  <w:style w:type="paragraph" w:styleId="Footer">
    <w:name w:val="footer"/>
    <w:basedOn w:val="Normal"/>
    <w:rsid w:val="00F96E7C"/>
    <w:pPr>
      <w:tabs>
        <w:tab w:val="center" w:pos="4320"/>
        <w:tab w:val="right" w:pos="8640"/>
      </w:tabs>
    </w:pPr>
  </w:style>
  <w:style w:type="character" w:styleId="PageNumber">
    <w:name w:val="page number"/>
    <w:basedOn w:val="DefaultParagraphFont"/>
    <w:rsid w:val="00F96E7C"/>
  </w:style>
  <w:style w:type="paragraph" w:styleId="FootnoteText">
    <w:name w:val="footnote text"/>
    <w:basedOn w:val="Normal"/>
    <w:semiHidden/>
    <w:rsid w:val="00F96E7C"/>
    <w:rPr>
      <w:sz w:val="20"/>
    </w:rPr>
  </w:style>
  <w:style w:type="character" w:styleId="FootnoteReference">
    <w:name w:val="footnote reference"/>
    <w:semiHidden/>
    <w:rsid w:val="00F96E7C"/>
    <w:rPr>
      <w:vertAlign w:val="superscript"/>
    </w:rPr>
  </w:style>
  <w:style w:type="paragraph" w:styleId="Title">
    <w:name w:val="Title"/>
    <w:basedOn w:val="Normal"/>
    <w:qFormat/>
    <w:rsid w:val="00F96E7C"/>
    <w:pPr>
      <w:jc w:val="center"/>
    </w:pPr>
    <w:rPr>
      <w:b/>
    </w:rPr>
  </w:style>
  <w:style w:type="paragraph" w:styleId="BodyText">
    <w:name w:val="Body Text"/>
    <w:basedOn w:val="Normal"/>
    <w:rsid w:val="00F96E7C"/>
    <w:pPr>
      <w:spacing w:line="360" w:lineRule="auto"/>
    </w:pPr>
  </w:style>
  <w:style w:type="paragraph" w:customStyle="1" w:styleId="Preformatted">
    <w:name w:val="Preformatted"/>
    <w:basedOn w:val="Normal"/>
    <w:rsid w:val="00F96E7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CITE">
    <w:name w:val="CITE"/>
    <w:rsid w:val="00F96E7C"/>
    <w:rPr>
      <w:i/>
    </w:rPr>
  </w:style>
  <w:style w:type="character" w:styleId="Hyperlink">
    <w:name w:val="Hyperlink"/>
    <w:rsid w:val="00F96E7C"/>
    <w:rPr>
      <w:color w:val="0000FF"/>
      <w:u w:val="single"/>
    </w:rPr>
  </w:style>
  <w:style w:type="paragraph" w:styleId="NormalWeb">
    <w:name w:val="Normal (Web)"/>
    <w:basedOn w:val="Normal"/>
    <w:rsid w:val="00F96E7C"/>
    <w:pPr>
      <w:spacing w:before="100" w:beforeAutospacing="1" w:after="100" w:afterAutospacing="1"/>
    </w:pPr>
    <w:rPr>
      <w:rFonts w:ascii="Arial Unicode MS" w:eastAsia="Arial Unicode MS" w:hAnsi="Arial Unicode MS" w:cs="Arial Unicode MS"/>
      <w:sz w:val="24"/>
      <w:szCs w:val="24"/>
    </w:rPr>
  </w:style>
  <w:style w:type="character" w:styleId="HTMLCite">
    <w:name w:val="HTML Cite"/>
    <w:rsid w:val="00F96E7C"/>
    <w:rPr>
      <w:i/>
      <w:iCs/>
    </w:rPr>
  </w:style>
  <w:style w:type="character" w:styleId="Emphasis">
    <w:name w:val="Emphasis"/>
    <w:qFormat/>
    <w:rsid w:val="00F96E7C"/>
    <w:rPr>
      <w:i/>
      <w:iCs/>
    </w:rPr>
  </w:style>
  <w:style w:type="character" w:customStyle="1" w:styleId="pmterms11">
    <w:name w:val="pmterms11"/>
    <w:rsid w:val="00F96E7C"/>
    <w:rPr>
      <w:b/>
      <w:bCs/>
      <w:i w:val="0"/>
      <w:iCs w:val="0"/>
      <w:color w:val="000000"/>
    </w:rPr>
  </w:style>
  <w:style w:type="character" w:customStyle="1" w:styleId="documentbody1">
    <w:name w:val="documentbody1"/>
    <w:rsid w:val="00F96E7C"/>
    <w:rPr>
      <w:rFonts w:ascii="Verdana" w:hAnsi="Verdana" w:hint="default"/>
      <w:sz w:val="19"/>
      <w:szCs w:val="19"/>
    </w:rPr>
  </w:style>
  <w:style w:type="character" w:styleId="Strong">
    <w:name w:val="Strong"/>
    <w:qFormat/>
    <w:rsid w:val="00F96E7C"/>
    <w:rPr>
      <w:b/>
      <w:bCs/>
    </w:rPr>
  </w:style>
  <w:style w:type="character" w:customStyle="1" w:styleId="informationalsmall1">
    <w:name w:val="informationalsmall1"/>
    <w:rsid w:val="00F96E7C"/>
    <w:rPr>
      <w:rFonts w:ascii="Verdana" w:hAnsi="Verdana" w:hint="default"/>
      <w:sz w:val="14"/>
      <w:szCs w:val="14"/>
    </w:rPr>
  </w:style>
  <w:style w:type="character" w:customStyle="1" w:styleId="starpage1">
    <w:name w:val="starpage1"/>
    <w:rsid w:val="00F96E7C"/>
    <w:rPr>
      <w:b/>
      <w:bCs/>
      <w:i/>
      <w:iCs/>
      <w:color w:val="800080"/>
    </w:rPr>
  </w:style>
  <w:style w:type="character" w:customStyle="1" w:styleId="groupheading1">
    <w:name w:val="groupheading1"/>
    <w:rsid w:val="00F96E7C"/>
    <w:rPr>
      <w:rFonts w:ascii="Verdana" w:hAnsi="Verdana" w:hint="default"/>
      <w:b/>
      <w:bCs/>
      <w:sz w:val="19"/>
      <w:szCs w:val="19"/>
    </w:rPr>
  </w:style>
  <w:style w:type="paragraph" w:styleId="Subtitle">
    <w:name w:val="Subtitle"/>
    <w:basedOn w:val="Normal"/>
    <w:qFormat/>
    <w:rsid w:val="00F96E7C"/>
    <w:rPr>
      <w:u w:val="single"/>
    </w:rPr>
  </w:style>
  <w:style w:type="character" w:customStyle="1" w:styleId="resultsublistitemfull1">
    <w:name w:val="resultsublistitemfull1"/>
    <w:rsid w:val="00F96E7C"/>
    <w:rPr>
      <w:rFonts w:ascii="Arial" w:hAnsi="Arial" w:cs="Arial" w:hint="default"/>
      <w:color w:val="636363"/>
      <w:sz w:val="16"/>
      <w:szCs w:val="16"/>
    </w:rPr>
  </w:style>
  <w:style w:type="character" w:styleId="FollowedHyperlink">
    <w:name w:val="FollowedHyperlink"/>
    <w:rsid w:val="00F96E7C"/>
    <w:rPr>
      <w:color w:val="800080"/>
      <w:u w:val="single"/>
    </w:rPr>
  </w:style>
  <w:style w:type="character" w:customStyle="1" w:styleId="searchterm1">
    <w:name w:val="searchterm1"/>
    <w:rsid w:val="00F96E7C"/>
    <w:rPr>
      <w:b/>
      <w:bCs/>
      <w:shd w:val="clear" w:color="auto" w:fill="FFFF00"/>
    </w:rPr>
  </w:style>
  <w:style w:type="character" w:customStyle="1" w:styleId="informationalsmall3">
    <w:name w:val="informationalsmall3"/>
    <w:rsid w:val="00F96E7C"/>
    <w:rPr>
      <w:rFonts w:ascii="Verdana" w:hAnsi="Verdana" w:hint="default"/>
      <w:sz w:val="14"/>
      <w:szCs w:val="14"/>
    </w:rPr>
  </w:style>
  <w:style w:type="character" w:customStyle="1" w:styleId="informationalsmall">
    <w:name w:val="informationalsmall"/>
    <w:basedOn w:val="DefaultParagraphFont"/>
    <w:rsid w:val="00F96E7C"/>
  </w:style>
  <w:style w:type="character" w:customStyle="1" w:styleId="groupheading2">
    <w:name w:val="groupheading2"/>
    <w:rsid w:val="00F96E7C"/>
    <w:rPr>
      <w:rFonts w:ascii="Verdana" w:hAnsi="Verdana" w:hint="default"/>
      <w:b/>
      <w:bCs/>
      <w:sz w:val="19"/>
      <w:szCs w:val="19"/>
    </w:rPr>
  </w:style>
  <w:style w:type="character" w:customStyle="1" w:styleId="em1">
    <w:name w:val="em1"/>
    <w:rsid w:val="00F96E7C"/>
    <w:rPr>
      <w:i/>
      <w:iCs/>
    </w:rPr>
  </w:style>
  <w:style w:type="character" w:customStyle="1" w:styleId="bold1">
    <w:name w:val="bold1"/>
    <w:rsid w:val="00532396"/>
    <w:rPr>
      <w:b/>
      <w:bCs/>
    </w:rPr>
  </w:style>
  <w:style w:type="paragraph" w:styleId="BalloonText">
    <w:name w:val="Balloon Text"/>
    <w:basedOn w:val="Normal"/>
    <w:semiHidden/>
    <w:rsid w:val="003243EF"/>
    <w:rPr>
      <w:rFonts w:ascii="Tahoma" w:hAnsi="Tahoma" w:cs="Tahoma"/>
      <w:sz w:val="16"/>
      <w:szCs w:val="16"/>
    </w:rPr>
  </w:style>
  <w:style w:type="character" w:customStyle="1" w:styleId="informationalsmall4">
    <w:name w:val="informationalsmall4"/>
    <w:rsid w:val="0001528C"/>
    <w:rPr>
      <w:rFonts w:ascii="Verdana" w:hAnsi="Verdana" w:hint="default"/>
      <w:sz w:val="14"/>
      <w:szCs w:val="14"/>
    </w:rPr>
  </w:style>
  <w:style w:type="paragraph" w:styleId="HTMLPreformatted">
    <w:name w:val="HTML Preformatted"/>
    <w:basedOn w:val="Normal"/>
    <w:rsid w:val="0001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searchterm">
    <w:name w:val="searchterm"/>
    <w:basedOn w:val="DefaultParagraphFont"/>
    <w:rsid w:val="0001528C"/>
  </w:style>
  <w:style w:type="paragraph" w:styleId="BodyText2">
    <w:name w:val="Body Text 2"/>
    <w:basedOn w:val="Normal"/>
    <w:rsid w:val="00D20EC7"/>
    <w:pPr>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iep/forms/word/IEP1-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0B78F-40E9-4923-A3B4-759F81EB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3891</Words>
  <Characters>22182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XP.S. BSEA #12-7316</vt:lpstr>
    </vt:vector>
  </TitlesOfParts>
  <Company/>
  <LinksUpToDate>false</LinksUpToDate>
  <CharactersWithSpaces>26021</CharactersWithSpaces>
  <SharedDoc>false</SharedDoc>
  <HLinks>
    <vt:vector size="6" baseType="variant">
      <vt:variant>
        <vt:i4>7995443</vt:i4>
      </vt:variant>
      <vt:variant>
        <vt:i4>0</vt:i4>
      </vt:variant>
      <vt:variant>
        <vt:i4>0</vt:i4>
      </vt:variant>
      <vt:variant>
        <vt:i4>5</vt:i4>
      </vt:variant>
      <vt:variant>
        <vt:lpwstr>http://www.doe.mass.edu/sped/iep/forms/word/IEP1-8.doc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XP.S. BSEA #12-7316</dc:title>
  <dc:subject/>
  <dc:creator>ESE</dc:creator>
  <cp:keywords/>
  <cp:lastModifiedBy>dzou</cp:lastModifiedBy>
  <cp:revision>5</cp:revision>
  <cp:lastPrinted>2012-07-25T20:26:00Z</cp:lastPrinted>
  <dcterms:created xsi:type="dcterms:W3CDTF">2012-08-16T15:35:00Z</dcterms:created>
  <dcterms:modified xsi:type="dcterms:W3CDTF">2016-01-04T19:45:00Z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25 2012</vt:lpwstr>
  </property>
</Properties>
</file>