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C07" w:rsidRPr="001166A6" w:rsidRDefault="007A0F64" w:rsidP="007A0F64">
      <w:pPr>
        <w:spacing w:before="100" w:beforeAutospacing="1" w:after="0"/>
        <w:jc w:val="center"/>
        <w:rPr>
          <w:b/>
          <w:sz w:val="24"/>
          <w:szCs w:val="24"/>
        </w:rPr>
      </w:pPr>
      <w:bookmarkStart w:id="0" w:name="_GoBack"/>
      <w:bookmarkEnd w:id="0"/>
      <w:r w:rsidRPr="001166A6">
        <w:rPr>
          <w:b/>
          <w:sz w:val="24"/>
          <w:szCs w:val="24"/>
        </w:rPr>
        <w:t>COMMONWEALTH OF MASSACHUSETTS</w:t>
      </w:r>
    </w:p>
    <w:p w:rsidR="007A0F64" w:rsidRPr="001166A6" w:rsidRDefault="007A0F64" w:rsidP="007A0F64">
      <w:pPr>
        <w:spacing w:after="0"/>
        <w:jc w:val="center"/>
        <w:rPr>
          <w:b/>
          <w:sz w:val="24"/>
          <w:szCs w:val="24"/>
        </w:rPr>
      </w:pPr>
      <w:r w:rsidRPr="001166A6">
        <w:rPr>
          <w:b/>
          <w:sz w:val="24"/>
          <w:szCs w:val="24"/>
        </w:rPr>
        <w:t>DIVISION OF ADMINISTRATIVE LAW APPEALS</w:t>
      </w:r>
    </w:p>
    <w:p w:rsidR="007A0F64" w:rsidRPr="001166A6" w:rsidRDefault="007A0F64" w:rsidP="007A0F64">
      <w:pPr>
        <w:spacing w:after="0"/>
        <w:jc w:val="center"/>
        <w:rPr>
          <w:b/>
          <w:sz w:val="24"/>
          <w:szCs w:val="24"/>
        </w:rPr>
      </w:pPr>
      <w:r w:rsidRPr="001166A6">
        <w:rPr>
          <w:b/>
          <w:sz w:val="24"/>
          <w:szCs w:val="24"/>
        </w:rPr>
        <w:t>SPECIAL EDUCATION APPEALS</w:t>
      </w:r>
    </w:p>
    <w:p w:rsidR="007A0F64" w:rsidRPr="001166A6" w:rsidRDefault="007A0F64" w:rsidP="007A0F64">
      <w:pPr>
        <w:spacing w:after="0"/>
        <w:jc w:val="center"/>
        <w:rPr>
          <w:b/>
          <w:sz w:val="24"/>
          <w:szCs w:val="24"/>
        </w:rPr>
      </w:pPr>
    </w:p>
    <w:p w:rsidR="007A0F64" w:rsidRPr="001166A6" w:rsidRDefault="007A0F64" w:rsidP="007A0F64">
      <w:pPr>
        <w:spacing w:after="0"/>
        <w:rPr>
          <w:sz w:val="24"/>
          <w:szCs w:val="24"/>
        </w:rPr>
      </w:pPr>
      <w:r w:rsidRPr="001166A6">
        <w:rPr>
          <w:b/>
          <w:sz w:val="24"/>
          <w:szCs w:val="24"/>
        </w:rPr>
        <w:t>In Re:</w:t>
      </w:r>
      <w:r w:rsidRPr="001166A6">
        <w:rPr>
          <w:sz w:val="24"/>
          <w:szCs w:val="24"/>
        </w:rPr>
        <w:t xml:space="preserve">   Emmet K. v.</w:t>
      </w:r>
      <w:r w:rsidRPr="001166A6">
        <w:rPr>
          <w:sz w:val="24"/>
          <w:szCs w:val="24"/>
        </w:rPr>
        <w:tab/>
      </w:r>
      <w:r w:rsidRPr="001166A6">
        <w:rPr>
          <w:sz w:val="24"/>
          <w:szCs w:val="24"/>
        </w:rPr>
        <w:tab/>
      </w:r>
      <w:r w:rsidRPr="001166A6">
        <w:rPr>
          <w:sz w:val="24"/>
          <w:szCs w:val="24"/>
        </w:rPr>
        <w:tab/>
      </w:r>
      <w:r w:rsidRPr="001166A6">
        <w:rPr>
          <w:sz w:val="24"/>
          <w:szCs w:val="24"/>
        </w:rPr>
        <w:tab/>
      </w:r>
      <w:r w:rsidRPr="001166A6">
        <w:rPr>
          <w:sz w:val="24"/>
          <w:szCs w:val="24"/>
        </w:rPr>
        <w:tab/>
      </w:r>
      <w:r w:rsidRPr="001166A6">
        <w:rPr>
          <w:sz w:val="24"/>
          <w:szCs w:val="24"/>
        </w:rPr>
        <w:tab/>
      </w:r>
      <w:r w:rsidRPr="001166A6">
        <w:rPr>
          <w:sz w:val="24"/>
          <w:szCs w:val="24"/>
        </w:rPr>
        <w:tab/>
      </w:r>
      <w:r w:rsidR="00686D90" w:rsidRPr="001166A6">
        <w:rPr>
          <w:sz w:val="24"/>
          <w:szCs w:val="24"/>
        </w:rPr>
        <w:tab/>
      </w:r>
      <w:r w:rsidRPr="001166A6">
        <w:rPr>
          <w:b/>
          <w:sz w:val="24"/>
          <w:szCs w:val="24"/>
        </w:rPr>
        <w:t>BSEA #</w:t>
      </w:r>
      <w:r w:rsidRPr="001166A6">
        <w:rPr>
          <w:sz w:val="24"/>
          <w:szCs w:val="24"/>
        </w:rPr>
        <w:t>12-8582</w:t>
      </w:r>
    </w:p>
    <w:p w:rsidR="007A0F64" w:rsidRPr="001166A6" w:rsidRDefault="007A0F64" w:rsidP="007A0F64">
      <w:pPr>
        <w:spacing w:after="0"/>
        <w:ind w:firstLine="720"/>
        <w:rPr>
          <w:sz w:val="24"/>
          <w:szCs w:val="24"/>
        </w:rPr>
      </w:pPr>
      <w:r w:rsidRPr="001166A6">
        <w:rPr>
          <w:sz w:val="24"/>
          <w:szCs w:val="24"/>
        </w:rPr>
        <w:t>Gateway Public Schools</w:t>
      </w:r>
    </w:p>
    <w:p w:rsidR="007A0F64" w:rsidRPr="001166A6" w:rsidRDefault="007A0F64" w:rsidP="007A0F64">
      <w:pPr>
        <w:spacing w:after="0"/>
        <w:rPr>
          <w:sz w:val="24"/>
          <w:szCs w:val="24"/>
        </w:rPr>
      </w:pPr>
    </w:p>
    <w:p w:rsidR="007A0F64" w:rsidRPr="001166A6" w:rsidRDefault="008D2C29" w:rsidP="008D2C29">
      <w:pPr>
        <w:spacing w:after="0"/>
        <w:jc w:val="center"/>
        <w:rPr>
          <w:b/>
          <w:sz w:val="24"/>
          <w:szCs w:val="24"/>
        </w:rPr>
      </w:pPr>
      <w:r w:rsidRPr="001166A6">
        <w:rPr>
          <w:b/>
          <w:sz w:val="24"/>
          <w:szCs w:val="24"/>
        </w:rPr>
        <w:t>Ruling on Gateway’s Motion to Join the Department of Children and Families</w:t>
      </w:r>
    </w:p>
    <w:p w:rsidR="007A0F64" w:rsidRPr="001166A6" w:rsidRDefault="007A0F64" w:rsidP="007A0F64">
      <w:pPr>
        <w:spacing w:after="0"/>
        <w:rPr>
          <w:sz w:val="24"/>
          <w:szCs w:val="24"/>
        </w:rPr>
      </w:pPr>
    </w:p>
    <w:p w:rsidR="008D2C29" w:rsidRPr="001166A6" w:rsidRDefault="00686D90" w:rsidP="008D2C29">
      <w:pPr>
        <w:spacing w:after="0"/>
        <w:rPr>
          <w:sz w:val="24"/>
          <w:szCs w:val="24"/>
        </w:rPr>
      </w:pPr>
      <w:r w:rsidRPr="001166A6">
        <w:rPr>
          <w:sz w:val="24"/>
          <w:szCs w:val="24"/>
        </w:rPr>
        <w:t xml:space="preserve">Parents requested a Hearing in the above-referenced matter on May 29, 2012, seeking public funding for residential placement of Student.   </w:t>
      </w:r>
      <w:r w:rsidR="008D2C29" w:rsidRPr="001166A6">
        <w:rPr>
          <w:sz w:val="24"/>
          <w:szCs w:val="24"/>
        </w:rPr>
        <w:t xml:space="preserve">On July 3, 2012, Gateway Public Schools (Gateway) filed a Motion to Join the Department of Children and Families </w:t>
      </w:r>
      <w:r w:rsidR="00A101D2" w:rsidRPr="001166A6">
        <w:rPr>
          <w:sz w:val="24"/>
          <w:szCs w:val="24"/>
        </w:rPr>
        <w:t xml:space="preserve">(DCF) </w:t>
      </w:r>
      <w:r w:rsidR="008D2C29" w:rsidRPr="001166A6">
        <w:rPr>
          <w:sz w:val="24"/>
          <w:szCs w:val="24"/>
        </w:rPr>
        <w:t>in the above-referenced matter.</w:t>
      </w:r>
    </w:p>
    <w:p w:rsidR="00686D90" w:rsidRPr="001166A6" w:rsidRDefault="00686D90" w:rsidP="008D2C29">
      <w:pPr>
        <w:spacing w:after="0"/>
        <w:rPr>
          <w:sz w:val="24"/>
          <w:szCs w:val="24"/>
        </w:rPr>
      </w:pPr>
    </w:p>
    <w:p w:rsidR="00F43E8B" w:rsidRPr="001166A6" w:rsidRDefault="006B175D" w:rsidP="008D2C29">
      <w:pPr>
        <w:spacing w:after="0"/>
        <w:rPr>
          <w:sz w:val="24"/>
          <w:szCs w:val="24"/>
        </w:rPr>
      </w:pPr>
      <w:r w:rsidRPr="001166A6">
        <w:rPr>
          <w:sz w:val="24"/>
          <w:szCs w:val="24"/>
        </w:rPr>
        <w:t>DCF filed an Opposition to Gateway’s Motion to Join the Department of Children and Families</w:t>
      </w:r>
      <w:r w:rsidR="00F43E8B" w:rsidRPr="001166A6">
        <w:rPr>
          <w:sz w:val="24"/>
          <w:szCs w:val="24"/>
        </w:rPr>
        <w:t xml:space="preserve"> on July 11, 2012.  This Ruling is rendered in consideration of the arguments and documents</w:t>
      </w:r>
      <w:r w:rsidR="002313EC" w:rsidRPr="001166A6">
        <w:rPr>
          <w:sz w:val="24"/>
          <w:szCs w:val="24"/>
        </w:rPr>
        <w:t xml:space="preserve"> </w:t>
      </w:r>
      <w:r w:rsidR="00F43E8B" w:rsidRPr="001166A6">
        <w:rPr>
          <w:sz w:val="24"/>
          <w:szCs w:val="24"/>
        </w:rPr>
        <w:t>submitted by the Parties</w:t>
      </w:r>
      <w:r w:rsidR="002313EC" w:rsidRPr="001166A6">
        <w:rPr>
          <w:sz w:val="24"/>
          <w:szCs w:val="24"/>
        </w:rPr>
        <w:t>,</w:t>
      </w:r>
      <w:r w:rsidR="00F43E8B" w:rsidRPr="001166A6">
        <w:rPr>
          <w:sz w:val="24"/>
          <w:szCs w:val="24"/>
        </w:rPr>
        <w:t xml:space="preserve"> and seeks to address solely the question of whether </w:t>
      </w:r>
      <w:proofErr w:type="spellStart"/>
      <w:r w:rsidR="00F43E8B" w:rsidRPr="001166A6">
        <w:rPr>
          <w:sz w:val="24"/>
          <w:szCs w:val="24"/>
        </w:rPr>
        <w:t>joinder</w:t>
      </w:r>
      <w:proofErr w:type="spellEnd"/>
      <w:r w:rsidR="00F43E8B" w:rsidRPr="001166A6">
        <w:rPr>
          <w:sz w:val="24"/>
          <w:szCs w:val="24"/>
        </w:rPr>
        <w:t xml:space="preserve"> of DCF is necessary for a full disposition of the case</w:t>
      </w:r>
      <w:r w:rsidR="00991ADE">
        <w:rPr>
          <w:sz w:val="24"/>
          <w:szCs w:val="24"/>
        </w:rPr>
        <w:t>,</w:t>
      </w:r>
      <w:r w:rsidR="002313EC" w:rsidRPr="001166A6">
        <w:rPr>
          <w:sz w:val="24"/>
          <w:szCs w:val="24"/>
        </w:rPr>
        <w:t xml:space="preserve"> without rendering any determination as to whether it will ultimately be found responsible to provide services beyond those for which Gateway may be found responsible and consistent with the array of services offered by DCF</w:t>
      </w:r>
      <w:r w:rsidR="00F43E8B" w:rsidRPr="001166A6">
        <w:rPr>
          <w:sz w:val="24"/>
          <w:szCs w:val="24"/>
        </w:rPr>
        <w:t>.</w:t>
      </w:r>
    </w:p>
    <w:p w:rsidR="00686D90" w:rsidRPr="001166A6" w:rsidRDefault="00F43E8B" w:rsidP="008D2C29">
      <w:pPr>
        <w:spacing w:after="0"/>
        <w:rPr>
          <w:sz w:val="24"/>
          <w:szCs w:val="24"/>
        </w:rPr>
      </w:pPr>
      <w:r w:rsidRPr="001166A6">
        <w:rPr>
          <w:sz w:val="24"/>
          <w:szCs w:val="24"/>
        </w:rPr>
        <w:t xml:space="preserve"> </w:t>
      </w:r>
    </w:p>
    <w:p w:rsidR="00686D90" w:rsidRPr="001166A6" w:rsidRDefault="00686D90" w:rsidP="008D2C29">
      <w:pPr>
        <w:spacing w:after="0"/>
        <w:rPr>
          <w:sz w:val="24"/>
          <w:szCs w:val="24"/>
        </w:rPr>
      </w:pPr>
      <w:r w:rsidRPr="001166A6">
        <w:rPr>
          <w:sz w:val="24"/>
          <w:szCs w:val="24"/>
          <w:u w:val="single"/>
        </w:rPr>
        <w:t>F</w:t>
      </w:r>
      <w:r w:rsidR="004A4333" w:rsidRPr="001166A6">
        <w:rPr>
          <w:sz w:val="24"/>
          <w:szCs w:val="24"/>
          <w:u w:val="single"/>
        </w:rPr>
        <w:t>acts</w:t>
      </w:r>
      <w:r w:rsidRPr="001166A6">
        <w:rPr>
          <w:sz w:val="24"/>
          <w:szCs w:val="24"/>
        </w:rPr>
        <w:t>:</w:t>
      </w:r>
    </w:p>
    <w:p w:rsidR="00686D90" w:rsidRPr="001166A6" w:rsidRDefault="00686D90" w:rsidP="008D2C29">
      <w:pPr>
        <w:spacing w:after="0"/>
        <w:rPr>
          <w:sz w:val="24"/>
          <w:szCs w:val="24"/>
        </w:rPr>
      </w:pPr>
    </w:p>
    <w:p w:rsidR="00686D90" w:rsidRPr="000E0C7C" w:rsidRDefault="00686D90" w:rsidP="000E0C7C">
      <w:pPr>
        <w:pStyle w:val="ListParagraph"/>
        <w:numPr>
          <w:ilvl w:val="0"/>
          <w:numId w:val="4"/>
        </w:numPr>
        <w:spacing w:after="0"/>
        <w:rPr>
          <w:sz w:val="24"/>
          <w:szCs w:val="24"/>
        </w:rPr>
      </w:pPr>
      <w:r w:rsidRPr="000E0C7C">
        <w:rPr>
          <w:sz w:val="24"/>
          <w:szCs w:val="24"/>
        </w:rPr>
        <w:t xml:space="preserve">Student is a 14 year old resident of </w:t>
      </w:r>
      <w:proofErr w:type="spellStart"/>
      <w:r w:rsidRPr="000E0C7C">
        <w:rPr>
          <w:sz w:val="24"/>
          <w:szCs w:val="24"/>
        </w:rPr>
        <w:t>Blandford</w:t>
      </w:r>
      <w:proofErr w:type="spellEnd"/>
      <w:r w:rsidRPr="000E0C7C">
        <w:rPr>
          <w:sz w:val="24"/>
          <w:szCs w:val="24"/>
        </w:rPr>
        <w:t>, Massachusetts.  His eligibility for special education is not disputed by the parties. Prior to March 2012, Student received educational services in Gateway.</w:t>
      </w:r>
    </w:p>
    <w:p w:rsidR="00686D90" w:rsidRPr="001166A6" w:rsidRDefault="00686D90" w:rsidP="008D2C29">
      <w:pPr>
        <w:spacing w:after="0"/>
        <w:rPr>
          <w:sz w:val="24"/>
          <w:szCs w:val="24"/>
        </w:rPr>
      </w:pPr>
    </w:p>
    <w:p w:rsidR="00560B73" w:rsidRPr="000E0C7C" w:rsidRDefault="00A101D2" w:rsidP="000E0C7C">
      <w:pPr>
        <w:pStyle w:val="ListParagraph"/>
        <w:numPr>
          <w:ilvl w:val="0"/>
          <w:numId w:val="4"/>
        </w:numPr>
        <w:spacing w:after="0"/>
        <w:rPr>
          <w:sz w:val="24"/>
          <w:szCs w:val="24"/>
        </w:rPr>
      </w:pPr>
      <w:r w:rsidRPr="000E0C7C">
        <w:rPr>
          <w:sz w:val="24"/>
          <w:szCs w:val="24"/>
        </w:rPr>
        <w:t>Student and his family be</w:t>
      </w:r>
      <w:r w:rsidR="00991ADE" w:rsidRPr="000E0C7C">
        <w:rPr>
          <w:sz w:val="24"/>
          <w:szCs w:val="24"/>
        </w:rPr>
        <w:t>came</w:t>
      </w:r>
      <w:r w:rsidRPr="000E0C7C">
        <w:rPr>
          <w:sz w:val="24"/>
          <w:szCs w:val="24"/>
        </w:rPr>
        <w:t xml:space="preserve"> clients of DCF in </w:t>
      </w:r>
      <w:r w:rsidR="00E871A7" w:rsidRPr="000E0C7C">
        <w:rPr>
          <w:sz w:val="24"/>
          <w:szCs w:val="24"/>
        </w:rPr>
        <w:t xml:space="preserve">the spring of 2009.  </w:t>
      </w:r>
    </w:p>
    <w:p w:rsidR="00374B95" w:rsidRPr="001166A6" w:rsidRDefault="00374B95" w:rsidP="008D2C29">
      <w:pPr>
        <w:spacing w:after="0"/>
        <w:rPr>
          <w:sz w:val="24"/>
          <w:szCs w:val="24"/>
        </w:rPr>
      </w:pPr>
    </w:p>
    <w:p w:rsidR="00374B95" w:rsidRPr="000E0C7C" w:rsidRDefault="00374B95" w:rsidP="000E0C7C">
      <w:pPr>
        <w:pStyle w:val="ListParagraph"/>
        <w:numPr>
          <w:ilvl w:val="0"/>
          <w:numId w:val="4"/>
        </w:numPr>
        <w:spacing w:after="0"/>
        <w:rPr>
          <w:sz w:val="24"/>
          <w:szCs w:val="24"/>
        </w:rPr>
      </w:pPr>
      <w:r w:rsidRPr="000E0C7C">
        <w:rPr>
          <w:sz w:val="24"/>
          <w:szCs w:val="24"/>
        </w:rPr>
        <w:t xml:space="preserve">In </w:t>
      </w:r>
      <w:r w:rsidR="008F546F" w:rsidRPr="000E0C7C">
        <w:rPr>
          <w:sz w:val="24"/>
          <w:szCs w:val="24"/>
        </w:rPr>
        <w:t xml:space="preserve">mid </w:t>
      </w:r>
      <w:r w:rsidRPr="000E0C7C">
        <w:rPr>
          <w:sz w:val="24"/>
          <w:szCs w:val="24"/>
        </w:rPr>
        <w:t>May 2009</w:t>
      </w:r>
      <w:r w:rsidR="00991ADE" w:rsidRPr="000E0C7C">
        <w:rPr>
          <w:sz w:val="24"/>
          <w:szCs w:val="24"/>
        </w:rPr>
        <w:t>,</w:t>
      </w:r>
      <w:r w:rsidRPr="000E0C7C">
        <w:rPr>
          <w:sz w:val="24"/>
          <w:szCs w:val="24"/>
        </w:rPr>
        <w:t xml:space="preserve"> DCF attended a Team meeting for Student at which time the DCF representative stated that DCF was applying for residential placement for Student.  Gateway agreed to visit the schools identified by DCF, and further agreed to fund the day portion of Student’s placement</w:t>
      </w:r>
      <w:r w:rsidR="008F546F" w:rsidRPr="000E0C7C">
        <w:rPr>
          <w:sz w:val="24"/>
          <w:szCs w:val="24"/>
        </w:rPr>
        <w:t xml:space="preserve"> (SE-1)</w:t>
      </w:r>
      <w:r w:rsidRPr="000E0C7C">
        <w:rPr>
          <w:sz w:val="24"/>
          <w:szCs w:val="24"/>
        </w:rPr>
        <w:t xml:space="preserve">.  </w:t>
      </w:r>
    </w:p>
    <w:p w:rsidR="00560B73" w:rsidRPr="001166A6" w:rsidRDefault="00560B73" w:rsidP="008D2C29">
      <w:pPr>
        <w:spacing w:after="0"/>
        <w:rPr>
          <w:sz w:val="24"/>
          <w:szCs w:val="24"/>
        </w:rPr>
      </w:pPr>
    </w:p>
    <w:p w:rsidR="007C2545" w:rsidRPr="000E0C7C" w:rsidRDefault="008F546F" w:rsidP="000E0C7C">
      <w:pPr>
        <w:pStyle w:val="ListParagraph"/>
        <w:numPr>
          <w:ilvl w:val="0"/>
          <w:numId w:val="4"/>
        </w:numPr>
        <w:spacing w:after="0"/>
        <w:rPr>
          <w:sz w:val="24"/>
          <w:szCs w:val="24"/>
        </w:rPr>
      </w:pPr>
      <w:r w:rsidRPr="000E0C7C">
        <w:rPr>
          <w:sz w:val="24"/>
          <w:szCs w:val="24"/>
        </w:rPr>
        <w:t>During the 2009-2010 and the 2010-2011 school years, Student attended Eagleton School under a cost-share agreement whereby DCF funded the residential portion and Gateway the educational portion of Student’s placement</w:t>
      </w:r>
      <w:r w:rsidR="007C2545" w:rsidRPr="000E0C7C">
        <w:rPr>
          <w:sz w:val="24"/>
          <w:szCs w:val="24"/>
        </w:rPr>
        <w:t xml:space="preserve"> (SE-2)</w:t>
      </w:r>
      <w:r w:rsidRPr="000E0C7C">
        <w:rPr>
          <w:sz w:val="24"/>
          <w:szCs w:val="24"/>
        </w:rPr>
        <w:t xml:space="preserve">.  </w:t>
      </w:r>
    </w:p>
    <w:p w:rsidR="007C2545" w:rsidRPr="001166A6" w:rsidRDefault="007C2545" w:rsidP="008F546F">
      <w:pPr>
        <w:spacing w:after="0"/>
        <w:rPr>
          <w:sz w:val="24"/>
          <w:szCs w:val="24"/>
        </w:rPr>
      </w:pPr>
    </w:p>
    <w:p w:rsidR="007C2545" w:rsidRPr="000E0C7C" w:rsidRDefault="007C2545" w:rsidP="000E0C7C">
      <w:pPr>
        <w:pStyle w:val="ListParagraph"/>
        <w:numPr>
          <w:ilvl w:val="0"/>
          <w:numId w:val="4"/>
        </w:numPr>
        <w:spacing w:after="0"/>
        <w:rPr>
          <w:sz w:val="24"/>
          <w:szCs w:val="24"/>
        </w:rPr>
      </w:pPr>
      <w:r w:rsidRPr="000E0C7C">
        <w:rPr>
          <w:sz w:val="24"/>
          <w:szCs w:val="24"/>
        </w:rPr>
        <w:lastRenderedPageBreak/>
        <w:t xml:space="preserve">In June 2011, Student’s Tam </w:t>
      </w:r>
      <w:r w:rsidR="00A60226" w:rsidRPr="000E0C7C">
        <w:rPr>
          <w:sz w:val="24"/>
          <w:szCs w:val="24"/>
        </w:rPr>
        <w:t>convened and recommended that Student be moved to a less restrictive setting.  Gateway proposed that Student attend a substantially separate program at the Gateway Regional Junior High School for the period from June 20, 2011 through June 19, 2012.  Parents accepted the IEP in full on September 12, 2011 (SE-3).</w:t>
      </w:r>
    </w:p>
    <w:p w:rsidR="006776CC" w:rsidRPr="001166A6" w:rsidRDefault="006776CC" w:rsidP="008F546F">
      <w:pPr>
        <w:spacing w:after="0"/>
        <w:rPr>
          <w:sz w:val="24"/>
          <w:szCs w:val="24"/>
        </w:rPr>
      </w:pPr>
    </w:p>
    <w:p w:rsidR="006776CC" w:rsidRPr="000E0C7C" w:rsidRDefault="006776CC" w:rsidP="000E0C7C">
      <w:pPr>
        <w:pStyle w:val="ListParagraph"/>
        <w:numPr>
          <w:ilvl w:val="0"/>
          <w:numId w:val="4"/>
        </w:numPr>
        <w:spacing w:after="0"/>
        <w:rPr>
          <w:sz w:val="24"/>
          <w:szCs w:val="24"/>
        </w:rPr>
      </w:pPr>
      <w:r w:rsidRPr="000E0C7C">
        <w:rPr>
          <w:sz w:val="24"/>
          <w:szCs w:val="24"/>
        </w:rPr>
        <w:t>In September 2011, Student began attending Gateway.  At Gateway Student had good attendance and did not display the violent behaviors that Parent reported in the home.</w:t>
      </w:r>
    </w:p>
    <w:p w:rsidR="006776CC" w:rsidRPr="001166A6" w:rsidRDefault="006776CC" w:rsidP="008F546F">
      <w:pPr>
        <w:spacing w:after="0"/>
        <w:rPr>
          <w:sz w:val="24"/>
          <w:szCs w:val="24"/>
        </w:rPr>
      </w:pPr>
    </w:p>
    <w:p w:rsidR="007C2545" w:rsidRPr="000E0C7C" w:rsidRDefault="007C2545" w:rsidP="000E0C7C">
      <w:pPr>
        <w:pStyle w:val="ListParagraph"/>
        <w:numPr>
          <w:ilvl w:val="0"/>
          <w:numId w:val="4"/>
        </w:numPr>
        <w:spacing w:after="0"/>
        <w:rPr>
          <w:sz w:val="24"/>
          <w:szCs w:val="24"/>
        </w:rPr>
      </w:pPr>
      <w:r w:rsidRPr="000E0C7C">
        <w:rPr>
          <w:sz w:val="24"/>
          <w:szCs w:val="24"/>
        </w:rPr>
        <w:t>On March 25, 2012 he was hospitalized at Westwood Lodge (Westwood) due to violent behavior in the home.  From Westwood, Student was transferred to the Providence Hospital ART on April 5, 2012 and later transferred to the CHAD Unit in Providence Hospital on April 29, 2012.</w:t>
      </w:r>
    </w:p>
    <w:p w:rsidR="006776CC" w:rsidRPr="001166A6" w:rsidRDefault="006776CC" w:rsidP="007C2545">
      <w:pPr>
        <w:spacing w:after="0"/>
        <w:rPr>
          <w:sz w:val="24"/>
          <w:szCs w:val="24"/>
        </w:rPr>
      </w:pPr>
    </w:p>
    <w:p w:rsidR="006776CC" w:rsidRPr="000E0C7C" w:rsidRDefault="006776CC" w:rsidP="000E0C7C">
      <w:pPr>
        <w:pStyle w:val="ListParagraph"/>
        <w:numPr>
          <w:ilvl w:val="0"/>
          <w:numId w:val="4"/>
        </w:numPr>
        <w:spacing w:after="0"/>
        <w:rPr>
          <w:sz w:val="24"/>
          <w:szCs w:val="24"/>
        </w:rPr>
      </w:pPr>
      <w:r w:rsidRPr="000E0C7C">
        <w:rPr>
          <w:sz w:val="24"/>
          <w:szCs w:val="24"/>
        </w:rPr>
        <w:t>Parents and the Providence Hospital staff met on April 13, 2012 and DCF joined the aforementioned at a second meeting held on April 17, 2012.  Gateway was not informed of either meeting nor invited to attend.</w:t>
      </w:r>
    </w:p>
    <w:p w:rsidR="0017072F" w:rsidRPr="001166A6" w:rsidRDefault="0017072F" w:rsidP="007C2545">
      <w:pPr>
        <w:spacing w:after="0"/>
        <w:rPr>
          <w:sz w:val="24"/>
          <w:szCs w:val="24"/>
        </w:rPr>
      </w:pPr>
    </w:p>
    <w:p w:rsidR="0017072F" w:rsidRPr="000E0C7C" w:rsidRDefault="0017072F" w:rsidP="000E0C7C">
      <w:pPr>
        <w:pStyle w:val="ListParagraph"/>
        <w:numPr>
          <w:ilvl w:val="0"/>
          <w:numId w:val="4"/>
        </w:numPr>
        <w:spacing w:after="0"/>
        <w:rPr>
          <w:sz w:val="24"/>
          <w:szCs w:val="24"/>
        </w:rPr>
      </w:pPr>
      <w:r w:rsidRPr="000E0C7C">
        <w:rPr>
          <w:sz w:val="24"/>
          <w:szCs w:val="24"/>
        </w:rPr>
        <w:t xml:space="preserve">On April 23, 2012, Alice </w:t>
      </w:r>
      <w:proofErr w:type="spellStart"/>
      <w:r w:rsidRPr="000E0C7C">
        <w:rPr>
          <w:sz w:val="24"/>
          <w:szCs w:val="24"/>
        </w:rPr>
        <w:t>Taverna</w:t>
      </w:r>
      <w:proofErr w:type="spellEnd"/>
      <w:r w:rsidRPr="000E0C7C">
        <w:rPr>
          <w:sz w:val="24"/>
          <w:szCs w:val="24"/>
        </w:rPr>
        <w:t>, Special Education Director at Gateway</w:t>
      </w:r>
      <w:r w:rsidR="0009205D" w:rsidRPr="000E0C7C">
        <w:rPr>
          <w:sz w:val="24"/>
          <w:szCs w:val="24"/>
        </w:rPr>
        <w:t xml:space="preserve">, contacted Student’s clinician who informed Ms. </w:t>
      </w:r>
      <w:proofErr w:type="spellStart"/>
      <w:r w:rsidR="0009205D" w:rsidRPr="000E0C7C">
        <w:rPr>
          <w:sz w:val="24"/>
          <w:szCs w:val="24"/>
        </w:rPr>
        <w:t>Taverna</w:t>
      </w:r>
      <w:proofErr w:type="spellEnd"/>
      <w:r w:rsidR="0009205D" w:rsidRPr="000E0C7C">
        <w:rPr>
          <w:sz w:val="24"/>
          <w:szCs w:val="24"/>
        </w:rPr>
        <w:t xml:space="preserve"> </w:t>
      </w:r>
      <w:r w:rsidRPr="000E0C7C">
        <w:rPr>
          <w:sz w:val="24"/>
          <w:szCs w:val="24"/>
        </w:rPr>
        <w:t>that</w:t>
      </w:r>
      <w:r w:rsidR="0009205D" w:rsidRPr="000E0C7C">
        <w:rPr>
          <w:sz w:val="24"/>
          <w:szCs w:val="24"/>
        </w:rPr>
        <w:t xml:space="preserve"> </w:t>
      </w:r>
      <w:r w:rsidRPr="000E0C7C">
        <w:rPr>
          <w:sz w:val="24"/>
          <w:szCs w:val="24"/>
        </w:rPr>
        <w:t xml:space="preserve">Parents, DCF and the Providence Hospital staff would meet on April 24, 2012.  </w:t>
      </w:r>
      <w:r w:rsidR="00B437E2" w:rsidRPr="000E0C7C">
        <w:rPr>
          <w:sz w:val="24"/>
          <w:szCs w:val="24"/>
        </w:rPr>
        <w:t>Because of the sho</w:t>
      </w:r>
      <w:r w:rsidR="00991ADE" w:rsidRPr="000E0C7C">
        <w:rPr>
          <w:sz w:val="24"/>
          <w:szCs w:val="24"/>
        </w:rPr>
        <w:t>r</w:t>
      </w:r>
      <w:r w:rsidR="00B437E2" w:rsidRPr="000E0C7C">
        <w:rPr>
          <w:sz w:val="24"/>
          <w:szCs w:val="24"/>
        </w:rPr>
        <w:t xml:space="preserve">t notice and family illness, </w:t>
      </w:r>
      <w:r w:rsidRPr="000E0C7C">
        <w:rPr>
          <w:sz w:val="24"/>
          <w:szCs w:val="24"/>
        </w:rPr>
        <w:t xml:space="preserve">Ms. </w:t>
      </w:r>
      <w:proofErr w:type="spellStart"/>
      <w:r w:rsidRPr="000E0C7C">
        <w:rPr>
          <w:sz w:val="24"/>
          <w:szCs w:val="24"/>
        </w:rPr>
        <w:t>Taverna</w:t>
      </w:r>
      <w:proofErr w:type="spellEnd"/>
      <w:r w:rsidRPr="000E0C7C">
        <w:rPr>
          <w:sz w:val="24"/>
          <w:szCs w:val="24"/>
        </w:rPr>
        <w:t xml:space="preserve"> was unable to attend</w:t>
      </w:r>
      <w:r w:rsidR="00B437E2" w:rsidRPr="000E0C7C">
        <w:rPr>
          <w:sz w:val="24"/>
          <w:szCs w:val="24"/>
        </w:rPr>
        <w:t xml:space="preserve">, but Gateway’s school adjustment counselor </w:t>
      </w:r>
      <w:r w:rsidR="00991ADE" w:rsidRPr="000E0C7C">
        <w:rPr>
          <w:sz w:val="24"/>
          <w:szCs w:val="24"/>
        </w:rPr>
        <w:t xml:space="preserve">(SAC) </w:t>
      </w:r>
      <w:r w:rsidR="00B437E2" w:rsidRPr="000E0C7C">
        <w:rPr>
          <w:sz w:val="24"/>
          <w:szCs w:val="24"/>
        </w:rPr>
        <w:t>was sent in her stead.</w:t>
      </w:r>
      <w:r w:rsidRPr="000E0C7C">
        <w:rPr>
          <w:sz w:val="24"/>
          <w:szCs w:val="24"/>
        </w:rPr>
        <w:t xml:space="preserve"> </w:t>
      </w:r>
      <w:r w:rsidR="00644A27" w:rsidRPr="000E0C7C">
        <w:rPr>
          <w:sz w:val="24"/>
          <w:szCs w:val="24"/>
        </w:rPr>
        <w:t xml:space="preserve"> Ms. </w:t>
      </w:r>
      <w:proofErr w:type="spellStart"/>
      <w:r w:rsidR="00644A27" w:rsidRPr="000E0C7C">
        <w:rPr>
          <w:sz w:val="24"/>
          <w:szCs w:val="24"/>
        </w:rPr>
        <w:t>Taverna</w:t>
      </w:r>
      <w:proofErr w:type="spellEnd"/>
      <w:r w:rsidR="00644A27" w:rsidRPr="000E0C7C">
        <w:rPr>
          <w:sz w:val="24"/>
          <w:szCs w:val="24"/>
        </w:rPr>
        <w:t xml:space="preserve"> further explained that the SAC would be present for informational purposes but stated that she did not have decision-making authority.</w:t>
      </w:r>
    </w:p>
    <w:p w:rsidR="00644A27" w:rsidRPr="001166A6" w:rsidRDefault="00644A27" w:rsidP="007C2545">
      <w:pPr>
        <w:spacing w:after="0"/>
        <w:rPr>
          <w:sz w:val="24"/>
          <w:szCs w:val="24"/>
        </w:rPr>
      </w:pPr>
    </w:p>
    <w:p w:rsidR="00644A27" w:rsidRPr="000E0C7C" w:rsidRDefault="00644A27" w:rsidP="000E0C7C">
      <w:pPr>
        <w:pStyle w:val="ListParagraph"/>
        <w:numPr>
          <w:ilvl w:val="0"/>
          <w:numId w:val="4"/>
        </w:numPr>
        <w:spacing w:after="0"/>
        <w:rPr>
          <w:sz w:val="24"/>
          <w:szCs w:val="24"/>
        </w:rPr>
      </w:pPr>
      <w:r w:rsidRPr="000E0C7C">
        <w:rPr>
          <w:sz w:val="24"/>
          <w:szCs w:val="24"/>
        </w:rPr>
        <w:t>At the April 24, 2012 meeting, the Providence Hospital staff recommended that Student attend residential placement due to unsafe behavior in the home.  Gateway disagreed that Student required residential placement for educational reasons and hence did not support residential placement.  Following the April 24</w:t>
      </w:r>
      <w:r w:rsidRPr="000E0C7C">
        <w:rPr>
          <w:sz w:val="24"/>
          <w:szCs w:val="24"/>
          <w:vertAlign w:val="superscript"/>
        </w:rPr>
        <w:t>th</w:t>
      </w:r>
      <w:r w:rsidRPr="000E0C7C">
        <w:rPr>
          <w:sz w:val="24"/>
          <w:szCs w:val="24"/>
        </w:rPr>
        <w:t xml:space="preserve"> meeting, Ms. </w:t>
      </w:r>
      <w:proofErr w:type="spellStart"/>
      <w:r w:rsidRPr="000E0C7C">
        <w:rPr>
          <w:sz w:val="24"/>
          <w:szCs w:val="24"/>
        </w:rPr>
        <w:t>Taverna</w:t>
      </w:r>
      <w:proofErr w:type="spellEnd"/>
      <w:r w:rsidRPr="000E0C7C">
        <w:rPr>
          <w:sz w:val="24"/>
          <w:szCs w:val="24"/>
        </w:rPr>
        <w:t xml:space="preserve"> received a letter from </w:t>
      </w:r>
      <w:r w:rsidR="005A1FA3" w:rsidRPr="000E0C7C">
        <w:rPr>
          <w:sz w:val="24"/>
          <w:szCs w:val="24"/>
        </w:rPr>
        <w:t xml:space="preserve">Amanda </w:t>
      </w:r>
      <w:proofErr w:type="spellStart"/>
      <w:r w:rsidRPr="000E0C7C">
        <w:rPr>
          <w:sz w:val="24"/>
          <w:szCs w:val="24"/>
        </w:rPr>
        <w:t>Rilla</w:t>
      </w:r>
      <w:proofErr w:type="spellEnd"/>
      <w:r w:rsidR="005A1FA3" w:rsidRPr="000E0C7C">
        <w:rPr>
          <w:sz w:val="24"/>
          <w:szCs w:val="24"/>
        </w:rPr>
        <w:t>, M.Ed. (Student’s clinician)</w:t>
      </w:r>
      <w:r w:rsidRPr="000E0C7C">
        <w:rPr>
          <w:sz w:val="24"/>
          <w:szCs w:val="24"/>
        </w:rPr>
        <w:t xml:space="preserve"> dated April 18, 2012 recommending discharge of Student to a residential placement to “stabilize and manage [Student’s] aggressive behaviors and to provide structure”. </w:t>
      </w:r>
    </w:p>
    <w:p w:rsidR="004674C4" w:rsidRPr="001166A6" w:rsidRDefault="004674C4" w:rsidP="007C2545">
      <w:pPr>
        <w:spacing w:after="0"/>
        <w:rPr>
          <w:sz w:val="24"/>
          <w:szCs w:val="24"/>
        </w:rPr>
      </w:pPr>
    </w:p>
    <w:p w:rsidR="003B2FC4" w:rsidRPr="000E0C7C" w:rsidRDefault="004674C4" w:rsidP="000E0C7C">
      <w:pPr>
        <w:pStyle w:val="ListParagraph"/>
        <w:numPr>
          <w:ilvl w:val="0"/>
          <w:numId w:val="4"/>
        </w:numPr>
        <w:spacing w:after="0"/>
        <w:rPr>
          <w:sz w:val="24"/>
          <w:szCs w:val="24"/>
        </w:rPr>
      </w:pPr>
      <w:r w:rsidRPr="000E0C7C">
        <w:rPr>
          <w:sz w:val="24"/>
          <w:szCs w:val="24"/>
        </w:rPr>
        <w:t>Gateway convened Student’s Team on May 4</w:t>
      </w:r>
      <w:r w:rsidR="00780A26" w:rsidRPr="000E0C7C">
        <w:rPr>
          <w:sz w:val="24"/>
          <w:szCs w:val="24"/>
        </w:rPr>
        <w:t>, 2012.  The Gatew</w:t>
      </w:r>
      <w:r w:rsidR="00991ADE" w:rsidRPr="000E0C7C">
        <w:rPr>
          <w:sz w:val="24"/>
          <w:szCs w:val="24"/>
        </w:rPr>
        <w:t xml:space="preserve">ay staff opined that since the behaviors reported to be taking place at home which caused Student’s hospitalization were not observed in school, </w:t>
      </w:r>
      <w:r w:rsidR="00780A26" w:rsidRPr="000E0C7C">
        <w:rPr>
          <w:sz w:val="24"/>
          <w:szCs w:val="24"/>
        </w:rPr>
        <w:t>the issue of Student’s safety at home was not educational</w:t>
      </w:r>
      <w:r w:rsidR="00991ADE" w:rsidRPr="000E0C7C">
        <w:rPr>
          <w:sz w:val="24"/>
          <w:szCs w:val="24"/>
        </w:rPr>
        <w:t xml:space="preserve">.   Thus, </w:t>
      </w:r>
      <w:r w:rsidR="00780A26" w:rsidRPr="000E0C7C">
        <w:rPr>
          <w:sz w:val="24"/>
          <w:szCs w:val="24"/>
        </w:rPr>
        <w:t xml:space="preserve">Gateway did not support residential placement of Student. </w:t>
      </w:r>
      <w:r w:rsidR="00BE1EA7" w:rsidRPr="000E0C7C">
        <w:rPr>
          <w:sz w:val="24"/>
          <w:szCs w:val="24"/>
        </w:rPr>
        <w:t xml:space="preserve"> </w:t>
      </w:r>
    </w:p>
    <w:p w:rsidR="003B2FC4" w:rsidRPr="001166A6" w:rsidRDefault="003B2FC4" w:rsidP="007C2545">
      <w:pPr>
        <w:spacing w:after="0"/>
        <w:rPr>
          <w:sz w:val="24"/>
          <w:szCs w:val="24"/>
        </w:rPr>
      </w:pPr>
    </w:p>
    <w:p w:rsidR="004674C4" w:rsidRPr="000E0C7C" w:rsidRDefault="00BE1EA7" w:rsidP="000E0C7C">
      <w:pPr>
        <w:pStyle w:val="ListParagraph"/>
        <w:numPr>
          <w:ilvl w:val="0"/>
          <w:numId w:val="4"/>
        </w:numPr>
        <w:spacing w:after="0"/>
        <w:rPr>
          <w:sz w:val="24"/>
          <w:szCs w:val="24"/>
        </w:rPr>
      </w:pPr>
      <w:r w:rsidRPr="000E0C7C">
        <w:rPr>
          <w:sz w:val="24"/>
          <w:szCs w:val="24"/>
        </w:rPr>
        <w:lastRenderedPageBreak/>
        <w:t xml:space="preserve">DCF did not attend the </w:t>
      </w:r>
      <w:r w:rsidR="003B2FC4" w:rsidRPr="000E0C7C">
        <w:rPr>
          <w:sz w:val="24"/>
          <w:szCs w:val="24"/>
        </w:rPr>
        <w:t xml:space="preserve">May 4, 2012 Team </w:t>
      </w:r>
      <w:r w:rsidRPr="000E0C7C">
        <w:rPr>
          <w:sz w:val="24"/>
          <w:szCs w:val="24"/>
        </w:rPr>
        <w:t>meeting and Gateway did not issue and IEP immediately following the meeting.</w:t>
      </w:r>
    </w:p>
    <w:p w:rsidR="00BE1EA7" w:rsidRPr="001166A6" w:rsidRDefault="00BE1EA7" w:rsidP="007C2545">
      <w:pPr>
        <w:spacing w:after="0"/>
        <w:rPr>
          <w:sz w:val="24"/>
          <w:szCs w:val="24"/>
        </w:rPr>
      </w:pPr>
    </w:p>
    <w:p w:rsidR="00BE1EA7" w:rsidRPr="000E0C7C" w:rsidRDefault="00BE1EA7" w:rsidP="000E0C7C">
      <w:pPr>
        <w:pStyle w:val="ListParagraph"/>
        <w:numPr>
          <w:ilvl w:val="0"/>
          <w:numId w:val="4"/>
        </w:numPr>
        <w:spacing w:after="0"/>
        <w:rPr>
          <w:sz w:val="24"/>
          <w:szCs w:val="24"/>
        </w:rPr>
      </w:pPr>
      <w:r w:rsidRPr="000E0C7C">
        <w:rPr>
          <w:sz w:val="24"/>
          <w:szCs w:val="24"/>
        </w:rPr>
        <w:t xml:space="preserve">On or about May 14, 2012, Ms. </w:t>
      </w:r>
      <w:proofErr w:type="spellStart"/>
      <w:r w:rsidRPr="000E0C7C">
        <w:rPr>
          <w:sz w:val="24"/>
          <w:szCs w:val="24"/>
        </w:rPr>
        <w:t>Taverna</w:t>
      </w:r>
      <w:proofErr w:type="spellEnd"/>
      <w:r w:rsidRPr="000E0C7C">
        <w:rPr>
          <w:sz w:val="24"/>
          <w:szCs w:val="24"/>
        </w:rPr>
        <w:t xml:space="preserve"> received a letter from Dr. Yamani, Student’s psychiatrist in which Dr. Yamani recommended residential placement for Student.  </w:t>
      </w:r>
    </w:p>
    <w:p w:rsidR="00BE1EA7" w:rsidRPr="001166A6" w:rsidRDefault="00BE1EA7" w:rsidP="007C2545">
      <w:pPr>
        <w:spacing w:after="0"/>
        <w:rPr>
          <w:sz w:val="24"/>
          <w:szCs w:val="24"/>
        </w:rPr>
      </w:pPr>
    </w:p>
    <w:p w:rsidR="00BE1EA7" w:rsidRPr="000E0C7C" w:rsidRDefault="00BE1EA7" w:rsidP="000E0C7C">
      <w:pPr>
        <w:pStyle w:val="ListParagraph"/>
        <w:numPr>
          <w:ilvl w:val="0"/>
          <w:numId w:val="4"/>
        </w:numPr>
        <w:spacing w:after="0"/>
        <w:rPr>
          <w:sz w:val="24"/>
          <w:szCs w:val="24"/>
        </w:rPr>
      </w:pPr>
      <w:r w:rsidRPr="000E0C7C">
        <w:rPr>
          <w:sz w:val="24"/>
          <w:szCs w:val="24"/>
        </w:rPr>
        <w:t xml:space="preserve">Ms. </w:t>
      </w:r>
      <w:proofErr w:type="spellStart"/>
      <w:r w:rsidRPr="000E0C7C">
        <w:rPr>
          <w:sz w:val="24"/>
          <w:szCs w:val="24"/>
        </w:rPr>
        <w:t>Taverna</w:t>
      </w:r>
      <w:proofErr w:type="spellEnd"/>
      <w:r w:rsidRPr="000E0C7C">
        <w:rPr>
          <w:sz w:val="24"/>
          <w:szCs w:val="24"/>
        </w:rPr>
        <w:t xml:space="preserve"> also spoke to Judith Clark of DCF in May of 2012 who informed Ms. </w:t>
      </w:r>
      <w:proofErr w:type="spellStart"/>
      <w:r w:rsidRPr="000E0C7C">
        <w:rPr>
          <w:sz w:val="24"/>
          <w:szCs w:val="24"/>
        </w:rPr>
        <w:t>Taverna</w:t>
      </w:r>
      <w:proofErr w:type="spellEnd"/>
      <w:r w:rsidRPr="000E0C7C">
        <w:rPr>
          <w:sz w:val="24"/>
          <w:szCs w:val="24"/>
        </w:rPr>
        <w:t xml:space="preserve"> that Student could be placed in a Behavioral Treatment Residence (BRT) or an Intensive Foster Care setting.  Both options would allow Student to continue to attend Gateway.</w:t>
      </w:r>
    </w:p>
    <w:p w:rsidR="007C2545" w:rsidRPr="001166A6" w:rsidRDefault="007C2545" w:rsidP="007C2545">
      <w:pPr>
        <w:spacing w:after="0"/>
        <w:rPr>
          <w:sz w:val="24"/>
          <w:szCs w:val="24"/>
        </w:rPr>
      </w:pPr>
    </w:p>
    <w:p w:rsidR="007C2545" w:rsidRPr="000E0C7C" w:rsidRDefault="007C2545" w:rsidP="000E0C7C">
      <w:pPr>
        <w:pStyle w:val="ListParagraph"/>
        <w:numPr>
          <w:ilvl w:val="0"/>
          <w:numId w:val="4"/>
        </w:numPr>
        <w:spacing w:after="0"/>
        <w:rPr>
          <w:rFonts w:cstheme="minorHAnsi"/>
          <w:sz w:val="24"/>
          <w:szCs w:val="24"/>
        </w:rPr>
      </w:pPr>
      <w:r w:rsidRPr="000E0C7C">
        <w:rPr>
          <w:sz w:val="24"/>
          <w:szCs w:val="24"/>
        </w:rPr>
        <w:t>On or about May 29, 2012, Student was discharged from Providence Hospital</w:t>
      </w:r>
      <w:r w:rsidR="00BE1EA7" w:rsidRPr="000E0C7C">
        <w:rPr>
          <w:sz w:val="24"/>
          <w:szCs w:val="24"/>
        </w:rPr>
        <w:t xml:space="preserve">, and on May 30, </w:t>
      </w:r>
      <w:r w:rsidR="00BE1EA7" w:rsidRPr="000E0C7C">
        <w:rPr>
          <w:rFonts w:cstheme="minorHAnsi"/>
          <w:sz w:val="24"/>
          <w:szCs w:val="24"/>
        </w:rPr>
        <w:t>2012 he resumed his program in Gateway through the remainder of the school year</w:t>
      </w:r>
      <w:r w:rsidRPr="000E0C7C">
        <w:rPr>
          <w:rFonts w:cstheme="minorHAnsi"/>
          <w:sz w:val="24"/>
          <w:szCs w:val="24"/>
        </w:rPr>
        <w:t>.</w:t>
      </w:r>
      <w:r w:rsidR="00991ADE" w:rsidRPr="000E0C7C">
        <w:rPr>
          <w:rFonts w:cstheme="minorHAnsi"/>
          <w:sz w:val="24"/>
          <w:szCs w:val="24"/>
        </w:rPr>
        <w:t xml:space="preserve">  </w:t>
      </w:r>
      <w:r w:rsidR="005338A0" w:rsidRPr="000E0C7C">
        <w:rPr>
          <w:rFonts w:cstheme="minorHAnsi"/>
          <w:sz w:val="24"/>
          <w:szCs w:val="24"/>
        </w:rPr>
        <w:t>Since his release from Providence Hospital</w:t>
      </w:r>
      <w:r w:rsidR="00991ADE" w:rsidRPr="000E0C7C">
        <w:rPr>
          <w:rFonts w:cstheme="minorHAnsi"/>
          <w:sz w:val="24"/>
          <w:szCs w:val="24"/>
        </w:rPr>
        <w:t xml:space="preserve"> Student </w:t>
      </w:r>
      <w:r w:rsidR="005338A0" w:rsidRPr="000E0C7C">
        <w:rPr>
          <w:rFonts w:cstheme="minorHAnsi"/>
          <w:sz w:val="24"/>
          <w:szCs w:val="24"/>
        </w:rPr>
        <w:t>h</w:t>
      </w:r>
      <w:r w:rsidR="00991ADE" w:rsidRPr="000E0C7C">
        <w:rPr>
          <w:rFonts w:cstheme="minorHAnsi"/>
          <w:sz w:val="24"/>
          <w:szCs w:val="24"/>
        </w:rPr>
        <w:t>as not liv</w:t>
      </w:r>
      <w:r w:rsidR="005338A0" w:rsidRPr="000E0C7C">
        <w:rPr>
          <w:rFonts w:cstheme="minorHAnsi"/>
          <w:sz w:val="24"/>
          <w:szCs w:val="24"/>
        </w:rPr>
        <w:t>ed</w:t>
      </w:r>
      <w:r w:rsidR="00991ADE" w:rsidRPr="000E0C7C">
        <w:rPr>
          <w:rFonts w:cstheme="minorHAnsi"/>
          <w:sz w:val="24"/>
          <w:szCs w:val="24"/>
        </w:rPr>
        <w:t xml:space="preserve"> in a residential facility.</w:t>
      </w:r>
    </w:p>
    <w:p w:rsidR="004A4333" w:rsidRDefault="004A4333" w:rsidP="007C2545">
      <w:pPr>
        <w:spacing w:after="0"/>
        <w:rPr>
          <w:rFonts w:cstheme="minorHAnsi"/>
          <w:sz w:val="24"/>
          <w:szCs w:val="24"/>
        </w:rPr>
      </w:pPr>
    </w:p>
    <w:p w:rsidR="00991ADE" w:rsidRPr="000E0C7C" w:rsidRDefault="00991ADE" w:rsidP="000E0C7C">
      <w:pPr>
        <w:pStyle w:val="ListParagraph"/>
        <w:numPr>
          <w:ilvl w:val="0"/>
          <w:numId w:val="4"/>
        </w:numPr>
        <w:spacing w:after="0"/>
        <w:rPr>
          <w:sz w:val="24"/>
          <w:szCs w:val="24"/>
        </w:rPr>
      </w:pPr>
      <w:r w:rsidRPr="000E0C7C">
        <w:rPr>
          <w:sz w:val="24"/>
          <w:szCs w:val="24"/>
        </w:rPr>
        <w:t>DCF continues to be involved with Student’s family and at present, provides Intensive Care Coordination (SE-1).</w:t>
      </w:r>
    </w:p>
    <w:p w:rsidR="00991ADE" w:rsidRDefault="00991ADE" w:rsidP="00991ADE">
      <w:pPr>
        <w:spacing w:after="0"/>
        <w:rPr>
          <w:sz w:val="24"/>
          <w:szCs w:val="24"/>
        </w:rPr>
      </w:pPr>
    </w:p>
    <w:p w:rsidR="00991ADE" w:rsidRPr="000E0C7C" w:rsidRDefault="00991ADE" w:rsidP="000E0C7C">
      <w:pPr>
        <w:pStyle w:val="ListParagraph"/>
        <w:numPr>
          <w:ilvl w:val="0"/>
          <w:numId w:val="4"/>
        </w:numPr>
        <w:spacing w:after="0"/>
        <w:rPr>
          <w:sz w:val="24"/>
          <w:szCs w:val="24"/>
        </w:rPr>
      </w:pPr>
      <w:r w:rsidRPr="000E0C7C">
        <w:rPr>
          <w:sz w:val="24"/>
          <w:szCs w:val="24"/>
        </w:rPr>
        <w:t xml:space="preserve">Student is neither in the care nor custody of DCF.  DCF’s regulations require that Student be in its care or custody in order for the agency to provide residential placement.  110 CMR 4.10; G.L. c.119 </w:t>
      </w:r>
      <w:r w:rsidRPr="000E0C7C">
        <w:rPr>
          <w:rFonts w:cstheme="minorHAnsi"/>
          <w:sz w:val="24"/>
          <w:szCs w:val="24"/>
        </w:rPr>
        <w:t>§21, et seq.</w:t>
      </w:r>
    </w:p>
    <w:p w:rsidR="00991ADE" w:rsidRPr="001166A6" w:rsidRDefault="00991ADE" w:rsidP="007C2545">
      <w:pPr>
        <w:spacing w:after="0"/>
        <w:rPr>
          <w:rFonts w:cstheme="minorHAnsi"/>
          <w:sz w:val="24"/>
          <w:szCs w:val="24"/>
        </w:rPr>
      </w:pPr>
    </w:p>
    <w:p w:rsidR="006660CE" w:rsidRPr="001166A6" w:rsidRDefault="00577AB8" w:rsidP="006660CE">
      <w:pPr>
        <w:pStyle w:val="Title"/>
        <w:jc w:val="left"/>
        <w:rPr>
          <w:rFonts w:asciiTheme="minorHAnsi" w:hAnsiTheme="minorHAnsi" w:cstheme="minorHAnsi"/>
          <w:b/>
          <w:bCs/>
          <w:szCs w:val="24"/>
          <w:u w:val="single"/>
        </w:rPr>
      </w:pPr>
      <w:r w:rsidRPr="001166A6">
        <w:rPr>
          <w:rFonts w:asciiTheme="minorHAnsi" w:hAnsiTheme="minorHAnsi" w:cstheme="minorHAnsi"/>
          <w:b/>
          <w:bCs/>
          <w:szCs w:val="24"/>
          <w:u w:val="single"/>
        </w:rPr>
        <w:t>Legal Standard</w:t>
      </w:r>
      <w:r w:rsidR="006660CE" w:rsidRPr="001166A6">
        <w:rPr>
          <w:rFonts w:asciiTheme="minorHAnsi" w:hAnsiTheme="minorHAnsi" w:cstheme="minorHAnsi"/>
          <w:b/>
          <w:bCs/>
          <w:szCs w:val="24"/>
          <w:u w:val="single"/>
        </w:rPr>
        <w:t>:</w:t>
      </w:r>
    </w:p>
    <w:p w:rsidR="006660CE" w:rsidRPr="001166A6" w:rsidRDefault="006660CE" w:rsidP="006660CE">
      <w:pPr>
        <w:jc w:val="center"/>
        <w:rPr>
          <w:rFonts w:cstheme="minorHAnsi"/>
          <w:sz w:val="24"/>
          <w:szCs w:val="24"/>
        </w:rPr>
      </w:pPr>
    </w:p>
    <w:p w:rsidR="003C6BF2" w:rsidRPr="001166A6" w:rsidRDefault="003C6BF2" w:rsidP="003C6BF2">
      <w:pPr>
        <w:rPr>
          <w:rFonts w:cstheme="minorHAnsi"/>
          <w:sz w:val="24"/>
          <w:szCs w:val="24"/>
        </w:rPr>
      </w:pPr>
      <w:r w:rsidRPr="001166A6">
        <w:rPr>
          <w:rFonts w:cstheme="minorHAnsi"/>
          <w:sz w:val="24"/>
          <w:szCs w:val="24"/>
        </w:rPr>
        <w:t>Federal special education law and regulations require establishment of a mechanism for interagency coordination to resolve any disputes regarding responsibility for providing special education and related services to students where multiple public entities may share the responsibility for ensuring that students receive a FAPE.  20 U.S.C. §1412(12</w:t>
      </w:r>
      <w:proofErr w:type="gramStart"/>
      <w:r w:rsidRPr="001166A6">
        <w:rPr>
          <w:rFonts w:cstheme="minorHAnsi"/>
          <w:sz w:val="24"/>
          <w:szCs w:val="24"/>
        </w:rPr>
        <w:t>)(</w:t>
      </w:r>
      <w:proofErr w:type="gramEnd"/>
      <w:r w:rsidRPr="001166A6">
        <w:rPr>
          <w:rFonts w:cstheme="minorHAnsi"/>
          <w:sz w:val="24"/>
          <w:szCs w:val="24"/>
        </w:rPr>
        <w:t>A); 34C.F.R. 300.142(a).</w:t>
      </w:r>
    </w:p>
    <w:p w:rsidR="006660CE" w:rsidRPr="001166A6" w:rsidRDefault="006660CE" w:rsidP="006660CE">
      <w:pPr>
        <w:rPr>
          <w:rFonts w:cstheme="minorHAnsi"/>
          <w:sz w:val="24"/>
          <w:szCs w:val="24"/>
        </w:rPr>
      </w:pPr>
      <w:r w:rsidRPr="001166A6">
        <w:rPr>
          <w:rFonts w:cstheme="minorHAnsi"/>
          <w:bCs/>
          <w:sz w:val="24"/>
          <w:szCs w:val="24"/>
        </w:rPr>
        <w:t>I</w:t>
      </w:r>
      <w:r w:rsidR="003C6BF2" w:rsidRPr="001166A6">
        <w:rPr>
          <w:rFonts w:cstheme="minorHAnsi"/>
          <w:bCs/>
          <w:sz w:val="24"/>
          <w:szCs w:val="24"/>
        </w:rPr>
        <w:t xml:space="preserve">n Massachusetts </w:t>
      </w:r>
      <w:r w:rsidRPr="001166A6">
        <w:rPr>
          <w:rFonts w:cstheme="minorHAnsi"/>
          <w:bCs/>
          <w:sz w:val="24"/>
          <w:szCs w:val="24"/>
        </w:rPr>
        <w:t xml:space="preserve">Chapter 159, section 162 of the Acts of 2000, amending M.G.L. c 71 B §3, grants the BSEA authority to order a state agency to provide services “in addition to the program and related services to be provided by the school committee.”  See </w:t>
      </w:r>
      <w:r w:rsidRPr="001166A6">
        <w:rPr>
          <w:rFonts w:cstheme="minorHAnsi"/>
          <w:bCs/>
          <w:i/>
          <w:iCs/>
          <w:sz w:val="24"/>
          <w:szCs w:val="24"/>
        </w:rPr>
        <w:t>In Re: Lunenburg Public Schools and Department of Mental Health (ruling on Motion to Dismiss)</w:t>
      </w:r>
      <w:r w:rsidRPr="001166A6">
        <w:rPr>
          <w:rFonts w:cstheme="minorHAnsi"/>
          <w:bCs/>
          <w:sz w:val="24"/>
          <w:szCs w:val="24"/>
        </w:rPr>
        <w:t xml:space="preserve">, 10 MSER 478 (2004); see also, ruling on motion to join DMH and DMR in </w:t>
      </w:r>
      <w:proofErr w:type="spellStart"/>
      <w:r w:rsidRPr="001166A6">
        <w:rPr>
          <w:rFonts w:cstheme="minorHAnsi"/>
          <w:bCs/>
          <w:i/>
          <w:iCs/>
          <w:sz w:val="24"/>
          <w:szCs w:val="24"/>
        </w:rPr>
        <w:t>In</w:t>
      </w:r>
      <w:proofErr w:type="spellEnd"/>
      <w:r w:rsidRPr="001166A6">
        <w:rPr>
          <w:rFonts w:cstheme="minorHAnsi"/>
          <w:bCs/>
          <w:i/>
          <w:iCs/>
          <w:sz w:val="24"/>
          <w:szCs w:val="24"/>
        </w:rPr>
        <w:t xml:space="preserve"> Re: Medford Public Schools</w:t>
      </w:r>
      <w:r w:rsidRPr="001166A6">
        <w:rPr>
          <w:rFonts w:cstheme="minorHAnsi"/>
          <w:bCs/>
          <w:sz w:val="24"/>
          <w:szCs w:val="24"/>
        </w:rPr>
        <w:t>, BSEA # 01-3941 (2002).</w:t>
      </w:r>
    </w:p>
    <w:p w:rsidR="00577AB8" w:rsidRPr="001166A6" w:rsidRDefault="006660CE" w:rsidP="006660CE">
      <w:pPr>
        <w:rPr>
          <w:rFonts w:cstheme="minorHAnsi"/>
          <w:sz w:val="24"/>
          <w:szCs w:val="24"/>
        </w:rPr>
      </w:pPr>
      <w:r w:rsidRPr="001166A6">
        <w:rPr>
          <w:rFonts w:cstheme="minorHAnsi"/>
          <w:sz w:val="24"/>
          <w:szCs w:val="24"/>
        </w:rPr>
        <w:t>Furthermore, in order to resolve differences between parties regarding the provision of special education to eligible students, the Massachusetts Special Education Regulations specifically grant</w:t>
      </w:r>
      <w:r w:rsidR="00FD1256">
        <w:rPr>
          <w:rFonts w:cstheme="minorHAnsi"/>
          <w:sz w:val="24"/>
          <w:szCs w:val="24"/>
        </w:rPr>
        <w:t xml:space="preserve"> the BSEA jurisdiction over s</w:t>
      </w:r>
      <w:r w:rsidRPr="001166A6">
        <w:rPr>
          <w:rFonts w:cstheme="minorHAnsi"/>
          <w:sz w:val="24"/>
          <w:szCs w:val="24"/>
        </w:rPr>
        <w:t>tate agencies</w:t>
      </w:r>
      <w:r w:rsidR="00FD1256">
        <w:rPr>
          <w:rFonts w:cstheme="minorHAnsi"/>
          <w:sz w:val="24"/>
          <w:szCs w:val="24"/>
        </w:rPr>
        <w:t xml:space="preserve">.  Pursuant to </w:t>
      </w:r>
      <w:r w:rsidRPr="001166A6">
        <w:rPr>
          <w:rFonts w:cstheme="minorHAnsi"/>
          <w:sz w:val="24"/>
          <w:szCs w:val="24"/>
        </w:rPr>
        <w:t>603 CMR 28.08(3)</w:t>
      </w:r>
      <w:r w:rsidR="00FD1256">
        <w:rPr>
          <w:rFonts w:cstheme="minorHAnsi"/>
          <w:sz w:val="24"/>
          <w:szCs w:val="24"/>
        </w:rPr>
        <w:t xml:space="preserve"> </w:t>
      </w:r>
      <w:r w:rsidR="00184809" w:rsidRPr="001166A6">
        <w:rPr>
          <w:rFonts w:cstheme="minorHAnsi"/>
          <w:sz w:val="24"/>
          <w:szCs w:val="24"/>
        </w:rPr>
        <w:t xml:space="preserve">the BSEA may order a state agency to provide services “in accordance with the rules, regulations, and policies of the respective </w:t>
      </w:r>
      <w:proofErr w:type="spellStart"/>
      <w:r w:rsidR="00184809" w:rsidRPr="001166A6">
        <w:rPr>
          <w:rFonts w:cstheme="minorHAnsi"/>
          <w:sz w:val="24"/>
          <w:szCs w:val="24"/>
        </w:rPr>
        <w:t>agenc</w:t>
      </w:r>
      <w:proofErr w:type="spellEnd"/>
      <w:r w:rsidR="00184809" w:rsidRPr="001166A6">
        <w:rPr>
          <w:rFonts w:cstheme="minorHAnsi"/>
          <w:sz w:val="24"/>
          <w:szCs w:val="24"/>
        </w:rPr>
        <w:t>[y]”</w:t>
      </w:r>
      <w:r w:rsidR="00FD1256">
        <w:rPr>
          <w:rFonts w:cstheme="minorHAnsi"/>
          <w:sz w:val="24"/>
          <w:szCs w:val="24"/>
        </w:rPr>
        <w:t xml:space="preserve"> </w:t>
      </w:r>
      <w:r w:rsidR="00184809" w:rsidRPr="001166A6">
        <w:rPr>
          <w:rFonts w:cstheme="minorHAnsi"/>
          <w:sz w:val="24"/>
          <w:szCs w:val="24"/>
        </w:rPr>
        <w:t>i</w:t>
      </w:r>
      <w:r w:rsidR="00AA3367" w:rsidRPr="001166A6">
        <w:rPr>
          <w:rFonts w:cstheme="minorHAnsi"/>
          <w:sz w:val="24"/>
          <w:szCs w:val="24"/>
        </w:rPr>
        <w:t>n addition to the IEP services that the school district</w:t>
      </w:r>
      <w:r w:rsidR="00184809" w:rsidRPr="001166A6">
        <w:rPr>
          <w:rFonts w:cstheme="minorHAnsi"/>
          <w:sz w:val="24"/>
          <w:szCs w:val="24"/>
        </w:rPr>
        <w:t xml:space="preserve"> is responsible to provide. </w:t>
      </w:r>
      <w:r w:rsidR="00AA3367" w:rsidRPr="001166A6">
        <w:rPr>
          <w:rFonts w:cstheme="minorHAnsi"/>
          <w:sz w:val="24"/>
          <w:szCs w:val="24"/>
        </w:rPr>
        <w:t xml:space="preserve"> </w:t>
      </w:r>
      <w:bookmarkStart w:id="1" w:name="OLE_LINK1"/>
      <w:bookmarkStart w:id="2" w:name="OLE_LINK2"/>
      <w:proofErr w:type="gramStart"/>
      <w:r w:rsidR="00184809" w:rsidRPr="001166A6">
        <w:rPr>
          <w:rFonts w:cstheme="minorHAnsi"/>
          <w:sz w:val="24"/>
          <w:szCs w:val="24"/>
        </w:rPr>
        <w:t>603 CMR 28.08(3)</w:t>
      </w:r>
      <w:bookmarkEnd w:id="1"/>
      <w:bookmarkEnd w:id="2"/>
      <w:r w:rsidR="00FD1256">
        <w:rPr>
          <w:rFonts w:cstheme="minorHAnsi"/>
          <w:sz w:val="24"/>
          <w:szCs w:val="24"/>
        </w:rPr>
        <w:t>.</w:t>
      </w:r>
      <w:proofErr w:type="gramEnd"/>
      <w:r w:rsidR="00FD1256">
        <w:rPr>
          <w:rFonts w:cstheme="minorHAnsi"/>
          <w:sz w:val="24"/>
          <w:szCs w:val="24"/>
        </w:rPr>
        <w:t xml:space="preserve">  That is,</w:t>
      </w:r>
      <w:r w:rsidR="00184809" w:rsidRPr="001166A6">
        <w:rPr>
          <w:rFonts w:cstheme="minorHAnsi"/>
          <w:sz w:val="24"/>
          <w:szCs w:val="24"/>
        </w:rPr>
        <w:t xml:space="preserve"> a state agency may be ordered to provide services that are found to be necessary for the student to be able to receive a FAPE through the school district, or, provide services over and above those that are the responsibility of the school district if the services are necessary to ensure that the student is able to access or benefit from the special education program and services offered by the school district.  </w:t>
      </w:r>
      <w:proofErr w:type="gramStart"/>
      <w:r w:rsidR="00184809" w:rsidRPr="001166A6">
        <w:rPr>
          <w:rFonts w:cstheme="minorHAnsi"/>
          <w:sz w:val="24"/>
          <w:szCs w:val="24"/>
        </w:rPr>
        <w:t>Lowell Public Schools, 107 LRP 655543 (2007).</w:t>
      </w:r>
      <w:proofErr w:type="gramEnd"/>
      <w:r w:rsidR="00184809" w:rsidRPr="001166A6">
        <w:rPr>
          <w:rFonts w:cstheme="minorHAnsi"/>
          <w:sz w:val="24"/>
          <w:szCs w:val="24"/>
        </w:rPr>
        <w:t xml:space="preserve">   </w:t>
      </w:r>
    </w:p>
    <w:p w:rsidR="006660CE" w:rsidRPr="001166A6" w:rsidRDefault="006660CE" w:rsidP="006660CE">
      <w:pPr>
        <w:rPr>
          <w:rFonts w:cstheme="minorHAnsi"/>
          <w:sz w:val="24"/>
          <w:szCs w:val="24"/>
        </w:rPr>
      </w:pPr>
      <w:r w:rsidRPr="001166A6">
        <w:rPr>
          <w:rFonts w:cstheme="minorHAnsi"/>
          <w:sz w:val="24"/>
          <w:szCs w:val="24"/>
        </w:rPr>
        <w:t>Where</w:t>
      </w:r>
      <w:r w:rsidR="00577AB8" w:rsidRPr="001166A6">
        <w:rPr>
          <w:rFonts w:cstheme="minorHAnsi"/>
          <w:sz w:val="24"/>
          <w:szCs w:val="24"/>
        </w:rPr>
        <w:t xml:space="preserve"> </w:t>
      </w:r>
      <w:r w:rsidRPr="001166A6">
        <w:rPr>
          <w:rFonts w:cstheme="minorHAnsi"/>
          <w:sz w:val="24"/>
          <w:szCs w:val="24"/>
        </w:rPr>
        <w:t xml:space="preserve">participation of the particular state agency is sought after the request for hearing has been filed, </w:t>
      </w:r>
      <w:r w:rsidR="00577AB8" w:rsidRPr="001166A6">
        <w:rPr>
          <w:rFonts w:cstheme="minorHAnsi"/>
          <w:sz w:val="24"/>
          <w:szCs w:val="24"/>
        </w:rPr>
        <w:t xml:space="preserve">the agency’s </w:t>
      </w:r>
      <w:r w:rsidRPr="001166A6">
        <w:rPr>
          <w:rFonts w:cstheme="minorHAnsi"/>
          <w:sz w:val="24"/>
          <w:szCs w:val="24"/>
        </w:rPr>
        <w:t xml:space="preserve">participation may be obtained </w:t>
      </w:r>
      <w:r w:rsidR="00577AB8" w:rsidRPr="001166A6">
        <w:rPr>
          <w:rFonts w:cstheme="minorHAnsi"/>
          <w:sz w:val="24"/>
          <w:szCs w:val="24"/>
        </w:rPr>
        <w:t xml:space="preserve">through a </w:t>
      </w:r>
      <w:r w:rsidRPr="001166A6">
        <w:rPr>
          <w:rFonts w:cstheme="minorHAnsi"/>
          <w:sz w:val="24"/>
          <w:szCs w:val="24"/>
        </w:rPr>
        <w:t xml:space="preserve">motion for </w:t>
      </w:r>
      <w:proofErr w:type="spellStart"/>
      <w:r w:rsidRPr="001166A6">
        <w:rPr>
          <w:rFonts w:cstheme="minorHAnsi"/>
          <w:sz w:val="24"/>
          <w:szCs w:val="24"/>
        </w:rPr>
        <w:t>joinder</w:t>
      </w:r>
      <w:proofErr w:type="spellEnd"/>
      <w:r w:rsidRPr="001166A6">
        <w:rPr>
          <w:rFonts w:cstheme="minorHAnsi"/>
          <w:sz w:val="24"/>
          <w:szCs w:val="24"/>
        </w:rPr>
        <w:t xml:space="preserve"> of the additional party.  </w:t>
      </w:r>
      <w:proofErr w:type="spellStart"/>
      <w:r w:rsidR="00577AB8" w:rsidRPr="001166A6">
        <w:rPr>
          <w:rFonts w:cstheme="minorHAnsi"/>
          <w:sz w:val="24"/>
          <w:szCs w:val="24"/>
        </w:rPr>
        <w:t>J</w:t>
      </w:r>
      <w:r w:rsidRPr="001166A6">
        <w:rPr>
          <w:rFonts w:cstheme="minorHAnsi"/>
          <w:sz w:val="24"/>
          <w:szCs w:val="24"/>
        </w:rPr>
        <w:t>oinder</w:t>
      </w:r>
      <w:proofErr w:type="spellEnd"/>
      <w:r w:rsidRPr="001166A6">
        <w:rPr>
          <w:rFonts w:cstheme="minorHAnsi"/>
          <w:sz w:val="24"/>
          <w:szCs w:val="24"/>
        </w:rPr>
        <w:t xml:space="preserve"> of a party </w:t>
      </w:r>
      <w:r w:rsidR="00577AB8" w:rsidRPr="001166A6">
        <w:rPr>
          <w:rFonts w:cstheme="minorHAnsi"/>
          <w:sz w:val="24"/>
          <w:szCs w:val="24"/>
        </w:rPr>
        <w:t xml:space="preserve">in the context of a BSEA proceeding is governed by </w:t>
      </w:r>
      <w:r w:rsidRPr="001166A6">
        <w:rPr>
          <w:rFonts w:cstheme="minorHAnsi"/>
          <w:sz w:val="24"/>
          <w:szCs w:val="24"/>
        </w:rPr>
        <w:t xml:space="preserve">Rule 1J of </w:t>
      </w:r>
      <w:r w:rsidRPr="001166A6">
        <w:rPr>
          <w:rFonts w:cstheme="minorHAnsi"/>
          <w:i/>
          <w:iCs/>
          <w:sz w:val="24"/>
          <w:szCs w:val="24"/>
        </w:rPr>
        <w:t>The Hearing Rules for Special Education Appeals.</w:t>
      </w:r>
      <w:r w:rsidRPr="001166A6">
        <w:rPr>
          <w:rFonts w:cstheme="minorHAnsi"/>
          <w:sz w:val="24"/>
          <w:szCs w:val="24"/>
        </w:rPr>
        <w:t xml:space="preserve">   </w:t>
      </w:r>
      <w:r w:rsidR="00577AB8" w:rsidRPr="001166A6">
        <w:rPr>
          <w:rFonts w:cstheme="minorHAnsi"/>
          <w:sz w:val="24"/>
          <w:szCs w:val="24"/>
        </w:rPr>
        <w:t>Said Rule 1J provides that u</w:t>
      </w:r>
      <w:r w:rsidRPr="001166A6">
        <w:rPr>
          <w:rFonts w:cstheme="minorHAnsi"/>
          <w:sz w:val="24"/>
          <w:szCs w:val="24"/>
        </w:rPr>
        <w:t xml:space="preserve">pon receipt of a motion, </w:t>
      </w:r>
      <w:proofErr w:type="spellStart"/>
      <w:r w:rsidRPr="001166A6">
        <w:rPr>
          <w:rFonts w:cstheme="minorHAnsi"/>
          <w:sz w:val="24"/>
          <w:szCs w:val="24"/>
        </w:rPr>
        <w:t>joinder</w:t>
      </w:r>
      <w:proofErr w:type="spellEnd"/>
      <w:r w:rsidRPr="001166A6">
        <w:rPr>
          <w:rFonts w:cstheme="minorHAnsi"/>
          <w:sz w:val="24"/>
          <w:szCs w:val="24"/>
        </w:rPr>
        <w:t xml:space="preserve"> of a state agency may be ordered if</w:t>
      </w:r>
    </w:p>
    <w:p w:rsidR="006660CE" w:rsidRPr="001166A6" w:rsidRDefault="006660CE" w:rsidP="00577AB8">
      <w:pPr>
        <w:pStyle w:val="ListParagraph"/>
        <w:numPr>
          <w:ilvl w:val="0"/>
          <w:numId w:val="3"/>
        </w:numPr>
        <w:spacing w:after="0" w:line="240" w:lineRule="auto"/>
        <w:rPr>
          <w:rFonts w:cstheme="minorHAnsi"/>
          <w:sz w:val="24"/>
          <w:szCs w:val="24"/>
        </w:rPr>
      </w:pPr>
      <w:r w:rsidRPr="001166A6">
        <w:rPr>
          <w:rFonts w:cstheme="minorHAnsi"/>
          <w:sz w:val="24"/>
          <w:szCs w:val="24"/>
        </w:rPr>
        <w:t>complete relief cannot be granted by the originally named parties or</w:t>
      </w:r>
    </w:p>
    <w:p w:rsidR="006660CE" w:rsidRPr="001166A6" w:rsidRDefault="006660CE" w:rsidP="00577AB8">
      <w:pPr>
        <w:pStyle w:val="ListParagraph"/>
        <w:numPr>
          <w:ilvl w:val="0"/>
          <w:numId w:val="3"/>
        </w:numPr>
        <w:spacing w:after="0" w:line="240" w:lineRule="auto"/>
        <w:rPr>
          <w:rFonts w:cstheme="minorHAnsi"/>
          <w:sz w:val="24"/>
          <w:szCs w:val="24"/>
        </w:rPr>
      </w:pPr>
      <w:proofErr w:type="gramStart"/>
      <w:r w:rsidRPr="001166A6">
        <w:rPr>
          <w:rFonts w:cstheme="minorHAnsi"/>
          <w:sz w:val="24"/>
          <w:szCs w:val="24"/>
        </w:rPr>
        <w:t>the</w:t>
      </w:r>
      <w:proofErr w:type="gramEnd"/>
      <w:r w:rsidRPr="001166A6">
        <w:rPr>
          <w:rFonts w:cstheme="minorHAnsi"/>
          <w:sz w:val="24"/>
          <w:szCs w:val="24"/>
        </w:rPr>
        <w:t xml:space="preserve"> third party has an interest in the matter and is so situated that the case cannot be disposed of in its absence.  </w:t>
      </w:r>
    </w:p>
    <w:p w:rsidR="00577AB8" w:rsidRPr="001166A6" w:rsidRDefault="00577AB8" w:rsidP="00577AB8">
      <w:pPr>
        <w:pStyle w:val="ListParagraph"/>
        <w:spacing w:after="0" w:line="240" w:lineRule="auto"/>
        <w:ind w:left="1080"/>
        <w:rPr>
          <w:rFonts w:cstheme="minorHAnsi"/>
          <w:sz w:val="24"/>
          <w:szCs w:val="24"/>
        </w:rPr>
      </w:pPr>
    </w:p>
    <w:p w:rsidR="006660CE" w:rsidRPr="001166A6" w:rsidRDefault="006660CE" w:rsidP="00577AB8">
      <w:pPr>
        <w:rPr>
          <w:rFonts w:cstheme="minorHAnsi"/>
          <w:sz w:val="24"/>
          <w:szCs w:val="24"/>
        </w:rPr>
      </w:pPr>
      <w:r w:rsidRPr="001166A6">
        <w:rPr>
          <w:rFonts w:cstheme="minorHAnsi"/>
          <w:sz w:val="24"/>
          <w:szCs w:val="24"/>
        </w:rPr>
        <w:t xml:space="preserve">Rule 1J further provides that the following factors must be considered in determining if </w:t>
      </w:r>
      <w:proofErr w:type="spellStart"/>
      <w:r w:rsidRPr="001166A6">
        <w:rPr>
          <w:rFonts w:cstheme="minorHAnsi"/>
          <w:sz w:val="24"/>
          <w:szCs w:val="24"/>
        </w:rPr>
        <w:t>joinder</w:t>
      </w:r>
      <w:proofErr w:type="spellEnd"/>
      <w:r w:rsidRPr="001166A6">
        <w:rPr>
          <w:rFonts w:cstheme="minorHAnsi"/>
          <w:sz w:val="24"/>
          <w:szCs w:val="24"/>
        </w:rPr>
        <w:t xml:space="preserve"> is warranted</w:t>
      </w:r>
    </w:p>
    <w:p w:rsidR="006660CE" w:rsidRPr="001166A6" w:rsidRDefault="006660CE" w:rsidP="006660CE">
      <w:pPr>
        <w:numPr>
          <w:ilvl w:val="0"/>
          <w:numId w:val="1"/>
        </w:numPr>
        <w:spacing w:after="0" w:line="240" w:lineRule="auto"/>
        <w:rPr>
          <w:rFonts w:cstheme="minorHAnsi"/>
          <w:sz w:val="24"/>
          <w:szCs w:val="24"/>
        </w:rPr>
      </w:pPr>
      <w:r w:rsidRPr="001166A6">
        <w:rPr>
          <w:rFonts w:cstheme="minorHAnsi"/>
          <w:sz w:val="24"/>
          <w:szCs w:val="24"/>
        </w:rPr>
        <w:t xml:space="preserve">risk of prejudice to the present parties; </w:t>
      </w:r>
    </w:p>
    <w:p w:rsidR="006660CE" w:rsidRPr="001166A6" w:rsidRDefault="006660CE" w:rsidP="006660CE">
      <w:pPr>
        <w:numPr>
          <w:ilvl w:val="0"/>
          <w:numId w:val="1"/>
        </w:numPr>
        <w:spacing w:after="0" w:line="240" w:lineRule="auto"/>
        <w:rPr>
          <w:rFonts w:cstheme="minorHAnsi"/>
          <w:sz w:val="24"/>
          <w:szCs w:val="24"/>
        </w:rPr>
      </w:pPr>
      <w:r w:rsidRPr="001166A6">
        <w:rPr>
          <w:rFonts w:cstheme="minorHAnsi"/>
          <w:sz w:val="24"/>
          <w:szCs w:val="24"/>
        </w:rPr>
        <w:t xml:space="preserve">the range of alternatives for fashioning relief; </w:t>
      </w:r>
    </w:p>
    <w:p w:rsidR="006660CE" w:rsidRPr="001166A6" w:rsidRDefault="006660CE" w:rsidP="006660CE">
      <w:pPr>
        <w:numPr>
          <w:ilvl w:val="0"/>
          <w:numId w:val="1"/>
        </w:numPr>
        <w:spacing w:after="0" w:line="240" w:lineRule="auto"/>
        <w:rPr>
          <w:rFonts w:cstheme="minorHAnsi"/>
          <w:sz w:val="24"/>
          <w:szCs w:val="24"/>
        </w:rPr>
      </w:pPr>
      <w:r w:rsidRPr="001166A6">
        <w:rPr>
          <w:rFonts w:cstheme="minorHAnsi"/>
          <w:sz w:val="24"/>
          <w:szCs w:val="24"/>
        </w:rPr>
        <w:t xml:space="preserve">the inadequacy of a judgment entered in the proposed party’s absence; and </w:t>
      </w:r>
    </w:p>
    <w:p w:rsidR="006660CE" w:rsidRPr="001166A6" w:rsidRDefault="006660CE" w:rsidP="006660CE">
      <w:pPr>
        <w:numPr>
          <w:ilvl w:val="0"/>
          <w:numId w:val="1"/>
        </w:numPr>
        <w:spacing w:after="0" w:line="240" w:lineRule="auto"/>
        <w:rPr>
          <w:rFonts w:cstheme="minorHAnsi"/>
          <w:sz w:val="24"/>
          <w:szCs w:val="24"/>
        </w:rPr>
      </w:pPr>
      <w:proofErr w:type="gramStart"/>
      <w:r w:rsidRPr="001166A6">
        <w:rPr>
          <w:rFonts w:cstheme="minorHAnsi"/>
          <w:sz w:val="24"/>
          <w:szCs w:val="24"/>
        </w:rPr>
        <w:t>the</w:t>
      </w:r>
      <w:proofErr w:type="gramEnd"/>
      <w:r w:rsidRPr="001166A6">
        <w:rPr>
          <w:rFonts w:cstheme="minorHAnsi"/>
          <w:sz w:val="24"/>
          <w:szCs w:val="24"/>
        </w:rPr>
        <w:t xml:space="preserve"> existence of an alternative forum to resolve the issues.  </w:t>
      </w:r>
    </w:p>
    <w:p w:rsidR="00577AB8" w:rsidRPr="001166A6" w:rsidRDefault="00577AB8" w:rsidP="00577AB8">
      <w:pPr>
        <w:spacing w:after="0" w:line="240" w:lineRule="auto"/>
        <w:ind w:left="1440"/>
        <w:rPr>
          <w:rFonts w:cstheme="minorHAnsi"/>
          <w:sz w:val="24"/>
          <w:szCs w:val="24"/>
        </w:rPr>
      </w:pPr>
    </w:p>
    <w:p w:rsidR="003C6BF2" w:rsidRPr="001166A6" w:rsidRDefault="00577AB8" w:rsidP="00577AB8">
      <w:pPr>
        <w:rPr>
          <w:rFonts w:cstheme="minorHAnsi"/>
          <w:sz w:val="24"/>
          <w:szCs w:val="24"/>
        </w:rPr>
      </w:pPr>
      <w:r w:rsidRPr="001166A6">
        <w:rPr>
          <w:rFonts w:cstheme="minorHAnsi"/>
          <w:sz w:val="24"/>
          <w:szCs w:val="24"/>
        </w:rPr>
        <w:t>As such, i</w:t>
      </w:r>
      <w:r w:rsidR="006660CE" w:rsidRPr="001166A6">
        <w:rPr>
          <w:rFonts w:cstheme="minorHAnsi"/>
          <w:sz w:val="24"/>
          <w:szCs w:val="24"/>
        </w:rPr>
        <w:t xml:space="preserve">n order to join a state agency, the moving party “must be able to show, at least in a preliminary way, that it will be able to present evidence at a Hearing that may result in the entity being found responsible to offer some service…to the student.”  </w:t>
      </w:r>
      <w:r w:rsidR="006660CE" w:rsidRPr="001166A6">
        <w:rPr>
          <w:rFonts w:cstheme="minorHAnsi"/>
          <w:i/>
          <w:iCs/>
          <w:sz w:val="24"/>
          <w:szCs w:val="24"/>
        </w:rPr>
        <w:t>In re: Boston Public Schools District</w:t>
      </w:r>
      <w:r w:rsidR="006660CE" w:rsidRPr="001166A6">
        <w:rPr>
          <w:rFonts w:cstheme="minorHAnsi"/>
          <w:sz w:val="24"/>
          <w:szCs w:val="24"/>
        </w:rPr>
        <w:t xml:space="preserve">, BSEA #02-4553 (2002, Figueroa.)   If </w:t>
      </w:r>
      <w:proofErr w:type="spellStart"/>
      <w:r w:rsidR="006660CE" w:rsidRPr="001166A6">
        <w:rPr>
          <w:rFonts w:cstheme="minorHAnsi"/>
          <w:sz w:val="24"/>
          <w:szCs w:val="24"/>
        </w:rPr>
        <w:t>joinder</w:t>
      </w:r>
      <w:proofErr w:type="spellEnd"/>
      <w:r w:rsidR="006660CE" w:rsidRPr="001166A6">
        <w:rPr>
          <w:rFonts w:cstheme="minorHAnsi"/>
          <w:sz w:val="24"/>
          <w:szCs w:val="24"/>
        </w:rPr>
        <w:t xml:space="preserve"> is granted, the hearing officer may only order services consistent with the rules, regulations, and policies that govern the particular s</w:t>
      </w:r>
      <w:r w:rsidRPr="001166A6">
        <w:rPr>
          <w:rFonts w:cstheme="minorHAnsi"/>
          <w:sz w:val="24"/>
          <w:szCs w:val="24"/>
        </w:rPr>
        <w:t xml:space="preserve">tate agency, and may order only those </w:t>
      </w:r>
      <w:r w:rsidR="006660CE" w:rsidRPr="001166A6">
        <w:rPr>
          <w:rFonts w:cstheme="minorHAnsi"/>
          <w:sz w:val="24"/>
          <w:szCs w:val="24"/>
        </w:rPr>
        <w:t xml:space="preserve">services </w:t>
      </w:r>
      <w:r w:rsidRPr="001166A6">
        <w:rPr>
          <w:rFonts w:cstheme="minorHAnsi"/>
          <w:sz w:val="24"/>
          <w:szCs w:val="24"/>
        </w:rPr>
        <w:t xml:space="preserve">that </w:t>
      </w:r>
      <w:r w:rsidR="006660CE" w:rsidRPr="001166A6">
        <w:rPr>
          <w:rFonts w:cstheme="minorHAnsi"/>
          <w:sz w:val="24"/>
          <w:szCs w:val="24"/>
        </w:rPr>
        <w:t xml:space="preserve">fall within the array of services that the particular agency </w:t>
      </w:r>
      <w:r w:rsidR="003C6BF2" w:rsidRPr="001166A6">
        <w:rPr>
          <w:rFonts w:cstheme="minorHAnsi"/>
          <w:sz w:val="24"/>
          <w:szCs w:val="24"/>
        </w:rPr>
        <w:t xml:space="preserve">provides, assuming that the </w:t>
      </w:r>
      <w:r w:rsidR="006660CE" w:rsidRPr="001166A6">
        <w:rPr>
          <w:rFonts w:cstheme="minorHAnsi"/>
          <w:sz w:val="24"/>
          <w:szCs w:val="24"/>
        </w:rPr>
        <w:t xml:space="preserve">student is eligible to receive said services. </w:t>
      </w:r>
      <w:r w:rsidR="00FD1256">
        <w:rPr>
          <w:rFonts w:cstheme="minorHAnsi"/>
          <w:sz w:val="24"/>
          <w:szCs w:val="24"/>
        </w:rPr>
        <w:t xml:space="preserve"> </w:t>
      </w:r>
      <w:proofErr w:type="gramStart"/>
      <w:r w:rsidR="00FD1256">
        <w:rPr>
          <w:rFonts w:cstheme="minorHAnsi"/>
          <w:sz w:val="24"/>
          <w:szCs w:val="24"/>
        </w:rPr>
        <w:t>See G.L. c.71B §3.</w:t>
      </w:r>
      <w:proofErr w:type="gramEnd"/>
      <w:r w:rsidR="006660CE" w:rsidRPr="001166A6">
        <w:rPr>
          <w:rFonts w:cstheme="minorHAnsi"/>
          <w:sz w:val="24"/>
          <w:szCs w:val="24"/>
        </w:rPr>
        <w:t xml:space="preserve"> </w:t>
      </w:r>
    </w:p>
    <w:p w:rsidR="00E45749" w:rsidRPr="001166A6" w:rsidRDefault="00E45749" w:rsidP="00577AB8">
      <w:pPr>
        <w:rPr>
          <w:rFonts w:cstheme="minorHAnsi"/>
          <w:sz w:val="24"/>
          <w:szCs w:val="24"/>
        </w:rPr>
      </w:pPr>
      <w:r w:rsidRPr="001166A6">
        <w:rPr>
          <w:rFonts w:cstheme="minorHAnsi"/>
          <w:sz w:val="24"/>
          <w:szCs w:val="24"/>
        </w:rPr>
        <w:t xml:space="preserve">As explained by Hearing Officer Byrne in </w:t>
      </w:r>
      <w:r w:rsidRPr="001166A6">
        <w:rPr>
          <w:rFonts w:cstheme="minorHAnsi"/>
          <w:i/>
          <w:sz w:val="24"/>
          <w:szCs w:val="24"/>
        </w:rPr>
        <w:t>Auburn Public Schools</w:t>
      </w:r>
      <w:r w:rsidRPr="001166A6">
        <w:rPr>
          <w:rFonts w:cstheme="minorHAnsi"/>
          <w:sz w:val="24"/>
          <w:szCs w:val="24"/>
        </w:rPr>
        <w:t>, 8 MSER 143,</w:t>
      </w:r>
    </w:p>
    <w:p w:rsidR="00E45749" w:rsidRPr="001166A6" w:rsidRDefault="00E45749" w:rsidP="00E45749">
      <w:pPr>
        <w:ind w:left="1440"/>
        <w:rPr>
          <w:rFonts w:cstheme="minorHAnsi"/>
          <w:sz w:val="24"/>
          <w:szCs w:val="24"/>
        </w:rPr>
      </w:pPr>
      <w:r w:rsidRPr="001166A6">
        <w:rPr>
          <w:rFonts w:cstheme="minorHAnsi"/>
          <w:sz w:val="24"/>
          <w:szCs w:val="24"/>
        </w:rPr>
        <w:t xml:space="preserve">In special education appeals, the </w:t>
      </w:r>
      <w:proofErr w:type="spellStart"/>
      <w:r w:rsidRPr="001166A6">
        <w:rPr>
          <w:rFonts w:cstheme="minorHAnsi"/>
          <w:sz w:val="24"/>
          <w:szCs w:val="24"/>
        </w:rPr>
        <w:t>joinder</w:t>
      </w:r>
      <w:proofErr w:type="spellEnd"/>
      <w:r w:rsidRPr="001166A6">
        <w:rPr>
          <w:rFonts w:cstheme="minorHAnsi"/>
          <w:sz w:val="24"/>
          <w:szCs w:val="24"/>
        </w:rPr>
        <w:t xml:space="preserve"> inquiry will necessarily focus on whether a free, appropriate public education can be developed, delivered, declared or guaranteed without the participation of the state agency sought to be joined. If it cannot, </w:t>
      </w:r>
      <w:proofErr w:type="spellStart"/>
      <w:r w:rsidRPr="001166A6">
        <w:rPr>
          <w:rFonts w:cstheme="minorHAnsi"/>
          <w:sz w:val="24"/>
          <w:szCs w:val="24"/>
        </w:rPr>
        <w:t>joinder</w:t>
      </w:r>
      <w:proofErr w:type="spellEnd"/>
      <w:r w:rsidRPr="001166A6">
        <w:rPr>
          <w:rFonts w:cstheme="minorHAnsi"/>
          <w:sz w:val="24"/>
          <w:szCs w:val="24"/>
        </w:rPr>
        <w:t xml:space="preserve"> will be allowed.</w:t>
      </w:r>
    </w:p>
    <w:p w:rsidR="006660CE" w:rsidRPr="001166A6" w:rsidRDefault="00E45749" w:rsidP="00577AB8">
      <w:pPr>
        <w:rPr>
          <w:rFonts w:cstheme="minorHAnsi"/>
          <w:sz w:val="24"/>
          <w:szCs w:val="24"/>
        </w:rPr>
      </w:pPr>
      <w:r w:rsidRPr="001166A6">
        <w:rPr>
          <w:rFonts w:cstheme="minorHAnsi"/>
          <w:sz w:val="24"/>
          <w:szCs w:val="24"/>
        </w:rPr>
        <w:t>S</w:t>
      </w:r>
      <w:r w:rsidR="003C6BF2" w:rsidRPr="001166A6">
        <w:rPr>
          <w:rFonts w:cstheme="minorHAnsi"/>
          <w:sz w:val="24"/>
          <w:szCs w:val="24"/>
        </w:rPr>
        <w:t>ince s</w:t>
      </w:r>
      <w:r w:rsidR="006660CE" w:rsidRPr="001166A6">
        <w:rPr>
          <w:rFonts w:cstheme="minorHAnsi"/>
          <w:sz w:val="24"/>
          <w:szCs w:val="24"/>
        </w:rPr>
        <w:t>chool districts are ultimately responsible for all types of placements required by a student for educational reasons</w:t>
      </w:r>
      <w:r w:rsidRPr="001166A6">
        <w:rPr>
          <w:rFonts w:cstheme="minorHAnsi"/>
          <w:sz w:val="24"/>
          <w:szCs w:val="24"/>
        </w:rPr>
        <w:t xml:space="preserve"> (</w:t>
      </w:r>
      <w:r w:rsidR="006660CE" w:rsidRPr="001166A6">
        <w:rPr>
          <w:rFonts w:cstheme="minorHAnsi"/>
          <w:sz w:val="24"/>
          <w:szCs w:val="24"/>
        </w:rPr>
        <w:t>including residential placements</w:t>
      </w:r>
      <w:r w:rsidRPr="001166A6">
        <w:rPr>
          <w:rFonts w:cstheme="minorHAnsi"/>
          <w:sz w:val="24"/>
          <w:szCs w:val="24"/>
        </w:rPr>
        <w:t>)</w:t>
      </w:r>
      <w:r w:rsidR="006660CE" w:rsidRPr="001166A6">
        <w:rPr>
          <w:rFonts w:cstheme="minorHAnsi"/>
          <w:sz w:val="24"/>
          <w:szCs w:val="24"/>
        </w:rPr>
        <w:t xml:space="preserve">, </w:t>
      </w:r>
      <w:r w:rsidR="003C6BF2" w:rsidRPr="001166A6">
        <w:rPr>
          <w:rFonts w:cstheme="minorHAnsi"/>
          <w:sz w:val="24"/>
          <w:szCs w:val="24"/>
        </w:rPr>
        <w:t xml:space="preserve">if the student requires the residential placement for educational reasons, the state agency will not be found responsible for said placement </w:t>
      </w:r>
      <w:r w:rsidR="006660CE" w:rsidRPr="001166A6">
        <w:rPr>
          <w:rFonts w:cstheme="minorHAnsi"/>
          <w:sz w:val="24"/>
          <w:szCs w:val="24"/>
        </w:rPr>
        <w:t xml:space="preserve">even if </w:t>
      </w:r>
      <w:r w:rsidRPr="001166A6">
        <w:rPr>
          <w:rFonts w:cstheme="minorHAnsi"/>
          <w:sz w:val="24"/>
          <w:szCs w:val="24"/>
        </w:rPr>
        <w:t>residential placement is among the services offered by the</w:t>
      </w:r>
      <w:r w:rsidR="003C6BF2" w:rsidRPr="001166A6">
        <w:rPr>
          <w:rFonts w:cstheme="minorHAnsi"/>
          <w:sz w:val="24"/>
          <w:szCs w:val="24"/>
        </w:rPr>
        <w:t xml:space="preserve"> </w:t>
      </w:r>
      <w:r w:rsidR="006660CE" w:rsidRPr="001166A6">
        <w:rPr>
          <w:rFonts w:cstheme="minorHAnsi"/>
          <w:sz w:val="24"/>
          <w:szCs w:val="24"/>
        </w:rPr>
        <w:t>state agency to its clients.</w:t>
      </w:r>
      <w:r w:rsidR="006660CE" w:rsidRPr="001166A6">
        <w:rPr>
          <w:rStyle w:val="FootnoteReference"/>
          <w:rFonts w:cstheme="minorHAnsi"/>
          <w:sz w:val="24"/>
          <w:szCs w:val="24"/>
        </w:rPr>
        <w:footnoteReference w:id="1"/>
      </w:r>
      <w:r w:rsidR="006660CE" w:rsidRPr="001166A6">
        <w:rPr>
          <w:rFonts w:cstheme="minorHAnsi"/>
          <w:sz w:val="24"/>
          <w:szCs w:val="24"/>
        </w:rPr>
        <w:t xml:space="preserve">  </w:t>
      </w:r>
      <w:r w:rsidR="006660CE" w:rsidRPr="001166A6">
        <w:rPr>
          <w:rFonts w:cstheme="minorHAnsi"/>
          <w:i/>
          <w:iCs/>
          <w:sz w:val="24"/>
          <w:szCs w:val="24"/>
        </w:rPr>
        <w:t>In Re: Student v. Boston Public Schools</w:t>
      </w:r>
      <w:r w:rsidR="006660CE" w:rsidRPr="001166A6">
        <w:rPr>
          <w:rFonts w:cstheme="minorHAnsi"/>
          <w:sz w:val="24"/>
          <w:szCs w:val="24"/>
        </w:rPr>
        <w:t>, BSEA # 06-6542 (July 25, 2006)</w:t>
      </w:r>
      <w:r w:rsidR="00E112DE" w:rsidRPr="001166A6">
        <w:rPr>
          <w:rFonts w:cstheme="minorHAnsi"/>
          <w:sz w:val="24"/>
          <w:szCs w:val="24"/>
        </w:rPr>
        <w:t>.  With this guidance, I turn to facts in the case at bar.</w:t>
      </w:r>
    </w:p>
    <w:p w:rsidR="003B2FC4" w:rsidRPr="001166A6" w:rsidRDefault="006660CE" w:rsidP="003B2FC4">
      <w:pPr>
        <w:pStyle w:val="BodyText"/>
        <w:rPr>
          <w:rFonts w:asciiTheme="minorHAnsi" w:hAnsiTheme="minorHAnsi" w:cstheme="minorHAnsi"/>
          <w:bCs/>
          <w:sz w:val="24"/>
          <w:szCs w:val="24"/>
        </w:rPr>
      </w:pPr>
      <w:r w:rsidRPr="001166A6">
        <w:rPr>
          <w:rFonts w:asciiTheme="minorHAnsi" w:hAnsiTheme="minorHAnsi" w:cstheme="minorHAnsi"/>
          <w:bCs/>
          <w:sz w:val="24"/>
          <w:szCs w:val="24"/>
        </w:rPr>
        <w:t>RULING:</w:t>
      </w:r>
      <w:r w:rsidR="003B2FC4" w:rsidRPr="001166A6">
        <w:rPr>
          <w:rFonts w:asciiTheme="minorHAnsi" w:hAnsiTheme="minorHAnsi" w:cstheme="minorHAnsi"/>
          <w:bCs/>
          <w:sz w:val="24"/>
          <w:szCs w:val="24"/>
        </w:rPr>
        <w:t xml:space="preserve"> </w:t>
      </w:r>
    </w:p>
    <w:p w:rsidR="003B2FC4" w:rsidRPr="001166A6" w:rsidRDefault="003B2FC4" w:rsidP="003B2FC4">
      <w:pPr>
        <w:pStyle w:val="BodyText"/>
        <w:rPr>
          <w:rFonts w:asciiTheme="minorHAnsi" w:hAnsiTheme="minorHAnsi" w:cstheme="minorHAnsi"/>
          <w:b w:val="0"/>
          <w:sz w:val="24"/>
          <w:szCs w:val="24"/>
        </w:rPr>
      </w:pPr>
    </w:p>
    <w:p w:rsidR="005D087E" w:rsidRPr="001166A6" w:rsidRDefault="003B2FC4" w:rsidP="003B2FC4">
      <w:pPr>
        <w:pStyle w:val="BodyText"/>
        <w:rPr>
          <w:rFonts w:asciiTheme="minorHAnsi" w:hAnsiTheme="minorHAnsi" w:cstheme="minorHAnsi"/>
          <w:b w:val="0"/>
          <w:sz w:val="24"/>
          <w:szCs w:val="24"/>
        </w:rPr>
      </w:pPr>
      <w:r w:rsidRPr="001166A6">
        <w:rPr>
          <w:rFonts w:asciiTheme="minorHAnsi" w:hAnsiTheme="minorHAnsi" w:cstheme="minorHAnsi"/>
          <w:b w:val="0"/>
          <w:sz w:val="24"/>
          <w:szCs w:val="24"/>
        </w:rPr>
        <w:t xml:space="preserve">Parent states that Student requires residential placement because of his unsafe behaviors. </w:t>
      </w:r>
      <w:r w:rsidR="005D087E" w:rsidRPr="001166A6">
        <w:rPr>
          <w:rFonts w:asciiTheme="minorHAnsi" w:hAnsiTheme="minorHAnsi" w:cstheme="minorHAnsi"/>
          <w:b w:val="0"/>
          <w:sz w:val="24"/>
          <w:szCs w:val="24"/>
        </w:rPr>
        <w:t xml:space="preserve">Gateway </w:t>
      </w:r>
      <w:r w:rsidRPr="001166A6">
        <w:rPr>
          <w:rFonts w:asciiTheme="minorHAnsi" w:hAnsiTheme="minorHAnsi" w:cstheme="minorHAnsi"/>
          <w:b w:val="0"/>
          <w:sz w:val="24"/>
          <w:szCs w:val="24"/>
        </w:rPr>
        <w:t xml:space="preserve">disputes that Student’s need for </w:t>
      </w:r>
      <w:r w:rsidR="005D087E" w:rsidRPr="001166A6">
        <w:rPr>
          <w:rFonts w:asciiTheme="minorHAnsi" w:hAnsiTheme="minorHAnsi" w:cstheme="minorHAnsi"/>
          <w:b w:val="0"/>
          <w:sz w:val="24"/>
          <w:szCs w:val="24"/>
        </w:rPr>
        <w:t xml:space="preserve">residential placement </w:t>
      </w:r>
      <w:r w:rsidR="0083018B">
        <w:rPr>
          <w:rFonts w:asciiTheme="minorHAnsi" w:hAnsiTheme="minorHAnsi" w:cstheme="minorHAnsi"/>
          <w:b w:val="0"/>
          <w:sz w:val="24"/>
          <w:szCs w:val="24"/>
        </w:rPr>
        <w:t xml:space="preserve">in the past was </w:t>
      </w:r>
      <w:r w:rsidRPr="001166A6">
        <w:rPr>
          <w:rFonts w:asciiTheme="minorHAnsi" w:hAnsiTheme="minorHAnsi" w:cstheme="minorHAnsi"/>
          <w:b w:val="0"/>
          <w:sz w:val="24"/>
          <w:szCs w:val="24"/>
        </w:rPr>
        <w:t xml:space="preserve">for educational reasons and states that this is the reason why Student’s residential placement </w:t>
      </w:r>
      <w:r w:rsidR="0083018B">
        <w:rPr>
          <w:rFonts w:asciiTheme="minorHAnsi" w:hAnsiTheme="minorHAnsi" w:cstheme="minorHAnsi"/>
          <w:b w:val="0"/>
          <w:sz w:val="24"/>
          <w:szCs w:val="24"/>
        </w:rPr>
        <w:t>was</w:t>
      </w:r>
      <w:r w:rsidRPr="001166A6">
        <w:rPr>
          <w:rFonts w:asciiTheme="minorHAnsi" w:hAnsiTheme="minorHAnsi" w:cstheme="minorHAnsi"/>
          <w:b w:val="0"/>
          <w:sz w:val="24"/>
          <w:szCs w:val="24"/>
        </w:rPr>
        <w:t xml:space="preserve"> the result of a cost-share agreement between it</w:t>
      </w:r>
      <w:r w:rsidR="0083018B">
        <w:rPr>
          <w:rFonts w:asciiTheme="minorHAnsi" w:hAnsiTheme="minorHAnsi" w:cstheme="minorHAnsi"/>
          <w:b w:val="0"/>
          <w:sz w:val="24"/>
          <w:szCs w:val="24"/>
        </w:rPr>
        <w:t>self</w:t>
      </w:r>
      <w:r w:rsidRPr="001166A6">
        <w:rPr>
          <w:rFonts w:asciiTheme="minorHAnsi" w:hAnsiTheme="minorHAnsi" w:cstheme="minorHAnsi"/>
          <w:b w:val="0"/>
          <w:sz w:val="24"/>
          <w:szCs w:val="24"/>
        </w:rPr>
        <w:t xml:space="preserve"> and DCF. </w:t>
      </w:r>
    </w:p>
    <w:p w:rsidR="003B2FC4" w:rsidRPr="001166A6" w:rsidRDefault="003B2FC4" w:rsidP="003B2FC4">
      <w:pPr>
        <w:pStyle w:val="BodyText"/>
        <w:rPr>
          <w:rFonts w:asciiTheme="minorHAnsi" w:hAnsiTheme="minorHAnsi" w:cstheme="minorHAnsi"/>
          <w:b w:val="0"/>
          <w:sz w:val="24"/>
          <w:szCs w:val="24"/>
        </w:rPr>
      </w:pPr>
    </w:p>
    <w:p w:rsidR="005D087E" w:rsidRPr="001166A6" w:rsidRDefault="003B2FC4" w:rsidP="006660CE">
      <w:pPr>
        <w:pStyle w:val="BodyText3"/>
        <w:rPr>
          <w:rFonts w:asciiTheme="minorHAnsi" w:hAnsiTheme="minorHAnsi" w:cstheme="minorHAnsi"/>
          <w:sz w:val="24"/>
        </w:rPr>
      </w:pPr>
      <w:r w:rsidRPr="001166A6">
        <w:rPr>
          <w:rFonts w:asciiTheme="minorHAnsi" w:hAnsiTheme="minorHAnsi" w:cstheme="minorHAnsi"/>
          <w:sz w:val="24"/>
        </w:rPr>
        <w:t xml:space="preserve">Gateway asserts that this matter meets the necessary criteria warranting </w:t>
      </w:r>
      <w:proofErr w:type="spellStart"/>
      <w:r w:rsidRPr="001166A6">
        <w:rPr>
          <w:rFonts w:asciiTheme="minorHAnsi" w:hAnsiTheme="minorHAnsi" w:cstheme="minorHAnsi"/>
          <w:sz w:val="24"/>
        </w:rPr>
        <w:t>joinder</w:t>
      </w:r>
      <w:proofErr w:type="spellEnd"/>
      <w:r w:rsidRPr="001166A6">
        <w:rPr>
          <w:rFonts w:asciiTheme="minorHAnsi" w:hAnsiTheme="minorHAnsi" w:cstheme="minorHAnsi"/>
          <w:sz w:val="24"/>
        </w:rPr>
        <w:t xml:space="preserve"> of DCF.  Specifically, Gateway argues that S</w:t>
      </w:r>
      <w:r w:rsidR="005D087E" w:rsidRPr="001166A6">
        <w:rPr>
          <w:rFonts w:asciiTheme="minorHAnsi" w:hAnsiTheme="minorHAnsi" w:cstheme="minorHAnsi"/>
          <w:sz w:val="24"/>
        </w:rPr>
        <w:t>tudent and his family are currently clients of D</w:t>
      </w:r>
      <w:r w:rsidRPr="001166A6">
        <w:rPr>
          <w:rFonts w:asciiTheme="minorHAnsi" w:hAnsiTheme="minorHAnsi" w:cstheme="minorHAnsi"/>
          <w:sz w:val="24"/>
        </w:rPr>
        <w:t>CF</w:t>
      </w:r>
      <w:r w:rsidR="00E0036B" w:rsidRPr="001166A6">
        <w:rPr>
          <w:rFonts w:asciiTheme="minorHAnsi" w:hAnsiTheme="minorHAnsi" w:cstheme="minorHAnsi"/>
          <w:sz w:val="24"/>
        </w:rPr>
        <w:t xml:space="preserve">.  </w:t>
      </w:r>
      <w:r w:rsidRPr="001166A6">
        <w:rPr>
          <w:rFonts w:asciiTheme="minorHAnsi" w:hAnsiTheme="minorHAnsi" w:cstheme="minorHAnsi"/>
          <w:sz w:val="24"/>
        </w:rPr>
        <w:t>DCF is the agency that funded the residential portion of Student’s placement</w:t>
      </w:r>
      <w:r w:rsidR="00935C70">
        <w:rPr>
          <w:rFonts w:asciiTheme="minorHAnsi" w:hAnsiTheme="minorHAnsi" w:cstheme="minorHAnsi"/>
          <w:sz w:val="24"/>
        </w:rPr>
        <w:t xml:space="preserve"> from 2009 to 2011</w:t>
      </w:r>
      <w:r w:rsidRPr="001166A6">
        <w:rPr>
          <w:rFonts w:asciiTheme="minorHAnsi" w:hAnsiTheme="minorHAnsi" w:cstheme="minorHAnsi"/>
          <w:sz w:val="24"/>
        </w:rPr>
        <w:t xml:space="preserve">.  </w:t>
      </w:r>
      <w:r w:rsidR="003929C0" w:rsidRPr="001166A6">
        <w:rPr>
          <w:rFonts w:asciiTheme="minorHAnsi" w:hAnsiTheme="minorHAnsi" w:cstheme="minorHAnsi"/>
          <w:sz w:val="24"/>
        </w:rPr>
        <w:t>Also, Gateway argues that DCF may be found responsible to provide other services in accordance with the array of services provided by DCF (such as supplemental services in the home) beyond what Gateway is responsible to provide</w:t>
      </w:r>
      <w:r w:rsidR="00935C70">
        <w:rPr>
          <w:rFonts w:asciiTheme="minorHAnsi" w:hAnsiTheme="minorHAnsi" w:cstheme="minorHAnsi"/>
          <w:sz w:val="24"/>
        </w:rPr>
        <w:t xml:space="preserve"> so as to</w:t>
      </w:r>
      <w:r w:rsidR="003929C0" w:rsidRPr="001166A6">
        <w:rPr>
          <w:rFonts w:asciiTheme="minorHAnsi" w:hAnsiTheme="minorHAnsi" w:cstheme="minorHAnsi"/>
          <w:sz w:val="24"/>
        </w:rPr>
        <w:t xml:space="preserve"> support Student’s educational placement and enable him to access a FAPE. </w:t>
      </w:r>
      <w:r w:rsidR="00935C70">
        <w:rPr>
          <w:rFonts w:asciiTheme="minorHAnsi" w:hAnsiTheme="minorHAnsi" w:cstheme="minorHAnsi"/>
          <w:sz w:val="24"/>
        </w:rPr>
        <w:t xml:space="preserve"> </w:t>
      </w:r>
      <w:r w:rsidRPr="001166A6">
        <w:rPr>
          <w:rFonts w:asciiTheme="minorHAnsi" w:hAnsiTheme="minorHAnsi" w:cstheme="minorHAnsi"/>
          <w:sz w:val="24"/>
        </w:rPr>
        <w:t>As such it argues that should the BSEA find that Student requires residential placement, complete relief cannot be granted in the absence of DCF.</w:t>
      </w:r>
    </w:p>
    <w:p w:rsidR="005D087E" w:rsidRPr="001166A6" w:rsidRDefault="005D087E" w:rsidP="006660CE">
      <w:pPr>
        <w:pStyle w:val="BodyText3"/>
        <w:rPr>
          <w:rFonts w:asciiTheme="minorHAnsi" w:hAnsiTheme="minorHAnsi" w:cstheme="minorHAnsi"/>
          <w:sz w:val="24"/>
        </w:rPr>
      </w:pPr>
    </w:p>
    <w:p w:rsidR="005D087E" w:rsidRPr="001166A6" w:rsidRDefault="005524AA" w:rsidP="006660CE">
      <w:pPr>
        <w:pStyle w:val="BodyText3"/>
        <w:rPr>
          <w:rFonts w:asciiTheme="minorHAnsi" w:hAnsiTheme="minorHAnsi" w:cstheme="minorHAnsi"/>
          <w:sz w:val="24"/>
        </w:rPr>
      </w:pPr>
      <w:r>
        <w:rPr>
          <w:rFonts w:asciiTheme="minorHAnsi" w:hAnsiTheme="minorHAnsi" w:cstheme="minorHAnsi"/>
          <w:sz w:val="24"/>
        </w:rPr>
        <w:t xml:space="preserve">DCF disputes its need to be joined arguing that the sole issue before the BSEA is Student’s educational need for residential placement.   Furthermore, Student is neither in the care or custody of DCF and as such the BSEA lacks authority to order DCF to provide </w:t>
      </w:r>
      <w:r w:rsidR="00935C70">
        <w:rPr>
          <w:rFonts w:asciiTheme="minorHAnsi" w:hAnsiTheme="minorHAnsi" w:cstheme="minorHAnsi"/>
          <w:sz w:val="24"/>
        </w:rPr>
        <w:t>him</w:t>
      </w:r>
      <w:r>
        <w:rPr>
          <w:rFonts w:asciiTheme="minorHAnsi" w:hAnsiTheme="minorHAnsi" w:cstheme="minorHAnsi"/>
          <w:sz w:val="24"/>
        </w:rPr>
        <w:t xml:space="preserve"> services. DCF asserts that any order by the BSEA </w:t>
      </w:r>
      <w:r w:rsidR="00935C70">
        <w:rPr>
          <w:rFonts w:asciiTheme="minorHAnsi" w:hAnsiTheme="minorHAnsi" w:cstheme="minorHAnsi"/>
          <w:sz w:val="24"/>
        </w:rPr>
        <w:t xml:space="preserve">against it </w:t>
      </w:r>
      <w:r>
        <w:rPr>
          <w:rFonts w:asciiTheme="minorHAnsi" w:hAnsiTheme="minorHAnsi" w:cstheme="minorHAnsi"/>
          <w:sz w:val="24"/>
        </w:rPr>
        <w:t>would violate DCF’s regulations there</w:t>
      </w:r>
      <w:r w:rsidR="00935C70">
        <w:rPr>
          <w:rFonts w:asciiTheme="minorHAnsi" w:hAnsiTheme="minorHAnsi" w:cstheme="minorHAnsi"/>
          <w:sz w:val="24"/>
        </w:rPr>
        <w:t>by</w:t>
      </w:r>
      <w:r>
        <w:rPr>
          <w:rFonts w:asciiTheme="minorHAnsi" w:hAnsiTheme="minorHAnsi" w:cstheme="minorHAnsi"/>
          <w:sz w:val="24"/>
        </w:rPr>
        <w:t xml:space="preserve"> exceed</w:t>
      </w:r>
      <w:r w:rsidR="00935C70">
        <w:rPr>
          <w:rFonts w:asciiTheme="minorHAnsi" w:hAnsiTheme="minorHAnsi" w:cstheme="minorHAnsi"/>
          <w:sz w:val="24"/>
        </w:rPr>
        <w:t>ing</w:t>
      </w:r>
      <w:r>
        <w:rPr>
          <w:rFonts w:asciiTheme="minorHAnsi" w:hAnsiTheme="minorHAnsi" w:cstheme="minorHAnsi"/>
          <w:sz w:val="24"/>
        </w:rPr>
        <w:t xml:space="preserve"> the statutory authority granted to the BSEA. </w:t>
      </w:r>
    </w:p>
    <w:p w:rsidR="005D087E" w:rsidRPr="001166A6" w:rsidRDefault="005D087E" w:rsidP="006660CE">
      <w:pPr>
        <w:pStyle w:val="BodyText3"/>
        <w:rPr>
          <w:rFonts w:asciiTheme="minorHAnsi" w:hAnsiTheme="minorHAnsi" w:cstheme="minorHAnsi"/>
          <w:sz w:val="24"/>
        </w:rPr>
      </w:pPr>
    </w:p>
    <w:p w:rsidR="005524AA" w:rsidRDefault="005524AA" w:rsidP="006660CE">
      <w:pPr>
        <w:pStyle w:val="BodyText3"/>
        <w:rPr>
          <w:rFonts w:asciiTheme="minorHAnsi" w:hAnsiTheme="minorHAnsi" w:cstheme="minorHAnsi"/>
          <w:sz w:val="24"/>
        </w:rPr>
      </w:pPr>
      <w:r>
        <w:rPr>
          <w:rFonts w:asciiTheme="minorHAnsi" w:hAnsiTheme="minorHAnsi" w:cstheme="minorHAnsi"/>
          <w:sz w:val="24"/>
        </w:rPr>
        <w:t xml:space="preserve">DCF argues that its involvement with Student is significantly limited, a fact that militates against </w:t>
      </w:r>
      <w:r w:rsidR="00935C70">
        <w:rPr>
          <w:rFonts w:asciiTheme="minorHAnsi" w:hAnsiTheme="minorHAnsi" w:cstheme="minorHAnsi"/>
          <w:sz w:val="24"/>
        </w:rPr>
        <w:t xml:space="preserve">its </w:t>
      </w:r>
      <w:proofErr w:type="spellStart"/>
      <w:r>
        <w:rPr>
          <w:rFonts w:asciiTheme="minorHAnsi" w:hAnsiTheme="minorHAnsi" w:cstheme="minorHAnsi"/>
          <w:sz w:val="24"/>
        </w:rPr>
        <w:t>joinder</w:t>
      </w:r>
      <w:proofErr w:type="spellEnd"/>
      <w:r>
        <w:rPr>
          <w:rFonts w:asciiTheme="minorHAnsi" w:hAnsiTheme="minorHAnsi" w:cstheme="minorHAnsi"/>
          <w:sz w:val="24"/>
        </w:rPr>
        <w:t xml:space="preserve">.  See </w:t>
      </w:r>
      <w:r w:rsidRPr="00935C70">
        <w:rPr>
          <w:rFonts w:asciiTheme="minorHAnsi" w:hAnsiTheme="minorHAnsi" w:cstheme="minorHAnsi"/>
          <w:i/>
          <w:sz w:val="24"/>
        </w:rPr>
        <w:t>In Re: Chicopee Public Schools and Abelard</w:t>
      </w:r>
      <w:r>
        <w:rPr>
          <w:rFonts w:asciiTheme="minorHAnsi" w:hAnsiTheme="minorHAnsi" w:cstheme="minorHAnsi"/>
          <w:sz w:val="24"/>
        </w:rPr>
        <w:t>, BSEA #06-3912, 12 MSER 108, 109 (2006</w:t>
      </w:r>
      <w:proofErr w:type="gramStart"/>
      <w:r>
        <w:rPr>
          <w:rFonts w:asciiTheme="minorHAnsi" w:hAnsiTheme="minorHAnsi" w:cstheme="minorHAnsi"/>
          <w:sz w:val="24"/>
        </w:rPr>
        <w:t>)(</w:t>
      </w:r>
      <w:proofErr w:type="gramEnd"/>
      <w:r>
        <w:rPr>
          <w:rFonts w:asciiTheme="minorHAnsi" w:hAnsiTheme="minorHAnsi" w:cstheme="minorHAnsi"/>
          <w:sz w:val="24"/>
        </w:rPr>
        <w:t>acknowledging limitations in the BSEA’s authority to join DCF where it lacks custody of the minor child)</w:t>
      </w:r>
      <w:r w:rsidR="00935C70">
        <w:rPr>
          <w:rFonts w:asciiTheme="minorHAnsi" w:hAnsiTheme="minorHAnsi" w:cstheme="minorHAnsi"/>
          <w:sz w:val="24"/>
        </w:rPr>
        <w:t>.  DCF further states that o</w:t>
      </w:r>
      <w:r w:rsidR="00EB4083">
        <w:rPr>
          <w:rFonts w:asciiTheme="minorHAnsi" w:hAnsiTheme="minorHAnsi" w:cstheme="minorHAnsi"/>
          <w:sz w:val="24"/>
        </w:rPr>
        <w:t xml:space="preserve">nly a court with pertinent jurisdiction can place children in </w:t>
      </w:r>
      <w:r w:rsidR="00935C70">
        <w:rPr>
          <w:rFonts w:asciiTheme="minorHAnsi" w:hAnsiTheme="minorHAnsi" w:cstheme="minorHAnsi"/>
          <w:sz w:val="24"/>
        </w:rPr>
        <w:t xml:space="preserve">its </w:t>
      </w:r>
      <w:r w:rsidR="00EB4083">
        <w:rPr>
          <w:rFonts w:asciiTheme="minorHAnsi" w:hAnsiTheme="minorHAnsi" w:cstheme="minorHAnsi"/>
          <w:sz w:val="24"/>
        </w:rPr>
        <w:t xml:space="preserve">custody.  To date, </w:t>
      </w:r>
      <w:r w:rsidR="00935C70">
        <w:rPr>
          <w:rFonts w:asciiTheme="minorHAnsi" w:hAnsiTheme="minorHAnsi" w:cstheme="minorHAnsi"/>
          <w:sz w:val="24"/>
        </w:rPr>
        <w:t xml:space="preserve">no such </w:t>
      </w:r>
      <w:r w:rsidR="00EB4083">
        <w:rPr>
          <w:rFonts w:asciiTheme="minorHAnsi" w:hAnsiTheme="minorHAnsi" w:cstheme="minorHAnsi"/>
          <w:sz w:val="24"/>
        </w:rPr>
        <w:t xml:space="preserve">petition </w:t>
      </w:r>
      <w:r w:rsidR="00935C70">
        <w:rPr>
          <w:rFonts w:asciiTheme="minorHAnsi" w:hAnsiTheme="minorHAnsi" w:cstheme="minorHAnsi"/>
          <w:sz w:val="24"/>
        </w:rPr>
        <w:t xml:space="preserve">has been </w:t>
      </w:r>
      <w:r w:rsidR="00EB4083">
        <w:rPr>
          <w:rFonts w:asciiTheme="minorHAnsi" w:hAnsiTheme="minorHAnsi" w:cstheme="minorHAnsi"/>
          <w:sz w:val="24"/>
        </w:rPr>
        <w:t>made.  Similarly, neither Student’s parents nor DCF have requested voluntary placement of Student in DCF.</w:t>
      </w:r>
      <w:r w:rsidR="007F651D">
        <w:rPr>
          <w:rFonts w:asciiTheme="minorHAnsi" w:hAnsiTheme="minorHAnsi" w:cstheme="minorHAnsi"/>
          <w:sz w:val="24"/>
        </w:rPr>
        <w:t xml:space="preserve">                </w:t>
      </w:r>
    </w:p>
    <w:p w:rsidR="005524AA" w:rsidRDefault="005524AA" w:rsidP="006660CE">
      <w:pPr>
        <w:pStyle w:val="BodyText3"/>
        <w:rPr>
          <w:rFonts w:asciiTheme="minorHAnsi" w:hAnsiTheme="minorHAnsi" w:cstheme="minorHAnsi"/>
          <w:sz w:val="24"/>
        </w:rPr>
      </w:pPr>
    </w:p>
    <w:p w:rsidR="00444A73" w:rsidRDefault="00EB4083" w:rsidP="006660CE">
      <w:pPr>
        <w:pStyle w:val="BodyText3"/>
        <w:rPr>
          <w:rFonts w:asciiTheme="minorHAnsi" w:hAnsiTheme="minorHAnsi" w:cstheme="minorHAnsi"/>
          <w:sz w:val="24"/>
        </w:rPr>
      </w:pPr>
      <w:r>
        <w:rPr>
          <w:rFonts w:asciiTheme="minorHAnsi" w:hAnsiTheme="minorHAnsi" w:cstheme="minorHAnsi"/>
          <w:sz w:val="24"/>
        </w:rPr>
        <w:t xml:space="preserve">While Student has been </w:t>
      </w:r>
      <w:r w:rsidR="006660CE" w:rsidRPr="001166A6">
        <w:rPr>
          <w:rFonts w:asciiTheme="minorHAnsi" w:hAnsiTheme="minorHAnsi" w:cstheme="minorHAnsi"/>
          <w:sz w:val="24"/>
        </w:rPr>
        <w:t>determined eligible to receive D</w:t>
      </w:r>
      <w:r w:rsidR="00935C70">
        <w:rPr>
          <w:rFonts w:asciiTheme="minorHAnsi" w:hAnsiTheme="minorHAnsi" w:cstheme="minorHAnsi"/>
          <w:sz w:val="24"/>
        </w:rPr>
        <w:t>CF</w:t>
      </w:r>
      <w:r w:rsidR="006660CE" w:rsidRPr="001166A6">
        <w:rPr>
          <w:rFonts w:asciiTheme="minorHAnsi" w:hAnsiTheme="minorHAnsi" w:cstheme="minorHAnsi"/>
          <w:sz w:val="24"/>
        </w:rPr>
        <w:t xml:space="preserve"> services</w:t>
      </w:r>
      <w:r>
        <w:rPr>
          <w:rFonts w:asciiTheme="minorHAnsi" w:hAnsiTheme="minorHAnsi" w:cstheme="minorHAnsi"/>
          <w:sz w:val="24"/>
        </w:rPr>
        <w:t>, at present he is neither in the care or custody of DCF, a fact which limits the authority of the BSEA to order DCF to provide and fund residential placement f</w:t>
      </w:r>
      <w:r w:rsidR="00935C70">
        <w:rPr>
          <w:rFonts w:asciiTheme="minorHAnsi" w:hAnsiTheme="minorHAnsi" w:cstheme="minorHAnsi"/>
          <w:sz w:val="24"/>
        </w:rPr>
        <w:t>or</w:t>
      </w:r>
      <w:r>
        <w:rPr>
          <w:rFonts w:asciiTheme="minorHAnsi" w:hAnsiTheme="minorHAnsi" w:cstheme="minorHAnsi"/>
          <w:sz w:val="24"/>
        </w:rPr>
        <w:t xml:space="preserve"> Student.   Furthermore, at this time it is unclear whether Student needs residential placement for educational reasons.  Therefore, DCF is correct that the nexus between </w:t>
      </w:r>
      <w:r w:rsidR="00935C70">
        <w:rPr>
          <w:rFonts w:asciiTheme="minorHAnsi" w:hAnsiTheme="minorHAnsi" w:cstheme="minorHAnsi"/>
          <w:sz w:val="24"/>
        </w:rPr>
        <w:t>said agency</w:t>
      </w:r>
      <w:r>
        <w:rPr>
          <w:rFonts w:asciiTheme="minorHAnsi" w:hAnsiTheme="minorHAnsi" w:cstheme="minorHAnsi"/>
          <w:sz w:val="24"/>
        </w:rPr>
        <w:t xml:space="preserve"> and Student and his family is insufficient to permit a BSEA Hearing Officer to order it to provide residential placement to Student.  Furthermore, Gateway has submitted insufficient evidence to ascertain whether there may be other services that the DCF may be required to provide, consistent with its rules and regulations, that may be needed by Student beyond the services for which Gateway may be responsible.   At the Hearing on the merits, Gateway </w:t>
      </w:r>
      <w:r w:rsidR="00444A73">
        <w:rPr>
          <w:rFonts w:asciiTheme="minorHAnsi" w:hAnsiTheme="minorHAnsi" w:cstheme="minorHAnsi"/>
          <w:sz w:val="24"/>
        </w:rPr>
        <w:t xml:space="preserve">and or Parents </w:t>
      </w:r>
      <w:r>
        <w:rPr>
          <w:rFonts w:asciiTheme="minorHAnsi" w:hAnsiTheme="minorHAnsi" w:cstheme="minorHAnsi"/>
          <w:sz w:val="24"/>
        </w:rPr>
        <w:t xml:space="preserve">may call a DCF representative to obtain </w:t>
      </w:r>
      <w:r w:rsidR="00444A73">
        <w:rPr>
          <w:rFonts w:asciiTheme="minorHAnsi" w:hAnsiTheme="minorHAnsi" w:cstheme="minorHAnsi"/>
          <w:sz w:val="24"/>
        </w:rPr>
        <w:t>said</w:t>
      </w:r>
      <w:r>
        <w:rPr>
          <w:rFonts w:asciiTheme="minorHAnsi" w:hAnsiTheme="minorHAnsi" w:cstheme="minorHAnsi"/>
          <w:sz w:val="24"/>
        </w:rPr>
        <w:t xml:space="preserve"> information.  </w:t>
      </w:r>
      <w:r w:rsidR="00444A73">
        <w:rPr>
          <w:rFonts w:asciiTheme="minorHAnsi" w:hAnsiTheme="minorHAnsi" w:cstheme="minorHAnsi"/>
          <w:sz w:val="24"/>
        </w:rPr>
        <w:t xml:space="preserve">Also, were the relationship between DCF and Student/ Parents to change prior to the Hearing, either Parents or DCF may re-file a motion for </w:t>
      </w:r>
      <w:proofErr w:type="spellStart"/>
      <w:r w:rsidR="00444A73">
        <w:rPr>
          <w:rFonts w:asciiTheme="minorHAnsi" w:hAnsiTheme="minorHAnsi" w:cstheme="minorHAnsi"/>
          <w:sz w:val="24"/>
        </w:rPr>
        <w:t>joinder</w:t>
      </w:r>
      <w:proofErr w:type="spellEnd"/>
      <w:r w:rsidR="00444A73">
        <w:rPr>
          <w:rFonts w:asciiTheme="minorHAnsi" w:hAnsiTheme="minorHAnsi" w:cstheme="minorHAnsi"/>
          <w:sz w:val="24"/>
        </w:rPr>
        <w:t xml:space="preserve"> of this agency.</w:t>
      </w:r>
    </w:p>
    <w:p w:rsidR="00444A73" w:rsidRDefault="00444A73" w:rsidP="006660CE">
      <w:pPr>
        <w:pStyle w:val="BodyText3"/>
        <w:rPr>
          <w:rFonts w:asciiTheme="minorHAnsi" w:hAnsiTheme="minorHAnsi" w:cstheme="minorHAnsi"/>
          <w:sz w:val="24"/>
        </w:rPr>
      </w:pPr>
    </w:p>
    <w:p w:rsidR="00444A73" w:rsidRDefault="00444A73" w:rsidP="006660CE">
      <w:pPr>
        <w:pStyle w:val="BodyText3"/>
        <w:rPr>
          <w:rFonts w:asciiTheme="minorHAnsi" w:hAnsiTheme="minorHAnsi" w:cstheme="minorHAnsi"/>
          <w:sz w:val="24"/>
        </w:rPr>
      </w:pPr>
      <w:r>
        <w:rPr>
          <w:rFonts w:asciiTheme="minorHAnsi" w:hAnsiTheme="minorHAnsi" w:cstheme="minorHAnsi"/>
          <w:sz w:val="24"/>
        </w:rPr>
        <w:t xml:space="preserve">I find that at the present time DCF does not need to be joined to this proceeding in order for Student to receive full relief were the evidence to support his request for residential placement at Hearing.   DCF is not found to be a necessary party to this proceeding.      </w:t>
      </w:r>
    </w:p>
    <w:p w:rsidR="00444A73" w:rsidRDefault="00444A73" w:rsidP="006660CE">
      <w:pPr>
        <w:pStyle w:val="BodyText3"/>
        <w:rPr>
          <w:rFonts w:asciiTheme="minorHAnsi" w:hAnsiTheme="minorHAnsi" w:cstheme="minorHAnsi"/>
          <w:sz w:val="24"/>
        </w:rPr>
      </w:pPr>
    </w:p>
    <w:p w:rsidR="00444A73" w:rsidRDefault="00444A73" w:rsidP="006660CE">
      <w:pPr>
        <w:pStyle w:val="BodyText3"/>
        <w:rPr>
          <w:rFonts w:asciiTheme="minorHAnsi" w:hAnsiTheme="minorHAnsi" w:cstheme="minorHAnsi"/>
          <w:sz w:val="24"/>
        </w:rPr>
      </w:pPr>
    </w:p>
    <w:p w:rsidR="006660CE" w:rsidRPr="001166A6" w:rsidRDefault="006660CE" w:rsidP="006660CE">
      <w:pPr>
        <w:rPr>
          <w:b/>
          <w:bCs/>
          <w:sz w:val="24"/>
          <w:szCs w:val="24"/>
        </w:rPr>
      </w:pPr>
      <w:r w:rsidRPr="001166A6">
        <w:rPr>
          <w:b/>
          <w:bCs/>
          <w:sz w:val="24"/>
          <w:szCs w:val="24"/>
        </w:rPr>
        <w:t>ORDER:</w:t>
      </w:r>
    </w:p>
    <w:p w:rsidR="006660CE" w:rsidRPr="001166A6" w:rsidRDefault="006660CE" w:rsidP="006660CE">
      <w:pPr>
        <w:rPr>
          <w:sz w:val="24"/>
          <w:szCs w:val="24"/>
        </w:rPr>
      </w:pPr>
      <w:r w:rsidRPr="001166A6">
        <w:rPr>
          <w:sz w:val="24"/>
          <w:szCs w:val="24"/>
        </w:rPr>
        <w:t xml:space="preserve">1.  </w:t>
      </w:r>
      <w:r w:rsidR="001166A6">
        <w:rPr>
          <w:sz w:val="24"/>
          <w:szCs w:val="24"/>
        </w:rPr>
        <w:t>Gateway’s</w:t>
      </w:r>
      <w:r w:rsidRPr="001166A6">
        <w:rPr>
          <w:sz w:val="24"/>
          <w:szCs w:val="24"/>
        </w:rPr>
        <w:t xml:space="preserve"> Motion for </w:t>
      </w:r>
      <w:proofErr w:type="spellStart"/>
      <w:r w:rsidRPr="001166A6">
        <w:rPr>
          <w:sz w:val="24"/>
          <w:szCs w:val="24"/>
        </w:rPr>
        <w:t>Joinder</w:t>
      </w:r>
      <w:proofErr w:type="spellEnd"/>
      <w:r w:rsidRPr="001166A6">
        <w:rPr>
          <w:sz w:val="24"/>
          <w:szCs w:val="24"/>
        </w:rPr>
        <w:t xml:space="preserve"> of the D</w:t>
      </w:r>
      <w:r w:rsidR="001166A6">
        <w:rPr>
          <w:sz w:val="24"/>
          <w:szCs w:val="24"/>
        </w:rPr>
        <w:t>CF</w:t>
      </w:r>
      <w:r w:rsidRPr="001166A6">
        <w:rPr>
          <w:sz w:val="24"/>
          <w:szCs w:val="24"/>
        </w:rPr>
        <w:t xml:space="preserve"> is </w:t>
      </w:r>
      <w:r w:rsidR="00444A73">
        <w:rPr>
          <w:b/>
          <w:bCs/>
          <w:sz w:val="24"/>
          <w:szCs w:val="24"/>
        </w:rPr>
        <w:t>DENIED without Prejudice</w:t>
      </w:r>
      <w:r w:rsidRPr="001166A6">
        <w:rPr>
          <w:sz w:val="24"/>
          <w:szCs w:val="24"/>
        </w:rPr>
        <w:t xml:space="preserve">. </w:t>
      </w:r>
    </w:p>
    <w:p w:rsidR="00686D90" w:rsidRPr="001166A6" w:rsidRDefault="00686D90" w:rsidP="008D2C29">
      <w:pPr>
        <w:spacing w:after="0"/>
        <w:rPr>
          <w:sz w:val="24"/>
          <w:szCs w:val="24"/>
        </w:rPr>
      </w:pPr>
    </w:p>
    <w:p w:rsidR="007A0F64" w:rsidRPr="001166A6" w:rsidRDefault="007A0F64" w:rsidP="007A0F64">
      <w:pPr>
        <w:spacing w:after="0"/>
        <w:rPr>
          <w:sz w:val="24"/>
          <w:szCs w:val="24"/>
        </w:rPr>
      </w:pPr>
      <w:r w:rsidRPr="001166A6">
        <w:rPr>
          <w:sz w:val="24"/>
          <w:szCs w:val="24"/>
        </w:rPr>
        <w:t>So Ordered by the Hearing Officer,</w:t>
      </w:r>
    </w:p>
    <w:p w:rsidR="007A0F64" w:rsidRPr="001166A6" w:rsidRDefault="007A0F64" w:rsidP="007A0F64">
      <w:pPr>
        <w:spacing w:after="0"/>
        <w:rPr>
          <w:sz w:val="24"/>
          <w:szCs w:val="24"/>
        </w:rPr>
      </w:pPr>
    </w:p>
    <w:p w:rsidR="007A0F64" w:rsidRPr="001166A6" w:rsidRDefault="007A0F64" w:rsidP="007A0F64">
      <w:pPr>
        <w:spacing w:after="0"/>
        <w:rPr>
          <w:sz w:val="24"/>
          <w:szCs w:val="24"/>
        </w:rPr>
      </w:pPr>
    </w:p>
    <w:p w:rsidR="007A0F64" w:rsidRPr="001166A6" w:rsidRDefault="007A0F64" w:rsidP="007A0F64">
      <w:pPr>
        <w:spacing w:after="0"/>
        <w:rPr>
          <w:sz w:val="24"/>
          <w:szCs w:val="24"/>
        </w:rPr>
      </w:pPr>
      <w:r w:rsidRPr="001166A6">
        <w:rPr>
          <w:sz w:val="24"/>
          <w:szCs w:val="24"/>
        </w:rPr>
        <w:t xml:space="preserve">____________________________________________________ </w:t>
      </w:r>
    </w:p>
    <w:p w:rsidR="007A0F64" w:rsidRPr="001166A6" w:rsidRDefault="007A0F64" w:rsidP="007A0F64">
      <w:pPr>
        <w:spacing w:after="0"/>
        <w:rPr>
          <w:sz w:val="24"/>
          <w:szCs w:val="24"/>
        </w:rPr>
      </w:pPr>
      <w:r w:rsidRPr="001166A6">
        <w:rPr>
          <w:sz w:val="24"/>
          <w:szCs w:val="24"/>
        </w:rPr>
        <w:t>Rosa I. Figueroa</w:t>
      </w:r>
    </w:p>
    <w:p w:rsidR="007A0F64" w:rsidRPr="001166A6" w:rsidRDefault="007A0F64" w:rsidP="007A0F64">
      <w:pPr>
        <w:spacing w:after="0"/>
        <w:rPr>
          <w:sz w:val="24"/>
          <w:szCs w:val="24"/>
        </w:rPr>
      </w:pPr>
      <w:r w:rsidRPr="001166A6">
        <w:rPr>
          <w:sz w:val="24"/>
          <w:szCs w:val="24"/>
        </w:rPr>
        <w:t>Dated: July 1</w:t>
      </w:r>
      <w:r w:rsidR="001166A6">
        <w:rPr>
          <w:sz w:val="24"/>
          <w:szCs w:val="24"/>
        </w:rPr>
        <w:t>8</w:t>
      </w:r>
      <w:r w:rsidRPr="001166A6">
        <w:rPr>
          <w:sz w:val="24"/>
          <w:szCs w:val="24"/>
        </w:rPr>
        <w:t>, 2012</w:t>
      </w:r>
    </w:p>
    <w:sectPr w:rsidR="007A0F64" w:rsidRPr="001166A6" w:rsidSect="00D84CF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C70" w:rsidRDefault="00935C70" w:rsidP="006660CE">
      <w:pPr>
        <w:spacing w:after="0" w:line="240" w:lineRule="auto"/>
      </w:pPr>
      <w:r>
        <w:separator/>
      </w:r>
    </w:p>
  </w:endnote>
  <w:endnote w:type="continuationSeparator" w:id="0">
    <w:p w:rsidR="00935C70" w:rsidRDefault="00935C70" w:rsidP="006660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6232498"/>
      <w:docPartObj>
        <w:docPartGallery w:val="Page Numbers (Bottom of Page)"/>
        <w:docPartUnique/>
      </w:docPartObj>
    </w:sdtPr>
    <w:sdtEndPr>
      <w:rPr>
        <w:noProof/>
      </w:rPr>
    </w:sdtEndPr>
    <w:sdtContent>
      <w:p w:rsidR="000E0C7C" w:rsidRDefault="00656C90">
        <w:pPr>
          <w:pStyle w:val="Footer"/>
          <w:jc w:val="center"/>
        </w:pPr>
        <w:r>
          <w:fldChar w:fldCharType="begin"/>
        </w:r>
        <w:r w:rsidR="000E0C7C">
          <w:instrText xml:space="preserve"> PAGE   \* MERGEFORMAT </w:instrText>
        </w:r>
        <w:r>
          <w:fldChar w:fldCharType="separate"/>
        </w:r>
        <w:r w:rsidR="00F660F5">
          <w:rPr>
            <w:noProof/>
          </w:rPr>
          <w:t>6</w:t>
        </w:r>
        <w:r>
          <w:rPr>
            <w:noProof/>
          </w:rPr>
          <w:fldChar w:fldCharType="end"/>
        </w:r>
      </w:p>
    </w:sdtContent>
  </w:sdt>
  <w:p w:rsidR="000E0C7C" w:rsidRDefault="000E0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C70" w:rsidRDefault="00935C70" w:rsidP="006660CE">
      <w:pPr>
        <w:spacing w:after="0" w:line="240" w:lineRule="auto"/>
      </w:pPr>
      <w:r>
        <w:separator/>
      </w:r>
    </w:p>
  </w:footnote>
  <w:footnote w:type="continuationSeparator" w:id="0">
    <w:p w:rsidR="00935C70" w:rsidRDefault="00935C70" w:rsidP="006660CE">
      <w:pPr>
        <w:spacing w:after="0" w:line="240" w:lineRule="auto"/>
      </w:pPr>
      <w:r>
        <w:continuationSeparator/>
      </w:r>
    </w:p>
  </w:footnote>
  <w:footnote w:id="1">
    <w:p w:rsidR="00935C70" w:rsidRDefault="00935C70" w:rsidP="006660CE">
      <w:pPr>
        <w:pStyle w:val="FootnoteText"/>
      </w:pPr>
      <w:r>
        <w:rPr>
          <w:rStyle w:val="FootnoteReference"/>
        </w:rPr>
        <w:footnoteRef/>
      </w:r>
      <w:r>
        <w:t xml:space="preserve">   See </w:t>
      </w:r>
      <w:r>
        <w:rPr>
          <w:i/>
          <w:iCs/>
        </w:rPr>
        <w:t>In Re: Westford Public Schools</w:t>
      </w:r>
      <w:r>
        <w:t xml:space="preserve">, BSEA #05-0621, </w:t>
      </w:r>
      <w:proofErr w:type="gramStart"/>
      <w:r>
        <w:t>10</w:t>
      </w:r>
      <w:proofErr w:type="gramEnd"/>
      <w:r>
        <w:t xml:space="preserve"> MSER 541, 551 (2004, </w:t>
      </w:r>
      <w:proofErr w:type="spellStart"/>
      <w:r>
        <w:t>Beron</w:t>
      </w:r>
      <w:proofErr w:type="spellEnd"/>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F3ABC"/>
    <w:multiLevelType w:val="hybridMultilevel"/>
    <w:tmpl w:val="E2E29900"/>
    <w:lvl w:ilvl="0" w:tplc="8F8C9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00447E"/>
    <w:multiLevelType w:val="hybridMultilevel"/>
    <w:tmpl w:val="BD5AD62A"/>
    <w:lvl w:ilvl="0" w:tplc="E1065EB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66186DB3"/>
    <w:multiLevelType w:val="hybridMultilevel"/>
    <w:tmpl w:val="56D20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417D56"/>
    <w:multiLevelType w:val="hybridMultilevel"/>
    <w:tmpl w:val="BE7C1FCE"/>
    <w:lvl w:ilvl="0" w:tplc="A1884EEC">
      <w:start w:val="1"/>
      <w:numFmt w:val="decimal"/>
      <w:lvlText w:val="(%1)"/>
      <w:lvlJc w:val="left"/>
      <w:pPr>
        <w:tabs>
          <w:tab w:val="num" w:pos="1800"/>
        </w:tabs>
        <w:ind w:left="1800" w:hanging="360"/>
      </w:pPr>
      <w:rPr>
        <w:rFonts w:asciiTheme="minorHAnsi" w:eastAsiaTheme="minorHAnsi" w:hAnsiTheme="minorHAnsi" w:cstheme="minorHAnsi"/>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A0F64"/>
    <w:rsid w:val="0009205D"/>
    <w:rsid w:val="000D75B2"/>
    <w:rsid w:val="000E0C7C"/>
    <w:rsid w:val="001166A6"/>
    <w:rsid w:val="0017072F"/>
    <w:rsid w:val="00184809"/>
    <w:rsid w:val="002313EC"/>
    <w:rsid w:val="002A6DEA"/>
    <w:rsid w:val="002D192D"/>
    <w:rsid w:val="00374B95"/>
    <w:rsid w:val="003929C0"/>
    <w:rsid w:val="003B2FC4"/>
    <w:rsid w:val="003C6BF2"/>
    <w:rsid w:val="00444A73"/>
    <w:rsid w:val="00452ED5"/>
    <w:rsid w:val="004674C4"/>
    <w:rsid w:val="004A4333"/>
    <w:rsid w:val="005338A0"/>
    <w:rsid w:val="005524AA"/>
    <w:rsid w:val="00560B73"/>
    <w:rsid w:val="00577AB8"/>
    <w:rsid w:val="005A1FA3"/>
    <w:rsid w:val="005D087E"/>
    <w:rsid w:val="00627C07"/>
    <w:rsid w:val="00644A27"/>
    <w:rsid w:val="00656C90"/>
    <w:rsid w:val="006660CE"/>
    <w:rsid w:val="006776CC"/>
    <w:rsid w:val="00686D90"/>
    <w:rsid w:val="006B175D"/>
    <w:rsid w:val="00780A26"/>
    <w:rsid w:val="007A0F64"/>
    <w:rsid w:val="007C2545"/>
    <w:rsid w:val="007F651D"/>
    <w:rsid w:val="0083018B"/>
    <w:rsid w:val="00891716"/>
    <w:rsid w:val="008D2C29"/>
    <w:rsid w:val="008F546F"/>
    <w:rsid w:val="00935C70"/>
    <w:rsid w:val="00991ADE"/>
    <w:rsid w:val="00A101D2"/>
    <w:rsid w:val="00A60226"/>
    <w:rsid w:val="00AA3367"/>
    <w:rsid w:val="00B437E2"/>
    <w:rsid w:val="00BC0166"/>
    <w:rsid w:val="00BE1EA7"/>
    <w:rsid w:val="00D84CF6"/>
    <w:rsid w:val="00E0036B"/>
    <w:rsid w:val="00E112DE"/>
    <w:rsid w:val="00E45749"/>
    <w:rsid w:val="00E871A7"/>
    <w:rsid w:val="00EA4B3D"/>
    <w:rsid w:val="00EB4083"/>
    <w:rsid w:val="00F43E8B"/>
    <w:rsid w:val="00F660F5"/>
    <w:rsid w:val="00FD1256"/>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C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660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660CE"/>
    <w:rPr>
      <w:rFonts w:ascii="Times New Roman" w:eastAsia="Times New Roman" w:hAnsi="Times New Roman" w:cs="Times New Roman"/>
      <w:sz w:val="20"/>
      <w:szCs w:val="20"/>
    </w:rPr>
  </w:style>
  <w:style w:type="character" w:styleId="FootnoteReference">
    <w:name w:val="footnote reference"/>
    <w:basedOn w:val="DefaultParagraphFont"/>
    <w:semiHidden/>
    <w:rsid w:val="006660CE"/>
    <w:rPr>
      <w:vertAlign w:val="superscript"/>
    </w:rPr>
  </w:style>
  <w:style w:type="paragraph" w:styleId="Title">
    <w:name w:val="Title"/>
    <w:basedOn w:val="Normal"/>
    <w:link w:val="TitleChar"/>
    <w:qFormat/>
    <w:rsid w:val="006660C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660CE"/>
    <w:rPr>
      <w:rFonts w:ascii="Times New Roman" w:eastAsia="Times New Roman" w:hAnsi="Times New Roman" w:cs="Times New Roman"/>
      <w:sz w:val="24"/>
      <w:szCs w:val="20"/>
    </w:rPr>
  </w:style>
  <w:style w:type="paragraph" w:styleId="BodyText">
    <w:name w:val="Body Text"/>
    <w:basedOn w:val="Normal"/>
    <w:link w:val="BodyTextChar"/>
    <w:semiHidden/>
    <w:rsid w:val="006660CE"/>
    <w:pPr>
      <w:spacing w:after="0" w:line="240" w:lineRule="auto"/>
    </w:pPr>
    <w:rPr>
      <w:rFonts w:ascii="Times New Roman" w:eastAsia="Times New Roman" w:hAnsi="Times New Roman" w:cs="Times New Roman"/>
      <w:b/>
      <w:sz w:val="25"/>
      <w:szCs w:val="20"/>
    </w:rPr>
  </w:style>
  <w:style w:type="character" w:customStyle="1" w:styleId="BodyTextChar">
    <w:name w:val="Body Text Char"/>
    <w:basedOn w:val="DefaultParagraphFont"/>
    <w:link w:val="BodyText"/>
    <w:semiHidden/>
    <w:rsid w:val="006660CE"/>
    <w:rPr>
      <w:rFonts w:ascii="Times New Roman" w:eastAsia="Times New Roman" w:hAnsi="Times New Roman" w:cs="Times New Roman"/>
      <w:b/>
      <w:sz w:val="25"/>
      <w:szCs w:val="20"/>
    </w:rPr>
  </w:style>
  <w:style w:type="paragraph" w:styleId="BodyText3">
    <w:name w:val="Body Text 3"/>
    <w:basedOn w:val="Normal"/>
    <w:link w:val="BodyText3Char"/>
    <w:semiHidden/>
    <w:rsid w:val="006660CE"/>
    <w:pPr>
      <w:spacing w:after="0" w:line="240" w:lineRule="auto"/>
    </w:pPr>
    <w:rPr>
      <w:rFonts w:ascii="Times New Roman" w:eastAsia="Times New Roman" w:hAnsi="Times New Roman" w:cs="Times New Roman"/>
      <w:bCs/>
      <w:sz w:val="25"/>
      <w:szCs w:val="24"/>
    </w:rPr>
  </w:style>
  <w:style w:type="character" w:customStyle="1" w:styleId="BodyText3Char">
    <w:name w:val="Body Text 3 Char"/>
    <w:basedOn w:val="DefaultParagraphFont"/>
    <w:link w:val="BodyText3"/>
    <w:semiHidden/>
    <w:rsid w:val="006660CE"/>
    <w:rPr>
      <w:rFonts w:ascii="Times New Roman" w:eastAsia="Times New Roman" w:hAnsi="Times New Roman" w:cs="Times New Roman"/>
      <w:bCs/>
      <w:sz w:val="25"/>
      <w:szCs w:val="24"/>
    </w:rPr>
  </w:style>
  <w:style w:type="paragraph" w:styleId="ListParagraph">
    <w:name w:val="List Paragraph"/>
    <w:basedOn w:val="Normal"/>
    <w:uiPriority w:val="34"/>
    <w:qFormat/>
    <w:rsid w:val="00577AB8"/>
    <w:pPr>
      <w:ind w:left="720"/>
      <w:contextualSpacing/>
    </w:pPr>
  </w:style>
  <w:style w:type="paragraph" w:styleId="Header">
    <w:name w:val="header"/>
    <w:basedOn w:val="Normal"/>
    <w:link w:val="HeaderChar"/>
    <w:uiPriority w:val="99"/>
    <w:unhideWhenUsed/>
    <w:rsid w:val="000E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7C"/>
  </w:style>
  <w:style w:type="paragraph" w:styleId="Footer">
    <w:name w:val="footer"/>
    <w:basedOn w:val="Normal"/>
    <w:link w:val="FooterChar"/>
    <w:uiPriority w:val="99"/>
    <w:unhideWhenUsed/>
    <w:rsid w:val="000E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660C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6660CE"/>
    <w:rPr>
      <w:rFonts w:ascii="Times New Roman" w:eastAsia="Times New Roman" w:hAnsi="Times New Roman" w:cs="Times New Roman"/>
      <w:sz w:val="20"/>
      <w:szCs w:val="20"/>
    </w:rPr>
  </w:style>
  <w:style w:type="character" w:styleId="FootnoteReference">
    <w:name w:val="footnote reference"/>
    <w:basedOn w:val="DefaultParagraphFont"/>
    <w:semiHidden/>
    <w:rsid w:val="006660CE"/>
    <w:rPr>
      <w:vertAlign w:val="superscript"/>
    </w:rPr>
  </w:style>
  <w:style w:type="paragraph" w:styleId="Title">
    <w:name w:val="Title"/>
    <w:basedOn w:val="Normal"/>
    <w:link w:val="TitleChar"/>
    <w:qFormat/>
    <w:rsid w:val="006660CE"/>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6660CE"/>
    <w:rPr>
      <w:rFonts w:ascii="Times New Roman" w:eastAsia="Times New Roman" w:hAnsi="Times New Roman" w:cs="Times New Roman"/>
      <w:sz w:val="24"/>
      <w:szCs w:val="20"/>
    </w:rPr>
  </w:style>
  <w:style w:type="paragraph" w:styleId="BodyText">
    <w:name w:val="Body Text"/>
    <w:basedOn w:val="Normal"/>
    <w:link w:val="BodyTextChar"/>
    <w:semiHidden/>
    <w:rsid w:val="006660CE"/>
    <w:pPr>
      <w:spacing w:after="0" w:line="240" w:lineRule="auto"/>
    </w:pPr>
    <w:rPr>
      <w:rFonts w:ascii="Times New Roman" w:eastAsia="Times New Roman" w:hAnsi="Times New Roman" w:cs="Times New Roman"/>
      <w:b/>
      <w:sz w:val="25"/>
      <w:szCs w:val="20"/>
    </w:rPr>
  </w:style>
  <w:style w:type="character" w:customStyle="1" w:styleId="BodyTextChar">
    <w:name w:val="Body Text Char"/>
    <w:basedOn w:val="DefaultParagraphFont"/>
    <w:link w:val="BodyText"/>
    <w:semiHidden/>
    <w:rsid w:val="006660CE"/>
    <w:rPr>
      <w:rFonts w:ascii="Times New Roman" w:eastAsia="Times New Roman" w:hAnsi="Times New Roman" w:cs="Times New Roman"/>
      <w:b/>
      <w:sz w:val="25"/>
      <w:szCs w:val="20"/>
    </w:rPr>
  </w:style>
  <w:style w:type="paragraph" w:styleId="BodyText3">
    <w:name w:val="Body Text 3"/>
    <w:basedOn w:val="Normal"/>
    <w:link w:val="BodyText3Char"/>
    <w:semiHidden/>
    <w:rsid w:val="006660CE"/>
    <w:pPr>
      <w:spacing w:after="0" w:line="240" w:lineRule="auto"/>
    </w:pPr>
    <w:rPr>
      <w:rFonts w:ascii="Times New Roman" w:eastAsia="Times New Roman" w:hAnsi="Times New Roman" w:cs="Times New Roman"/>
      <w:bCs/>
      <w:sz w:val="25"/>
      <w:szCs w:val="24"/>
    </w:rPr>
  </w:style>
  <w:style w:type="character" w:customStyle="1" w:styleId="BodyText3Char">
    <w:name w:val="Body Text 3 Char"/>
    <w:basedOn w:val="DefaultParagraphFont"/>
    <w:link w:val="BodyText3"/>
    <w:semiHidden/>
    <w:rsid w:val="006660CE"/>
    <w:rPr>
      <w:rFonts w:ascii="Times New Roman" w:eastAsia="Times New Roman" w:hAnsi="Times New Roman" w:cs="Times New Roman"/>
      <w:bCs/>
      <w:sz w:val="25"/>
      <w:szCs w:val="24"/>
    </w:rPr>
  </w:style>
  <w:style w:type="paragraph" w:styleId="ListParagraph">
    <w:name w:val="List Paragraph"/>
    <w:basedOn w:val="Normal"/>
    <w:uiPriority w:val="34"/>
    <w:qFormat/>
    <w:rsid w:val="00577AB8"/>
    <w:pPr>
      <w:ind w:left="720"/>
      <w:contextualSpacing/>
    </w:pPr>
  </w:style>
  <w:style w:type="paragraph" w:styleId="Header">
    <w:name w:val="header"/>
    <w:basedOn w:val="Normal"/>
    <w:link w:val="HeaderChar"/>
    <w:uiPriority w:val="99"/>
    <w:unhideWhenUsed/>
    <w:rsid w:val="000E0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C7C"/>
  </w:style>
  <w:style w:type="paragraph" w:styleId="Footer">
    <w:name w:val="footer"/>
    <w:basedOn w:val="Normal"/>
    <w:link w:val="FooterChar"/>
    <w:uiPriority w:val="99"/>
    <w:unhideWhenUsed/>
    <w:rsid w:val="000E0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C7C"/>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2011</Words>
  <Characters>11464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Gateway R.S.D. BSEA #12-8582</vt:lpstr>
    </vt:vector>
  </TitlesOfParts>
  <Company/>
  <LinksUpToDate>false</LinksUpToDate>
  <CharactersWithSpaces>13449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Gateway R.S.D. BSEA #12-8582</dc:title>
  <dc:subject/>
  <dc:creator>ESE</dc:creator>
  <cp:keywords/>
  <cp:lastModifiedBy>dzou</cp:lastModifiedBy>
  <cp:revision>4</cp:revision>
  <cp:lastPrinted>2012-07-18T18:35:00Z</cp:lastPrinted>
  <dcterms:created xsi:type="dcterms:W3CDTF">2012-09-18T20:55:00Z</dcterms:created>
  <dcterms:modified xsi:type="dcterms:W3CDTF">2015-12-30T21:09:00Z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18 2012</vt:lpwstr>
  </property>
</Properties>
</file>