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8" cy="72262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8" cy="722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right="1233"/>
        <w:jc w:val="right"/>
      </w:pPr>
      <w:r>
        <w:rPr/>
        <w:t>February</w:t>
      </w:r>
      <w:r>
        <w:rPr>
          <w:spacing w:val="-2"/>
        </w:rPr>
        <w:t> </w:t>
      </w:r>
      <w:r>
        <w:rPr/>
        <w:t>20,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Title"/>
      </w:pPr>
      <w:r>
        <w:rPr/>
        <w:t>Via</w:t>
      </w:r>
      <w:r>
        <w:rPr>
          <w:spacing w:val="-5"/>
        </w:rPr>
        <w:t> </w:t>
      </w:r>
      <w:r>
        <w:rPr/>
        <w:t>Email</w:t>
      </w:r>
      <w:r>
        <w:rPr>
          <w:spacing w:val="-4"/>
        </w:rPr>
        <w:t> </w:t>
      </w:r>
      <w:hyperlink r:id="rId7">
        <w:r>
          <w:rPr>
            <w:spacing w:val="-2"/>
          </w:rPr>
          <w:t>(stephen.davis@mass.gov)</w:t>
        </w:r>
      </w:hyperlink>
    </w:p>
    <w:p>
      <w:pPr>
        <w:pStyle w:val="BodyText"/>
        <w:spacing w:before="161"/>
        <w:ind w:left="119"/>
      </w:pPr>
      <w:r>
        <w:rPr/>
        <w:t>Stephen</w:t>
      </w:r>
      <w:r>
        <w:rPr>
          <w:spacing w:val="-2"/>
        </w:rPr>
        <w:t> </w:t>
      </w:r>
      <w:r>
        <w:rPr/>
        <w:t>Davis,</w:t>
      </w:r>
      <w:r>
        <w:rPr>
          <w:spacing w:val="-2"/>
        </w:rPr>
        <w:t> Director</w:t>
      </w:r>
    </w:p>
    <w:p>
      <w:pPr>
        <w:pStyle w:val="BodyText"/>
        <w:ind w:left="119" w:right="2632"/>
      </w:pPr>
      <w:r>
        <w:rPr/>
        <w:t>Division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Health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Facility</w:t>
      </w:r>
      <w:r>
        <w:rPr>
          <w:spacing w:val="-6"/>
        </w:rPr>
        <w:t> </w:t>
      </w:r>
      <w:r>
        <w:rPr/>
        <w:t>Licensure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Certification Department of Public Health</w:t>
      </w:r>
    </w:p>
    <w:p>
      <w:pPr>
        <w:pStyle w:val="BodyText"/>
        <w:ind w:left="119"/>
      </w:pPr>
      <w:r>
        <w:rPr/>
        <w:t>67</w:t>
      </w:r>
      <w:r>
        <w:rPr>
          <w:spacing w:val="-1"/>
        </w:rPr>
        <w:t> </w:t>
      </w:r>
      <w:r>
        <w:rPr/>
        <w:t>Forest</w:t>
      </w:r>
      <w:r>
        <w:rPr>
          <w:spacing w:val="-1"/>
        </w:rPr>
        <w:t> </w:t>
      </w:r>
      <w:r>
        <w:rPr>
          <w:spacing w:val="-2"/>
        </w:rPr>
        <w:t>Street</w:t>
      </w:r>
    </w:p>
    <w:p>
      <w:pPr>
        <w:pStyle w:val="BodyText"/>
        <w:ind w:left="119"/>
      </w:pPr>
      <w:r>
        <w:rPr/>
        <w:t>Marlborough,</w:t>
      </w:r>
      <w:r>
        <w:rPr>
          <w:spacing w:val="-4"/>
        </w:rPr>
        <w:t> </w:t>
      </w:r>
      <w:r>
        <w:rPr/>
        <w:t>MA</w:t>
      </w:r>
      <w:r>
        <w:rPr>
          <w:spacing w:val="-14"/>
        </w:rPr>
        <w:t> </w:t>
      </w:r>
      <w:r>
        <w:rPr>
          <w:spacing w:val="-2"/>
        </w:rPr>
        <w:t>01752</w:t>
      </w:r>
    </w:p>
    <w:p>
      <w:pPr>
        <w:pStyle w:val="BodyText"/>
      </w:pPr>
    </w:p>
    <w:p>
      <w:pPr>
        <w:pStyle w:val="BodyText"/>
        <w:spacing w:line="417" w:lineRule="auto"/>
        <w:ind w:left="120" w:right="1536" w:firstLine="720"/>
        <w:jc w:val="both"/>
      </w:pPr>
      <w:r>
        <w:rPr/>
        <w:t>Re:</w:t>
      </w:r>
      <w:r>
        <w:rPr>
          <w:spacing w:val="-6"/>
        </w:rPr>
        <w:t> </w:t>
      </w:r>
      <w:r>
        <w:rPr/>
        <w:t>PAM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Specialty</w:t>
      </w:r>
      <w:r>
        <w:rPr>
          <w:spacing w:val="-6"/>
        </w:rPr>
        <w:t> </w:t>
      </w:r>
      <w:r>
        <w:rPr/>
        <w:t>Hospital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Stoughton</w:t>
      </w:r>
      <w:r>
        <w:rPr>
          <w:spacing w:val="40"/>
        </w:rPr>
        <w:t> </w:t>
      </w:r>
      <w:r>
        <w:rPr/>
        <w:t>–</w:t>
      </w:r>
      <w:r>
        <w:rPr>
          <w:spacing w:val="-6"/>
        </w:rPr>
        <w:t> </w:t>
      </w:r>
      <w:r>
        <w:rPr/>
        <w:t>Neuro</w:t>
      </w:r>
      <w:r>
        <w:rPr>
          <w:spacing w:val="-6"/>
        </w:rPr>
        <w:t> </w:t>
      </w:r>
      <w:r>
        <w:rPr/>
        <w:t>Behavioral</w:t>
      </w:r>
      <w:r>
        <w:rPr>
          <w:spacing w:val="-6"/>
        </w:rPr>
        <w:t> </w:t>
      </w:r>
      <w:r>
        <w:rPr/>
        <w:t>Unit Dear Mr. Davis:</w:t>
      </w:r>
    </w:p>
    <w:p>
      <w:pPr>
        <w:pStyle w:val="BodyText"/>
        <w:spacing w:line="278" w:lineRule="auto"/>
        <w:ind w:left="119" w:right="117" w:firstLine="720"/>
        <w:jc w:val="both"/>
      </w:pPr>
      <w:r>
        <w:rPr/>
        <w:t>This</w:t>
      </w:r>
      <w:r>
        <w:rPr>
          <w:spacing w:val="-14"/>
        </w:rPr>
        <w:t> </w:t>
      </w:r>
      <w:r>
        <w:rPr/>
        <w:t>letter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submitted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behalf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PAM</w:t>
      </w:r>
      <w:r>
        <w:rPr>
          <w:spacing w:val="-14"/>
        </w:rPr>
        <w:t> </w:t>
      </w:r>
      <w:r>
        <w:rPr/>
        <w:t>Health</w:t>
      </w:r>
      <w:r>
        <w:rPr>
          <w:spacing w:val="-15"/>
        </w:rPr>
        <w:t> </w:t>
      </w:r>
      <w:r>
        <w:rPr/>
        <w:t>regarding</w:t>
      </w:r>
      <w:r>
        <w:rPr>
          <w:spacing w:val="-15"/>
        </w:rPr>
        <w:t> </w:t>
      </w:r>
      <w:r>
        <w:rPr/>
        <w:t>PAM</w:t>
      </w:r>
      <w:r>
        <w:rPr>
          <w:spacing w:val="-14"/>
        </w:rPr>
        <w:t> </w:t>
      </w:r>
      <w:r>
        <w:rPr/>
        <w:t>Health</w:t>
      </w:r>
      <w:r>
        <w:rPr>
          <w:spacing w:val="-15"/>
        </w:rPr>
        <w:t> </w:t>
      </w:r>
      <w:r>
        <w:rPr/>
        <w:t>Specialty</w:t>
      </w:r>
      <w:r>
        <w:rPr>
          <w:spacing w:val="-15"/>
        </w:rPr>
        <w:t> </w:t>
      </w:r>
      <w:r>
        <w:rPr/>
        <w:t>Hospital of</w:t>
      </w:r>
      <w:r>
        <w:rPr>
          <w:spacing w:val="-15"/>
        </w:rPr>
        <w:t> </w:t>
      </w:r>
      <w:r>
        <w:rPr/>
        <w:t>Stoughton,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long-term</w:t>
      </w:r>
      <w:r>
        <w:rPr>
          <w:spacing w:val="-11"/>
        </w:rPr>
        <w:t> </w:t>
      </w:r>
      <w:r>
        <w:rPr/>
        <w:t>acute</w:t>
      </w:r>
      <w:r>
        <w:rPr>
          <w:spacing w:val="-11"/>
        </w:rPr>
        <w:t> </w:t>
      </w:r>
      <w:r>
        <w:rPr/>
        <w:t>care</w:t>
      </w:r>
      <w:r>
        <w:rPr>
          <w:spacing w:val="-11"/>
        </w:rPr>
        <w:t> </w:t>
      </w:r>
      <w:r>
        <w:rPr/>
        <w:t>hospital,</w:t>
      </w:r>
      <w:r>
        <w:rPr>
          <w:spacing w:val="-12"/>
        </w:rPr>
        <w:t> </w:t>
      </w:r>
      <w:r>
        <w:rPr/>
        <w:t>located</w:t>
      </w:r>
      <w:r>
        <w:rPr>
          <w:spacing w:val="-12"/>
        </w:rPr>
        <w:t> </w:t>
      </w:r>
      <w:r>
        <w:rPr/>
        <w:t>at</w:t>
      </w:r>
      <w:r>
        <w:rPr>
          <w:spacing w:val="-9"/>
        </w:rPr>
        <w:t> </w:t>
      </w:r>
      <w:r>
        <w:rPr/>
        <w:t>909</w:t>
      </w:r>
      <w:r>
        <w:rPr>
          <w:spacing w:val="-12"/>
        </w:rPr>
        <w:t> </w:t>
      </w:r>
      <w:r>
        <w:rPr/>
        <w:t>Sumner</w:t>
      </w:r>
      <w:r>
        <w:rPr>
          <w:spacing w:val="-10"/>
        </w:rPr>
        <w:t> </w:t>
      </w:r>
      <w:r>
        <w:rPr/>
        <w:t>Street,</w:t>
      </w:r>
      <w:r>
        <w:rPr>
          <w:spacing w:val="-10"/>
        </w:rPr>
        <w:t> </w:t>
      </w:r>
      <w:r>
        <w:rPr/>
        <w:t>Stoughton,</w:t>
      </w:r>
      <w:r>
        <w:rPr>
          <w:spacing w:val="-12"/>
        </w:rPr>
        <w:t> </w:t>
      </w:r>
      <w:r>
        <w:rPr/>
        <w:t>MA</w:t>
      </w:r>
      <w:r>
        <w:rPr>
          <w:spacing w:val="-15"/>
        </w:rPr>
        <w:t> </w:t>
      </w:r>
      <w:r>
        <w:rPr/>
        <w:t>02072 (the “Hospital”).</w:t>
      </w:r>
      <w:r>
        <w:rPr>
          <w:spacing w:val="40"/>
        </w:rPr>
        <w:t> </w:t>
      </w:r>
      <w:r>
        <w:rPr/>
        <w:t>Pursuant to 105 CMR 130.122, the Hospital hereby informs the Department of Public</w:t>
      </w:r>
      <w:r>
        <w:rPr>
          <w:spacing w:val="-2"/>
        </w:rPr>
        <w:t> </w:t>
      </w:r>
      <w:r>
        <w:rPr/>
        <w:t>Health</w:t>
      </w:r>
      <w:r>
        <w:rPr>
          <w:spacing w:val="1"/>
        </w:rPr>
        <w:t> </w:t>
      </w:r>
      <w:r>
        <w:rPr/>
        <w:t>(“DPH”)</w:t>
      </w:r>
      <w:r>
        <w:rPr>
          <w:spacing w:val="4"/>
        </w:rPr>
        <w:t> </w:t>
      </w:r>
      <w:r>
        <w:rPr/>
        <w:t>that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about</w:t>
      </w:r>
      <w:r>
        <w:rPr>
          <w:spacing w:val="2"/>
        </w:rPr>
        <w:t> </w:t>
      </w:r>
      <w:r>
        <w:rPr/>
        <w:t>March</w:t>
      </w:r>
      <w:r>
        <w:rPr>
          <w:spacing w:val="3"/>
        </w:rPr>
        <w:t> </w:t>
      </w:r>
      <w:r>
        <w:rPr/>
        <w:t>22,</w:t>
      </w:r>
      <w:r>
        <w:rPr>
          <w:spacing w:val="1"/>
        </w:rPr>
        <w:t> </w:t>
      </w:r>
      <w:r>
        <w:rPr/>
        <w:t>2025,</w:t>
      </w:r>
      <w:r>
        <w:rPr>
          <w:spacing w:val="2"/>
        </w:rPr>
        <w:t> </w:t>
      </w:r>
      <w:r>
        <w:rPr/>
        <w:t>it</w:t>
      </w:r>
      <w:r>
        <w:rPr>
          <w:spacing w:val="1"/>
        </w:rPr>
        <w:t> </w:t>
      </w:r>
      <w:r>
        <w:rPr/>
        <w:t>intends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submit</w:t>
      </w:r>
      <w:r>
        <w:rPr>
          <w:spacing w:val="2"/>
        </w:rPr>
        <w:t> </w:t>
      </w:r>
      <w:r>
        <w:rPr/>
        <w:t>a formal</w:t>
      </w:r>
      <w:r>
        <w:rPr>
          <w:spacing w:val="2"/>
        </w:rPr>
        <w:t> </w:t>
      </w:r>
      <w:r>
        <w:rPr/>
        <w:t>ninety-</w:t>
      </w:r>
      <w:r>
        <w:rPr>
          <w:spacing w:val="-5"/>
        </w:rPr>
        <w:t>day</w:t>
      </w:r>
    </w:p>
    <w:p>
      <w:pPr>
        <w:pStyle w:val="BodyText"/>
        <w:spacing w:line="280" w:lineRule="auto"/>
        <w:ind w:left="120" w:right="117"/>
        <w:jc w:val="both"/>
      </w:pPr>
      <w:r>
        <w:rPr/>
        <w:t>(90) notice of the proposed closure of the Neuro Behavioral Unit (“NBU”) at the Hospital.</w:t>
      </w:r>
      <w:r>
        <w:rPr>
          <w:spacing w:val="40"/>
        </w:rPr>
        <w:t> </w:t>
      </w:r>
      <w:r>
        <w:rPr/>
        <w:t>The proposed closure includes 41-inpatient psychiatric beds.</w:t>
      </w:r>
    </w:p>
    <w:p>
      <w:pPr>
        <w:pStyle w:val="BodyText"/>
        <w:spacing w:line="278" w:lineRule="auto" w:before="150"/>
        <w:ind w:left="120" w:right="115" w:firstLine="720"/>
        <w:jc w:val="both"/>
      </w:pPr>
      <w:r>
        <w:rPr/>
        <w:t>The NBU is a specialized unit for patients with brain injuries and other cognitive impairments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well</w:t>
      </w:r>
      <w:r>
        <w:rPr>
          <w:spacing w:val="-9"/>
        </w:rPr>
        <w:t> </w:t>
      </w:r>
      <w:r>
        <w:rPr/>
        <w:t>as</w:t>
      </w:r>
      <w:r>
        <w:rPr>
          <w:spacing w:val="-12"/>
        </w:rPr>
        <w:t> </w:t>
      </w:r>
      <w:r>
        <w:rPr/>
        <w:t>other</w:t>
      </w:r>
      <w:r>
        <w:rPr>
          <w:spacing w:val="-13"/>
        </w:rPr>
        <w:t> </w:t>
      </w:r>
      <w:r>
        <w:rPr/>
        <w:t>behavioral</w:t>
      </w:r>
      <w:r>
        <w:rPr>
          <w:spacing w:val="-9"/>
        </w:rPr>
        <w:t> </w:t>
      </w:r>
      <w:r>
        <w:rPr/>
        <w:t>challenges.</w:t>
      </w:r>
      <w:r>
        <w:rPr>
          <w:spacing w:val="35"/>
        </w:rPr>
        <w:t> </w:t>
      </w:r>
      <w:r>
        <w:rPr/>
        <w:t>The</w:t>
      </w:r>
      <w:r>
        <w:rPr>
          <w:spacing w:val="-13"/>
        </w:rPr>
        <w:t> </w:t>
      </w:r>
      <w:r>
        <w:rPr/>
        <w:t>NBU</w:t>
      </w:r>
      <w:r>
        <w:rPr>
          <w:spacing w:val="-13"/>
        </w:rPr>
        <w:t> </w:t>
      </w:r>
      <w:r>
        <w:rPr/>
        <w:t>was</w:t>
      </w:r>
      <w:r>
        <w:rPr>
          <w:spacing w:val="-12"/>
        </w:rPr>
        <w:t> </w:t>
      </w:r>
      <w:r>
        <w:rPr/>
        <w:t>opened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2000s</w:t>
      </w:r>
      <w:r>
        <w:rPr>
          <w:spacing w:val="-12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dually licensed by the DPH and the Department of Mental Health (“DMH”) unit to address community need; however since that time need for these services has shifted to caring for patients with these diagnoses in non-institutional settings.</w:t>
      </w:r>
      <w:r>
        <w:rPr>
          <w:spacing w:val="40"/>
        </w:rPr>
        <w:t> </w:t>
      </w:r>
      <w:r>
        <w:rPr/>
        <w:t>Today, the NBU is no longer licensed by DMH.</w:t>
      </w:r>
      <w:r>
        <w:rPr>
          <w:spacing w:val="40"/>
        </w:rPr>
        <w:t> </w:t>
      </w:r>
      <w:r>
        <w:rPr/>
        <w:t>It has become a challenge to operate and staff the NBU because it does not align with the Hospital’s primary</w:t>
      </w:r>
      <w:r>
        <w:rPr>
          <w:spacing w:val="-3"/>
        </w:rPr>
        <w:t> </w:t>
      </w:r>
      <w:r>
        <w:rPr/>
        <w:t>non-acute,</w:t>
      </w:r>
      <w:r>
        <w:rPr>
          <w:spacing w:val="-3"/>
        </w:rPr>
        <w:t> </w:t>
      </w:r>
      <w:r>
        <w:rPr/>
        <w:t>157</w:t>
      </w:r>
      <w:r>
        <w:rPr>
          <w:spacing w:val="-3"/>
        </w:rPr>
        <w:t> </w:t>
      </w:r>
      <w:r>
        <w:rPr/>
        <w:t>bed-</w:t>
      </w:r>
      <w:r>
        <w:rPr>
          <w:spacing w:val="-4"/>
        </w:rPr>
        <w:t> </w:t>
      </w:r>
      <w:r>
        <w:rPr/>
        <w:t>chronic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which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certified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Medicare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long-term acute care hospital.</w:t>
      </w:r>
    </w:p>
    <w:p>
      <w:pPr>
        <w:pStyle w:val="BodyText"/>
        <w:spacing w:line="278" w:lineRule="auto" w:before="158"/>
        <w:ind w:left="119" w:right="117" w:firstLine="720"/>
        <w:jc w:val="both"/>
      </w:pPr>
      <w:r>
        <w:rPr/>
        <w:t>The Hospital intends to close NBU as of June 20, 2025. Please note that in compliance with the Department’s regulations, the Hospital, through separate correspondence, is sending notice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Hospital’s</w:t>
      </w:r>
      <w:r>
        <w:rPr>
          <w:spacing w:val="-3"/>
        </w:rPr>
        <w:t> </w:t>
      </w:r>
      <w:r>
        <w:rPr/>
        <w:t>patients,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staff</w:t>
      </w:r>
      <w:r>
        <w:rPr>
          <w:spacing w:val="-4"/>
        </w:rPr>
        <w:t> </w:t>
      </w:r>
      <w:r>
        <w:rPr/>
        <w:t>member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Hospital,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every</w:t>
      </w:r>
      <w:r>
        <w:rPr>
          <w:spacing w:val="-3"/>
        </w:rPr>
        <w:t> </w:t>
      </w:r>
      <w:r>
        <w:rPr/>
        <w:t>labor</w:t>
      </w:r>
      <w:r>
        <w:rPr>
          <w:spacing w:val="-4"/>
        </w:rPr>
        <w:t> </w:t>
      </w:r>
      <w:r>
        <w:rPr/>
        <w:t>organization</w:t>
      </w:r>
      <w:hyperlink w:history="true" w:anchor="_bookmark0">
        <w:r>
          <w:rPr>
            <w:vertAlign w:val="superscript"/>
          </w:rPr>
          <w:t>1</w:t>
        </w:r>
      </w:hyperlink>
      <w:r>
        <w:rPr>
          <w:vertAlign w:val="baseline"/>
        </w:rPr>
        <w:t> that</w:t>
      </w:r>
      <w:r>
        <w:rPr>
          <w:spacing w:val="-12"/>
          <w:vertAlign w:val="baseline"/>
        </w:rPr>
        <w:t> </w:t>
      </w:r>
      <w:r>
        <w:rPr>
          <w:vertAlign w:val="baseline"/>
        </w:rPr>
        <w:t>represents</w:t>
      </w:r>
      <w:r>
        <w:rPr>
          <w:spacing w:val="-12"/>
          <w:vertAlign w:val="baseline"/>
        </w:rPr>
        <w:t> </w:t>
      </w:r>
      <w:r>
        <w:rPr>
          <w:vertAlign w:val="baseline"/>
        </w:rPr>
        <w:t>the</w:t>
      </w:r>
      <w:r>
        <w:rPr>
          <w:spacing w:val="-13"/>
          <w:vertAlign w:val="baseline"/>
        </w:rPr>
        <w:t> </w:t>
      </w:r>
      <w:r>
        <w:rPr>
          <w:vertAlign w:val="baseline"/>
        </w:rPr>
        <w:t>Hospital’s</w:t>
      </w:r>
      <w:r>
        <w:rPr>
          <w:spacing w:val="-12"/>
          <w:vertAlign w:val="baseline"/>
        </w:rPr>
        <w:t> </w:t>
      </w:r>
      <w:r>
        <w:rPr>
          <w:vertAlign w:val="baseline"/>
        </w:rPr>
        <w:t>workforce</w:t>
      </w:r>
      <w:r>
        <w:rPr>
          <w:spacing w:val="-13"/>
          <w:vertAlign w:val="baseline"/>
        </w:rPr>
        <w:t> </w:t>
      </w:r>
      <w:r>
        <w:rPr>
          <w:vertAlign w:val="baseline"/>
        </w:rPr>
        <w:t>during</w:t>
      </w:r>
      <w:r>
        <w:rPr>
          <w:spacing w:val="-12"/>
          <w:vertAlign w:val="baseline"/>
        </w:rPr>
        <w:t> 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period</w:t>
      </w:r>
      <w:r>
        <w:rPr>
          <w:spacing w:val="-12"/>
          <w:vertAlign w:val="baseline"/>
        </w:rPr>
        <w:t> </w:t>
      </w:r>
      <w:r>
        <w:rPr>
          <w:vertAlign w:val="baseline"/>
        </w:rPr>
        <w:t>of</w:t>
      </w:r>
      <w:r>
        <w:rPr>
          <w:spacing w:val="-12"/>
          <w:vertAlign w:val="baseline"/>
        </w:rPr>
        <w:t> </w:t>
      </w:r>
      <w:r>
        <w:rPr>
          <w:vertAlign w:val="baseline"/>
        </w:rPr>
        <w:t>the</w:t>
      </w:r>
      <w:r>
        <w:rPr>
          <w:spacing w:val="-13"/>
          <w:vertAlign w:val="baseline"/>
        </w:rPr>
        <w:t> </w:t>
      </w:r>
      <w:r>
        <w:rPr>
          <w:vertAlign w:val="baseline"/>
        </w:rPr>
        <w:t>essential</w:t>
      </w:r>
      <w:r>
        <w:rPr>
          <w:spacing w:val="-12"/>
          <w:vertAlign w:val="baseline"/>
        </w:rPr>
        <w:t> </w:t>
      </w:r>
      <w:r>
        <w:rPr>
          <w:vertAlign w:val="baseline"/>
        </w:rPr>
        <w:t>services</w:t>
      </w:r>
      <w:r>
        <w:rPr>
          <w:spacing w:val="-12"/>
          <w:vertAlign w:val="baseline"/>
        </w:rPr>
        <w:t> </w:t>
      </w:r>
      <w:r>
        <w:rPr>
          <w:vertAlign w:val="baseline"/>
        </w:rPr>
        <w:t>closure</w:t>
      </w:r>
      <w:r>
        <w:rPr>
          <w:spacing w:val="-13"/>
          <w:vertAlign w:val="baseline"/>
        </w:rPr>
        <w:t> </w:t>
      </w:r>
      <w:r>
        <w:rPr>
          <w:vertAlign w:val="baseline"/>
        </w:rPr>
        <w:t>process. Notice</w:t>
      </w:r>
      <w:r>
        <w:rPr>
          <w:spacing w:val="-6"/>
          <w:vertAlign w:val="baseline"/>
        </w:rPr>
        <w:t> </w:t>
      </w:r>
      <w:r>
        <w:rPr>
          <w:vertAlign w:val="baseline"/>
        </w:rPr>
        <w:t>is</w:t>
      </w:r>
      <w:r>
        <w:rPr>
          <w:spacing w:val="-5"/>
          <w:vertAlign w:val="baseline"/>
        </w:rPr>
        <w:t> </w:t>
      </w:r>
      <w:r>
        <w:rPr>
          <w:vertAlign w:val="baseline"/>
        </w:rPr>
        <w:t>also</w:t>
      </w:r>
      <w:r>
        <w:rPr>
          <w:spacing w:val="-5"/>
          <w:vertAlign w:val="baseline"/>
        </w:rPr>
        <w:t> </w:t>
      </w:r>
      <w:r>
        <w:rPr>
          <w:vertAlign w:val="baseline"/>
        </w:rPr>
        <w:t>being</w:t>
      </w:r>
      <w:r>
        <w:rPr>
          <w:spacing w:val="-5"/>
          <w:vertAlign w:val="baseline"/>
        </w:rPr>
        <w:t> </w:t>
      </w:r>
      <w:r>
        <w:rPr>
          <w:vertAlign w:val="baseline"/>
        </w:rPr>
        <w:t>sent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members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General</w:t>
      </w:r>
      <w:r>
        <w:rPr>
          <w:spacing w:val="-4"/>
          <w:vertAlign w:val="baseline"/>
        </w:rPr>
        <w:t> </w:t>
      </w:r>
      <w:r>
        <w:rPr>
          <w:vertAlign w:val="baseline"/>
        </w:rPr>
        <w:t>Court,</w:t>
      </w:r>
      <w:r>
        <w:rPr>
          <w:spacing w:val="-5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well</w:t>
      </w:r>
      <w:r>
        <w:rPr>
          <w:spacing w:val="-4"/>
          <w:vertAlign w:val="baseline"/>
        </w:rPr>
        <w:t> </w:t>
      </w:r>
      <w:r>
        <w:rPr>
          <w:vertAlign w:val="baseline"/>
        </w:rPr>
        <w:t>as</w:t>
      </w:r>
      <w:r>
        <w:rPr>
          <w:spacing w:val="-5"/>
          <w:vertAlign w:val="baseline"/>
        </w:rPr>
        <w:t> </w:t>
      </w:r>
      <w:r>
        <w:rPr>
          <w:vertAlign w:val="baseline"/>
        </w:rPr>
        <w:t>appropriate</w:t>
      </w:r>
      <w:r>
        <w:rPr>
          <w:spacing w:val="-6"/>
          <w:vertAlign w:val="baseline"/>
        </w:rPr>
        <w:t> </w:t>
      </w:r>
      <w:r>
        <w:rPr>
          <w:vertAlign w:val="baseline"/>
        </w:rPr>
        <w:t>local</w:t>
      </w:r>
      <w:r>
        <w:rPr>
          <w:spacing w:val="-4"/>
          <w:vertAlign w:val="baseline"/>
        </w:rPr>
        <w:t> </w:t>
      </w:r>
      <w:r>
        <w:rPr>
          <w:vertAlign w:val="baseline"/>
        </w:rPr>
        <w:t>elected </w:t>
      </w:r>
      <w:r>
        <w:rPr>
          <w:spacing w:val="-2"/>
          <w:vertAlign w:val="baseline"/>
        </w:rPr>
        <w:t>officials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189818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4.946313pt;width:144pt;height:.5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2"/>
        <w:ind w:left="120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Hospital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have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labor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organization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2240" w:h="15840"/>
          <w:pgMar w:header="0" w:footer="1057" w:top="0" w:bottom="1240" w:left="1320" w:right="1320"/>
          <w:pgNumType w:start="1"/>
        </w:sectPr>
      </w:pPr>
    </w:p>
    <w:p>
      <w:pPr>
        <w:pStyle w:val="BodyText"/>
        <w:spacing w:line="278" w:lineRule="auto" w:before="219"/>
        <w:ind w:left="120" w:right="40" w:firstLine="72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2924708</wp:posOffset>
            </wp:positionH>
            <wp:positionV relativeFrom="paragraph">
              <wp:posOffset>1067625</wp:posOffset>
            </wp:positionV>
            <wp:extent cx="1614500" cy="58282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500" cy="582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Thank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matter.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questions,</w:t>
      </w:r>
      <w:r>
        <w:rPr>
          <w:spacing w:val="-4"/>
        </w:rPr>
        <w:t> </w:t>
      </w:r>
      <w:r>
        <w:rPr/>
        <w:t>please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not hesitate to contact me.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3200400</wp:posOffset>
                </wp:positionH>
                <wp:positionV relativeFrom="paragraph">
                  <wp:posOffset>266052</wp:posOffset>
                </wp:positionV>
                <wp:extent cx="1073785" cy="77724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73785" cy="777240"/>
                          <a:chExt cx="1073785" cy="77724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165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Sincerely,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608076"/>
                            <a:ext cx="10737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Emily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Kretchmer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pt;margin-top:20.949024pt;width:84.55pt;height:61.2pt;mso-position-horizontal-relative:page;mso-position-vertical-relative:paragraph;z-index:-15727616;mso-wrap-distance-left:0;mso-wrap-distance-right:0" id="docshapegroup2" coordorigin="5040,419" coordsize="1691,1224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40;top:418;width:971;height:266" type="#_x0000_t202" id="docshape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Sincerely,</w:t>
                        </w:r>
                      </w:p>
                    </w:txbxContent>
                  </v:textbox>
                  <w10:wrap type="none"/>
                </v:shape>
                <v:shape style="position:absolute;left:5040;top:1376;width:1691;height:266" type="#_x0000_t202" id="docshape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Emily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Kretchmer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header="0" w:footer="1057" w:top="1820" w:bottom="124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1200917</wp:posOffset>
          </wp:positionH>
          <wp:positionV relativeFrom="page">
            <wp:posOffset>9260217</wp:posOffset>
          </wp:positionV>
          <wp:extent cx="5412696" cy="20700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2696" cy="207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mailto:(stephen.davis@mass.gov" TargetMode="External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B. Kretchmer</dc:creator>
  <dc:description/>
  <dcterms:created xsi:type="dcterms:W3CDTF">2025-03-11T14:20:22Z</dcterms:created>
  <dcterms:modified xsi:type="dcterms:W3CDTF">2025-03-11T14:20:22Z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1017856</vt:lpwstr>
  </property>
  <property fmtid="{D5CDD505-2E9C-101B-9397-08002B2CF9AE}" pid="3" name="CUS_DocIDChunk0">
    <vt:lpwstr>KBIMANAGE\3857\0004\2178497.v4-2/19/25</vt:lpwstr>
  </property>
  <property fmtid="{D5CDD505-2E9C-101B-9397-08002B2CF9AE}" pid="4" name="CUS_DocIDLocation">
    <vt:lpwstr>EVERY_PAGE</vt:lpwstr>
  </property>
  <property fmtid="{D5CDD505-2E9C-101B-9397-08002B2CF9AE}" pid="5" name="CUS_DocIDReference">
    <vt:lpwstr>everyPage</vt:lpwstr>
  </property>
  <property fmtid="{D5CDD505-2E9C-101B-9397-08002B2CF9AE}" pid="6" name="CUS_DocIDString">
    <vt:lpwstr>KBIMANAGE\3857\0004\2178497.v4-2/19/25</vt:lpwstr>
  </property>
  <property fmtid="{D5CDD505-2E9C-101B-9397-08002B2CF9AE}" pid="7" name="Created">
    <vt:filetime>2025-02-19T00:00:00Z</vt:filetime>
  </property>
  <property fmtid="{D5CDD505-2E9C-101B-9397-08002B2CF9AE}" pid="8" name="Creator">
    <vt:lpwstr>Acrobat PDFMaker 24 for Word</vt:lpwstr>
  </property>
  <property fmtid="{D5CDD505-2E9C-101B-9397-08002B2CF9AE}" pid="9" name="LastSaved">
    <vt:filetime>2025-03-11T00:00:00Z</vt:filetime>
  </property>
  <property fmtid="{D5CDD505-2E9C-101B-9397-08002B2CF9AE}" pid="10" name="Producer">
    <vt:lpwstr>Adobe PDF Library 24.5.175</vt:lpwstr>
  </property>
  <property fmtid="{D5CDD505-2E9C-101B-9397-08002B2CF9AE}" pid="11" name="SourceModified">
    <vt:lpwstr>D:20250219160930</vt:lpwstr>
  </property>
</Properties>
</file>