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2DC9" w:rsidRPr="002C2079" w14:paraId="1470D2E6" w14:textId="77777777" w:rsidTr="00F36D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187E3B90" w14:textId="77777777" w:rsidR="002E2DC9" w:rsidRDefault="002E2DC9" w:rsidP="00F36DFE">
            <w:pPr>
              <w:jc w:val="center"/>
              <w:rPr>
                <w:color w:val="150399"/>
                <w:sz w:val="28"/>
                <w:szCs w:val="28"/>
              </w:rPr>
            </w:pPr>
            <w:r w:rsidRPr="002C2079">
              <w:rPr>
                <w:rFonts w:cs="Times New Roman"/>
                <w:sz w:val="24"/>
              </w:rPr>
              <w:br w:type="page"/>
            </w:r>
            <w:r w:rsidRPr="008C2341">
              <w:rPr>
                <w:color w:val="150399"/>
                <w:sz w:val="28"/>
                <w:szCs w:val="28"/>
              </w:rPr>
              <w:t xml:space="preserve">PROPOSED MASSACHUSETTS TAX EXPENDITURES </w:t>
            </w:r>
          </w:p>
          <w:p w14:paraId="3DBFB5D1" w14:textId="2D0ABF88" w:rsidR="002E2DC9" w:rsidRPr="008C2341" w:rsidRDefault="00626280" w:rsidP="00626280">
            <w:pPr>
              <w:tabs>
                <w:tab w:val="center" w:pos="4680"/>
                <w:tab w:val="left" w:pos="8290"/>
              </w:tabs>
              <w:rPr>
                <w:b w:val="0"/>
                <w:bCs w:val="0"/>
                <w:color w:val="150399"/>
                <w:sz w:val="28"/>
                <w:szCs w:val="28"/>
              </w:rPr>
            </w:pPr>
            <w:r>
              <w:rPr>
                <w:color w:val="150399"/>
                <w:sz w:val="28"/>
                <w:szCs w:val="28"/>
              </w:rPr>
              <w:tab/>
            </w:r>
            <w:r w:rsidR="002E2DC9" w:rsidRPr="008C2341">
              <w:rPr>
                <w:color w:val="150399"/>
                <w:sz w:val="28"/>
                <w:szCs w:val="28"/>
              </w:rPr>
              <w:t>EVALUATION SUMMARY</w:t>
            </w:r>
            <w:r w:rsidR="002E2DC9">
              <w:rPr>
                <w:color w:val="150399"/>
                <w:sz w:val="28"/>
                <w:szCs w:val="28"/>
              </w:rPr>
              <w:t xml:space="preserve"> </w:t>
            </w:r>
            <w:r w:rsidR="00EA39CC">
              <w:rPr>
                <w:color w:val="150399"/>
                <w:sz w:val="28"/>
                <w:szCs w:val="28"/>
              </w:rPr>
              <w:t xml:space="preserve"> </w:t>
            </w:r>
            <w:r>
              <w:rPr>
                <w:color w:val="150399"/>
                <w:sz w:val="28"/>
                <w:szCs w:val="28"/>
              </w:rPr>
              <w:tab/>
            </w:r>
            <w:bookmarkStart w:id="0" w:name="_GoBack"/>
            <w:bookmarkEnd w:id="0"/>
          </w:p>
          <w:p w14:paraId="7EAED6BB" w14:textId="77777777" w:rsidR="002E2DC9" w:rsidRPr="004B14D0" w:rsidRDefault="002E2DC9" w:rsidP="00F36DFE">
            <w:pPr>
              <w:rPr>
                <w:color w:val="150399"/>
                <w:sz w:val="28"/>
                <w:szCs w:val="28"/>
              </w:rPr>
            </w:pPr>
          </w:p>
        </w:tc>
      </w:tr>
      <w:tr w:rsidR="002E2DC9" w:rsidRPr="002C2079" w14:paraId="0478DFD2" w14:textId="77777777" w:rsidTr="00F36D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47578AE9" w14:textId="77777777" w:rsidR="002E2DC9" w:rsidRPr="002C2079" w:rsidRDefault="002E2DC9" w:rsidP="00F36DFE">
            <w:pPr>
              <w:jc w:val="center"/>
              <w:rPr>
                <w:rFonts w:asciiTheme="majorHAnsi" w:hAnsiTheme="majorHAnsi"/>
              </w:rPr>
            </w:pPr>
            <w:r w:rsidRPr="002C2079">
              <w:rPr>
                <w:rFonts w:asciiTheme="majorHAnsi" w:hAnsiTheme="majorHAnsi"/>
                <w:sz w:val="28"/>
                <w:szCs w:val="28"/>
              </w:rPr>
              <w:t>EVALUATION YEAR: 2020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70"/>
      </w:tblGrid>
      <w:tr w:rsidR="002E2DC9" w:rsidRPr="002C2079" w14:paraId="0346B9FB" w14:textId="77777777" w:rsidTr="00F36DFE">
        <w:trPr>
          <w:trHeight w:val="360"/>
        </w:trPr>
        <w:tc>
          <w:tcPr>
            <w:tcW w:w="4788" w:type="dxa"/>
          </w:tcPr>
          <w:p w14:paraId="2C2F203B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14:paraId="26F43FF7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</w:tr>
      <w:tr w:rsidR="002E2DC9" w:rsidRPr="002C2079" w14:paraId="0BFAB3B9" w14:textId="77777777" w:rsidTr="00F36DFE">
        <w:tc>
          <w:tcPr>
            <w:tcW w:w="4788" w:type="dxa"/>
          </w:tcPr>
          <w:p w14:paraId="4B597E17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TAX EXPENDITURE TITLE</w:t>
            </w:r>
          </w:p>
          <w:p w14:paraId="43472321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14:paraId="1B1B939D" w14:textId="77777777" w:rsidR="002E2DC9" w:rsidRPr="002C2079" w:rsidRDefault="00DC27F7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 w:rsidRPr="00DC27F7">
              <w:rPr>
                <w:rFonts w:asciiTheme="majorHAnsi" w:hAnsiTheme="majorHAnsi"/>
              </w:rPr>
              <w:t xml:space="preserve">Capital Gains Deduction </w:t>
            </w:r>
            <w:r w:rsidR="00545554">
              <w:rPr>
                <w:rFonts w:asciiTheme="majorHAnsi" w:hAnsiTheme="majorHAnsi"/>
              </w:rPr>
              <w:t>for Collectibles</w:t>
            </w:r>
          </w:p>
        </w:tc>
      </w:tr>
      <w:tr w:rsidR="002E2DC9" w:rsidRPr="002C2079" w14:paraId="437A4E50" w14:textId="77777777" w:rsidTr="00F36DFE">
        <w:tc>
          <w:tcPr>
            <w:tcW w:w="4788" w:type="dxa"/>
          </w:tcPr>
          <w:p w14:paraId="2BCD70D6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TAX EXPENDITURE NUMBER</w:t>
            </w:r>
          </w:p>
          <w:p w14:paraId="036E972A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14:paraId="44A9DC6E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 w:rsidRPr="002C2079">
              <w:rPr>
                <w:rFonts w:asciiTheme="majorHAnsi" w:hAnsiTheme="majorHAnsi"/>
              </w:rPr>
              <w:t>1.</w:t>
            </w:r>
            <w:r w:rsidR="00DC27F7">
              <w:rPr>
                <w:rFonts w:asciiTheme="majorHAnsi" w:hAnsiTheme="majorHAnsi"/>
              </w:rPr>
              <w:t>201</w:t>
            </w:r>
          </w:p>
        </w:tc>
      </w:tr>
      <w:tr w:rsidR="002E2DC9" w:rsidRPr="002C2079" w14:paraId="1EE9112B" w14:textId="77777777" w:rsidTr="00F36DFE">
        <w:tc>
          <w:tcPr>
            <w:tcW w:w="4788" w:type="dxa"/>
          </w:tcPr>
          <w:p w14:paraId="461B318C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TAX EXPENDITURE CATEGORY</w:t>
            </w:r>
          </w:p>
          <w:p w14:paraId="1C48A393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14:paraId="29B7FE78" w14:textId="3B97BB7A" w:rsidR="002E2DC9" w:rsidRPr="002C2079" w:rsidRDefault="00DC27F7" w:rsidP="00F36DFE">
            <w:pPr>
              <w:tabs>
                <w:tab w:val="left" w:pos="7050"/>
              </w:tabs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</w:rPr>
              <w:t xml:space="preserve">Deduction from gross </w:t>
            </w:r>
            <w:r w:rsidR="00060B85">
              <w:rPr>
                <w:rFonts w:asciiTheme="majorHAnsi" w:hAnsiTheme="majorHAnsi"/>
              </w:rPr>
              <w:t>i</w:t>
            </w:r>
            <w:r>
              <w:rPr>
                <w:rFonts w:asciiTheme="majorHAnsi" w:hAnsiTheme="majorHAnsi"/>
              </w:rPr>
              <w:t xml:space="preserve">ncome </w:t>
            </w:r>
          </w:p>
          <w:p w14:paraId="12AA00B0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</w:tr>
      <w:tr w:rsidR="002E2DC9" w:rsidRPr="002C2079" w14:paraId="33BB58D6" w14:textId="77777777" w:rsidTr="00F36DFE">
        <w:tc>
          <w:tcPr>
            <w:tcW w:w="4788" w:type="dxa"/>
          </w:tcPr>
          <w:p w14:paraId="6E445F0F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TAX TYPE</w:t>
            </w:r>
          </w:p>
          <w:p w14:paraId="4FFFA461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14:paraId="1D5206AA" w14:textId="77777777" w:rsidR="002E2DC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 w:rsidRPr="002C2079">
              <w:rPr>
                <w:rFonts w:asciiTheme="majorHAnsi" w:hAnsiTheme="majorHAnsi"/>
              </w:rPr>
              <w:t>Personal income tax</w:t>
            </w:r>
            <w:r w:rsidR="00DC27F7">
              <w:rPr>
                <w:rFonts w:asciiTheme="majorHAnsi" w:hAnsiTheme="majorHAnsi"/>
              </w:rPr>
              <w:t xml:space="preserve"> </w:t>
            </w:r>
          </w:p>
          <w:p w14:paraId="6ED67109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</w:tr>
      <w:tr w:rsidR="002E2DC9" w:rsidRPr="002C2079" w14:paraId="7320D987" w14:textId="77777777" w:rsidTr="00F36DFE">
        <w:tc>
          <w:tcPr>
            <w:tcW w:w="4788" w:type="dxa"/>
          </w:tcPr>
          <w:p w14:paraId="354BD93E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LEGAL REFERENCE</w:t>
            </w:r>
          </w:p>
          <w:p w14:paraId="39D9EEA6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14:paraId="78A528F3" w14:textId="77777777" w:rsidR="002E2DC9" w:rsidRPr="002C2079" w:rsidRDefault="00DC27F7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 w:rsidRPr="00DC27F7">
              <w:rPr>
                <w:rFonts w:asciiTheme="majorHAnsi" w:hAnsiTheme="majorHAnsi"/>
              </w:rPr>
              <w:t>c. 62, § 2(c)(3)</w:t>
            </w:r>
          </w:p>
        </w:tc>
      </w:tr>
      <w:tr w:rsidR="002E2DC9" w:rsidRPr="002C2079" w14:paraId="4A50A6B0" w14:textId="77777777" w:rsidTr="00F36DFE">
        <w:tc>
          <w:tcPr>
            <w:tcW w:w="4788" w:type="dxa"/>
          </w:tcPr>
          <w:p w14:paraId="4E45F592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YEAR ENACTED</w:t>
            </w:r>
          </w:p>
          <w:p w14:paraId="6CEAC0AC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14:paraId="04EE7023" w14:textId="77777777" w:rsidR="002E2DC9" w:rsidRPr="002C2079" w:rsidRDefault="00DC27F7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Prior to 1986</w:t>
            </w:r>
          </w:p>
        </w:tc>
      </w:tr>
      <w:tr w:rsidR="002E2DC9" w:rsidRPr="002C2079" w14:paraId="41BCE9D7" w14:textId="77777777" w:rsidTr="00F36DFE">
        <w:tc>
          <w:tcPr>
            <w:tcW w:w="4788" w:type="dxa"/>
          </w:tcPr>
          <w:p w14:paraId="13177BB7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REPEAL/EXPIRATION DATE</w:t>
            </w:r>
          </w:p>
        </w:tc>
        <w:tc>
          <w:tcPr>
            <w:tcW w:w="4770" w:type="dxa"/>
          </w:tcPr>
          <w:p w14:paraId="06F1E3CA" w14:textId="77777777" w:rsidR="002E2DC9" w:rsidRDefault="00DC27F7" w:rsidP="00DC27F7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None</w:t>
            </w:r>
          </w:p>
          <w:p w14:paraId="08BC7ABA" w14:textId="77777777" w:rsidR="00DC27F7" w:rsidRPr="002C2079" w:rsidRDefault="00DC27F7" w:rsidP="00DC27F7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</w:tr>
      <w:tr w:rsidR="002E2DC9" w:rsidRPr="00151499" w14:paraId="45298B20" w14:textId="77777777" w:rsidTr="00F36DFE">
        <w:tc>
          <w:tcPr>
            <w:tcW w:w="4788" w:type="dxa"/>
          </w:tcPr>
          <w:p w14:paraId="0763C6C2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ANNUAL REVENUE IMPACT</w:t>
            </w:r>
          </w:p>
          <w:p w14:paraId="19CCB84D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  <w:tc>
          <w:tcPr>
            <w:tcW w:w="4770" w:type="dxa"/>
          </w:tcPr>
          <w:p w14:paraId="5DC721CF" w14:textId="77777777" w:rsidR="002E2DC9" w:rsidRPr="0015149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 w:rsidRPr="00151499">
              <w:rPr>
                <w:rFonts w:asciiTheme="majorHAnsi" w:hAnsiTheme="majorHAnsi"/>
              </w:rPr>
              <w:t xml:space="preserve">Tax loss </w:t>
            </w:r>
            <w:r w:rsidR="00DC27F7" w:rsidRPr="00151499">
              <w:rPr>
                <w:rFonts w:asciiTheme="majorHAnsi" w:hAnsiTheme="majorHAnsi"/>
              </w:rPr>
              <w:t>$</w:t>
            </w:r>
            <w:r w:rsidR="00243E45" w:rsidRPr="00151499">
              <w:rPr>
                <w:rFonts w:asciiTheme="majorHAnsi" w:hAnsiTheme="majorHAnsi"/>
              </w:rPr>
              <w:t>2</w:t>
            </w:r>
            <w:r w:rsidR="00DC27F7" w:rsidRPr="00151499">
              <w:rPr>
                <w:rFonts w:asciiTheme="majorHAnsi" w:hAnsiTheme="majorHAnsi"/>
              </w:rPr>
              <w:t xml:space="preserve"> million</w:t>
            </w:r>
            <w:r w:rsidR="00151499">
              <w:rPr>
                <w:rFonts w:asciiTheme="majorHAnsi" w:hAnsiTheme="majorHAnsi"/>
              </w:rPr>
              <w:t xml:space="preserve"> for TY2018</w:t>
            </w:r>
          </w:p>
          <w:p w14:paraId="3B68F91C" w14:textId="77777777" w:rsidR="00DC27F7" w:rsidRPr="00151499" w:rsidRDefault="00DC27F7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</w:tr>
      <w:tr w:rsidR="002E2DC9" w:rsidRPr="00151499" w14:paraId="32D069F6" w14:textId="77777777" w:rsidTr="00F36DFE">
        <w:tc>
          <w:tcPr>
            <w:tcW w:w="4788" w:type="dxa"/>
          </w:tcPr>
          <w:p w14:paraId="65CB304D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 xml:space="preserve">NUMBER OF TAXPAYERS </w:t>
            </w:r>
          </w:p>
        </w:tc>
        <w:tc>
          <w:tcPr>
            <w:tcW w:w="4770" w:type="dxa"/>
          </w:tcPr>
          <w:p w14:paraId="3F08E678" w14:textId="77777777" w:rsidR="002E2DC9" w:rsidRPr="00151499" w:rsidRDefault="0015149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</w:pPr>
            <w:r w:rsidRPr="00151499">
              <w:rPr>
                <w:rFonts w:asciiTheme="majorHAnsi" w:eastAsiaTheme="majorEastAsia" w:hAnsiTheme="majorHAnsi" w:cstheme="majorBidi"/>
                <w:bCs/>
                <w:color w:val="000000" w:themeColor="text1"/>
              </w:rPr>
              <w:t>499 filers claimed this deduction for TY2018</w:t>
            </w:r>
          </w:p>
          <w:p w14:paraId="537E6408" w14:textId="77777777" w:rsidR="002E2DC9" w:rsidRPr="0015149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</w:p>
        </w:tc>
      </w:tr>
      <w:tr w:rsidR="002E2DC9" w:rsidRPr="00151499" w14:paraId="66EBE045" w14:textId="77777777" w:rsidTr="00F36DFE">
        <w:tc>
          <w:tcPr>
            <w:tcW w:w="4788" w:type="dxa"/>
          </w:tcPr>
          <w:p w14:paraId="007DE128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</w:rPr>
              <w:t>AVERAGE TAXPAYER BENEFIT</w:t>
            </w:r>
          </w:p>
        </w:tc>
        <w:tc>
          <w:tcPr>
            <w:tcW w:w="4770" w:type="dxa"/>
          </w:tcPr>
          <w:p w14:paraId="78336663" w14:textId="77777777" w:rsidR="002E2DC9" w:rsidRPr="00151499" w:rsidRDefault="00447E5E" w:rsidP="00F36DFE">
            <w:pPr>
              <w:tabs>
                <w:tab w:val="left" w:pos="705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Average of </w:t>
            </w:r>
            <w:r w:rsidR="00151499">
              <w:rPr>
                <w:rFonts w:asciiTheme="majorHAnsi" w:hAnsiTheme="majorHAnsi"/>
              </w:rPr>
              <w:t>$4</w:t>
            </w:r>
            <w:r>
              <w:rPr>
                <w:rFonts w:asciiTheme="majorHAnsi" w:hAnsiTheme="majorHAnsi"/>
              </w:rPr>
              <w:t>,</w:t>
            </w:r>
            <w:r w:rsidR="00151499">
              <w:rPr>
                <w:rFonts w:asciiTheme="majorHAnsi" w:hAnsiTheme="majorHAnsi"/>
              </w:rPr>
              <w:t>048 tax savings per claimant</w:t>
            </w:r>
          </w:p>
        </w:tc>
      </w:tr>
    </w:tbl>
    <w:p w14:paraId="0207A9A3" w14:textId="77777777" w:rsidR="002E2DC9" w:rsidRDefault="002E2DC9" w:rsidP="002E2DC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2DC9" w14:paraId="4A18901F" w14:textId="77777777" w:rsidTr="00F36DFE">
        <w:tc>
          <w:tcPr>
            <w:tcW w:w="4788" w:type="dxa"/>
          </w:tcPr>
          <w:p w14:paraId="7B037B46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>Description of the Tax Expenditure:</w:t>
            </w:r>
          </w:p>
          <w:p w14:paraId="4F9D1AF3" w14:textId="77777777" w:rsidR="002E2DC9" w:rsidRDefault="008738BB" w:rsidP="001125A1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The expenditure provides a </w:t>
            </w:r>
            <w:r w:rsidR="00BB455D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50% 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deduction for long-term capital gains on the sale or exchange of collectibles. </w:t>
            </w:r>
          </w:p>
          <w:p w14:paraId="591FCA0C" w14:textId="77777777" w:rsidR="000F5C9D" w:rsidRPr="00565D22" w:rsidRDefault="000F5C9D" w:rsidP="001125A1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4788" w:type="dxa"/>
          </w:tcPr>
          <w:p w14:paraId="33970C2C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</w:pP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>Is the purpose defined in the statute?</w:t>
            </w:r>
          </w:p>
          <w:p w14:paraId="44BAB758" w14:textId="77777777" w:rsidR="002E2DC9" w:rsidRDefault="002E2DC9" w:rsidP="001125A1">
            <w:pPr>
              <w:rPr>
                <w:b/>
                <w:bCs/>
              </w:rPr>
            </w:pPr>
            <w:r w:rsidRPr="002C2079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The statute does not explicitly state the purpose of this tax expenditur</w:t>
            </w:r>
            <w:r w:rsidR="00DC27F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e</w:t>
            </w:r>
            <w:r w:rsidR="001125A1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.</w:t>
            </w:r>
            <w:r w:rsidR="00DC27F7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</w:t>
            </w:r>
            <w:r w:rsidRPr="002C2079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  </w:t>
            </w:r>
          </w:p>
        </w:tc>
      </w:tr>
      <w:tr w:rsidR="002E2DC9" w14:paraId="53ADF2C6" w14:textId="77777777" w:rsidTr="00F36DFE">
        <w:tc>
          <w:tcPr>
            <w:tcW w:w="4788" w:type="dxa"/>
          </w:tcPr>
          <w:p w14:paraId="2B5DD758" w14:textId="641B1063" w:rsidR="002E2DC9" w:rsidRPr="00003921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 xml:space="preserve">What are the </w:t>
            </w:r>
            <w:r w:rsidR="00EC7A56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>policy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 xml:space="preserve"> goals of the expenditure?</w:t>
            </w:r>
          </w:p>
          <w:p w14:paraId="0D09DA44" w14:textId="68472F9B" w:rsidR="00DC27F7" w:rsidRPr="00DC27F7" w:rsidRDefault="00EC7A56" w:rsidP="00F36DFE"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DOR surmises that the expenditure is intended to impose an effective rate on collectibles similar to the rate imposed </w:t>
            </w:r>
            <w:r w:rsidR="00060B85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>on long</w:t>
            </w:r>
            <w:r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-term </w:t>
            </w:r>
            <w:r w:rsidR="002204A2">
              <w:rPr>
                <w:rFonts w:asciiTheme="majorHAnsi" w:eastAsiaTheme="majorEastAsia" w:hAnsiTheme="majorHAnsi" w:cstheme="majorBidi"/>
                <w:bCs/>
                <w:color w:val="000000" w:themeColor="text1"/>
                <w:sz w:val="24"/>
              </w:rPr>
              <w:t xml:space="preserve">gain on personal use property.  </w:t>
            </w:r>
          </w:p>
          <w:p w14:paraId="4E070D69" w14:textId="77777777" w:rsidR="00DC27F7" w:rsidRDefault="00DC27F7" w:rsidP="00F36DFE">
            <w:pPr>
              <w:rPr>
                <w:b/>
                <w:bCs/>
              </w:rPr>
            </w:pPr>
          </w:p>
        </w:tc>
        <w:tc>
          <w:tcPr>
            <w:tcW w:w="4788" w:type="dxa"/>
          </w:tcPr>
          <w:p w14:paraId="7F9A6383" w14:textId="77777777" w:rsidR="002E2DC9" w:rsidRPr="002C2079" w:rsidRDefault="002E2DC9" w:rsidP="00F36DFE">
            <w:pPr>
              <w:tabs>
                <w:tab w:val="left" w:pos="7050"/>
              </w:tabs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>Are there other</w:t>
            </w:r>
            <w:r w:rsidR="00BB455D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>states with a s</w:t>
            </w:r>
            <w:r w:rsidRPr="002C207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</w:rPr>
              <w:t>imilar Tax Expenditure?</w:t>
            </w:r>
          </w:p>
          <w:p w14:paraId="60E887C8" w14:textId="77777777" w:rsidR="002E2DC9" w:rsidRDefault="00BB455D" w:rsidP="00BB455D">
            <w:pPr>
              <w:rPr>
                <w:b/>
                <w:bCs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Based on research to date DOR has not identified any other state with a similar expenditure</w:t>
            </w:r>
            <w:r w:rsidR="004317E0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14:paraId="53477E14" w14:textId="77777777" w:rsidR="00DC27F7" w:rsidRDefault="00DC27F7">
      <w:r>
        <w:rPr>
          <w:b/>
          <w:bCs/>
        </w:rPr>
        <w:br w:type="page"/>
      </w:r>
    </w:p>
    <w:tbl>
      <w:tblPr>
        <w:tblStyle w:val="MediumList1-Accent2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D4589" w:rsidRPr="007C3ABD" w14:paraId="79F3C0AA" w14:textId="77777777" w:rsidTr="00C07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14:paraId="78BCB189" w14:textId="77777777" w:rsidR="00ED4589" w:rsidRPr="00003921" w:rsidRDefault="00003921" w:rsidP="00003921">
            <w:pPr>
              <w:jc w:val="center"/>
              <w:rPr>
                <w:sz w:val="36"/>
              </w:rPr>
            </w:pPr>
            <w:r w:rsidRPr="00003921">
              <w:rPr>
                <w:sz w:val="40"/>
                <w:szCs w:val="32"/>
              </w:rPr>
              <w:lastRenderedPageBreak/>
              <w:t>Incentive Evaluation</w:t>
            </w:r>
            <w:r>
              <w:rPr>
                <w:sz w:val="40"/>
                <w:szCs w:val="32"/>
              </w:rPr>
              <w:t xml:space="preserve"> Results</w:t>
            </w:r>
          </w:p>
        </w:tc>
      </w:tr>
    </w:tbl>
    <w:p w14:paraId="1733292E" w14:textId="77777777" w:rsidR="00291074" w:rsidRDefault="00291074" w:rsidP="00CF41DD">
      <w:pPr>
        <w:tabs>
          <w:tab w:val="left" w:pos="7050"/>
        </w:tabs>
        <w:spacing w:after="0"/>
        <w:rPr>
          <w:rFonts w:asciiTheme="majorHAnsi" w:hAnsiTheme="majorHAnsi"/>
          <w:b/>
          <w:sz w:val="28"/>
          <w:szCs w:val="24"/>
        </w:rPr>
      </w:pPr>
    </w:p>
    <w:p w14:paraId="20BF8116" w14:textId="77777777" w:rsidR="00291074" w:rsidRPr="00A07439" w:rsidRDefault="00291074" w:rsidP="00291074">
      <w:pPr>
        <w:tabs>
          <w:tab w:val="left" w:pos="7050"/>
        </w:tabs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A07439">
        <w:rPr>
          <w:rFonts w:asciiTheme="majorHAnsi" w:hAnsiTheme="majorHAnsi"/>
          <w:b/>
          <w:color w:val="E36C0A" w:themeColor="accent6" w:themeShade="BF"/>
          <w:sz w:val="28"/>
          <w:szCs w:val="28"/>
        </w:rPr>
        <w:t>INTRODUCTION</w:t>
      </w:r>
    </w:p>
    <w:p w14:paraId="2DC87828" w14:textId="77777777" w:rsidR="007E4AA9" w:rsidRPr="00DC27F7" w:rsidRDefault="007E4AA9" w:rsidP="002970B4">
      <w:pPr>
        <w:tabs>
          <w:tab w:val="left" w:pos="7050"/>
        </w:tabs>
        <w:spacing w:after="0"/>
        <w:rPr>
          <w:rFonts w:asciiTheme="majorHAnsi" w:hAnsiTheme="majorHAnsi"/>
          <w:sz w:val="24"/>
          <w:szCs w:val="24"/>
        </w:rPr>
      </w:pPr>
    </w:p>
    <w:p w14:paraId="7EB671F1" w14:textId="72DB6FF8" w:rsidR="00291074" w:rsidRPr="00DC27F7" w:rsidRDefault="00434F5C" w:rsidP="00291074">
      <w:pPr>
        <w:tabs>
          <w:tab w:val="left" w:pos="7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general, short-term capital gains are taxed at 12% in Massachusetts, and long-term capital gains are taxed at the Part B rate, which is currently 5%. In contrast, g</w:t>
      </w:r>
      <w:r w:rsidR="00BB455D">
        <w:rPr>
          <w:rFonts w:asciiTheme="majorHAnsi" w:hAnsiTheme="majorHAnsi"/>
          <w:sz w:val="24"/>
          <w:szCs w:val="24"/>
        </w:rPr>
        <w:t xml:space="preserve">ain on the sale or exchange of collectibles is generally taxed at </w:t>
      </w:r>
      <w:r>
        <w:rPr>
          <w:rFonts w:asciiTheme="majorHAnsi" w:hAnsiTheme="majorHAnsi"/>
          <w:sz w:val="24"/>
          <w:szCs w:val="24"/>
        </w:rPr>
        <w:t>the</w:t>
      </w:r>
      <w:r w:rsidR="00BB455D">
        <w:rPr>
          <w:rFonts w:asciiTheme="majorHAnsi" w:hAnsiTheme="majorHAnsi"/>
          <w:sz w:val="24"/>
          <w:szCs w:val="24"/>
        </w:rPr>
        <w:t xml:space="preserve"> 12% rate</w:t>
      </w:r>
      <w:r w:rsidR="00CA500D">
        <w:rPr>
          <w:rFonts w:asciiTheme="majorHAnsi" w:hAnsiTheme="majorHAnsi"/>
          <w:sz w:val="24"/>
          <w:szCs w:val="24"/>
        </w:rPr>
        <w:t>, but a 50% deduction is available for collectables held for more than one year.</w:t>
      </w:r>
      <w:r w:rsidR="00BB455D">
        <w:rPr>
          <w:rFonts w:asciiTheme="majorHAnsi" w:hAnsiTheme="majorHAnsi"/>
          <w:sz w:val="24"/>
          <w:szCs w:val="24"/>
        </w:rPr>
        <w:t xml:space="preserve"> The statute adopts the definition of “collectibles” in section 408(m) of the Code, and includes items such as works of art, antiques, </w:t>
      </w:r>
      <w:r w:rsidR="002E77C5">
        <w:rPr>
          <w:rFonts w:asciiTheme="majorHAnsi" w:hAnsiTheme="majorHAnsi"/>
          <w:sz w:val="24"/>
          <w:szCs w:val="24"/>
        </w:rPr>
        <w:t>coins and stamps.</w:t>
      </w:r>
      <w:r w:rsidR="00D66455">
        <w:rPr>
          <w:rFonts w:asciiTheme="majorHAnsi" w:hAnsiTheme="majorHAnsi"/>
          <w:sz w:val="24"/>
          <w:szCs w:val="24"/>
        </w:rPr>
        <w:t xml:space="preserve"> </w:t>
      </w:r>
      <w:r w:rsidR="002E77C5">
        <w:rPr>
          <w:rFonts w:asciiTheme="majorHAnsi" w:hAnsiTheme="majorHAnsi"/>
          <w:sz w:val="24"/>
          <w:szCs w:val="24"/>
        </w:rPr>
        <w:t xml:space="preserve"> </w:t>
      </w:r>
      <w:r w:rsidR="00DC27F7" w:rsidRPr="00DC27F7">
        <w:rPr>
          <w:rFonts w:asciiTheme="majorHAnsi" w:hAnsiTheme="majorHAnsi"/>
          <w:sz w:val="24"/>
          <w:szCs w:val="24"/>
        </w:rPr>
        <w:t xml:space="preserve">Long-term capital gains realized from the sale of collectibles </w:t>
      </w:r>
      <w:r w:rsidR="00BB455D">
        <w:rPr>
          <w:rFonts w:asciiTheme="majorHAnsi" w:hAnsiTheme="majorHAnsi"/>
          <w:sz w:val="24"/>
          <w:szCs w:val="24"/>
        </w:rPr>
        <w:t>(i.e.</w:t>
      </w:r>
      <w:r w:rsidR="002E77C5">
        <w:rPr>
          <w:rFonts w:asciiTheme="majorHAnsi" w:hAnsiTheme="majorHAnsi"/>
          <w:sz w:val="24"/>
          <w:szCs w:val="24"/>
        </w:rPr>
        <w:t xml:space="preserve">, gain on the sale of collectibles </w:t>
      </w:r>
      <w:r w:rsidR="002E77C5" w:rsidRPr="00060B85">
        <w:rPr>
          <w:rFonts w:asciiTheme="majorHAnsi" w:hAnsiTheme="majorHAnsi"/>
          <w:sz w:val="24"/>
          <w:szCs w:val="24"/>
        </w:rPr>
        <w:t>held for</w:t>
      </w:r>
      <w:r w:rsidR="002E77C5" w:rsidRPr="00750D3B">
        <w:rPr>
          <w:rFonts w:asciiTheme="majorHAnsi" w:hAnsiTheme="majorHAnsi"/>
          <w:b/>
          <w:sz w:val="24"/>
          <w:szCs w:val="24"/>
        </w:rPr>
        <w:t xml:space="preserve"> </w:t>
      </w:r>
      <w:r w:rsidR="00983B2D" w:rsidRPr="00060B85">
        <w:rPr>
          <w:rFonts w:asciiTheme="majorHAnsi" w:hAnsiTheme="majorHAnsi"/>
          <w:sz w:val="24"/>
          <w:szCs w:val="24"/>
        </w:rPr>
        <w:t>more than</w:t>
      </w:r>
      <w:r w:rsidR="00983B2D">
        <w:rPr>
          <w:rFonts w:asciiTheme="majorHAnsi" w:hAnsiTheme="majorHAnsi"/>
          <w:b/>
          <w:sz w:val="24"/>
          <w:szCs w:val="24"/>
        </w:rPr>
        <w:t xml:space="preserve"> </w:t>
      </w:r>
      <w:r w:rsidR="002E77C5" w:rsidRPr="00060B85">
        <w:rPr>
          <w:rFonts w:asciiTheme="majorHAnsi" w:hAnsiTheme="majorHAnsi"/>
          <w:sz w:val="24"/>
          <w:szCs w:val="24"/>
        </w:rPr>
        <w:t>one year</w:t>
      </w:r>
      <w:r w:rsidR="002E77C5" w:rsidRPr="00060B85">
        <w:rPr>
          <w:rFonts w:asciiTheme="majorHAnsi" w:hAnsiTheme="majorHAnsi"/>
          <w:bCs/>
          <w:sz w:val="24"/>
          <w:szCs w:val="24"/>
        </w:rPr>
        <w:t>)</w:t>
      </w:r>
      <w:r w:rsidR="002E77C5">
        <w:rPr>
          <w:rFonts w:asciiTheme="majorHAnsi" w:hAnsiTheme="majorHAnsi"/>
          <w:sz w:val="24"/>
          <w:szCs w:val="24"/>
        </w:rPr>
        <w:t xml:space="preserve"> is eligible for</w:t>
      </w:r>
      <w:r w:rsidR="00AD0C84">
        <w:rPr>
          <w:rFonts w:asciiTheme="majorHAnsi" w:hAnsiTheme="majorHAnsi"/>
          <w:sz w:val="24"/>
          <w:szCs w:val="24"/>
        </w:rPr>
        <w:t xml:space="preserve"> a 50% deduction. Accordingly, the effective rate of tax on long</w:t>
      </w:r>
      <w:r w:rsidR="002E77C5">
        <w:rPr>
          <w:rFonts w:asciiTheme="majorHAnsi" w:hAnsiTheme="majorHAnsi"/>
          <w:sz w:val="24"/>
          <w:szCs w:val="24"/>
        </w:rPr>
        <w:t>-</w:t>
      </w:r>
      <w:r w:rsidR="00AD0C84">
        <w:rPr>
          <w:rFonts w:asciiTheme="majorHAnsi" w:hAnsiTheme="majorHAnsi"/>
          <w:sz w:val="24"/>
          <w:szCs w:val="24"/>
        </w:rPr>
        <w:t xml:space="preserve">term gains from the sale or exchange of a collectible </w:t>
      </w:r>
      <w:r w:rsidR="00AD0C84" w:rsidRPr="00060B85">
        <w:rPr>
          <w:rFonts w:asciiTheme="majorHAnsi" w:hAnsiTheme="majorHAnsi"/>
          <w:sz w:val="24"/>
          <w:szCs w:val="24"/>
        </w:rPr>
        <w:t>held for more than one year</w:t>
      </w:r>
      <w:r w:rsidR="00AD0C84">
        <w:rPr>
          <w:rFonts w:asciiTheme="majorHAnsi" w:hAnsiTheme="majorHAnsi"/>
          <w:sz w:val="24"/>
          <w:szCs w:val="24"/>
        </w:rPr>
        <w:t xml:space="preserve"> is 6%.</w:t>
      </w:r>
    </w:p>
    <w:p w14:paraId="383E1B78" w14:textId="49395A86" w:rsidR="00291074" w:rsidRDefault="00291074" w:rsidP="00291074">
      <w:pPr>
        <w:tabs>
          <w:tab w:val="left" w:pos="7050"/>
        </w:tabs>
        <w:spacing w:after="0"/>
        <w:rPr>
          <w:rFonts w:asciiTheme="majorHAnsi" w:hAnsiTheme="majorHAnsi"/>
          <w:sz w:val="24"/>
          <w:szCs w:val="24"/>
        </w:rPr>
      </w:pPr>
      <w:r w:rsidRPr="005C5281">
        <w:rPr>
          <w:rFonts w:asciiTheme="majorHAnsi" w:hAnsiTheme="majorHAnsi"/>
          <w:sz w:val="24"/>
          <w:szCs w:val="24"/>
        </w:rPr>
        <w:t xml:space="preserve"> </w:t>
      </w:r>
    </w:p>
    <w:p w14:paraId="3852A670" w14:textId="77777777" w:rsidR="00DF3EB7" w:rsidRDefault="00DF3EB7" w:rsidP="00291074">
      <w:pPr>
        <w:tabs>
          <w:tab w:val="left" w:pos="7050"/>
        </w:tabs>
        <w:spacing w:after="0"/>
        <w:rPr>
          <w:rFonts w:asciiTheme="majorHAnsi" w:hAnsiTheme="majorHAnsi"/>
          <w:sz w:val="24"/>
          <w:szCs w:val="24"/>
        </w:rPr>
      </w:pPr>
    </w:p>
    <w:p w14:paraId="41B09A3E" w14:textId="7EA38C4E" w:rsidR="00291074" w:rsidRPr="00A07439" w:rsidRDefault="00EC7A56" w:rsidP="00291074">
      <w:pPr>
        <w:tabs>
          <w:tab w:val="left" w:pos="7050"/>
        </w:tabs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t>POLICY GOALS</w:t>
      </w:r>
      <w:r w:rsidRPr="00A07439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</w:t>
      </w:r>
      <w:r w:rsidR="00291074" w:rsidRPr="00A07439">
        <w:rPr>
          <w:rFonts w:asciiTheme="majorHAnsi" w:hAnsiTheme="majorHAnsi"/>
          <w:b/>
          <w:color w:val="E36C0A" w:themeColor="accent6" w:themeShade="BF"/>
          <w:sz w:val="28"/>
          <w:szCs w:val="28"/>
        </w:rPr>
        <w:t>OF THE TAX EXPENDITURE</w:t>
      </w:r>
    </w:p>
    <w:p w14:paraId="2F1A1996" w14:textId="77777777" w:rsidR="00291074" w:rsidRPr="00D17E9D" w:rsidRDefault="00291074" w:rsidP="00291074">
      <w:pPr>
        <w:tabs>
          <w:tab w:val="left" w:pos="7050"/>
        </w:tabs>
        <w:spacing w:after="0"/>
        <w:rPr>
          <w:rFonts w:asciiTheme="majorHAnsi" w:hAnsiTheme="majorHAnsi"/>
          <w:i/>
          <w:iCs/>
          <w:sz w:val="24"/>
          <w:szCs w:val="24"/>
        </w:rPr>
      </w:pPr>
    </w:p>
    <w:p w14:paraId="175459E6" w14:textId="26615157" w:rsidR="00BB62B6" w:rsidRDefault="00EC7A56" w:rsidP="00291074">
      <w:pPr>
        <w:tabs>
          <w:tab w:val="left" w:pos="7050"/>
        </w:tabs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DOR surmises that </w:t>
      </w:r>
      <w:r w:rsidR="003E4C10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the 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goal of the </w:t>
      </w:r>
      <w:r w:rsidR="003E4C10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>expenditure is to</w:t>
      </w:r>
      <w:r w:rsidR="00983B2D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 tax </w:t>
      </w:r>
      <w:r w:rsidR="00060B85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long-term gain </w:t>
      </w:r>
      <w:r w:rsidR="00983B2D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collectibles at 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>an effective rate</w:t>
      </w:r>
      <w:r w:rsidR="00983B2D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 similar to the tax rate imposed on </w:t>
      </w:r>
      <w:r w:rsidR="00060B85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long-term gain on </w:t>
      </w:r>
      <w:r w:rsidR="00983B2D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other </w:t>
      </w:r>
      <w:r w:rsidR="00CA500D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personal use </w:t>
      </w:r>
      <w:r w:rsidR="00060B85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>property, such</w:t>
      </w:r>
      <w:r w:rsidR="00983B2D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 as </w:t>
      </w:r>
      <w:r w:rsidR="00060B85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residences. </w:t>
      </w:r>
      <w:r w:rsidR="002E77C5">
        <w:rPr>
          <w:rFonts w:asciiTheme="majorHAnsi" w:eastAsiaTheme="majorEastAsia" w:hAnsiTheme="majorHAnsi" w:cstheme="majorBidi"/>
          <w:bCs/>
          <w:color w:val="000000" w:themeColor="text1"/>
          <w:sz w:val="24"/>
        </w:rPr>
        <w:t xml:space="preserve"> </w:t>
      </w:r>
    </w:p>
    <w:p w14:paraId="1A098E32" w14:textId="77777777" w:rsidR="00471DFB" w:rsidRDefault="00471DFB" w:rsidP="00291074">
      <w:pPr>
        <w:tabs>
          <w:tab w:val="left" w:pos="7050"/>
        </w:tabs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7BA0CC22" w14:textId="77777777" w:rsidR="00911011" w:rsidRDefault="00911011" w:rsidP="00291074">
      <w:pPr>
        <w:tabs>
          <w:tab w:val="left" w:pos="7050"/>
        </w:tabs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62C4287D" w14:textId="77777777" w:rsidR="008A24EA" w:rsidRPr="00A07439" w:rsidRDefault="008A24EA" w:rsidP="008A24EA">
      <w:pPr>
        <w:tabs>
          <w:tab w:val="left" w:pos="7050"/>
        </w:tabs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A07439"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COSTS </w:t>
      </w:r>
    </w:p>
    <w:p w14:paraId="1A52323B" w14:textId="77777777" w:rsidR="008A24EA" w:rsidRDefault="008A24EA" w:rsidP="008A24EA">
      <w:pPr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5E5DCDB6" w14:textId="5470651A" w:rsidR="00B376F0" w:rsidRDefault="00E160FB" w:rsidP="008A24EA">
      <w:pPr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The actual </w:t>
      </w:r>
      <w:r w:rsidR="00CA500D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revenue 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losses </w:t>
      </w:r>
      <w:r w:rsidR="000B1FB9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from this deduction 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for FY18 and FY19 were projected through FY22</w:t>
      </w:r>
      <w:r w:rsidR="00151499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and are presented in the table below.  </w:t>
      </w:r>
    </w:p>
    <w:p w14:paraId="4FA99582" w14:textId="77777777" w:rsidR="00BB1A41" w:rsidRDefault="00BB1A41" w:rsidP="008A24EA">
      <w:pPr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37D986A0" w14:textId="76E37779" w:rsidR="00BB1A41" w:rsidRPr="00BB1A41" w:rsidRDefault="00BB1A41" w:rsidP="00BB1A41">
      <w:pPr>
        <w:spacing w:after="0"/>
        <w:jc w:val="center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B1A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Tax </w:t>
      </w:r>
      <w:r w:rsidR="000B1FB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l</w:t>
      </w:r>
      <w:r w:rsidRPr="00BB1A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oss resulting from</w:t>
      </w:r>
    </w:p>
    <w:p w14:paraId="2F0E7F45" w14:textId="4A3B0CF1" w:rsidR="00BB1A41" w:rsidRDefault="00BB1A41" w:rsidP="00BB1A41">
      <w:pPr>
        <w:spacing w:after="0"/>
        <w:jc w:val="center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BB1A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50% </w:t>
      </w:r>
      <w:r w:rsidR="000B1FB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d</w:t>
      </w:r>
      <w:r w:rsidRPr="00BB1A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eduction </w:t>
      </w:r>
      <w:r w:rsidR="000B1FB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for</w:t>
      </w:r>
      <w:r w:rsidRPr="00BB1A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 </w:t>
      </w:r>
      <w:r w:rsidR="000B1FB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</w:t>
      </w:r>
      <w:r w:rsidRPr="00BB1A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apital </w:t>
      </w:r>
      <w:r w:rsidR="000B1FB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g</w:t>
      </w:r>
      <w:r w:rsidRPr="00BB1A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ain on </w:t>
      </w:r>
      <w:r w:rsidR="000B1FB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c</w:t>
      </w:r>
      <w:r w:rsidRPr="00BB1A41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 xml:space="preserve">ollectibles held </w:t>
      </w:r>
      <w:r w:rsidR="000B1FB9"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  <w:t>for more than one year</w:t>
      </w:r>
    </w:p>
    <w:p w14:paraId="5A35370F" w14:textId="77777777" w:rsidR="00BB1A41" w:rsidRPr="00BB1A41" w:rsidRDefault="00BB1A41" w:rsidP="00BB1A41">
      <w:pPr>
        <w:spacing w:after="0"/>
        <w:jc w:val="center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BB1A41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($millions)</w:t>
      </w:r>
    </w:p>
    <w:p w14:paraId="468E0EBE" w14:textId="77777777" w:rsidR="00B376F0" w:rsidRDefault="00B376F0" w:rsidP="008A24EA">
      <w:pPr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52D87620" w14:textId="77777777" w:rsidR="008A24EA" w:rsidRDefault="00BB1A41" w:rsidP="003C7CFF">
      <w:pPr>
        <w:spacing w:after="0"/>
        <w:jc w:val="center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 w:rsidRPr="00BB1A41">
        <w:rPr>
          <w:noProof/>
        </w:rPr>
        <w:drawing>
          <wp:anchor distT="0" distB="0" distL="114300" distR="114300" simplePos="0" relativeHeight="251658240" behindDoc="0" locked="0" layoutInCell="1" allowOverlap="1" wp14:anchorId="01628F9A" wp14:editId="3D2BC55C">
            <wp:simplePos x="0" y="0"/>
            <wp:positionH relativeFrom="column">
              <wp:posOffset>1104900</wp:posOffset>
            </wp:positionH>
            <wp:positionV relativeFrom="paragraph">
              <wp:posOffset>3175</wp:posOffset>
            </wp:positionV>
            <wp:extent cx="3727450" cy="89535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388111" w14:textId="77777777" w:rsidR="008A24EA" w:rsidRDefault="008A24EA" w:rsidP="008A24EA">
      <w:pPr>
        <w:spacing w:after="0"/>
        <w:rPr>
          <w:rFonts w:asciiTheme="majorHAnsi" w:eastAsiaTheme="majorEastAsia" w:hAnsiTheme="majorHAnsi" w:cstheme="majorBidi"/>
          <w:bCs/>
          <w:i/>
          <w:iCs/>
          <w:color w:val="000000" w:themeColor="text1"/>
          <w:sz w:val="24"/>
          <w:szCs w:val="24"/>
        </w:rPr>
      </w:pPr>
    </w:p>
    <w:p w14:paraId="73BC420A" w14:textId="77777777" w:rsidR="008A24EA" w:rsidRDefault="008A24EA" w:rsidP="008A24EA">
      <w:pPr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183E63CF" w14:textId="77777777" w:rsidR="008A24EA" w:rsidRPr="00F51592" w:rsidRDefault="008A24EA" w:rsidP="008A24EA">
      <w:pPr>
        <w:spacing w:after="0"/>
        <w:rPr>
          <w:rFonts w:asciiTheme="majorHAnsi" w:hAnsiTheme="majorHAnsi"/>
          <w:bCs/>
          <w:sz w:val="24"/>
          <w:szCs w:val="24"/>
        </w:rPr>
      </w:pPr>
    </w:p>
    <w:p w14:paraId="329B778C" w14:textId="77777777" w:rsidR="00060B85" w:rsidRDefault="00060B85" w:rsidP="008A24EA">
      <w:pPr>
        <w:tabs>
          <w:tab w:val="left" w:pos="7050"/>
        </w:tabs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</w:p>
    <w:p w14:paraId="188FA788" w14:textId="77777777" w:rsidR="00AB46F5" w:rsidRDefault="00AB46F5">
      <w:pPr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br w:type="page"/>
      </w:r>
    </w:p>
    <w:p w14:paraId="2C87BE83" w14:textId="74C7302A" w:rsidR="008A24EA" w:rsidRPr="00616EEB" w:rsidRDefault="008A24EA" w:rsidP="008A24EA">
      <w:pPr>
        <w:tabs>
          <w:tab w:val="left" w:pos="7050"/>
        </w:tabs>
        <w:rPr>
          <w:rFonts w:asciiTheme="majorHAnsi" w:hAnsiTheme="majorHAnsi"/>
          <w:bCs/>
          <w:i/>
          <w:iCs/>
          <w:color w:val="E36C0A" w:themeColor="accent6" w:themeShade="BF"/>
          <w:sz w:val="28"/>
          <w:szCs w:val="28"/>
        </w:rPr>
      </w:pPr>
      <w:r w:rsidRPr="005529C5">
        <w:rPr>
          <w:rFonts w:asciiTheme="majorHAnsi" w:hAnsiTheme="majorHAnsi"/>
          <w:b/>
          <w:color w:val="E36C0A" w:themeColor="accent6" w:themeShade="BF"/>
          <w:sz w:val="28"/>
          <w:szCs w:val="28"/>
        </w:rPr>
        <w:lastRenderedPageBreak/>
        <w:t>BENEFITS</w:t>
      </w: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t xml:space="preserve">  </w:t>
      </w:r>
    </w:p>
    <w:p w14:paraId="6EA477E9" w14:textId="566C48E6" w:rsidR="00394741" w:rsidRDefault="0083143F" w:rsidP="00394741">
      <w:pPr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tax savings of this deduction accrue to the highest-level income earners.  </w:t>
      </w:r>
      <w:r w:rsidR="00394741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88% of </w:t>
      </w:r>
      <w:r w:rsidR="000B1FB9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the total deduction amount</w:t>
      </w:r>
      <w:r w:rsidR="009F0CEF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</w:t>
      </w:r>
      <w:r w:rsidR="00E16F4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is claimed by</w:t>
      </w:r>
      <w:r w:rsidR="00394741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filers reporting over $1 million in </w:t>
      </w:r>
      <w:r w:rsidR="00394741" w:rsidRPr="00394741">
        <w:rPr>
          <w:rFonts w:asciiTheme="majorHAnsi" w:eastAsiaTheme="majorEastAsia" w:hAnsiTheme="majorHAnsi" w:cstheme="majorBidi"/>
          <w:bCs/>
          <w:i/>
          <w:iCs/>
          <w:color w:val="000000" w:themeColor="text1"/>
          <w:sz w:val="24"/>
          <w:szCs w:val="24"/>
        </w:rPr>
        <w:t>annual</w:t>
      </w:r>
      <w:r w:rsidR="00394741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income.  </w:t>
      </w:r>
    </w:p>
    <w:p w14:paraId="36991B0F" w14:textId="77777777" w:rsidR="009D7983" w:rsidRDefault="009D7983" w:rsidP="00394741">
      <w:pPr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2AAFDA34" w14:textId="2650BA2A" w:rsidR="009D7983" w:rsidRPr="009D7983" w:rsidRDefault="009D7983" w:rsidP="009D7983">
      <w:pPr>
        <w:spacing w:after="0"/>
        <w:jc w:val="center"/>
        <w:rPr>
          <w:rFonts w:asciiTheme="majorHAnsi" w:eastAsiaTheme="majorEastAsia" w:hAnsiTheme="majorHAnsi" w:cstheme="majorBidi"/>
          <w:b/>
          <w:color w:val="000000" w:themeColor="text1"/>
          <w:sz w:val="24"/>
          <w:szCs w:val="24"/>
        </w:rPr>
      </w:pPr>
      <w:r w:rsidRPr="009D7983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Collectibles</w:t>
      </w:r>
      <w:r w:rsidR="009F0CEF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 </w:t>
      </w:r>
      <w:r w:rsidR="00060B85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>Deduction by</w:t>
      </w:r>
      <w:r w:rsidR="000B1FB9"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  <w:t xml:space="preserve"> Income Bracket</w:t>
      </w:r>
    </w:p>
    <w:p w14:paraId="3752C8DE" w14:textId="77777777" w:rsidR="009D7983" w:rsidRDefault="009D7983" w:rsidP="00394741">
      <w:pPr>
        <w:spacing w:after="0"/>
        <w:rPr>
          <w:rFonts w:asciiTheme="majorHAnsi" w:eastAsiaTheme="majorEastAsia" w:hAnsiTheme="majorHAnsi" w:cstheme="majorBidi"/>
          <w:bCs/>
          <w:i/>
          <w:iCs/>
          <w:color w:val="000000" w:themeColor="text1"/>
          <w:sz w:val="24"/>
          <w:szCs w:val="24"/>
        </w:rPr>
      </w:pPr>
    </w:p>
    <w:p w14:paraId="7DF0CD87" w14:textId="77777777" w:rsidR="009D7983" w:rsidRPr="009D7983" w:rsidRDefault="009D7983" w:rsidP="00394741">
      <w:pPr>
        <w:spacing w:after="0"/>
        <w:rPr>
          <w:rFonts w:asciiTheme="majorHAnsi" w:eastAsiaTheme="majorEastAsia" w:hAnsiTheme="majorHAnsi" w:cstheme="majorBidi"/>
          <w:bCs/>
          <w:i/>
          <w:iCs/>
          <w:color w:val="000000" w:themeColor="text1"/>
          <w:sz w:val="24"/>
          <w:szCs w:val="24"/>
        </w:rPr>
      </w:pPr>
      <w:bookmarkStart w:id="1" w:name="_Hlk49429565"/>
      <w:r w:rsidRPr="009D7983">
        <w:rPr>
          <w:rFonts w:asciiTheme="majorHAnsi" w:eastAsiaTheme="majorEastAsia" w:hAnsiTheme="majorHAnsi" w:cstheme="majorBidi"/>
          <w:bCs/>
          <w:i/>
          <w:iCs/>
          <w:color w:val="000000" w:themeColor="text1"/>
          <w:sz w:val="24"/>
          <w:szCs w:val="24"/>
        </w:rPr>
        <w:t>Source:  Massachusetts Department of Revenue Statistics of Income</w:t>
      </w:r>
    </w:p>
    <w:bookmarkEnd w:id="1"/>
    <w:p w14:paraId="1A09AEEE" w14:textId="77777777" w:rsidR="0083143F" w:rsidRPr="00394741" w:rsidRDefault="0083143F" w:rsidP="00394741">
      <w:pPr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00888FBF" w14:textId="77777777" w:rsidR="00394741" w:rsidRDefault="0083143F" w:rsidP="008A24EA">
      <w:pPr>
        <w:spacing w:after="0"/>
        <w:rPr>
          <w:rFonts w:asciiTheme="majorHAnsi" w:hAnsiTheme="majorHAnsi"/>
          <w:sz w:val="24"/>
          <w:szCs w:val="24"/>
        </w:rPr>
      </w:pPr>
      <w:r w:rsidRPr="0083143F">
        <w:rPr>
          <w:noProof/>
        </w:rPr>
        <w:drawing>
          <wp:anchor distT="0" distB="0" distL="114300" distR="114300" simplePos="0" relativeHeight="251659264" behindDoc="0" locked="0" layoutInCell="1" allowOverlap="1" wp14:anchorId="533F4006" wp14:editId="3C88172C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5943600" cy="503364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1FF371B" w14:textId="77777777" w:rsidR="0083143F" w:rsidRDefault="0083143F" w:rsidP="008A24EA">
      <w:pPr>
        <w:spacing w:after="0"/>
        <w:rPr>
          <w:rFonts w:asciiTheme="majorHAnsi" w:hAnsiTheme="majorHAnsi"/>
          <w:sz w:val="24"/>
          <w:szCs w:val="24"/>
        </w:rPr>
      </w:pPr>
    </w:p>
    <w:p w14:paraId="06F1BA70" w14:textId="77777777" w:rsidR="005F1772" w:rsidRDefault="005F1772" w:rsidP="005F1772">
      <w:pPr>
        <w:tabs>
          <w:tab w:val="left" w:pos="7050"/>
        </w:tabs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028A1F70" w14:textId="77777777" w:rsidR="00827F1D" w:rsidRDefault="00827F1D" w:rsidP="008A24EA">
      <w:pPr>
        <w:spacing w:after="0"/>
        <w:rPr>
          <w:rFonts w:asciiTheme="majorHAnsi" w:hAnsiTheme="majorHAnsi"/>
          <w:sz w:val="24"/>
          <w:szCs w:val="24"/>
        </w:rPr>
      </w:pPr>
    </w:p>
    <w:p w14:paraId="07E4C520" w14:textId="77777777" w:rsidR="00447E5E" w:rsidRDefault="00447E5E">
      <w:pPr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>
        <w:rPr>
          <w:rFonts w:asciiTheme="majorHAnsi" w:hAnsiTheme="majorHAnsi"/>
          <w:b/>
          <w:color w:val="E36C0A" w:themeColor="accent6" w:themeShade="BF"/>
          <w:sz w:val="28"/>
          <w:szCs w:val="28"/>
        </w:rPr>
        <w:br w:type="page"/>
      </w:r>
    </w:p>
    <w:p w14:paraId="6E6B05A6" w14:textId="77777777" w:rsidR="008A24EA" w:rsidRPr="00A07439" w:rsidRDefault="008A24EA" w:rsidP="008A24EA">
      <w:pPr>
        <w:tabs>
          <w:tab w:val="left" w:pos="7050"/>
        </w:tabs>
        <w:spacing w:after="0"/>
        <w:rPr>
          <w:rFonts w:asciiTheme="majorHAnsi" w:hAnsiTheme="majorHAnsi"/>
          <w:b/>
          <w:color w:val="E36C0A" w:themeColor="accent6" w:themeShade="BF"/>
          <w:sz w:val="28"/>
          <w:szCs w:val="28"/>
        </w:rPr>
      </w:pPr>
      <w:r w:rsidRPr="00A07439">
        <w:rPr>
          <w:rFonts w:asciiTheme="majorHAnsi" w:hAnsiTheme="majorHAnsi"/>
          <w:b/>
          <w:color w:val="E36C0A" w:themeColor="accent6" w:themeShade="BF"/>
          <w:sz w:val="28"/>
          <w:szCs w:val="28"/>
        </w:rPr>
        <w:lastRenderedPageBreak/>
        <w:t>EVALUATION:  COMPARING COSTS AND BENEFITS</w:t>
      </w:r>
    </w:p>
    <w:p w14:paraId="1AC4A028" w14:textId="77777777" w:rsidR="00447E5E" w:rsidRDefault="00447E5E" w:rsidP="008A24EA">
      <w:pPr>
        <w:spacing w:after="0"/>
        <w:rPr>
          <w:rFonts w:asciiTheme="majorHAnsi" w:hAnsiTheme="majorHAnsi"/>
          <w:bCs/>
          <w:sz w:val="24"/>
          <w:szCs w:val="23"/>
        </w:rPr>
      </w:pPr>
    </w:p>
    <w:p w14:paraId="0440CBDE" w14:textId="4521202A" w:rsidR="000E17A5" w:rsidRDefault="00447E5E" w:rsidP="000E17A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3"/>
        </w:rPr>
        <w:t xml:space="preserve">The cost of this deduction is the </w:t>
      </w:r>
      <w:r w:rsidR="000B1FB9">
        <w:rPr>
          <w:rFonts w:asciiTheme="majorHAnsi" w:hAnsiTheme="majorHAnsi"/>
          <w:bCs/>
          <w:sz w:val="24"/>
          <w:szCs w:val="23"/>
        </w:rPr>
        <w:t xml:space="preserve">approximately </w:t>
      </w:r>
      <w:r>
        <w:rPr>
          <w:rFonts w:asciiTheme="majorHAnsi" w:hAnsiTheme="majorHAnsi"/>
          <w:bCs/>
          <w:sz w:val="24"/>
          <w:szCs w:val="23"/>
        </w:rPr>
        <w:t xml:space="preserve">$2 million in </w:t>
      </w:r>
      <w:r w:rsidR="000B1FB9">
        <w:rPr>
          <w:rFonts w:asciiTheme="majorHAnsi" w:hAnsiTheme="majorHAnsi"/>
          <w:bCs/>
          <w:sz w:val="24"/>
          <w:szCs w:val="23"/>
        </w:rPr>
        <w:t xml:space="preserve">annual </w:t>
      </w:r>
      <w:r>
        <w:rPr>
          <w:rFonts w:asciiTheme="majorHAnsi" w:hAnsiTheme="majorHAnsi"/>
          <w:bCs/>
          <w:sz w:val="24"/>
          <w:szCs w:val="23"/>
        </w:rPr>
        <w:t xml:space="preserve">foregone revenue to Massachusetts.  </w:t>
      </w:r>
      <w:r w:rsidR="000E17A5">
        <w:rPr>
          <w:rFonts w:asciiTheme="majorHAnsi" w:hAnsiTheme="majorHAnsi"/>
          <w:sz w:val="24"/>
          <w:szCs w:val="24"/>
        </w:rPr>
        <w:t xml:space="preserve">Research on this topic </w:t>
      </w:r>
      <w:r>
        <w:rPr>
          <w:rFonts w:asciiTheme="majorHAnsi" w:hAnsiTheme="majorHAnsi"/>
          <w:sz w:val="24"/>
          <w:szCs w:val="24"/>
        </w:rPr>
        <w:t>confirms</w:t>
      </w:r>
      <w:r w:rsidR="000E17A5">
        <w:rPr>
          <w:rFonts w:asciiTheme="majorHAnsi" w:hAnsiTheme="majorHAnsi"/>
          <w:sz w:val="24"/>
          <w:szCs w:val="24"/>
        </w:rPr>
        <w:t xml:space="preserve"> our </w:t>
      </w:r>
      <w:r w:rsidR="003847DA">
        <w:rPr>
          <w:rFonts w:asciiTheme="majorHAnsi" w:hAnsiTheme="majorHAnsi"/>
          <w:sz w:val="24"/>
          <w:szCs w:val="24"/>
        </w:rPr>
        <w:t xml:space="preserve">conclusion </w:t>
      </w:r>
      <w:r w:rsidR="000E17A5">
        <w:rPr>
          <w:rFonts w:asciiTheme="majorHAnsi" w:hAnsiTheme="majorHAnsi"/>
          <w:sz w:val="24"/>
          <w:szCs w:val="24"/>
        </w:rPr>
        <w:t xml:space="preserve">that </w:t>
      </w:r>
      <w:r>
        <w:rPr>
          <w:rFonts w:asciiTheme="majorHAnsi" w:hAnsiTheme="majorHAnsi"/>
          <w:sz w:val="24"/>
          <w:szCs w:val="24"/>
        </w:rPr>
        <w:t xml:space="preserve">the </w:t>
      </w:r>
      <w:r w:rsidR="00BC6BC4">
        <w:rPr>
          <w:rFonts w:asciiTheme="majorHAnsi" w:hAnsiTheme="majorHAnsi"/>
          <w:sz w:val="24"/>
          <w:szCs w:val="24"/>
        </w:rPr>
        <w:t xml:space="preserve">primary </w:t>
      </w:r>
      <w:r>
        <w:rPr>
          <w:rFonts w:asciiTheme="majorHAnsi" w:hAnsiTheme="majorHAnsi"/>
          <w:sz w:val="24"/>
          <w:szCs w:val="24"/>
        </w:rPr>
        <w:t>beneficiaries are “</w:t>
      </w:r>
      <w:r w:rsidRPr="00911011">
        <w:rPr>
          <w:rFonts w:asciiTheme="majorHAnsi" w:hAnsiTheme="majorHAnsi"/>
          <w:sz w:val="24"/>
          <w:szCs w:val="24"/>
        </w:rPr>
        <w:t>ultra-high-net-worth individuals</w:t>
      </w:r>
      <w:r>
        <w:rPr>
          <w:rFonts w:asciiTheme="majorHAnsi" w:hAnsiTheme="majorHAnsi"/>
          <w:sz w:val="24"/>
          <w:szCs w:val="24"/>
        </w:rPr>
        <w:t>”</w:t>
      </w:r>
      <w:r>
        <w:rPr>
          <w:rStyle w:val="FootnoteReference"/>
          <w:rFonts w:asciiTheme="majorHAnsi" w:hAnsiTheme="majorHAnsi"/>
          <w:sz w:val="24"/>
          <w:szCs w:val="24"/>
        </w:rPr>
        <w:footnoteReference w:id="1"/>
      </w:r>
      <w:r w:rsidRPr="00911011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who hold certain t</w:t>
      </w:r>
      <w:r w:rsidR="000E17A5">
        <w:rPr>
          <w:rFonts w:asciiTheme="majorHAnsi" w:hAnsiTheme="majorHAnsi"/>
          <w:sz w:val="24"/>
          <w:szCs w:val="24"/>
        </w:rPr>
        <w:t>ypes of collectibles</w:t>
      </w:r>
      <w:r>
        <w:rPr>
          <w:rFonts w:asciiTheme="majorHAnsi" w:hAnsiTheme="majorHAnsi"/>
          <w:sz w:val="24"/>
          <w:szCs w:val="24"/>
        </w:rPr>
        <w:t xml:space="preserve">.  </w:t>
      </w:r>
      <w:r w:rsidR="000E17A5">
        <w:rPr>
          <w:rFonts w:asciiTheme="majorHAnsi" w:hAnsiTheme="majorHAnsi"/>
          <w:sz w:val="24"/>
          <w:szCs w:val="24"/>
        </w:rPr>
        <w:t>The assets in th</w:t>
      </w:r>
      <w:r>
        <w:rPr>
          <w:rFonts w:asciiTheme="majorHAnsi" w:hAnsiTheme="majorHAnsi"/>
          <w:sz w:val="24"/>
          <w:szCs w:val="24"/>
        </w:rPr>
        <w:t>is</w:t>
      </w:r>
      <w:r w:rsidR="000E17A5">
        <w:rPr>
          <w:rFonts w:asciiTheme="majorHAnsi" w:hAnsiTheme="majorHAnsi"/>
          <w:sz w:val="24"/>
          <w:szCs w:val="24"/>
        </w:rPr>
        <w:t xml:space="preserve"> collectibles category include classic European and American cars, fine wines, rare coins, paintings, sculptures, etc.  </w:t>
      </w:r>
    </w:p>
    <w:p w14:paraId="44D9B301" w14:textId="77777777" w:rsidR="00820EC1" w:rsidRDefault="00820EC1" w:rsidP="000E17A5">
      <w:pPr>
        <w:spacing w:after="0"/>
        <w:rPr>
          <w:rFonts w:asciiTheme="majorHAnsi" w:hAnsiTheme="majorHAnsi"/>
          <w:sz w:val="24"/>
          <w:szCs w:val="24"/>
        </w:rPr>
      </w:pPr>
    </w:p>
    <w:p w14:paraId="6EB4FF68" w14:textId="732B2FFB" w:rsidR="00447E5E" w:rsidRDefault="00447E5E" w:rsidP="000E17A5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Given </w:t>
      </w:r>
      <w:r w:rsidR="008C75EB">
        <w:rPr>
          <w:rFonts w:asciiTheme="majorHAnsi" w:hAnsiTheme="majorHAnsi"/>
          <w:sz w:val="24"/>
          <w:szCs w:val="24"/>
        </w:rPr>
        <w:t>the ultra-high income</w:t>
      </w:r>
      <w:r w:rsidR="0017112F">
        <w:rPr>
          <w:rFonts w:asciiTheme="majorHAnsi" w:hAnsiTheme="majorHAnsi"/>
          <w:sz w:val="24"/>
          <w:szCs w:val="24"/>
        </w:rPr>
        <w:t xml:space="preserve"> </w:t>
      </w:r>
      <w:r w:rsidR="008C75EB">
        <w:rPr>
          <w:rFonts w:asciiTheme="majorHAnsi" w:hAnsiTheme="majorHAnsi"/>
          <w:sz w:val="24"/>
          <w:szCs w:val="24"/>
        </w:rPr>
        <w:t xml:space="preserve">of filers </w:t>
      </w:r>
      <w:r w:rsidR="0017112F">
        <w:rPr>
          <w:rFonts w:asciiTheme="majorHAnsi" w:hAnsiTheme="majorHAnsi"/>
          <w:sz w:val="24"/>
          <w:szCs w:val="24"/>
        </w:rPr>
        <w:t xml:space="preserve">who benefit from this deduction, it is likely that any tax savings is not consumed but instead put into additional </w:t>
      </w:r>
      <w:r w:rsidR="00060B85">
        <w:rPr>
          <w:rFonts w:asciiTheme="majorHAnsi" w:hAnsiTheme="majorHAnsi"/>
          <w:sz w:val="24"/>
          <w:szCs w:val="24"/>
        </w:rPr>
        <w:t>collectibles or financial assets</w:t>
      </w:r>
      <w:r w:rsidR="008C75EB">
        <w:rPr>
          <w:rFonts w:asciiTheme="majorHAnsi" w:hAnsiTheme="majorHAnsi"/>
          <w:sz w:val="24"/>
          <w:szCs w:val="24"/>
        </w:rPr>
        <w:t xml:space="preserve">.  </w:t>
      </w:r>
      <w:r w:rsidR="00376D23">
        <w:rPr>
          <w:rFonts w:asciiTheme="majorHAnsi" w:hAnsiTheme="majorHAnsi"/>
          <w:sz w:val="24"/>
          <w:szCs w:val="24"/>
        </w:rPr>
        <w:t>Accordingly, t</w:t>
      </w:r>
      <w:r w:rsidR="008C75EB" w:rsidRPr="00376D23">
        <w:rPr>
          <w:rFonts w:asciiTheme="majorHAnsi" w:hAnsiTheme="majorHAnsi"/>
          <w:sz w:val="24"/>
          <w:szCs w:val="24"/>
        </w:rPr>
        <w:t xml:space="preserve">his </w:t>
      </w:r>
      <w:r w:rsidR="00060B85">
        <w:rPr>
          <w:rFonts w:asciiTheme="majorHAnsi" w:hAnsiTheme="majorHAnsi"/>
          <w:sz w:val="24"/>
          <w:szCs w:val="24"/>
        </w:rPr>
        <w:t xml:space="preserve">expenditure </w:t>
      </w:r>
      <w:r w:rsidR="008C75EB" w:rsidRPr="00376D23">
        <w:rPr>
          <w:rFonts w:asciiTheme="majorHAnsi" w:hAnsiTheme="majorHAnsi"/>
          <w:sz w:val="24"/>
          <w:szCs w:val="24"/>
        </w:rPr>
        <w:t>may</w:t>
      </w:r>
      <w:r w:rsidR="0017112F" w:rsidRPr="00376D23">
        <w:rPr>
          <w:rFonts w:asciiTheme="majorHAnsi" w:hAnsiTheme="majorHAnsi"/>
          <w:sz w:val="24"/>
          <w:szCs w:val="24"/>
        </w:rPr>
        <w:t xml:space="preserve"> </w:t>
      </w:r>
      <w:r w:rsidR="00376D23">
        <w:rPr>
          <w:rFonts w:asciiTheme="majorHAnsi" w:hAnsiTheme="majorHAnsi"/>
          <w:sz w:val="24"/>
          <w:szCs w:val="24"/>
        </w:rPr>
        <w:t xml:space="preserve">have a </w:t>
      </w:r>
      <w:r w:rsidR="0017112F" w:rsidRPr="00376D23">
        <w:rPr>
          <w:rFonts w:asciiTheme="majorHAnsi" w:hAnsiTheme="majorHAnsi"/>
          <w:sz w:val="24"/>
          <w:szCs w:val="24"/>
        </w:rPr>
        <w:t>positive</w:t>
      </w:r>
      <w:r w:rsidR="00376D23">
        <w:rPr>
          <w:rFonts w:asciiTheme="majorHAnsi" w:hAnsiTheme="majorHAnsi"/>
          <w:sz w:val="24"/>
          <w:szCs w:val="24"/>
        </w:rPr>
        <w:t xml:space="preserve"> effect on </w:t>
      </w:r>
      <w:r w:rsidR="0017112F" w:rsidRPr="00376D23">
        <w:rPr>
          <w:rFonts w:asciiTheme="majorHAnsi" w:hAnsiTheme="majorHAnsi"/>
          <w:sz w:val="24"/>
          <w:szCs w:val="24"/>
        </w:rPr>
        <w:t>the economy.</w:t>
      </w:r>
      <w:r w:rsidR="0017112F">
        <w:rPr>
          <w:rFonts w:asciiTheme="majorHAnsi" w:hAnsiTheme="majorHAnsi"/>
          <w:sz w:val="24"/>
          <w:szCs w:val="24"/>
        </w:rPr>
        <w:t xml:space="preserve">  However, c</w:t>
      </w:r>
      <w:r w:rsidR="0017112F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ollectibles, by their nature, are not productive assets.</w:t>
      </w:r>
      <w:r w:rsidR="000B1FB9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T</w:t>
      </w:r>
      <w:r w:rsidR="007140A6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herefore, </w:t>
      </w:r>
      <w:r w:rsidR="000B1FB9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t</w:t>
      </w:r>
      <w:r w:rsidR="0017112F">
        <w:rPr>
          <w:rFonts w:asciiTheme="majorHAnsi" w:hAnsiTheme="majorHAnsi"/>
          <w:sz w:val="24"/>
          <w:szCs w:val="24"/>
        </w:rPr>
        <w:t xml:space="preserve">o the extent this deduction encourages purchase of collectibles, it reduces the amount of capital available for productive investment.      </w:t>
      </w:r>
    </w:p>
    <w:p w14:paraId="76382A44" w14:textId="25708FC2" w:rsidR="008A24EA" w:rsidRDefault="008A24EA" w:rsidP="008A24EA">
      <w:pPr>
        <w:tabs>
          <w:tab w:val="left" w:pos="7050"/>
        </w:tabs>
        <w:spacing w:after="0"/>
        <w:rPr>
          <w:rFonts w:asciiTheme="majorHAnsi" w:hAnsiTheme="majorHAnsi"/>
          <w:bCs/>
          <w:sz w:val="24"/>
          <w:szCs w:val="23"/>
          <w:highlight w:val="yellow"/>
        </w:rPr>
      </w:pPr>
    </w:p>
    <w:p w14:paraId="63BA71B4" w14:textId="77777777" w:rsidR="008A24EA" w:rsidRDefault="008A24EA" w:rsidP="008A24EA">
      <w:pPr>
        <w:tabs>
          <w:tab w:val="left" w:pos="7050"/>
        </w:tabs>
        <w:spacing w:after="0"/>
        <w:rPr>
          <w:rFonts w:asciiTheme="majorHAnsi" w:hAnsiTheme="majorHAnsi"/>
          <w:bCs/>
          <w:noProof/>
          <w:sz w:val="24"/>
          <w:szCs w:val="24"/>
        </w:rPr>
      </w:pPr>
    </w:p>
    <w:p w14:paraId="02A9021A" w14:textId="77777777" w:rsidR="008A24EA" w:rsidRPr="004C3153" w:rsidRDefault="008A24EA" w:rsidP="008A24EA">
      <w:pP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 w:rsidRPr="004C3153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>Similar Tax Expenditures Offered by Other States</w:t>
      </w:r>
    </w:p>
    <w:p w14:paraId="28C24EA7" w14:textId="77777777" w:rsidR="008A24EA" w:rsidRDefault="00C33199" w:rsidP="008A24EA">
      <w:pPr>
        <w:tabs>
          <w:tab w:val="left" w:pos="7050"/>
        </w:tabs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Based on research to date DOR has not identified any other state with a similar expenditure.</w:t>
      </w:r>
    </w:p>
    <w:p w14:paraId="415020C8" w14:textId="77777777" w:rsidR="00C33199" w:rsidRDefault="00C33199" w:rsidP="008A24EA">
      <w:pPr>
        <w:tabs>
          <w:tab w:val="left" w:pos="7050"/>
        </w:tabs>
        <w:spacing w:after="0"/>
        <w:rPr>
          <w:rFonts w:asciiTheme="majorHAnsi" w:hAnsiTheme="majorHAnsi"/>
          <w:bCs/>
          <w:sz w:val="24"/>
          <w:szCs w:val="23"/>
        </w:rPr>
      </w:pPr>
    </w:p>
    <w:p w14:paraId="3A066768" w14:textId="77777777" w:rsidR="008A24EA" w:rsidRDefault="008A24EA" w:rsidP="008A24EA">
      <w:pPr>
        <w:tabs>
          <w:tab w:val="left" w:pos="7050"/>
        </w:tabs>
        <w:spacing w:after="0" w:line="240" w:lineRule="auto"/>
        <w:rPr>
          <w:rFonts w:asciiTheme="majorHAnsi" w:hAnsiTheme="majorHAnsi"/>
          <w:b/>
          <w:sz w:val="23"/>
          <w:szCs w:val="23"/>
        </w:rPr>
      </w:pPr>
    </w:p>
    <w:p w14:paraId="22B9D6F3" w14:textId="77777777" w:rsidR="008A24EA" w:rsidRPr="00A07439" w:rsidRDefault="008A24EA" w:rsidP="008A24EA">
      <w:pPr>
        <w:tabs>
          <w:tab w:val="left" w:pos="7050"/>
        </w:tabs>
        <w:spacing w:after="0" w:line="240" w:lineRule="auto"/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</w:pPr>
      <w:r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 xml:space="preserve">IS THE INCENTIVE </w:t>
      </w:r>
      <w:r w:rsidRPr="00A07439">
        <w:rPr>
          <w:rFonts w:asciiTheme="majorHAnsi" w:eastAsiaTheme="majorEastAsia" w:hAnsiTheme="majorHAnsi" w:cstheme="majorBidi"/>
          <w:b/>
          <w:bCs/>
          <w:color w:val="E36C0A" w:themeColor="accent6" w:themeShade="BF"/>
          <w:sz w:val="28"/>
          <w:szCs w:val="28"/>
        </w:rPr>
        <w:t xml:space="preserve">AS DESIGNED ACCOMPLISHING ITS PURPOSE?  </w:t>
      </w:r>
    </w:p>
    <w:p w14:paraId="4E77FDC5" w14:textId="77777777" w:rsidR="008A24EA" w:rsidRDefault="008A24EA" w:rsidP="008A24EA">
      <w:pPr>
        <w:tabs>
          <w:tab w:val="left" w:pos="7050"/>
        </w:tabs>
        <w:spacing w:after="0" w:line="240" w:lineRule="auto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6C4F5212" w14:textId="3B3F0ECE" w:rsidR="003847DA" w:rsidRDefault="00820EC1" w:rsidP="00151499">
      <w:pPr>
        <w:tabs>
          <w:tab w:val="left" w:pos="7050"/>
        </w:tabs>
        <w:spacing w:after="0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T</w:t>
      </w:r>
      <w:r w:rsidR="00682EE2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he purpose of this tax expenditure is not specified</w:t>
      </w:r>
      <w:r w:rsidR="003847DA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in the statute</w:t>
      </w:r>
      <w: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.  </w:t>
      </w:r>
      <w:r w:rsidR="003847DA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DOR has surmised that</w:t>
      </w:r>
      <w:r w:rsidR="0058172F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the goal </w:t>
      </w:r>
      <w:r w:rsidR="00376D23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of </w:t>
      </w:r>
      <w:r w:rsidR="0058172F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this expenditure is </w:t>
      </w:r>
      <w:r w:rsidR="003847DA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to </w:t>
      </w:r>
      <w:r w:rsidR="0058172F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tax </w:t>
      </w:r>
      <w:r w:rsidR="003847DA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long-term gains on collectibles at a rate similar to l</w:t>
      </w:r>
      <w:r w:rsidR="00BC6BC4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ong-term gains on </w:t>
      </w:r>
      <w:r w:rsidR="002204A2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personal use property</w:t>
      </w:r>
      <w:r w:rsidR="00060B85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, such as residences</w:t>
      </w:r>
      <w:r w:rsidR="002204A2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.  </w:t>
      </w:r>
      <w:r w:rsidR="003847DA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</w:t>
      </w:r>
      <w:r w:rsidR="0058172F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 xml:space="preserve"> </w:t>
      </w:r>
      <w:r w:rsidR="003847DA"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  <w:t>However, a more precise way to accomplish that goal would be to simply amend the statute to tax these gains as other long-term capital gains are taxed.</w:t>
      </w:r>
    </w:p>
    <w:p w14:paraId="348345B2" w14:textId="0988521F" w:rsidR="008A24EA" w:rsidRDefault="008A24EA" w:rsidP="008A24EA">
      <w:pPr>
        <w:tabs>
          <w:tab w:val="left" w:pos="7050"/>
        </w:tabs>
        <w:spacing w:after="0" w:line="240" w:lineRule="auto"/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</w:p>
    <w:p w14:paraId="4E7645F6" w14:textId="77777777" w:rsidR="00D7768F" w:rsidRDefault="00D7768F" w:rsidP="00D7768F">
      <w:pPr>
        <w:rPr>
          <w:rFonts w:asciiTheme="majorHAnsi" w:eastAsiaTheme="majorEastAsia" w:hAnsiTheme="majorHAnsi" w:cstheme="majorBidi"/>
          <w:bCs/>
          <w:color w:val="000000" w:themeColor="text1"/>
          <w:sz w:val="24"/>
        </w:rPr>
      </w:pPr>
    </w:p>
    <w:p w14:paraId="2A66C0B7" w14:textId="77777777" w:rsidR="00D7768F" w:rsidRDefault="00D7768F" w:rsidP="00D7768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  <w:highlight w:val="cyan"/>
        </w:rPr>
        <w:t>To be completed further by TERC</w:t>
      </w:r>
    </w:p>
    <w:p w14:paraId="42FBF7DC" w14:textId="77777777" w:rsidR="00D7768F" w:rsidRDefault="00D7768F" w:rsidP="00D7768F">
      <w:pPr>
        <w:rPr>
          <w:rFonts w:eastAsia="Times New Roman"/>
          <w:sz w:val="28"/>
          <w:szCs w:val="28"/>
        </w:rPr>
      </w:pPr>
    </w:p>
    <w:p w14:paraId="770E79C6" w14:textId="7DF595F9" w:rsidR="00D950BB" w:rsidRDefault="00D7768F" w:rsidP="00D7768F">
      <w:pPr>
        <w:rPr>
          <w:rFonts w:asciiTheme="majorHAnsi" w:eastAsiaTheme="majorEastAsia" w:hAnsiTheme="majorHAnsi" w:cstheme="majorBidi"/>
          <w:bCs/>
          <w:color w:val="000000" w:themeColor="text1"/>
          <w:sz w:val="24"/>
          <w:szCs w:val="24"/>
        </w:rPr>
      </w:pPr>
      <w:r>
        <w:rPr>
          <w:rFonts w:eastAsia="Times New Roman"/>
          <w:sz w:val="28"/>
          <w:szCs w:val="28"/>
          <w:highlight w:val="cyan"/>
        </w:rPr>
        <w:t>Conclusion/Recommendations: [To be Entered by TERC]</w:t>
      </w:r>
    </w:p>
    <w:sectPr w:rsidR="00D950BB" w:rsidSect="00ED45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7FA77" w14:textId="77777777" w:rsidR="000D3913" w:rsidRDefault="000D3913" w:rsidP="00110E98">
      <w:pPr>
        <w:spacing w:after="0" w:line="240" w:lineRule="auto"/>
      </w:pPr>
      <w:r>
        <w:separator/>
      </w:r>
    </w:p>
  </w:endnote>
  <w:endnote w:type="continuationSeparator" w:id="0">
    <w:p w14:paraId="51C9B961" w14:textId="77777777" w:rsidR="000D3913" w:rsidRDefault="000D3913" w:rsidP="00110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4313E" w14:textId="77777777" w:rsidR="00626280" w:rsidRDefault="006262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DC508" w14:textId="77777777" w:rsidR="00B204AF" w:rsidRPr="00B204AF" w:rsidRDefault="00B204AF" w:rsidP="00784433">
    <w:pPr>
      <w:pStyle w:val="Footer"/>
      <w:rPr>
        <w:rFonts w:asciiTheme="majorHAnsi" w:hAnsiTheme="majorHAnsi"/>
        <w:sz w:val="24"/>
      </w:rPr>
    </w:pPr>
  </w:p>
  <w:p w14:paraId="06ACA83D" w14:textId="77777777" w:rsidR="00B204AF" w:rsidRDefault="00B204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C3E12" w14:textId="77777777" w:rsidR="00626280" w:rsidRDefault="00626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D21489" w14:textId="77777777" w:rsidR="000D3913" w:rsidRDefault="000D3913" w:rsidP="00110E98">
      <w:pPr>
        <w:spacing w:after="0" w:line="240" w:lineRule="auto"/>
      </w:pPr>
      <w:r>
        <w:separator/>
      </w:r>
    </w:p>
  </w:footnote>
  <w:footnote w:type="continuationSeparator" w:id="0">
    <w:p w14:paraId="2BA54BC0" w14:textId="77777777" w:rsidR="000D3913" w:rsidRDefault="000D3913" w:rsidP="00110E98">
      <w:pPr>
        <w:spacing w:after="0" w:line="240" w:lineRule="auto"/>
      </w:pPr>
      <w:r>
        <w:continuationSeparator/>
      </w:r>
    </w:p>
  </w:footnote>
  <w:footnote w:id="1">
    <w:p w14:paraId="18F264B8" w14:textId="77777777" w:rsidR="00447E5E" w:rsidRDefault="00447E5E" w:rsidP="00447E5E">
      <w:pPr>
        <w:pStyle w:val="FootnoteText"/>
      </w:pPr>
      <w:r>
        <w:rPr>
          <w:rStyle w:val="FootnoteReference"/>
        </w:rPr>
        <w:footnoteRef/>
      </w:r>
      <w:r>
        <w:t xml:space="preserve"> See:  </w:t>
      </w:r>
      <w:r w:rsidRPr="00911011">
        <w:t>Jean-Philippe Weisskopf</w:t>
      </w:r>
      <w:r>
        <w:t>,</w:t>
      </w:r>
      <w:r w:rsidRPr="007D5E1C">
        <w:t xml:space="preserve"> </w:t>
      </w:r>
      <w:r>
        <w:t>“</w:t>
      </w:r>
      <w:r w:rsidRPr="007D5E1C">
        <w:t>When Rationality meets Passion: On the Financial Performance of Collectibles</w:t>
      </w:r>
      <w:r>
        <w:t xml:space="preserve">” </w:t>
      </w:r>
      <w:r w:rsidRPr="00911011">
        <w:rPr>
          <w:i/>
          <w:iCs/>
        </w:rPr>
        <w:t>Journal of Alternative Investments</w:t>
      </w:r>
      <w:r w:rsidRPr="00911011">
        <w:t xml:space="preserve">, </w:t>
      </w:r>
      <w:r w:rsidRPr="007D5E1C">
        <w:t>Vol 21, No 2</w:t>
      </w:r>
      <w:r>
        <w:t>; F</w:t>
      </w:r>
      <w:r w:rsidRPr="00911011">
        <w:t>all 2018</w:t>
      </w:r>
      <w:r>
        <w:t xml:space="preserve">.  Summarized here:  </w:t>
      </w:r>
    </w:p>
    <w:p w14:paraId="260EB84B" w14:textId="77777777" w:rsidR="00447E5E" w:rsidRDefault="00447E5E" w:rsidP="00447E5E">
      <w:pPr>
        <w:pStyle w:val="FootnoteText"/>
      </w:pPr>
      <w:r>
        <w:t xml:space="preserve"> </w:t>
      </w:r>
      <w:hyperlink r:id="rId1" w:history="1">
        <w:r w:rsidRPr="00285DA7">
          <w:rPr>
            <w:rStyle w:val="Hyperlink"/>
          </w:rPr>
          <w:t>https://academicinsightsoninvesting.com/research-on-the-financial-performance-of-collectibles/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C90D60" w14:textId="004CC998" w:rsidR="00626280" w:rsidRDefault="00626280">
    <w:pPr>
      <w:pStyle w:val="Header"/>
    </w:pPr>
    <w:r>
      <w:rPr>
        <w:noProof/>
      </w:rPr>
      <w:pict w14:anchorId="6FBB522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43329" o:spid="_x0000_s12290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DF155" w14:textId="7025A093" w:rsidR="00626280" w:rsidRDefault="00626280">
    <w:pPr>
      <w:pStyle w:val="Header"/>
    </w:pPr>
    <w:r>
      <w:rPr>
        <w:noProof/>
      </w:rPr>
      <w:pict w14:anchorId="4EB77C3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43330" o:spid="_x0000_s12291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90C21" w14:textId="14D0E42A" w:rsidR="00626280" w:rsidRDefault="00626280">
    <w:pPr>
      <w:pStyle w:val="Header"/>
    </w:pPr>
    <w:r>
      <w:rPr>
        <w:noProof/>
      </w:rPr>
      <w:pict w14:anchorId="241A02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943328" o:spid="_x0000_s1228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82913"/>
    <w:multiLevelType w:val="hybridMultilevel"/>
    <w:tmpl w:val="0D1C2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370F1"/>
    <w:multiLevelType w:val="hybridMultilevel"/>
    <w:tmpl w:val="3CF84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A6117"/>
    <w:multiLevelType w:val="hybridMultilevel"/>
    <w:tmpl w:val="FF82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60081"/>
    <w:multiLevelType w:val="hybridMultilevel"/>
    <w:tmpl w:val="2B467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600A14"/>
    <w:multiLevelType w:val="hybridMultilevel"/>
    <w:tmpl w:val="A2E0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E6CED"/>
    <w:multiLevelType w:val="hybridMultilevel"/>
    <w:tmpl w:val="1408D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F1DB1"/>
    <w:multiLevelType w:val="hybridMultilevel"/>
    <w:tmpl w:val="9EAE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70AD4"/>
    <w:multiLevelType w:val="hybridMultilevel"/>
    <w:tmpl w:val="1B46B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117C9"/>
    <w:multiLevelType w:val="hybridMultilevel"/>
    <w:tmpl w:val="54A0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1580B"/>
    <w:multiLevelType w:val="hybridMultilevel"/>
    <w:tmpl w:val="AC84D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149C6"/>
    <w:multiLevelType w:val="hybridMultilevel"/>
    <w:tmpl w:val="E2C67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6F3F"/>
    <w:rsid w:val="00003921"/>
    <w:rsid w:val="0000496C"/>
    <w:rsid w:val="0000728B"/>
    <w:rsid w:val="00011C3A"/>
    <w:rsid w:val="000230AD"/>
    <w:rsid w:val="00046C6A"/>
    <w:rsid w:val="00060B85"/>
    <w:rsid w:val="00066F7A"/>
    <w:rsid w:val="00085B82"/>
    <w:rsid w:val="000A4DDB"/>
    <w:rsid w:val="000B1FB9"/>
    <w:rsid w:val="000C56D9"/>
    <w:rsid w:val="000D3913"/>
    <w:rsid w:val="000D72F4"/>
    <w:rsid w:val="000E17A5"/>
    <w:rsid w:val="000F3809"/>
    <w:rsid w:val="000F5C9D"/>
    <w:rsid w:val="00101496"/>
    <w:rsid w:val="00107835"/>
    <w:rsid w:val="00110E98"/>
    <w:rsid w:val="001125A1"/>
    <w:rsid w:val="0011678F"/>
    <w:rsid w:val="00122D60"/>
    <w:rsid w:val="00141566"/>
    <w:rsid w:val="001464FC"/>
    <w:rsid w:val="00151499"/>
    <w:rsid w:val="0017112F"/>
    <w:rsid w:val="00183ABF"/>
    <w:rsid w:val="001957A4"/>
    <w:rsid w:val="001E378E"/>
    <w:rsid w:val="001E7FD3"/>
    <w:rsid w:val="001F3616"/>
    <w:rsid w:val="002116BE"/>
    <w:rsid w:val="002204A2"/>
    <w:rsid w:val="00235025"/>
    <w:rsid w:val="002403C1"/>
    <w:rsid w:val="00243E45"/>
    <w:rsid w:val="00245D07"/>
    <w:rsid w:val="00262C8E"/>
    <w:rsid w:val="00270B3F"/>
    <w:rsid w:val="002768F2"/>
    <w:rsid w:val="00282EBF"/>
    <w:rsid w:val="0028699E"/>
    <w:rsid w:val="00291074"/>
    <w:rsid w:val="00292343"/>
    <w:rsid w:val="002970B4"/>
    <w:rsid w:val="002A54D6"/>
    <w:rsid w:val="002A71E8"/>
    <w:rsid w:val="002D74AE"/>
    <w:rsid w:val="002E2DC9"/>
    <w:rsid w:val="002E77C5"/>
    <w:rsid w:val="002F10DB"/>
    <w:rsid w:val="002F5704"/>
    <w:rsid w:val="0030425B"/>
    <w:rsid w:val="003229C4"/>
    <w:rsid w:val="00344841"/>
    <w:rsid w:val="00355122"/>
    <w:rsid w:val="00355A51"/>
    <w:rsid w:val="0036466C"/>
    <w:rsid w:val="00376D23"/>
    <w:rsid w:val="00380D5D"/>
    <w:rsid w:val="003847DA"/>
    <w:rsid w:val="00394741"/>
    <w:rsid w:val="003A57A6"/>
    <w:rsid w:val="003B676C"/>
    <w:rsid w:val="003C1700"/>
    <w:rsid w:val="003C7CFF"/>
    <w:rsid w:val="003E4C10"/>
    <w:rsid w:val="003E71AD"/>
    <w:rsid w:val="004317E0"/>
    <w:rsid w:val="00434F5C"/>
    <w:rsid w:val="004351B8"/>
    <w:rsid w:val="00447E5E"/>
    <w:rsid w:val="00466D0B"/>
    <w:rsid w:val="00471DFB"/>
    <w:rsid w:val="00481E5A"/>
    <w:rsid w:val="00485FBB"/>
    <w:rsid w:val="00486F3F"/>
    <w:rsid w:val="004A1129"/>
    <w:rsid w:val="004A3B69"/>
    <w:rsid w:val="004B14D0"/>
    <w:rsid w:val="004C0367"/>
    <w:rsid w:val="004C3153"/>
    <w:rsid w:val="004C45A3"/>
    <w:rsid w:val="004D54CC"/>
    <w:rsid w:val="00503DFA"/>
    <w:rsid w:val="00512A7F"/>
    <w:rsid w:val="00515EE7"/>
    <w:rsid w:val="00540BA2"/>
    <w:rsid w:val="00545554"/>
    <w:rsid w:val="005529C5"/>
    <w:rsid w:val="00565D22"/>
    <w:rsid w:val="00567D60"/>
    <w:rsid w:val="00576773"/>
    <w:rsid w:val="0058172F"/>
    <w:rsid w:val="00596036"/>
    <w:rsid w:val="005A0637"/>
    <w:rsid w:val="005A53F3"/>
    <w:rsid w:val="005B1BBE"/>
    <w:rsid w:val="005F1772"/>
    <w:rsid w:val="006016F3"/>
    <w:rsid w:val="00616EEB"/>
    <w:rsid w:val="00617863"/>
    <w:rsid w:val="00626280"/>
    <w:rsid w:val="00650C2F"/>
    <w:rsid w:val="00664139"/>
    <w:rsid w:val="00682EE2"/>
    <w:rsid w:val="00683ED4"/>
    <w:rsid w:val="006A209C"/>
    <w:rsid w:val="006B0BB1"/>
    <w:rsid w:val="006D4359"/>
    <w:rsid w:val="006F4DB1"/>
    <w:rsid w:val="007140A6"/>
    <w:rsid w:val="00714DC4"/>
    <w:rsid w:val="00735948"/>
    <w:rsid w:val="007361C4"/>
    <w:rsid w:val="0074239C"/>
    <w:rsid w:val="00750D3B"/>
    <w:rsid w:val="00784433"/>
    <w:rsid w:val="007A3349"/>
    <w:rsid w:val="007C3ABD"/>
    <w:rsid w:val="007D1E50"/>
    <w:rsid w:val="007D5E1C"/>
    <w:rsid w:val="007E4AA9"/>
    <w:rsid w:val="007F1706"/>
    <w:rsid w:val="008007FA"/>
    <w:rsid w:val="008119A2"/>
    <w:rsid w:val="00820EC1"/>
    <w:rsid w:val="00827F1D"/>
    <w:rsid w:val="0083143F"/>
    <w:rsid w:val="008337C2"/>
    <w:rsid w:val="008738BB"/>
    <w:rsid w:val="00881147"/>
    <w:rsid w:val="008A24EA"/>
    <w:rsid w:val="008C2341"/>
    <w:rsid w:val="008C75EB"/>
    <w:rsid w:val="008E5835"/>
    <w:rsid w:val="00907C7E"/>
    <w:rsid w:val="00911011"/>
    <w:rsid w:val="009163C7"/>
    <w:rsid w:val="00921525"/>
    <w:rsid w:val="009223DE"/>
    <w:rsid w:val="00932856"/>
    <w:rsid w:val="00951731"/>
    <w:rsid w:val="00960EC0"/>
    <w:rsid w:val="00983B2D"/>
    <w:rsid w:val="009A55CB"/>
    <w:rsid w:val="009B305B"/>
    <w:rsid w:val="009C10EB"/>
    <w:rsid w:val="009D167F"/>
    <w:rsid w:val="009D40B5"/>
    <w:rsid w:val="009D7983"/>
    <w:rsid w:val="009F0CEF"/>
    <w:rsid w:val="00A0091A"/>
    <w:rsid w:val="00A07796"/>
    <w:rsid w:val="00A30226"/>
    <w:rsid w:val="00A33B74"/>
    <w:rsid w:val="00A42D09"/>
    <w:rsid w:val="00A44E82"/>
    <w:rsid w:val="00A6097D"/>
    <w:rsid w:val="00A62A00"/>
    <w:rsid w:val="00A658D3"/>
    <w:rsid w:val="00A846CA"/>
    <w:rsid w:val="00A90DB7"/>
    <w:rsid w:val="00A94CCD"/>
    <w:rsid w:val="00AB46F5"/>
    <w:rsid w:val="00AD0C84"/>
    <w:rsid w:val="00AD2A39"/>
    <w:rsid w:val="00AF4D9B"/>
    <w:rsid w:val="00B204AF"/>
    <w:rsid w:val="00B376F0"/>
    <w:rsid w:val="00B37DB1"/>
    <w:rsid w:val="00B40F27"/>
    <w:rsid w:val="00B54370"/>
    <w:rsid w:val="00B55F9C"/>
    <w:rsid w:val="00B77D67"/>
    <w:rsid w:val="00B80C28"/>
    <w:rsid w:val="00BB1A41"/>
    <w:rsid w:val="00BB455D"/>
    <w:rsid w:val="00BB62B6"/>
    <w:rsid w:val="00BC1107"/>
    <w:rsid w:val="00BC6806"/>
    <w:rsid w:val="00BC6BC4"/>
    <w:rsid w:val="00BD3224"/>
    <w:rsid w:val="00BE01E6"/>
    <w:rsid w:val="00BE0678"/>
    <w:rsid w:val="00C07688"/>
    <w:rsid w:val="00C1578D"/>
    <w:rsid w:val="00C24414"/>
    <w:rsid w:val="00C32936"/>
    <w:rsid w:val="00C33199"/>
    <w:rsid w:val="00C55640"/>
    <w:rsid w:val="00C83B5D"/>
    <w:rsid w:val="00CA500D"/>
    <w:rsid w:val="00CC05CE"/>
    <w:rsid w:val="00CC208F"/>
    <w:rsid w:val="00CE3154"/>
    <w:rsid w:val="00CF11EA"/>
    <w:rsid w:val="00CF41DD"/>
    <w:rsid w:val="00D17E9D"/>
    <w:rsid w:val="00D27042"/>
    <w:rsid w:val="00D33A0A"/>
    <w:rsid w:val="00D363DB"/>
    <w:rsid w:val="00D4431A"/>
    <w:rsid w:val="00D66455"/>
    <w:rsid w:val="00D71C07"/>
    <w:rsid w:val="00D73F36"/>
    <w:rsid w:val="00D7768F"/>
    <w:rsid w:val="00D80D2E"/>
    <w:rsid w:val="00D950BB"/>
    <w:rsid w:val="00DA2B57"/>
    <w:rsid w:val="00DC27F7"/>
    <w:rsid w:val="00DE062A"/>
    <w:rsid w:val="00DE0DA2"/>
    <w:rsid w:val="00DE5262"/>
    <w:rsid w:val="00DF3EB7"/>
    <w:rsid w:val="00E043A1"/>
    <w:rsid w:val="00E12E70"/>
    <w:rsid w:val="00E160FB"/>
    <w:rsid w:val="00E16F43"/>
    <w:rsid w:val="00E671DE"/>
    <w:rsid w:val="00E72A52"/>
    <w:rsid w:val="00E92C1D"/>
    <w:rsid w:val="00EA39CC"/>
    <w:rsid w:val="00EB40E2"/>
    <w:rsid w:val="00EC7A56"/>
    <w:rsid w:val="00ED3285"/>
    <w:rsid w:val="00ED4589"/>
    <w:rsid w:val="00EE29F4"/>
    <w:rsid w:val="00EE5B76"/>
    <w:rsid w:val="00EF4689"/>
    <w:rsid w:val="00EF4AAA"/>
    <w:rsid w:val="00F065BC"/>
    <w:rsid w:val="00F076B1"/>
    <w:rsid w:val="00F14219"/>
    <w:rsid w:val="00F22DAA"/>
    <w:rsid w:val="00F24AE3"/>
    <w:rsid w:val="00F51224"/>
    <w:rsid w:val="00F57237"/>
    <w:rsid w:val="00F7586D"/>
    <w:rsid w:val="00F82F4E"/>
    <w:rsid w:val="00F93830"/>
    <w:rsid w:val="00FC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."/>
  <w:listSeparator w:val=","/>
  <w14:docId w14:val="2DD9A04F"/>
  <w15:docId w15:val="{5E847C31-212D-4286-95D3-6C5FCE7C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4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A846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5">
    <w:name w:val="Light List Accent 5"/>
    <w:basedOn w:val="TableNormal"/>
    <w:uiPriority w:val="61"/>
    <w:rsid w:val="00A846CA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2">
    <w:name w:val="Medium Shading 2"/>
    <w:basedOn w:val="TableNormal"/>
    <w:uiPriority w:val="64"/>
    <w:rsid w:val="00A846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846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A846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A846C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A846C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customStyle="1" w:styleId="Default">
    <w:name w:val="Default"/>
    <w:rsid w:val="00245D07"/>
    <w:pPr>
      <w:autoSpaceDE w:val="0"/>
      <w:autoSpaceDN w:val="0"/>
      <w:adjustRightInd w:val="0"/>
      <w:spacing w:after="0" w:line="240" w:lineRule="auto"/>
    </w:pPr>
    <w:rPr>
      <w:rFonts w:ascii="Sabon LT Std" w:hAnsi="Sabon LT Std" w:cs="Sabon LT St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110E98"/>
    <w:pPr>
      <w:tabs>
        <w:tab w:val="left" w:pos="360"/>
        <w:tab w:val="left" w:pos="720"/>
        <w:tab w:val="left" w:pos="1080"/>
        <w:tab w:val="left" w:pos="1440"/>
        <w:tab w:val="right" w:pos="936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10E98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10E98"/>
    <w:rPr>
      <w:rFonts w:cs="Times New Roman"/>
      <w:vertAlign w:val="superscript"/>
    </w:rPr>
  </w:style>
  <w:style w:type="character" w:styleId="Hyperlink">
    <w:name w:val="Hyperlink"/>
    <w:rsid w:val="00110E9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80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4AF"/>
  </w:style>
  <w:style w:type="paragraph" w:styleId="Footer">
    <w:name w:val="footer"/>
    <w:basedOn w:val="Normal"/>
    <w:link w:val="FooterChar"/>
    <w:uiPriority w:val="99"/>
    <w:unhideWhenUsed/>
    <w:rsid w:val="00B20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4AF"/>
  </w:style>
  <w:style w:type="character" w:styleId="CommentReference">
    <w:name w:val="annotation reference"/>
    <w:basedOn w:val="DefaultParagraphFont"/>
    <w:uiPriority w:val="99"/>
    <w:semiHidden/>
    <w:unhideWhenUsed/>
    <w:rsid w:val="00A07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796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110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110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11011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01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5C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82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cademicinsightsoninvesting.com/research-on-the-financial-performance-of-collectibl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8ACA1-F95A-4B4F-AE1E-531003415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3797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Sunil Pokharel</dc:creator>
  <cp:lastModifiedBy>Scannell, Rachel (DOR)</cp:lastModifiedBy>
  <cp:revision>2</cp:revision>
  <cp:lastPrinted>2020-01-28T19:08:00Z</cp:lastPrinted>
  <dcterms:created xsi:type="dcterms:W3CDTF">2020-09-24T17:16:00Z</dcterms:created>
  <dcterms:modified xsi:type="dcterms:W3CDTF">2020-09-24T17:16:00Z</dcterms:modified>
</cp:coreProperties>
</file>