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7E392E" w:rsidRPr="002C1D82" w14:paraId="79F4CD36" w14:textId="77777777" w:rsidTr="00A76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7D99DFF" w14:textId="77777777" w:rsidR="007E392E" w:rsidRPr="00367320" w:rsidRDefault="007E392E" w:rsidP="00A76303">
            <w:pPr>
              <w:jc w:val="center"/>
              <w:rPr>
                <w:color w:val="150399"/>
                <w:sz w:val="24"/>
                <w:szCs w:val="24"/>
              </w:rPr>
            </w:pPr>
            <w:bookmarkStart w:id="0" w:name="_GoBack"/>
            <w:bookmarkEnd w:id="0"/>
            <w:r w:rsidRPr="002C1D82">
              <w:rPr>
                <w:rFonts w:cs="Times New Roman"/>
                <w:sz w:val="24"/>
                <w:szCs w:val="24"/>
              </w:rPr>
              <w:br w:type="page"/>
            </w:r>
            <w:r w:rsidRPr="00367320">
              <w:rPr>
                <w:color w:val="150399"/>
                <w:sz w:val="24"/>
                <w:szCs w:val="24"/>
              </w:rPr>
              <w:t xml:space="preserve">PROPOSED MASSACHUSETTS TAX EXPENDITURES </w:t>
            </w:r>
          </w:p>
          <w:p w14:paraId="428EE5B3" w14:textId="77777777" w:rsidR="007E392E" w:rsidRPr="00367320" w:rsidRDefault="007E392E" w:rsidP="00A76303">
            <w:pPr>
              <w:jc w:val="center"/>
              <w:rPr>
                <w:b w:val="0"/>
                <w:bCs w:val="0"/>
                <w:color w:val="150399"/>
                <w:sz w:val="24"/>
                <w:szCs w:val="24"/>
              </w:rPr>
            </w:pPr>
            <w:r w:rsidRPr="00367320">
              <w:rPr>
                <w:color w:val="150399"/>
                <w:sz w:val="24"/>
                <w:szCs w:val="24"/>
              </w:rPr>
              <w:t xml:space="preserve">EVALUATION SUMMARY </w:t>
            </w:r>
          </w:p>
          <w:p w14:paraId="7F0EE85A" w14:textId="77777777" w:rsidR="007E392E" w:rsidRPr="00367320" w:rsidRDefault="007E392E" w:rsidP="00A76303">
            <w:pPr>
              <w:rPr>
                <w:color w:val="150399"/>
                <w:sz w:val="24"/>
                <w:szCs w:val="24"/>
              </w:rPr>
            </w:pPr>
          </w:p>
        </w:tc>
      </w:tr>
      <w:tr w:rsidR="007E392E" w:rsidRPr="002C1D82" w14:paraId="02889D25" w14:textId="77777777" w:rsidTr="00A763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F718F06" w14:textId="77777777" w:rsidR="007E392E" w:rsidRPr="00367320" w:rsidRDefault="007E392E" w:rsidP="00A76303">
            <w:pPr>
              <w:jc w:val="center"/>
              <w:rPr>
                <w:rFonts w:asciiTheme="majorHAnsi" w:hAnsiTheme="majorHAnsi"/>
                <w:sz w:val="24"/>
                <w:szCs w:val="24"/>
              </w:rPr>
            </w:pPr>
            <w:r w:rsidRPr="00367320">
              <w:rPr>
                <w:rFonts w:asciiTheme="majorHAnsi" w:hAnsiTheme="majorHAnsi"/>
                <w:sz w:val="24"/>
                <w:szCs w:val="24"/>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7E392E" w:rsidRPr="002C1D82" w14:paraId="34C83E7E" w14:textId="77777777" w:rsidTr="00A76303">
        <w:trPr>
          <w:trHeight w:val="360"/>
        </w:trPr>
        <w:tc>
          <w:tcPr>
            <w:tcW w:w="4788" w:type="dxa"/>
          </w:tcPr>
          <w:p w14:paraId="4E013E40" w14:textId="77777777" w:rsidR="007E392E" w:rsidRPr="00367320" w:rsidRDefault="007E392E" w:rsidP="00A76303">
            <w:pPr>
              <w:tabs>
                <w:tab w:val="left" w:pos="7050"/>
              </w:tabs>
              <w:rPr>
                <w:rFonts w:asciiTheme="majorHAnsi" w:hAnsiTheme="majorHAnsi"/>
                <w:sz w:val="24"/>
                <w:szCs w:val="24"/>
              </w:rPr>
            </w:pPr>
          </w:p>
        </w:tc>
        <w:tc>
          <w:tcPr>
            <w:tcW w:w="4770" w:type="dxa"/>
          </w:tcPr>
          <w:p w14:paraId="20BE04BB" w14:textId="77777777" w:rsidR="007E392E" w:rsidRPr="00367320" w:rsidRDefault="007E392E" w:rsidP="00A76303">
            <w:pPr>
              <w:tabs>
                <w:tab w:val="left" w:pos="7050"/>
              </w:tabs>
              <w:rPr>
                <w:rFonts w:asciiTheme="majorHAnsi" w:hAnsiTheme="majorHAnsi"/>
                <w:sz w:val="24"/>
                <w:szCs w:val="24"/>
              </w:rPr>
            </w:pPr>
          </w:p>
        </w:tc>
      </w:tr>
      <w:tr w:rsidR="007E392E" w:rsidRPr="002C1D82" w14:paraId="62E67C04" w14:textId="77777777" w:rsidTr="00A76303">
        <w:tc>
          <w:tcPr>
            <w:tcW w:w="4788" w:type="dxa"/>
          </w:tcPr>
          <w:p w14:paraId="01124956" w14:textId="77777777" w:rsidR="007E392E" w:rsidRPr="00367320" w:rsidRDefault="007E392E" w:rsidP="00A76303">
            <w:pPr>
              <w:tabs>
                <w:tab w:val="left" w:pos="7050"/>
              </w:tabs>
              <w:rPr>
                <w:rFonts w:asciiTheme="majorHAnsi" w:eastAsiaTheme="majorEastAsia" w:hAnsiTheme="majorHAnsi" w:cstheme="majorBidi"/>
                <w:b/>
                <w:bCs/>
                <w:color w:val="000000" w:themeColor="text1"/>
                <w:sz w:val="24"/>
                <w:szCs w:val="24"/>
              </w:rPr>
            </w:pPr>
            <w:r w:rsidRPr="00367320">
              <w:rPr>
                <w:rFonts w:asciiTheme="majorHAnsi" w:eastAsiaTheme="majorEastAsia" w:hAnsiTheme="majorHAnsi" w:cstheme="majorBidi"/>
                <w:b/>
                <w:bCs/>
                <w:color w:val="000000" w:themeColor="text1"/>
                <w:sz w:val="24"/>
                <w:szCs w:val="24"/>
              </w:rPr>
              <w:t>TAX EXPENDITURE TITLE</w:t>
            </w:r>
          </w:p>
          <w:p w14:paraId="35940863" w14:textId="77777777" w:rsidR="007E392E" w:rsidRPr="00367320" w:rsidRDefault="007E392E" w:rsidP="00A76303">
            <w:pPr>
              <w:tabs>
                <w:tab w:val="left" w:pos="7050"/>
              </w:tabs>
              <w:rPr>
                <w:rFonts w:asciiTheme="majorHAnsi" w:hAnsiTheme="majorHAnsi"/>
                <w:sz w:val="24"/>
                <w:szCs w:val="24"/>
              </w:rPr>
            </w:pPr>
          </w:p>
        </w:tc>
        <w:tc>
          <w:tcPr>
            <w:tcW w:w="4770" w:type="dxa"/>
          </w:tcPr>
          <w:p w14:paraId="0B1294E3" w14:textId="77777777" w:rsidR="007E392E" w:rsidRPr="00367320" w:rsidRDefault="007E392E" w:rsidP="00A76303">
            <w:pPr>
              <w:tabs>
                <w:tab w:val="left" w:pos="7050"/>
              </w:tabs>
              <w:rPr>
                <w:rFonts w:asciiTheme="majorHAnsi" w:hAnsiTheme="majorHAnsi"/>
                <w:sz w:val="24"/>
                <w:szCs w:val="24"/>
              </w:rPr>
            </w:pPr>
            <w:r w:rsidRPr="00367320">
              <w:rPr>
                <w:rFonts w:asciiTheme="majorHAnsi" w:hAnsiTheme="majorHAnsi"/>
                <w:sz w:val="24"/>
                <w:szCs w:val="24"/>
              </w:rPr>
              <w:t>Exemption of Interest on Savings in Massachusetts Banks</w:t>
            </w:r>
          </w:p>
        </w:tc>
      </w:tr>
      <w:tr w:rsidR="007E392E" w:rsidRPr="002C1D82" w14:paraId="2F9E4CD2" w14:textId="77777777" w:rsidTr="00A76303">
        <w:tc>
          <w:tcPr>
            <w:tcW w:w="4788" w:type="dxa"/>
          </w:tcPr>
          <w:p w14:paraId="3F307E18" w14:textId="77777777" w:rsidR="007E392E" w:rsidRPr="00367320" w:rsidRDefault="007E392E" w:rsidP="00A76303">
            <w:pPr>
              <w:tabs>
                <w:tab w:val="left" w:pos="7050"/>
              </w:tabs>
              <w:rPr>
                <w:rFonts w:asciiTheme="majorHAnsi" w:eastAsiaTheme="majorEastAsia" w:hAnsiTheme="majorHAnsi" w:cstheme="majorBidi"/>
                <w:b/>
                <w:bCs/>
                <w:color w:val="000000" w:themeColor="text1"/>
                <w:sz w:val="24"/>
                <w:szCs w:val="24"/>
              </w:rPr>
            </w:pPr>
            <w:r w:rsidRPr="00367320">
              <w:rPr>
                <w:rFonts w:asciiTheme="majorHAnsi" w:eastAsiaTheme="majorEastAsia" w:hAnsiTheme="majorHAnsi" w:cstheme="majorBidi"/>
                <w:b/>
                <w:bCs/>
                <w:color w:val="000000" w:themeColor="text1"/>
                <w:sz w:val="24"/>
                <w:szCs w:val="24"/>
              </w:rPr>
              <w:t>TAX EXPENDITURE NUMBER</w:t>
            </w:r>
          </w:p>
          <w:p w14:paraId="426233FD" w14:textId="77777777" w:rsidR="007E392E" w:rsidRPr="00367320" w:rsidRDefault="007E392E" w:rsidP="00A76303">
            <w:pPr>
              <w:tabs>
                <w:tab w:val="left" w:pos="7050"/>
              </w:tabs>
              <w:rPr>
                <w:rFonts w:asciiTheme="majorHAnsi" w:hAnsiTheme="majorHAnsi"/>
                <w:sz w:val="24"/>
                <w:szCs w:val="24"/>
              </w:rPr>
            </w:pPr>
          </w:p>
        </w:tc>
        <w:tc>
          <w:tcPr>
            <w:tcW w:w="4770" w:type="dxa"/>
          </w:tcPr>
          <w:p w14:paraId="4C713F82" w14:textId="77777777" w:rsidR="007E392E" w:rsidRPr="00367320" w:rsidRDefault="007E392E" w:rsidP="00A76303">
            <w:pPr>
              <w:tabs>
                <w:tab w:val="left" w:pos="7050"/>
              </w:tabs>
              <w:rPr>
                <w:rFonts w:asciiTheme="majorHAnsi" w:hAnsiTheme="majorHAnsi"/>
                <w:sz w:val="24"/>
                <w:szCs w:val="24"/>
              </w:rPr>
            </w:pPr>
            <w:r w:rsidRPr="00367320">
              <w:rPr>
                <w:rFonts w:asciiTheme="majorHAnsi" w:hAnsiTheme="majorHAnsi"/>
                <w:sz w:val="24"/>
                <w:szCs w:val="24"/>
              </w:rPr>
              <w:t>1.413</w:t>
            </w:r>
          </w:p>
        </w:tc>
      </w:tr>
      <w:tr w:rsidR="007E392E" w:rsidRPr="002C1D82" w14:paraId="6736BDD3" w14:textId="77777777" w:rsidTr="00A76303">
        <w:tc>
          <w:tcPr>
            <w:tcW w:w="4788" w:type="dxa"/>
          </w:tcPr>
          <w:p w14:paraId="66F5F206" w14:textId="77777777" w:rsidR="007E392E" w:rsidRPr="00367320" w:rsidRDefault="007E392E" w:rsidP="00A76303">
            <w:pPr>
              <w:tabs>
                <w:tab w:val="left" w:pos="7050"/>
              </w:tabs>
              <w:rPr>
                <w:rFonts w:asciiTheme="majorHAnsi" w:eastAsiaTheme="majorEastAsia" w:hAnsiTheme="majorHAnsi" w:cstheme="majorBidi"/>
                <w:b/>
                <w:bCs/>
                <w:color w:val="000000" w:themeColor="text1"/>
                <w:sz w:val="24"/>
                <w:szCs w:val="24"/>
              </w:rPr>
            </w:pPr>
            <w:r w:rsidRPr="00367320">
              <w:rPr>
                <w:rFonts w:asciiTheme="majorHAnsi" w:eastAsiaTheme="majorEastAsia" w:hAnsiTheme="majorHAnsi" w:cstheme="majorBidi"/>
                <w:b/>
                <w:bCs/>
                <w:color w:val="000000" w:themeColor="text1"/>
                <w:sz w:val="24"/>
                <w:szCs w:val="24"/>
              </w:rPr>
              <w:t>TAX EXPENDITURE CATEGORY</w:t>
            </w:r>
          </w:p>
          <w:p w14:paraId="0452B2F0" w14:textId="77777777" w:rsidR="007E392E" w:rsidRPr="00367320" w:rsidRDefault="007E392E" w:rsidP="00A76303">
            <w:pPr>
              <w:tabs>
                <w:tab w:val="left" w:pos="7050"/>
              </w:tabs>
              <w:rPr>
                <w:rFonts w:asciiTheme="majorHAnsi" w:hAnsiTheme="majorHAnsi"/>
                <w:sz w:val="24"/>
                <w:szCs w:val="24"/>
              </w:rPr>
            </w:pPr>
          </w:p>
        </w:tc>
        <w:tc>
          <w:tcPr>
            <w:tcW w:w="4770" w:type="dxa"/>
          </w:tcPr>
          <w:p w14:paraId="73A76418" w14:textId="77777777" w:rsidR="007E392E" w:rsidRPr="00367320" w:rsidRDefault="007E392E" w:rsidP="00A76303">
            <w:pPr>
              <w:tabs>
                <w:tab w:val="left" w:pos="7050"/>
              </w:tabs>
              <w:rPr>
                <w:rFonts w:asciiTheme="majorHAnsi" w:hAnsiTheme="majorHAnsi"/>
                <w:i/>
                <w:sz w:val="24"/>
                <w:szCs w:val="24"/>
              </w:rPr>
            </w:pPr>
            <w:r w:rsidRPr="00367320">
              <w:rPr>
                <w:rFonts w:asciiTheme="majorHAnsi" w:hAnsiTheme="majorHAnsi"/>
                <w:sz w:val="24"/>
                <w:szCs w:val="24"/>
              </w:rPr>
              <w:t xml:space="preserve">Deduction against taxable income </w:t>
            </w:r>
          </w:p>
          <w:p w14:paraId="77B7F4C9" w14:textId="77777777" w:rsidR="007E392E" w:rsidRPr="00367320" w:rsidRDefault="007E392E" w:rsidP="00A76303">
            <w:pPr>
              <w:tabs>
                <w:tab w:val="left" w:pos="7050"/>
              </w:tabs>
              <w:rPr>
                <w:rFonts w:asciiTheme="majorHAnsi" w:hAnsiTheme="majorHAnsi"/>
                <w:sz w:val="24"/>
                <w:szCs w:val="24"/>
              </w:rPr>
            </w:pPr>
          </w:p>
        </w:tc>
      </w:tr>
      <w:tr w:rsidR="007E392E" w:rsidRPr="002C1D82" w14:paraId="760892E0" w14:textId="77777777" w:rsidTr="00A76303">
        <w:tc>
          <w:tcPr>
            <w:tcW w:w="4788" w:type="dxa"/>
          </w:tcPr>
          <w:p w14:paraId="3A1D3CC4" w14:textId="77777777" w:rsidR="007E392E" w:rsidRPr="00367320" w:rsidRDefault="007E392E" w:rsidP="00A76303">
            <w:pPr>
              <w:tabs>
                <w:tab w:val="left" w:pos="7050"/>
              </w:tabs>
              <w:rPr>
                <w:rFonts w:asciiTheme="majorHAnsi" w:eastAsiaTheme="majorEastAsia" w:hAnsiTheme="majorHAnsi" w:cstheme="majorBidi"/>
                <w:b/>
                <w:bCs/>
                <w:color w:val="000000" w:themeColor="text1"/>
                <w:sz w:val="24"/>
                <w:szCs w:val="24"/>
              </w:rPr>
            </w:pPr>
            <w:r w:rsidRPr="00367320">
              <w:rPr>
                <w:rFonts w:asciiTheme="majorHAnsi" w:eastAsiaTheme="majorEastAsia" w:hAnsiTheme="majorHAnsi" w:cstheme="majorBidi"/>
                <w:b/>
                <w:bCs/>
                <w:color w:val="000000" w:themeColor="text1"/>
                <w:sz w:val="24"/>
                <w:szCs w:val="24"/>
              </w:rPr>
              <w:t>TAX TYPE</w:t>
            </w:r>
          </w:p>
          <w:p w14:paraId="0EB10160" w14:textId="77777777" w:rsidR="007E392E" w:rsidRPr="00367320" w:rsidRDefault="007E392E" w:rsidP="00A76303">
            <w:pPr>
              <w:tabs>
                <w:tab w:val="left" w:pos="7050"/>
              </w:tabs>
              <w:rPr>
                <w:rFonts w:asciiTheme="majorHAnsi" w:hAnsiTheme="majorHAnsi"/>
                <w:sz w:val="24"/>
                <w:szCs w:val="24"/>
              </w:rPr>
            </w:pPr>
          </w:p>
        </w:tc>
        <w:tc>
          <w:tcPr>
            <w:tcW w:w="4770" w:type="dxa"/>
          </w:tcPr>
          <w:p w14:paraId="378E6F01" w14:textId="77777777" w:rsidR="007E392E" w:rsidRPr="00367320" w:rsidRDefault="007E392E" w:rsidP="00A76303">
            <w:pPr>
              <w:tabs>
                <w:tab w:val="left" w:pos="7050"/>
              </w:tabs>
              <w:rPr>
                <w:rFonts w:asciiTheme="majorHAnsi" w:hAnsiTheme="majorHAnsi"/>
                <w:sz w:val="24"/>
                <w:szCs w:val="24"/>
              </w:rPr>
            </w:pPr>
            <w:r w:rsidRPr="00367320">
              <w:rPr>
                <w:rFonts w:asciiTheme="majorHAnsi" w:hAnsiTheme="majorHAnsi"/>
                <w:sz w:val="24"/>
                <w:szCs w:val="24"/>
              </w:rPr>
              <w:t>Personal income tax</w:t>
            </w:r>
          </w:p>
          <w:p w14:paraId="6E455CDE" w14:textId="77777777" w:rsidR="007E392E" w:rsidRPr="00367320" w:rsidRDefault="007E392E" w:rsidP="00A76303">
            <w:pPr>
              <w:tabs>
                <w:tab w:val="left" w:pos="7050"/>
              </w:tabs>
              <w:rPr>
                <w:rFonts w:asciiTheme="majorHAnsi" w:hAnsiTheme="majorHAnsi"/>
                <w:sz w:val="24"/>
                <w:szCs w:val="24"/>
              </w:rPr>
            </w:pPr>
          </w:p>
        </w:tc>
      </w:tr>
      <w:tr w:rsidR="007E392E" w:rsidRPr="002C1D82" w14:paraId="7D9863D1" w14:textId="77777777" w:rsidTr="00A76303">
        <w:tc>
          <w:tcPr>
            <w:tcW w:w="4788" w:type="dxa"/>
          </w:tcPr>
          <w:p w14:paraId="41F7A0AC" w14:textId="77777777" w:rsidR="007E392E" w:rsidRPr="00367320" w:rsidRDefault="007E392E" w:rsidP="00A76303">
            <w:pPr>
              <w:tabs>
                <w:tab w:val="left" w:pos="7050"/>
              </w:tabs>
              <w:rPr>
                <w:rFonts w:asciiTheme="majorHAnsi" w:eastAsiaTheme="majorEastAsia" w:hAnsiTheme="majorHAnsi" w:cstheme="majorBidi"/>
                <w:b/>
                <w:bCs/>
                <w:color w:val="000000" w:themeColor="text1"/>
                <w:sz w:val="24"/>
                <w:szCs w:val="24"/>
              </w:rPr>
            </w:pPr>
            <w:r w:rsidRPr="00367320">
              <w:rPr>
                <w:rFonts w:asciiTheme="majorHAnsi" w:eastAsiaTheme="majorEastAsia" w:hAnsiTheme="majorHAnsi" w:cstheme="majorBidi"/>
                <w:b/>
                <w:bCs/>
                <w:color w:val="000000" w:themeColor="text1"/>
                <w:sz w:val="24"/>
                <w:szCs w:val="24"/>
              </w:rPr>
              <w:t>LEGAL REFERENCE</w:t>
            </w:r>
          </w:p>
          <w:p w14:paraId="53DBC5B8" w14:textId="77777777" w:rsidR="007E392E" w:rsidRPr="00367320" w:rsidRDefault="007E392E" w:rsidP="00A76303">
            <w:pPr>
              <w:tabs>
                <w:tab w:val="left" w:pos="7050"/>
              </w:tabs>
              <w:rPr>
                <w:rFonts w:asciiTheme="majorHAnsi" w:hAnsiTheme="majorHAnsi"/>
                <w:sz w:val="24"/>
                <w:szCs w:val="24"/>
              </w:rPr>
            </w:pPr>
          </w:p>
        </w:tc>
        <w:tc>
          <w:tcPr>
            <w:tcW w:w="4770" w:type="dxa"/>
          </w:tcPr>
          <w:p w14:paraId="313CF884" w14:textId="77777777" w:rsidR="007E392E" w:rsidRPr="00367320" w:rsidRDefault="007E392E" w:rsidP="00A76303">
            <w:pPr>
              <w:tabs>
                <w:tab w:val="left" w:pos="7050"/>
              </w:tabs>
              <w:rPr>
                <w:rFonts w:asciiTheme="majorHAnsi" w:hAnsiTheme="majorHAnsi"/>
                <w:sz w:val="24"/>
                <w:szCs w:val="24"/>
              </w:rPr>
            </w:pPr>
            <w:r w:rsidRPr="002C1D82">
              <w:rPr>
                <w:rFonts w:asciiTheme="majorHAnsi" w:hAnsiTheme="majorHAnsi"/>
                <w:sz w:val="24"/>
                <w:szCs w:val="24"/>
              </w:rPr>
              <w:t>M.G.L. c. 62, § 2(b)(1)(A</w:t>
            </w:r>
            <w:r>
              <w:rPr>
                <w:rFonts w:asciiTheme="majorHAnsi" w:hAnsiTheme="majorHAnsi"/>
                <w:sz w:val="24"/>
                <w:szCs w:val="24"/>
              </w:rPr>
              <w:t xml:space="preserve">); </w:t>
            </w:r>
            <w:r w:rsidRPr="00367320">
              <w:rPr>
                <w:rFonts w:asciiTheme="majorHAnsi" w:hAnsiTheme="majorHAnsi"/>
                <w:sz w:val="24"/>
                <w:szCs w:val="24"/>
              </w:rPr>
              <w:t>M.G.L. c. 62, § 3B(a)(6)</w:t>
            </w:r>
          </w:p>
          <w:p w14:paraId="0B169D2C" w14:textId="77777777" w:rsidR="007E392E" w:rsidRPr="00367320" w:rsidRDefault="007E392E" w:rsidP="00A76303">
            <w:pPr>
              <w:tabs>
                <w:tab w:val="left" w:pos="7050"/>
              </w:tabs>
              <w:rPr>
                <w:rFonts w:asciiTheme="majorHAnsi" w:hAnsiTheme="majorHAnsi"/>
                <w:sz w:val="24"/>
                <w:szCs w:val="24"/>
              </w:rPr>
            </w:pPr>
          </w:p>
        </w:tc>
      </w:tr>
      <w:tr w:rsidR="007E392E" w:rsidRPr="002C1D82" w14:paraId="0A7F9D92" w14:textId="77777777" w:rsidTr="00A76303">
        <w:tc>
          <w:tcPr>
            <w:tcW w:w="4788" w:type="dxa"/>
          </w:tcPr>
          <w:p w14:paraId="5A3A4A07" w14:textId="77777777" w:rsidR="007E392E" w:rsidRPr="00295173" w:rsidRDefault="007E392E" w:rsidP="00A76303">
            <w:pPr>
              <w:tabs>
                <w:tab w:val="left" w:pos="7050"/>
              </w:tabs>
              <w:rPr>
                <w:rFonts w:asciiTheme="majorHAnsi" w:eastAsiaTheme="majorEastAsia" w:hAnsiTheme="majorHAnsi" w:cstheme="majorBidi"/>
                <w:b/>
                <w:bCs/>
                <w:color w:val="000000" w:themeColor="text1"/>
                <w:sz w:val="24"/>
                <w:szCs w:val="24"/>
              </w:rPr>
            </w:pPr>
            <w:r w:rsidRPr="00295173">
              <w:rPr>
                <w:rFonts w:asciiTheme="majorHAnsi" w:eastAsiaTheme="majorEastAsia" w:hAnsiTheme="majorHAnsi" w:cstheme="majorBidi"/>
                <w:b/>
                <w:bCs/>
                <w:color w:val="000000" w:themeColor="text1"/>
                <w:sz w:val="24"/>
                <w:szCs w:val="24"/>
              </w:rPr>
              <w:t>YEAR ENACTED</w:t>
            </w:r>
          </w:p>
          <w:p w14:paraId="0936C730" w14:textId="77777777" w:rsidR="007E392E" w:rsidRPr="00295173" w:rsidRDefault="007E392E" w:rsidP="00A76303">
            <w:pPr>
              <w:tabs>
                <w:tab w:val="left" w:pos="7050"/>
              </w:tabs>
              <w:rPr>
                <w:rFonts w:asciiTheme="majorHAnsi" w:hAnsiTheme="majorHAnsi"/>
                <w:sz w:val="24"/>
                <w:szCs w:val="24"/>
              </w:rPr>
            </w:pPr>
          </w:p>
        </w:tc>
        <w:tc>
          <w:tcPr>
            <w:tcW w:w="4770" w:type="dxa"/>
          </w:tcPr>
          <w:p w14:paraId="15842B58" w14:textId="77777777" w:rsidR="007E392E" w:rsidRPr="00295173" w:rsidRDefault="007E392E" w:rsidP="00A76303">
            <w:pPr>
              <w:tabs>
                <w:tab w:val="left" w:pos="7050"/>
              </w:tabs>
              <w:rPr>
                <w:rFonts w:asciiTheme="majorHAnsi" w:hAnsiTheme="majorHAnsi"/>
                <w:sz w:val="24"/>
                <w:szCs w:val="24"/>
              </w:rPr>
            </w:pPr>
            <w:r w:rsidRPr="00295173">
              <w:rPr>
                <w:rFonts w:asciiTheme="majorHAnsi" w:hAnsiTheme="majorHAnsi"/>
                <w:sz w:val="24"/>
                <w:szCs w:val="24"/>
              </w:rPr>
              <w:t>1973, see St. 1973, c. 723, § 2</w:t>
            </w:r>
          </w:p>
        </w:tc>
      </w:tr>
      <w:tr w:rsidR="007E392E" w:rsidRPr="002C1D82" w14:paraId="169A3759" w14:textId="77777777" w:rsidTr="00A76303">
        <w:tc>
          <w:tcPr>
            <w:tcW w:w="4788" w:type="dxa"/>
          </w:tcPr>
          <w:p w14:paraId="5CCCB245" w14:textId="77777777" w:rsidR="007E392E" w:rsidRPr="00367320" w:rsidRDefault="007E392E" w:rsidP="00A76303">
            <w:pPr>
              <w:tabs>
                <w:tab w:val="left" w:pos="7050"/>
              </w:tabs>
              <w:rPr>
                <w:rFonts w:asciiTheme="majorHAnsi" w:hAnsiTheme="majorHAnsi"/>
                <w:sz w:val="24"/>
                <w:szCs w:val="24"/>
              </w:rPr>
            </w:pPr>
            <w:r w:rsidRPr="00367320">
              <w:rPr>
                <w:rFonts w:asciiTheme="majorHAnsi" w:eastAsiaTheme="majorEastAsia" w:hAnsiTheme="majorHAnsi" w:cstheme="majorBidi"/>
                <w:b/>
                <w:bCs/>
                <w:color w:val="000000" w:themeColor="text1"/>
                <w:sz w:val="24"/>
                <w:szCs w:val="24"/>
              </w:rPr>
              <w:t>REPEAL/EXPIRATION DATE</w:t>
            </w:r>
          </w:p>
        </w:tc>
        <w:tc>
          <w:tcPr>
            <w:tcW w:w="4770" w:type="dxa"/>
          </w:tcPr>
          <w:p w14:paraId="33DFDECE" w14:textId="77777777" w:rsidR="007E392E" w:rsidRPr="00367320" w:rsidRDefault="007E392E" w:rsidP="00A76303">
            <w:pPr>
              <w:tabs>
                <w:tab w:val="left" w:pos="7050"/>
              </w:tabs>
              <w:rPr>
                <w:rFonts w:asciiTheme="majorHAnsi" w:hAnsiTheme="majorHAnsi"/>
                <w:sz w:val="24"/>
                <w:szCs w:val="24"/>
              </w:rPr>
            </w:pPr>
            <w:r w:rsidRPr="00367320">
              <w:rPr>
                <w:rFonts w:asciiTheme="majorHAnsi" w:hAnsiTheme="majorHAnsi"/>
                <w:sz w:val="24"/>
                <w:szCs w:val="24"/>
              </w:rPr>
              <w:t>None</w:t>
            </w:r>
          </w:p>
          <w:p w14:paraId="2E73413B" w14:textId="77777777" w:rsidR="007E392E" w:rsidRPr="00367320" w:rsidRDefault="007E392E" w:rsidP="00A76303">
            <w:pPr>
              <w:tabs>
                <w:tab w:val="left" w:pos="7050"/>
              </w:tabs>
              <w:rPr>
                <w:rFonts w:asciiTheme="majorHAnsi" w:hAnsiTheme="majorHAnsi"/>
                <w:sz w:val="24"/>
                <w:szCs w:val="24"/>
              </w:rPr>
            </w:pPr>
          </w:p>
        </w:tc>
      </w:tr>
      <w:tr w:rsidR="007E392E" w:rsidRPr="002C1D82" w14:paraId="394AF116" w14:textId="77777777" w:rsidTr="00A76303">
        <w:tc>
          <w:tcPr>
            <w:tcW w:w="4788" w:type="dxa"/>
          </w:tcPr>
          <w:p w14:paraId="354A0CAD" w14:textId="77777777" w:rsidR="007E392E" w:rsidRPr="00367320" w:rsidRDefault="007E392E" w:rsidP="00A76303">
            <w:pPr>
              <w:tabs>
                <w:tab w:val="left" w:pos="7050"/>
              </w:tabs>
              <w:rPr>
                <w:rFonts w:asciiTheme="majorHAnsi" w:eastAsiaTheme="majorEastAsia" w:hAnsiTheme="majorHAnsi" w:cstheme="majorBidi"/>
                <w:b/>
                <w:bCs/>
                <w:color w:val="000000" w:themeColor="text1"/>
                <w:sz w:val="24"/>
                <w:szCs w:val="24"/>
              </w:rPr>
            </w:pPr>
            <w:r w:rsidRPr="00367320">
              <w:rPr>
                <w:rFonts w:asciiTheme="majorHAnsi" w:eastAsiaTheme="majorEastAsia" w:hAnsiTheme="majorHAnsi" w:cstheme="majorBidi"/>
                <w:b/>
                <w:bCs/>
                <w:color w:val="000000" w:themeColor="text1"/>
                <w:sz w:val="24"/>
                <w:szCs w:val="24"/>
              </w:rPr>
              <w:t>ANNUAL REVENUE IMPACT</w:t>
            </w:r>
          </w:p>
          <w:p w14:paraId="74D51D4A" w14:textId="77777777" w:rsidR="007E392E" w:rsidRPr="00367320" w:rsidRDefault="007E392E" w:rsidP="00A76303">
            <w:pPr>
              <w:tabs>
                <w:tab w:val="left" w:pos="7050"/>
              </w:tabs>
              <w:rPr>
                <w:rFonts w:asciiTheme="majorHAnsi" w:hAnsiTheme="majorHAnsi"/>
                <w:sz w:val="24"/>
                <w:szCs w:val="24"/>
              </w:rPr>
            </w:pPr>
          </w:p>
        </w:tc>
        <w:tc>
          <w:tcPr>
            <w:tcW w:w="4770" w:type="dxa"/>
          </w:tcPr>
          <w:p w14:paraId="2ED194EC" w14:textId="77777777" w:rsidR="007E392E" w:rsidRPr="00367320" w:rsidRDefault="007E392E" w:rsidP="00A76303">
            <w:pPr>
              <w:tabs>
                <w:tab w:val="left" w:pos="7050"/>
              </w:tabs>
              <w:rPr>
                <w:rFonts w:asciiTheme="majorHAnsi" w:hAnsiTheme="majorHAnsi"/>
                <w:sz w:val="24"/>
                <w:szCs w:val="24"/>
              </w:rPr>
            </w:pPr>
            <w:r w:rsidRPr="00367320">
              <w:rPr>
                <w:rFonts w:asciiTheme="majorHAnsi" w:hAnsiTheme="majorHAnsi"/>
                <w:sz w:val="24"/>
                <w:szCs w:val="24"/>
              </w:rPr>
              <w:t>Tax loss of $4.</w:t>
            </w:r>
            <w:r>
              <w:rPr>
                <w:rFonts w:asciiTheme="majorHAnsi" w:hAnsiTheme="majorHAnsi"/>
                <w:sz w:val="24"/>
                <w:szCs w:val="24"/>
              </w:rPr>
              <w:t>1</w:t>
            </w:r>
            <w:r w:rsidRPr="00367320">
              <w:rPr>
                <w:rFonts w:asciiTheme="majorHAnsi" w:hAnsiTheme="majorHAnsi"/>
                <w:sz w:val="24"/>
                <w:szCs w:val="24"/>
              </w:rPr>
              <w:t xml:space="preserve"> million FY2</w:t>
            </w:r>
            <w:r>
              <w:rPr>
                <w:rFonts w:asciiTheme="majorHAnsi" w:hAnsiTheme="majorHAnsi"/>
                <w:sz w:val="24"/>
                <w:szCs w:val="24"/>
              </w:rPr>
              <w:t>2</w:t>
            </w:r>
          </w:p>
        </w:tc>
      </w:tr>
      <w:tr w:rsidR="007E392E" w:rsidRPr="002C1D82" w14:paraId="75AE0F0C" w14:textId="77777777" w:rsidTr="00A76303">
        <w:tc>
          <w:tcPr>
            <w:tcW w:w="4788" w:type="dxa"/>
          </w:tcPr>
          <w:p w14:paraId="0B0F9A2F" w14:textId="77777777" w:rsidR="007E392E" w:rsidRPr="00367320" w:rsidRDefault="007E392E" w:rsidP="00A76303">
            <w:pPr>
              <w:tabs>
                <w:tab w:val="left" w:pos="7050"/>
              </w:tabs>
              <w:rPr>
                <w:rFonts w:asciiTheme="majorHAnsi" w:hAnsiTheme="majorHAnsi"/>
                <w:sz w:val="24"/>
                <w:szCs w:val="24"/>
              </w:rPr>
            </w:pPr>
            <w:r w:rsidRPr="00367320">
              <w:rPr>
                <w:rFonts w:asciiTheme="majorHAnsi" w:eastAsiaTheme="majorEastAsia" w:hAnsiTheme="majorHAnsi" w:cstheme="majorBidi"/>
                <w:b/>
                <w:bCs/>
                <w:color w:val="000000" w:themeColor="text1"/>
                <w:sz w:val="24"/>
                <w:szCs w:val="24"/>
              </w:rPr>
              <w:t xml:space="preserve">NUMBER OF TAXPAYERS </w:t>
            </w:r>
          </w:p>
        </w:tc>
        <w:tc>
          <w:tcPr>
            <w:tcW w:w="4770" w:type="dxa"/>
          </w:tcPr>
          <w:p w14:paraId="709AB199" w14:textId="77777777" w:rsidR="007E392E" w:rsidRPr="00367320" w:rsidRDefault="007E392E" w:rsidP="00A76303">
            <w:pPr>
              <w:tabs>
                <w:tab w:val="left" w:pos="7050"/>
              </w:tabs>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710,000</w:t>
            </w:r>
            <w:r w:rsidRPr="00367320">
              <w:rPr>
                <w:rFonts w:asciiTheme="majorHAnsi" w:eastAsiaTheme="majorEastAsia" w:hAnsiTheme="majorHAnsi" w:cstheme="majorBidi"/>
                <w:bCs/>
                <w:color w:val="000000" w:themeColor="text1"/>
                <w:sz w:val="24"/>
                <w:szCs w:val="24"/>
              </w:rPr>
              <w:t xml:space="preserve"> filers in tax year 2018 </w:t>
            </w:r>
          </w:p>
          <w:p w14:paraId="799C2115" w14:textId="77777777" w:rsidR="007E392E" w:rsidRPr="00367320" w:rsidRDefault="007E392E" w:rsidP="00A76303">
            <w:pPr>
              <w:tabs>
                <w:tab w:val="left" w:pos="7050"/>
              </w:tabs>
              <w:rPr>
                <w:rFonts w:asciiTheme="majorHAnsi" w:hAnsiTheme="majorHAnsi"/>
                <w:sz w:val="24"/>
                <w:szCs w:val="24"/>
              </w:rPr>
            </w:pPr>
          </w:p>
        </w:tc>
      </w:tr>
      <w:tr w:rsidR="007E392E" w:rsidRPr="002C1D82" w14:paraId="66EFE5FD" w14:textId="77777777" w:rsidTr="00A76303">
        <w:tc>
          <w:tcPr>
            <w:tcW w:w="4788" w:type="dxa"/>
          </w:tcPr>
          <w:p w14:paraId="31843945" w14:textId="77777777" w:rsidR="007E392E" w:rsidRPr="00367320" w:rsidRDefault="007E392E" w:rsidP="00A76303">
            <w:pPr>
              <w:tabs>
                <w:tab w:val="left" w:pos="7050"/>
              </w:tabs>
              <w:rPr>
                <w:rFonts w:asciiTheme="majorHAnsi" w:hAnsiTheme="majorHAnsi"/>
                <w:sz w:val="24"/>
                <w:szCs w:val="24"/>
              </w:rPr>
            </w:pPr>
            <w:r w:rsidRPr="00367320">
              <w:rPr>
                <w:rFonts w:asciiTheme="majorHAnsi" w:eastAsiaTheme="majorEastAsia" w:hAnsiTheme="majorHAnsi" w:cstheme="majorBidi"/>
                <w:b/>
                <w:bCs/>
                <w:color w:val="000000" w:themeColor="text1"/>
                <w:sz w:val="24"/>
                <w:szCs w:val="24"/>
              </w:rPr>
              <w:t>AVERAGE TAXPAYER BENEFIT</w:t>
            </w:r>
          </w:p>
        </w:tc>
        <w:tc>
          <w:tcPr>
            <w:tcW w:w="4770" w:type="dxa"/>
          </w:tcPr>
          <w:p w14:paraId="3895D3EC" w14:textId="77777777" w:rsidR="007E392E" w:rsidRPr="00367320" w:rsidRDefault="007E392E" w:rsidP="00A76303">
            <w:pPr>
              <w:tabs>
                <w:tab w:val="left" w:pos="7050"/>
              </w:tabs>
              <w:rPr>
                <w:rFonts w:asciiTheme="majorHAnsi" w:hAnsiTheme="majorHAnsi"/>
                <w:sz w:val="24"/>
                <w:szCs w:val="24"/>
              </w:rPr>
            </w:pPr>
            <w:r>
              <w:rPr>
                <w:rFonts w:asciiTheme="majorHAnsi" w:hAnsiTheme="majorHAnsi"/>
                <w:sz w:val="24"/>
                <w:szCs w:val="24"/>
              </w:rPr>
              <w:t>$5 per filer</w:t>
            </w:r>
          </w:p>
        </w:tc>
      </w:tr>
    </w:tbl>
    <w:p w14:paraId="1C571246" w14:textId="77777777" w:rsidR="007E392E" w:rsidRPr="00367320" w:rsidRDefault="007E392E" w:rsidP="007E392E">
      <w:pPr>
        <w:rPr>
          <w:rFonts w:asciiTheme="majorHAnsi" w:hAnsiTheme="majorHAnsi"/>
          <w:b/>
          <w:bCs/>
          <w:sz w:val="24"/>
          <w:szCs w:val="24"/>
        </w:rPr>
      </w:pPr>
    </w:p>
    <w:tbl>
      <w:tblPr>
        <w:tblStyle w:val="TableGrid"/>
        <w:tblW w:w="0" w:type="auto"/>
        <w:tblLook w:val="04A0" w:firstRow="1" w:lastRow="0" w:firstColumn="1" w:lastColumn="0" w:noHBand="0" w:noVBand="1"/>
      </w:tblPr>
      <w:tblGrid>
        <w:gridCol w:w="4788"/>
        <w:gridCol w:w="4788"/>
      </w:tblGrid>
      <w:tr w:rsidR="007E392E" w:rsidRPr="00295173" w14:paraId="7D7C83E4" w14:textId="77777777" w:rsidTr="00A76303">
        <w:tc>
          <w:tcPr>
            <w:tcW w:w="4788" w:type="dxa"/>
          </w:tcPr>
          <w:p w14:paraId="5364C877" w14:textId="77777777" w:rsidR="007E392E" w:rsidRPr="002C1D82" w:rsidRDefault="007E392E" w:rsidP="00A76303">
            <w:pPr>
              <w:tabs>
                <w:tab w:val="left" w:pos="7050"/>
              </w:tabs>
              <w:rPr>
                <w:rFonts w:asciiTheme="majorHAnsi" w:eastAsiaTheme="majorEastAsia" w:hAnsiTheme="majorHAnsi" w:cstheme="majorBidi"/>
                <w:b/>
                <w:bCs/>
                <w:color w:val="000000" w:themeColor="text1"/>
                <w:sz w:val="24"/>
                <w:szCs w:val="24"/>
              </w:rPr>
            </w:pPr>
            <w:r w:rsidRPr="002C1D82">
              <w:rPr>
                <w:rFonts w:asciiTheme="majorHAnsi" w:eastAsiaTheme="majorEastAsia" w:hAnsiTheme="majorHAnsi" w:cstheme="majorBidi"/>
                <w:b/>
                <w:bCs/>
                <w:color w:val="000000" w:themeColor="text1"/>
                <w:sz w:val="24"/>
                <w:szCs w:val="24"/>
              </w:rPr>
              <w:t>Description of the Tax Expenditure:</w:t>
            </w:r>
          </w:p>
          <w:p w14:paraId="5C6B708B" w14:textId="77777777" w:rsidR="007E392E" w:rsidRPr="00295173" w:rsidRDefault="007E392E" w:rsidP="00A76303">
            <w:pPr>
              <w:tabs>
                <w:tab w:val="left" w:pos="7050"/>
              </w:tabs>
              <w:rPr>
                <w:rFonts w:asciiTheme="majorHAnsi" w:eastAsiaTheme="majorEastAsia" w:hAnsiTheme="majorHAnsi" w:cstheme="majorBidi"/>
                <w:b/>
                <w:bCs/>
                <w:color w:val="000000" w:themeColor="text1"/>
                <w:sz w:val="24"/>
                <w:szCs w:val="24"/>
              </w:rPr>
            </w:pPr>
            <w:r w:rsidRPr="00295173">
              <w:rPr>
                <w:rFonts w:asciiTheme="majorHAnsi" w:eastAsiaTheme="majorEastAsia" w:hAnsiTheme="majorHAnsi" w:cstheme="majorBidi"/>
                <w:bCs/>
                <w:color w:val="000000" w:themeColor="text1"/>
                <w:sz w:val="24"/>
                <w:szCs w:val="24"/>
              </w:rPr>
              <w:t xml:space="preserve">Up to $100 ($200 on a joint return) of interest from savings deposits or savings accounts in Massachusetts banks is </w:t>
            </w:r>
            <w:r w:rsidRPr="00295173">
              <w:rPr>
                <w:rFonts w:asciiTheme="majorHAnsi" w:eastAsiaTheme="majorEastAsia" w:hAnsiTheme="majorHAnsi" w:cstheme="majorBidi"/>
                <w:bCs/>
                <w:color w:val="000000" w:themeColor="text1"/>
                <w:sz w:val="24"/>
                <w:szCs w:val="24"/>
                <w:u w:val="single"/>
              </w:rPr>
              <w:t>deductible</w:t>
            </w:r>
            <w:r w:rsidRPr="00295173">
              <w:rPr>
                <w:rFonts w:asciiTheme="majorHAnsi" w:eastAsiaTheme="majorEastAsia" w:hAnsiTheme="majorHAnsi" w:cstheme="majorBidi"/>
                <w:bCs/>
                <w:color w:val="000000" w:themeColor="text1"/>
                <w:sz w:val="24"/>
                <w:szCs w:val="24"/>
              </w:rPr>
              <w:t xml:space="preserve"> from gross income </w:t>
            </w:r>
          </w:p>
        </w:tc>
        <w:tc>
          <w:tcPr>
            <w:tcW w:w="4788" w:type="dxa"/>
          </w:tcPr>
          <w:p w14:paraId="20C9733E" w14:textId="77777777" w:rsidR="007E392E" w:rsidRPr="00295173" w:rsidRDefault="007E392E" w:rsidP="00A76303">
            <w:pPr>
              <w:tabs>
                <w:tab w:val="left" w:pos="7050"/>
              </w:tabs>
              <w:rPr>
                <w:rFonts w:asciiTheme="majorHAnsi" w:eastAsiaTheme="majorEastAsia" w:hAnsiTheme="majorHAnsi" w:cstheme="majorBidi"/>
                <w:b/>
                <w:bCs/>
                <w:color w:val="000000" w:themeColor="text1"/>
                <w:sz w:val="24"/>
                <w:szCs w:val="24"/>
              </w:rPr>
            </w:pPr>
            <w:r w:rsidRPr="00295173">
              <w:rPr>
                <w:rFonts w:asciiTheme="majorHAnsi" w:eastAsiaTheme="majorEastAsia" w:hAnsiTheme="majorHAnsi" w:cstheme="majorBidi"/>
                <w:b/>
                <w:bCs/>
                <w:color w:val="000000" w:themeColor="text1"/>
                <w:sz w:val="24"/>
                <w:szCs w:val="24"/>
              </w:rPr>
              <w:t>Is the purpose defined in the statute?</w:t>
            </w:r>
          </w:p>
          <w:p w14:paraId="6B56D6D4" w14:textId="77777777" w:rsidR="007E392E" w:rsidRPr="00295173" w:rsidRDefault="007E392E" w:rsidP="00A76303">
            <w:pPr>
              <w:rPr>
                <w:rFonts w:asciiTheme="majorHAnsi" w:hAnsiTheme="majorHAnsi"/>
                <w:b/>
                <w:bCs/>
                <w:sz w:val="24"/>
                <w:szCs w:val="24"/>
              </w:rPr>
            </w:pPr>
            <w:r w:rsidRPr="00295173">
              <w:rPr>
                <w:rFonts w:asciiTheme="majorHAnsi" w:eastAsiaTheme="majorEastAsia" w:hAnsiTheme="majorHAnsi" w:cstheme="majorBidi"/>
                <w:bCs/>
                <w:color w:val="000000" w:themeColor="text1"/>
                <w:sz w:val="24"/>
                <w:szCs w:val="24"/>
              </w:rPr>
              <w:t>The statute does not explicitly state the purpose of this tax expenditure.</w:t>
            </w:r>
          </w:p>
        </w:tc>
      </w:tr>
      <w:tr w:rsidR="007E392E" w:rsidRPr="00295173" w14:paraId="70F33A48" w14:textId="77777777" w:rsidTr="00A76303">
        <w:tc>
          <w:tcPr>
            <w:tcW w:w="4788" w:type="dxa"/>
          </w:tcPr>
          <w:p w14:paraId="2CDCABDA" w14:textId="2FECF388" w:rsidR="007E392E" w:rsidRPr="00295173" w:rsidRDefault="007E392E" w:rsidP="00A76303">
            <w:pPr>
              <w:tabs>
                <w:tab w:val="left" w:pos="7050"/>
              </w:tabs>
              <w:rPr>
                <w:rFonts w:asciiTheme="majorHAnsi" w:eastAsiaTheme="majorEastAsia" w:hAnsiTheme="majorHAnsi" w:cstheme="majorBidi"/>
                <w:b/>
                <w:bCs/>
                <w:color w:val="000000" w:themeColor="text1"/>
                <w:sz w:val="24"/>
                <w:szCs w:val="24"/>
              </w:rPr>
            </w:pPr>
            <w:r w:rsidRPr="002C1D82">
              <w:rPr>
                <w:rFonts w:asciiTheme="majorHAnsi" w:eastAsiaTheme="majorEastAsia" w:hAnsiTheme="majorHAnsi" w:cstheme="majorBidi"/>
                <w:b/>
                <w:bCs/>
                <w:color w:val="000000" w:themeColor="text1"/>
                <w:sz w:val="24"/>
                <w:szCs w:val="24"/>
              </w:rPr>
              <w:t xml:space="preserve">What are the </w:t>
            </w:r>
            <w:r w:rsidR="00E5472B">
              <w:rPr>
                <w:rFonts w:asciiTheme="majorHAnsi" w:eastAsiaTheme="majorEastAsia" w:hAnsiTheme="majorHAnsi" w:cstheme="majorBidi"/>
                <w:b/>
                <w:bCs/>
                <w:color w:val="000000" w:themeColor="text1"/>
                <w:sz w:val="24"/>
                <w:szCs w:val="24"/>
              </w:rPr>
              <w:t>policy</w:t>
            </w:r>
            <w:r w:rsidRPr="002C1D82">
              <w:rPr>
                <w:rFonts w:asciiTheme="majorHAnsi" w:eastAsiaTheme="majorEastAsia" w:hAnsiTheme="majorHAnsi" w:cstheme="majorBidi"/>
                <w:b/>
                <w:bCs/>
                <w:color w:val="000000" w:themeColor="text1"/>
                <w:sz w:val="24"/>
                <w:szCs w:val="24"/>
              </w:rPr>
              <w:t xml:space="preserve"> goals of the expenditure?</w:t>
            </w:r>
          </w:p>
          <w:p w14:paraId="28B9A4EF" w14:textId="77777777" w:rsidR="007E392E" w:rsidRPr="00295173" w:rsidRDefault="007E392E" w:rsidP="00A76303">
            <w:pPr>
              <w:rPr>
                <w:rFonts w:asciiTheme="majorHAnsi" w:hAnsiTheme="majorHAnsi"/>
                <w:b/>
                <w:bCs/>
                <w:sz w:val="24"/>
                <w:szCs w:val="24"/>
              </w:rPr>
            </w:pPr>
            <w:r w:rsidRPr="00295173">
              <w:rPr>
                <w:rFonts w:asciiTheme="majorHAnsi" w:eastAsiaTheme="majorEastAsia" w:hAnsiTheme="majorHAnsi" w:cstheme="majorBidi"/>
                <w:bCs/>
                <w:color w:val="000000" w:themeColor="text1"/>
                <w:sz w:val="24"/>
                <w:szCs w:val="24"/>
              </w:rPr>
              <w:t>The tax expenditure is designed to encourage taxpayers to open savings accounts with Massachusetts banks, thereby facilitating the growth and development of such banks.</w:t>
            </w:r>
          </w:p>
        </w:tc>
        <w:tc>
          <w:tcPr>
            <w:tcW w:w="4788" w:type="dxa"/>
          </w:tcPr>
          <w:p w14:paraId="74F93D63" w14:textId="77777777" w:rsidR="007E392E" w:rsidRPr="00295173" w:rsidRDefault="007E392E" w:rsidP="00A76303">
            <w:pPr>
              <w:tabs>
                <w:tab w:val="left" w:pos="7050"/>
              </w:tabs>
              <w:rPr>
                <w:rFonts w:asciiTheme="majorHAnsi" w:eastAsiaTheme="majorEastAsia" w:hAnsiTheme="majorHAnsi" w:cstheme="majorBidi"/>
                <w:b/>
                <w:bCs/>
                <w:color w:val="000000" w:themeColor="text1"/>
                <w:sz w:val="24"/>
                <w:szCs w:val="24"/>
              </w:rPr>
            </w:pPr>
            <w:r w:rsidRPr="002C1D82">
              <w:rPr>
                <w:rFonts w:asciiTheme="majorHAnsi" w:eastAsiaTheme="majorEastAsia" w:hAnsiTheme="majorHAnsi" w:cstheme="majorBidi"/>
                <w:b/>
                <w:bCs/>
                <w:color w:val="000000" w:themeColor="text1"/>
                <w:sz w:val="24"/>
                <w:szCs w:val="24"/>
              </w:rPr>
              <w:t>Are there other states with a similar Tax Expenditure?</w:t>
            </w:r>
          </w:p>
          <w:p w14:paraId="18B4F3A2" w14:textId="47E8D91F" w:rsidR="007E392E" w:rsidRPr="00295173" w:rsidRDefault="007E392E" w:rsidP="00A76303">
            <w:pPr>
              <w:rPr>
                <w:rFonts w:asciiTheme="majorHAnsi" w:hAnsiTheme="majorHAnsi"/>
                <w:b/>
                <w:bCs/>
                <w:sz w:val="24"/>
                <w:szCs w:val="24"/>
              </w:rPr>
            </w:pPr>
            <w:r w:rsidRPr="00295173">
              <w:rPr>
                <w:rFonts w:asciiTheme="majorHAnsi" w:hAnsiTheme="majorHAnsi"/>
                <w:sz w:val="24"/>
                <w:szCs w:val="24"/>
              </w:rPr>
              <w:t xml:space="preserve">No other bordering states offer a parallel deduction or exemption for in-state bank interest. </w:t>
            </w:r>
            <w:r w:rsidR="00982C49">
              <w:rPr>
                <w:rFonts w:asciiTheme="majorHAnsi" w:hAnsiTheme="majorHAnsi"/>
                <w:sz w:val="24"/>
                <w:szCs w:val="24"/>
              </w:rPr>
              <w:t xml:space="preserve"> </w:t>
            </w:r>
          </w:p>
        </w:tc>
      </w:tr>
    </w:tbl>
    <w:p w14:paraId="3E0FD158" w14:textId="77777777" w:rsidR="007E392E" w:rsidRPr="00367320" w:rsidRDefault="007E392E" w:rsidP="007E392E">
      <w:pPr>
        <w:rPr>
          <w:rFonts w:asciiTheme="majorHAnsi" w:hAnsiTheme="majorHAnsi"/>
          <w:sz w:val="24"/>
          <w:szCs w:val="24"/>
        </w:rPr>
      </w:pPr>
      <w:r w:rsidRPr="00367320">
        <w:rPr>
          <w:rFonts w:asciiTheme="majorHAnsi" w:hAnsiTheme="majorHAnsi"/>
          <w:b/>
          <w:bCs/>
          <w:sz w:val="24"/>
          <w:szCs w:val="24"/>
        </w:rPr>
        <w:br w:type="page"/>
      </w:r>
    </w:p>
    <w:tbl>
      <w:tblPr>
        <w:tblStyle w:val="MediumList1-Accent2"/>
        <w:tblW w:w="0" w:type="auto"/>
        <w:tblLook w:val="04A0" w:firstRow="1" w:lastRow="0" w:firstColumn="1" w:lastColumn="0" w:noHBand="0" w:noVBand="1"/>
      </w:tblPr>
      <w:tblGrid>
        <w:gridCol w:w="9576"/>
      </w:tblGrid>
      <w:tr w:rsidR="007E392E" w:rsidRPr="002C1D82" w14:paraId="282DAF2F" w14:textId="77777777" w:rsidTr="00A763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FDEFA1A" w14:textId="77777777" w:rsidR="007E392E" w:rsidRPr="00367320" w:rsidRDefault="007E392E" w:rsidP="00A76303">
            <w:pPr>
              <w:jc w:val="center"/>
              <w:rPr>
                <w:sz w:val="24"/>
                <w:szCs w:val="24"/>
              </w:rPr>
            </w:pPr>
            <w:r w:rsidRPr="00367320">
              <w:rPr>
                <w:sz w:val="24"/>
                <w:szCs w:val="24"/>
              </w:rPr>
              <w:lastRenderedPageBreak/>
              <w:t>Incentive Evaluation Results</w:t>
            </w:r>
          </w:p>
        </w:tc>
      </w:tr>
    </w:tbl>
    <w:p w14:paraId="7BA65BBD" w14:textId="77777777" w:rsidR="007E392E" w:rsidRPr="00367320" w:rsidRDefault="007E392E" w:rsidP="007E392E">
      <w:pPr>
        <w:tabs>
          <w:tab w:val="left" w:pos="7050"/>
        </w:tabs>
        <w:spacing w:after="0"/>
        <w:rPr>
          <w:rFonts w:asciiTheme="majorHAnsi" w:hAnsiTheme="majorHAnsi"/>
          <w:b/>
          <w:sz w:val="24"/>
          <w:szCs w:val="24"/>
        </w:rPr>
      </w:pPr>
    </w:p>
    <w:p w14:paraId="381A4E4F" w14:textId="77777777" w:rsidR="007E392E" w:rsidRPr="006E3711" w:rsidRDefault="007E392E" w:rsidP="007E392E">
      <w:pPr>
        <w:tabs>
          <w:tab w:val="left" w:pos="7050"/>
        </w:tabs>
        <w:spacing w:after="0"/>
        <w:rPr>
          <w:rFonts w:asciiTheme="majorHAnsi" w:hAnsiTheme="majorHAnsi"/>
          <w:b/>
          <w:color w:val="E36C0A" w:themeColor="accent6" w:themeShade="BF"/>
          <w:sz w:val="24"/>
        </w:rPr>
      </w:pPr>
      <w:r w:rsidRPr="00B04C56">
        <w:rPr>
          <w:rFonts w:asciiTheme="majorHAnsi" w:hAnsiTheme="majorHAnsi"/>
          <w:b/>
          <w:color w:val="E36C0A" w:themeColor="accent6" w:themeShade="BF"/>
          <w:sz w:val="28"/>
          <w:szCs w:val="28"/>
        </w:rPr>
        <w:t>INTRODUCTION</w:t>
      </w:r>
    </w:p>
    <w:p w14:paraId="643AEEDC" w14:textId="77777777" w:rsidR="007E392E" w:rsidRPr="002C1D82" w:rsidRDefault="007E392E" w:rsidP="007E392E">
      <w:pPr>
        <w:tabs>
          <w:tab w:val="left" w:pos="7050"/>
        </w:tabs>
        <w:spacing w:after="0"/>
        <w:rPr>
          <w:rFonts w:asciiTheme="majorHAnsi" w:hAnsiTheme="majorHAnsi"/>
          <w:b/>
          <w:sz w:val="24"/>
          <w:szCs w:val="24"/>
        </w:rPr>
      </w:pPr>
    </w:p>
    <w:p w14:paraId="31FB2C39" w14:textId="253C4A93" w:rsidR="007E392E" w:rsidRPr="00367320" w:rsidRDefault="007E392E" w:rsidP="007E392E">
      <w:pPr>
        <w:pStyle w:val="Default"/>
        <w:rPr>
          <w:rFonts w:asciiTheme="majorHAnsi" w:hAnsiTheme="majorHAnsi" w:cs="Arial"/>
        </w:rPr>
      </w:pPr>
      <w:r w:rsidRPr="00367320">
        <w:rPr>
          <w:rFonts w:asciiTheme="majorHAnsi" w:hAnsiTheme="majorHAnsi"/>
        </w:rPr>
        <w:t>Massachusetts imposes a personal income tax on the Massachusetts gross income of residents and of income sourced to Massachusetts for non-residents.  M.G.L. c. 62</w:t>
      </w:r>
      <w:r w:rsidRPr="002C1D82">
        <w:rPr>
          <w:rFonts w:asciiTheme="majorHAnsi" w:hAnsiTheme="majorHAnsi"/>
        </w:rPr>
        <w:t xml:space="preserve">, </w:t>
      </w:r>
      <w:r w:rsidRPr="002C1D82">
        <w:rPr>
          <w:rFonts w:asciiTheme="majorHAnsi" w:hAnsiTheme="majorHAnsi" w:cs="Arial"/>
        </w:rPr>
        <w:t xml:space="preserve">§§ </w:t>
      </w:r>
      <w:r w:rsidRPr="002C1D82">
        <w:rPr>
          <w:rFonts w:asciiTheme="majorHAnsi" w:hAnsiTheme="majorHAnsi"/>
        </w:rPr>
        <w:t>2; 5A</w:t>
      </w:r>
      <w:r w:rsidRPr="00367320">
        <w:rPr>
          <w:rFonts w:asciiTheme="majorHAnsi" w:hAnsiTheme="majorHAnsi"/>
        </w:rPr>
        <w:t xml:space="preserve">.  </w:t>
      </w:r>
      <w:r w:rsidRPr="00367320">
        <w:rPr>
          <w:rFonts w:asciiTheme="majorHAnsi" w:hAnsiTheme="majorHAnsi" w:cs="Arial"/>
        </w:rPr>
        <w:t xml:space="preserve">Massachusetts gross income generally means federal gross income, but is subject to certain modifications. </w:t>
      </w:r>
      <w:r>
        <w:rPr>
          <w:rFonts w:asciiTheme="majorHAnsi" w:hAnsiTheme="majorHAnsi" w:cs="Arial"/>
        </w:rPr>
        <w:t xml:space="preserve"> </w:t>
      </w:r>
      <w:r w:rsidRPr="00367320">
        <w:rPr>
          <w:rFonts w:asciiTheme="majorHAnsi" w:hAnsiTheme="majorHAnsi" w:cs="Arial"/>
        </w:rPr>
        <w:t>M.</w:t>
      </w:r>
      <w:r w:rsidRPr="002C1D82">
        <w:rPr>
          <w:rFonts w:asciiTheme="majorHAnsi" w:hAnsiTheme="majorHAnsi" w:cs="Arial"/>
        </w:rPr>
        <w:t xml:space="preserve">G.L. c. 62, § 2.  Massachusetts gross income is divided into Part A, Part B, and Part C categories.  </w:t>
      </w:r>
      <w:r w:rsidRPr="00367320">
        <w:rPr>
          <w:rFonts w:asciiTheme="majorHAnsi" w:hAnsiTheme="majorHAnsi" w:cs="Arial"/>
        </w:rPr>
        <w:t xml:space="preserve">M.G.L. c. 62, § 2(b). </w:t>
      </w:r>
      <w:r>
        <w:rPr>
          <w:rFonts w:asciiTheme="majorHAnsi" w:hAnsiTheme="majorHAnsi" w:cs="Arial"/>
        </w:rPr>
        <w:t xml:space="preserve"> </w:t>
      </w:r>
      <w:r w:rsidRPr="00367320">
        <w:rPr>
          <w:rFonts w:asciiTheme="majorHAnsi" w:hAnsiTheme="majorHAnsi" w:cs="Arial"/>
        </w:rPr>
        <w:t>Part A gross income generally consists of interest, dividends, and</w:t>
      </w:r>
      <w:r>
        <w:rPr>
          <w:rFonts w:asciiTheme="majorHAnsi" w:hAnsiTheme="majorHAnsi" w:cs="Arial"/>
        </w:rPr>
        <w:t xml:space="preserve"> certain</w:t>
      </w:r>
      <w:r w:rsidRPr="00367320">
        <w:rPr>
          <w:rFonts w:asciiTheme="majorHAnsi" w:hAnsiTheme="majorHAnsi" w:cs="Arial"/>
        </w:rPr>
        <w:t xml:space="preserve"> capital gain income, Part C gross income is typically</w:t>
      </w:r>
      <w:r>
        <w:rPr>
          <w:rFonts w:asciiTheme="majorHAnsi" w:hAnsiTheme="majorHAnsi" w:cs="Arial"/>
        </w:rPr>
        <w:t xml:space="preserve"> long-term</w:t>
      </w:r>
      <w:r w:rsidRPr="00367320">
        <w:rPr>
          <w:rFonts w:asciiTheme="majorHAnsi" w:hAnsiTheme="majorHAnsi" w:cs="Arial"/>
        </w:rPr>
        <w:t xml:space="preserve"> capital gain income, and Part B </w:t>
      </w:r>
      <w:r>
        <w:rPr>
          <w:rFonts w:asciiTheme="majorHAnsi" w:hAnsiTheme="majorHAnsi" w:cs="Arial"/>
        </w:rPr>
        <w:t xml:space="preserve">gross income </w:t>
      </w:r>
      <w:r w:rsidRPr="00367320">
        <w:rPr>
          <w:rFonts w:asciiTheme="majorHAnsi" w:hAnsiTheme="majorHAnsi" w:cs="Arial"/>
        </w:rPr>
        <w:t xml:space="preserve">is gross income not included in either Part A or Part C.  M.G.L. c. 62, § 2(b)(1)-(3). </w:t>
      </w:r>
    </w:p>
    <w:p w14:paraId="0BDC52C3" w14:textId="77777777" w:rsidR="007E392E" w:rsidRPr="00367320" w:rsidRDefault="007E392E" w:rsidP="007E392E">
      <w:pPr>
        <w:autoSpaceDE w:val="0"/>
        <w:autoSpaceDN w:val="0"/>
        <w:adjustRightInd w:val="0"/>
        <w:spacing w:after="0" w:line="240" w:lineRule="auto"/>
        <w:rPr>
          <w:rFonts w:asciiTheme="majorHAnsi" w:hAnsiTheme="majorHAnsi" w:cs="Arial"/>
          <w:color w:val="000000"/>
          <w:sz w:val="24"/>
          <w:szCs w:val="24"/>
        </w:rPr>
      </w:pPr>
    </w:p>
    <w:p w14:paraId="1E5FC454" w14:textId="77777777" w:rsidR="007E392E" w:rsidRPr="002C1D82" w:rsidRDefault="007E392E" w:rsidP="007E392E">
      <w:pPr>
        <w:tabs>
          <w:tab w:val="left" w:pos="7050"/>
        </w:tabs>
        <w:spacing w:after="0"/>
        <w:rPr>
          <w:rFonts w:asciiTheme="majorHAnsi" w:hAnsiTheme="majorHAnsi" w:cs="Arial"/>
          <w:color w:val="000000"/>
          <w:sz w:val="24"/>
          <w:szCs w:val="24"/>
        </w:rPr>
      </w:pPr>
      <w:r w:rsidRPr="002C1D82">
        <w:rPr>
          <w:rFonts w:asciiTheme="majorHAnsi" w:hAnsiTheme="majorHAnsi"/>
          <w:sz w:val="24"/>
          <w:szCs w:val="24"/>
        </w:rPr>
        <w:t>M.G.L. c. 62, § 2(b)(1)(A) excludes Massachusetts bank interest from Part A gross</w:t>
      </w:r>
      <w:r w:rsidRPr="00295173">
        <w:rPr>
          <w:rFonts w:asciiTheme="majorHAnsi" w:hAnsiTheme="majorHAnsi"/>
          <w:sz w:val="24"/>
          <w:szCs w:val="24"/>
        </w:rPr>
        <w:t xml:space="preserve"> income, thereby classifying it as Part B gross income.</w:t>
      </w:r>
      <w:r w:rsidRPr="00295173">
        <w:rPr>
          <w:rFonts w:asciiTheme="majorHAnsi" w:hAnsiTheme="majorHAnsi" w:cs="Arial"/>
          <w:color w:val="000000"/>
          <w:sz w:val="24"/>
          <w:szCs w:val="24"/>
        </w:rPr>
        <w:t xml:space="preserve">  </w:t>
      </w:r>
      <w:r w:rsidRPr="00367320">
        <w:rPr>
          <w:rFonts w:asciiTheme="majorHAnsi" w:hAnsiTheme="majorHAnsi" w:cs="Arial"/>
          <w:color w:val="000000"/>
          <w:sz w:val="24"/>
          <w:szCs w:val="24"/>
        </w:rPr>
        <w:t>M.G.L. c. 62, § 3B(a)(6)</w:t>
      </w:r>
      <w:r w:rsidRPr="002C1D82">
        <w:rPr>
          <w:rFonts w:asciiTheme="majorHAnsi" w:hAnsiTheme="majorHAnsi" w:cs="Arial"/>
          <w:color w:val="000000"/>
          <w:sz w:val="24"/>
          <w:szCs w:val="24"/>
        </w:rPr>
        <w:t xml:space="preserve"> allows taxpayers </w:t>
      </w:r>
      <w:r>
        <w:rPr>
          <w:rFonts w:asciiTheme="majorHAnsi" w:hAnsiTheme="majorHAnsi" w:cs="Arial"/>
          <w:color w:val="000000"/>
          <w:sz w:val="24"/>
          <w:szCs w:val="24"/>
        </w:rPr>
        <w:t xml:space="preserve">filing singly </w:t>
      </w:r>
      <w:r w:rsidRPr="002C1D82">
        <w:rPr>
          <w:rFonts w:asciiTheme="majorHAnsi" w:hAnsiTheme="majorHAnsi" w:cs="Arial"/>
          <w:color w:val="000000"/>
          <w:sz w:val="24"/>
          <w:szCs w:val="24"/>
        </w:rPr>
        <w:t xml:space="preserve">to deduct </w:t>
      </w:r>
      <w:r>
        <w:rPr>
          <w:rFonts w:asciiTheme="majorHAnsi" w:hAnsiTheme="majorHAnsi" w:cs="Arial"/>
          <w:color w:val="000000"/>
          <w:sz w:val="24"/>
          <w:szCs w:val="24"/>
        </w:rPr>
        <w:t xml:space="preserve">up to $100 of </w:t>
      </w:r>
      <w:r w:rsidRPr="002C1D82">
        <w:rPr>
          <w:rFonts w:asciiTheme="majorHAnsi" w:hAnsiTheme="majorHAnsi" w:cs="Arial"/>
          <w:color w:val="000000"/>
          <w:sz w:val="24"/>
          <w:szCs w:val="24"/>
        </w:rPr>
        <w:t>such interest</w:t>
      </w:r>
      <w:r>
        <w:rPr>
          <w:rFonts w:asciiTheme="majorHAnsi" w:hAnsiTheme="majorHAnsi" w:cs="Arial"/>
          <w:color w:val="000000"/>
          <w:sz w:val="24"/>
          <w:szCs w:val="24"/>
        </w:rPr>
        <w:t xml:space="preserve">, </w:t>
      </w:r>
      <w:r w:rsidRPr="002C1D82">
        <w:rPr>
          <w:rFonts w:asciiTheme="majorHAnsi" w:hAnsiTheme="majorHAnsi" w:cs="Arial"/>
          <w:color w:val="000000"/>
          <w:sz w:val="24"/>
          <w:szCs w:val="24"/>
        </w:rPr>
        <w:t>and taxpayers filing jointly</w:t>
      </w:r>
      <w:r>
        <w:rPr>
          <w:rFonts w:asciiTheme="majorHAnsi" w:hAnsiTheme="majorHAnsi" w:cs="Arial"/>
          <w:color w:val="000000"/>
          <w:sz w:val="24"/>
          <w:szCs w:val="24"/>
        </w:rPr>
        <w:t xml:space="preserve"> to deduct up to $200</w:t>
      </w:r>
      <w:r w:rsidRPr="002C1D82">
        <w:rPr>
          <w:rFonts w:asciiTheme="majorHAnsi" w:hAnsiTheme="majorHAnsi" w:cs="Arial"/>
          <w:color w:val="000000"/>
          <w:sz w:val="24"/>
          <w:szCs w:val="24"/>
        </w:rPr>
        <w:t xml:space="preserve">.  </w:t>
      </w:r>
    </w:p>
    <w:p w14:paraId="5AFB9AEA" w14:textId="77777777" w:rsidR="007E392E" w:rsidRPr="002C1D82" w:rsidRDefault="007E392E" w:rsidP="007E392E">
      <w:pPr>
        <w:tabs>
          <w:tab w:val="left" w:pos="7050"/>
        </w:tabs>
        <w:spacing w:after="0"/>
        <w:rPr>
          <w:rFonts w:asciiTheme="majorHAnsi" w:hAnsiTheme="majorHAnsi" w:cs="Arial"/>
          <w:color w:val="000000"/>
          <w:sz w:val="24"/>
          <w:szCs w:val="24"/>
        </w:rPr>
      </w:pPr>
    </w:p>
    <w:p w14:paraId="0172D908" w14:textId="77777777" w:rsidR="007E392E" w:rsidRPr="00295173" w:rsidRDefault="007E392E" w:rsidP="007E392E">
      <w:pPr>
        <w:tabs>
          <w:tab w:val="left" w:pos="7050"/>
        </w:tabs>
        <w:spacing w:after="0"/>
        <w:rPr>
          <w:rFonts w:asciiTheme="majorHAnsi" w:hAnsiTheme="majorHAnsi"/>
          <w:sz w:val="24"/>
          <w:szCs w:val="24"/>
        </w:rPr>
      </w:pPr>
      <w:r w:rsidRPr="00367320">
        <w:rPr>
          <w:rFonts w:asciiTheme="majorHAnsi" w:hAnsiTheme="majorHAnsi"/>
          <w:sz w:val="24"/>
          <w:szCs w:val="24"/>
        </w:rPr>
        <w:t xml:space="preserve">While </w:t>
      </w:r>
      <w:r w:rsidRPr="002C1D82">
        <w:rPr>
          <w:rFonts w:asciiTheme="majorHAnsi" w:hAnsiTheme="majorHAnsi" w:cs="Arial"/>
          <w:color w:val="000000"/>
          <w:sz w:val="24"/>
          <w:szCs w:val="24"/>
        </w:rPr>
        <w:t>M.G.L. c. 62, § 3B(a)(6)</w:t>
      </w:r>
      <w:r>
        <w:rPr>
          <w:rFonts w:asciiTheme="majorHAnsi" w:hAnsiTheme="majorHAnsi" w:cs="Arial"/>
          <w:color w:val="000000"/>
          <w:sz w:val="24"/>
          <w:szCs w:val="24"/>
        </w:rPr>
        <w:t xml:space="preserve"> </w:t>
      </w:r>
      <w:r w:rsidRPr="002C1D82">
        <w:rPr>
          <w:rFonts w:asciiTheme="majorHAnsi" w:hAnsiTheme="majorHAnsi"/>
          <w:sz w:val="24"/>
          <w:szCs w:val="24"/>
        </w:rPr>
        <w:t>neither</w:t>
      </w:r>
      <w:r w:rsidRPr="00367320">
        <w:rPr>
          <w:rFonts w:asciiTheme="majorHAnsi" w:hAnsiTheme="majorHAnsi"/>
          <w:sz w:val="24"/>
          <w:szCs w:val="24"/>
        </w:rPr>
        <w:t xml:space="preserve"> mentio</w:t>
      </w:r>
      <w:r w:rsidRPr="002C1D82">
        <w:rPr>
          <w:rFonts w:asciiTheme="majorHAnsi" w:hAnsiTheme="majorHAnsi"/>
          <w:sz w:val="24"/>
          <w:szCs w:val="24"/>
        </w:rPr>
        <w:t>ns</w:t>
      </w:r>
      <w:r w:rsidRPr="00367320">
        <w:rPr>
          <w:rFonts w:asciiTheme="majorHAnsi" w:hAnsiTheme="majorHAnsi"/>
          <w:sz w:val="24"/>
          <w:szCs w:val="24"/>
        </w:rPr>
        <w:t xml:space="preserve"> nor define</w:t>
      </w:r>
      <w:r w:rsidRPr="002C1D82">
        <w:rPr>
          <w:rFonts w:asciiTheme="majorHAnsi" w:hAnsiTheme="majorHAnsi"/>
          <w:sz w:val="24"/>
          <w:szCs w:val="24"/>
        </w:rPr>
        <w:t>s</w:t>
      </w:r>
      <w:r w:rsidRPr="00367320">
        <w:rPr>
          <w:rFonts w:asciiTheme="majorHAnsi" w:hAnsiTheme="majorHAnsi"/>
          <w:sz w:val="24"/>
          <w:szCs w:val="24"/>
        </w:rPr>
        <w:t xml:space="preserve"> a Massachusetts bank, the Massachusetts bank r</w:t>
      </w:r>
      <w:r w:rsidRPr="002C1D82">
        <w:rPr>
          <w:rFonts w:asciiTheme="majorHAnsi" w:hAnsiTheme="majorHAnsi"/>
          <w:sz w:val="24"/>
          <w:szCs w:val="24"/>
        </w:rPr>
        <w:t>equirement and its definition are</w:t>
      </w:r>
      <w:r w:rsidRPr="00367320">
        <w:rPr>
          <w:rFonts w:asciiTheme="majorHAnsi" w:hAnsiTheme="majorHAnsi"/>
          <w:sz w:val="24"/>
          <w:szCs w:val="24"/>
        </w:rPr>
        <w:t xml:space="preserve"> imputed from M.G.L. c. 62, § 2(b)(1)(A)</w:t>
      </w:r>
      <w:r>
        <w:rPr>
          <w:rFonts w:asciiTheme="majorHAnsi" w:hAnsiTheme="majorHAnsi"/>
          <w:sz w:val="24"/>
          <w:szCs w:val="24"/>
        </w:rPr>
        <w:t xml:space="preserve">.  </w:t>
      </w:r>
      <w:r w:rsidRPr="00367320">
        <w:rPr>
          <w:rFonts w:asciiTheme="majorHAnsi" w:hAnsiTheme="majorHAnsi"/>
          <w:sz w:val="24"/>
          <w:szCs w:val="24"/>
        </w:rPr>
        <w:t xml:space="preserve">In particular, </w:t>
      </w:r>
      <w:r w:rsidRPr="002C1D82">
        <w:rPr>
          <w:rFonts w:asciiTheme="majorHAnsi" w:hAnsiTheme="majorHAnsi"/>
          <w:color w:val="000000"/>
          <w:sz w:val="24"/>
          <w:szCs w:val="24"/>
        </w:rPr>
        <w:t xml:space="preserve">a </w:t>
      </w:r>
      <w:r w:rsidRPr="002C1D82">
        <w:rPr>
          <w:rFonts w:asciiTheme="majorHAnsi" w:hAnsiTheme="majorHAnsi"/>
          <w:sz w:val="24"/>
          <w:szCs w:val="24"/>
        </w:rPr>
        <w:t>Massachusetts bank for purposes of the deduction is a savings or cooperative bank, trust company or credit union incorporated in or chartered by the commonwealth, any national bank, federal savings and loan association, federal savings bank or federal credit union located in the</w:t>
      </w:r>
      <w:r w:rsidRPr="00295173">
        <w:rPr>
          <w:rFonts w:asciiTheme="majorHAnsi" w:hAnsiTheme="majorHAnsi"/>
          <w:sz w:val="24"/>
          <w:szCs w:val="24"/>
        </w:rPr>
        <w:t xml:space="preserve"> commonwealth, any banking company or Morris Plan company subject to M.G.L. c. 172A, any savings or loan association or banking partnership under the supervision of the Massachusetts commissioner of banks.</w:t>
      </w:r>
      <w:r>
        <w:rPr>
          <w:rFonts w:asciiTheme="majorHAnsi" w:hAnsiTheme="majorHAnsi"/>
          <w:sz w:val="24"/>
          <w:szCs w:val="24"/>
        </w:rPr>
        <w:t xml:space="preserve">  </w:t>
      </w:r>
      <w:r>
        <w:rPr>
          <w:rFonts w:asciiTheme="majorHAnsi" w:hAnsiTheme="majorHAnsi"/>
          <w:sz w:val="24"/>
          <w:szCs w:val="24"/>
          <w:u w:val="single"/>
        </w:rPr>
        <w:t>Id</w:t>
      </w:r>
      <w:r>
        <w:rPr>
          <w:rFonts w:asciiTheme="majorHAnsi" w:hAnsiTheme="majorHAnsi"/>
          <w:sz w:val="24"/>
          <w:szCs w:val="24"/>
        </w:rPr>
        <w:t xml:space="preserve">. </w:t>
      </w:r>
    </w:p>
    <w:p w14:paraId="2DFCA91A" w14:textId="1B8043DB" w:rsidR="007E392E" w:rsidRDefault="007E392E" w:rsidP="007E392E">
      <w:pPr>
        <w:tabs>
          <w:tab w:val="left" w:pos="7050"/>
        </w:tabs>
        <w:spacing w:after="0"/>
        <w:rPr>
          <w:rFonts w:asciiTheme="majorHAnsi" w:hAnsiTheme="majorHAnsi"/>
          <w:sz w:val="24"/>
          <w:szCs w:val="24"/>
        </w:rPr>
      </w:pPr>
    </w:p>
    <w:p w14:paraId="22B7E314" w14:textId="77777777" w:rsidR="00FC686F" w:rsidRPr="002C1D82" w:rsidRDefault="00FC686F" w:rsidP="007E392E">
      <w:pPr>
        <w:tabs>
          <w:tab w:val="left" w:pos="7050"/>
        </w:tabs>
        <w:spacing w:after="0"/>
        <w:rPr>
          <w:rFonts w:asciiTheme="majorHAnsi" w:hAnsiTheme="majorHAnsi"/>
          <w:sz w:val="24"/>
          <w:szCs w:val="24"/>
        </w:rPr>
      </w:pPr>
    </w:p>
    <w:p w14:paraId="50F00FD4" w14:textId="77777777" w:rsidR="007E392E" w:rsidRPr="00B04C56" w:rsidRDefault="00274512" w:rsidP="007E392E">
      <w:pPr>
        <w:tabs>
          <w:tab w:val="left" w:pos="7050"/>
        </w:tabs>
        <w:spacing w:after="0"/>
        <w:rPr>
          <w:rFonts w:asciiTheme="majorHAnsi" w:hAnsiTheme="majorHAnsi"/>
          <w:b/>
          <w:color w:val="E36C0A" w:themeColor="accent6" w:themeShade="BF"/>
          <w:sz w:val="28"/>
          <w:szCs w:val="28"/>
        </w:rPr>
      </w:pPr>
      <w:r w:rsidRPr="00B04C56">
        <w:rPr>
          <w:rFonts w:asciiTheme="majorHAnsi" w:hAnsiTheme="majorHAnsi"/>
          <w:b/>
          <w:color w:val="E36C0A" w:themeColor="accent6" w:themeShade="BF"/>
          <w:sz w:val="28"/>
          <w:szCs w:val="28"/>
        </w:rPr>
        <w:t>POLICY GOAL</w:t>
      </w:r>
    </w:p>
    <w:p w14:paraId="249C2500" w14:textId="77777777" w:rsidR="00274512" w:rsidRPr="002C1D82" w:rsidRDefault="00274512" w:rsidP="007E392E">
      <w:pPr>
        <w:tabs>
          <w:tab w:val="left" w:pos="7050"/>
        </w:tabs>
        <w:spacing w:after="0"/>
        <w:rPr>
          <w:rFonts w:asciiTheme="majorHAnsi" w:hAnsiTheme="majorHAnsi"/>
          <w:sz w:val="24"/>
          <w:szCs w:val="24"/>
        </w:rPr>
      </w:pPr>
    </w:p>
    <w:p w14:paraId="15443F3A" w14:textId="58A57E3C" w:rsidR="007E392E" w:rsidRPr="00367320" w:rsidRDefault="007E392E" w:rsidP="007E392E">
      <w:pPr>
        <w:pStyle w:val="ListParagraph"/>
        <w:tabs>
          <w:tab w:val="left" w:pos="1252"/>
        </w:tabs>
        <w:spacing w:after="0"/>
        <w:ind w:left="0"/>
        <w:rPr>
          <w:rFonts w:asciiTheme="majorHAnsi" w:eastAsiaTheme="majorEastAsia" w:hAnsiTheme="majorHAnsi" w:cs="Times New Roman"/>
          <w:bCs/>
          <w:sz w:val="24"/>
          <w:szCs w:val="24"/>
        </w:rPr>
      </w:pPr>
      <w:r w:rsidRPr="00295173">
        <w:rPr>
          <w:rFonts w:asciiTheme="majorHAnsi" w:hAnsiTheme="majorHAnsi"/>
          <w:sz w:val="24"/>
          <w:szCs w:val="24"/>
        </w:rPr>
        <w:t xml:space="preserve">This particular tax expenditure encourages savings and deposits in Massachusetts banks by allowing taxpayers a limited deduction for interest received from such banks.  This </w:t>
      </w:r>
      <w:r w:rsidR="00E5472B">
        <w:rPr>
          <w:rFonts w:asciiTheme="majorHAnsi" w:hAnsiTheme="majorHAnsi"/>
          <w:sz w:val="24"/>
          <w:szCs w:val="24"/>
        </w:rPr>
        <w:t>expenditure</w:t>
      </w:r>
      <w:r w:rsidRPr="00295173">
        <w:rPr>
          <w:rFonts w:asciiTheme="majorHAnsi" w:hAnsiTheme="majorHAnsi"/>
          <w:sz w:val="24"/>
          <w:szCs w:val="24"/>
        </w:rPr>
        <w:t xml:space="preserve"> ultimately supports the banking industry in Massachusetts.  In addition, the incentive encourages taxpayers to deposit money in interest</w:t>
      </w:r>
      <w:r w:rsidR="00E5472B">
        <w:rPr>
          <w:rFonts w:asciiTheme="majorHAnsi" w:hAnsiTheme="majorHAnsi"/>
          <w:sz w:val="24"/>
          <w:szCs w:val="24"/>
        </w:rPr>
        <w:t>-</w:t>
      </w:r>
      <w:r w:rsidRPr="00295173">
        <w:rPr>
          <w:rFonts w:asciiTheme="majorHAnsi" w:hAnsiTheme="majorHAnsi"/>
          <w:sz w:val="24"/>
          <w:szCs w:val="24"/>
        </w:rPr>
        <w:t>bearing account</w:t>
      </w:r>
      <w:r w:rsidR="00E5472B">
        <w:rPr>
          <w:rFonts w:asciiTheme="majorHAnsi" w:hAnsiTheme="majorHAnsi"/>
          <w:sz w:val="24"/>
          <w:szCs w:val="24"/>
        </w:rPr>
        <w:t>s</w:t>
      </w:r>
      <w:r w:rsidRPr="00295173">
        <w:rPr>
          <w:rFonts w:asciiTheme="majorHAnsi" w:hAnsiTheme="majorHAnsi"/>
          <w:sz w:val="24"/>
          <w:szCs w:val="24"/>
        </w:rPr>
        <w:t xml:space="preserve"> with Massachusetts banks.  The amount of the deduction remains unchanged since its enactment in 1973.  </w:t>
      </w:r>
      <w:r w:rsidR="00CB5F77">
        <w:rPr>
          <w:rFonts w:asciiTheme="majorHAnsi" w:hAnsiTheme="majorHAnsi"/>
          <w:sz w:val="24"/>
          <w:szCs w:val="24"/>
        </w:rPr>
        <w:t>N</w:t>
      </w:r>
      <w:r w:rsidRPr="00295173">
        <w:rPr>
          <w:rFonts w:asciiTheme="majorHAnsi" w:hAnsiTheme="majorHAnsi"/>
          <w:sz w:val="24"/>
          <w:szCs w:val="24"/>
        </w:rPr>
        <w:t xml:space="preserve">eighboring states do not have equivalent tax expenditures.  Historically, New Hampshire had a parallel provision, but it was repealed in 1995.  </w:t>
      </w:r>
      <w:r w:rsidRPr="00295173">
        <w:rPr>
          <w:rFonts w:asciiTheme="majorHAnsi" w:hAnsiTheme="majorHAnsi" w:cs="Times New Roman"/>
          <w:sz w:val="24"/>
          <w:szCs w:val="24"/>
        </w:rPr>
        <w:t xml:space="preserve">See </w:t>
      </w:r>
      <w:r w:rsidRPr="00295173">
        <w:rPr>
          <w:rFonts w:asciiTheme="majorHAnsi" w:hAnsiTheme="majorHAnsi" w:cs="Times New Roman"/>
          <w:sz w:val="24"/>
          <w:szCs w:val="24"/>
          <w:shd w:val="clear" w:color="auto" w:fill="FFFFFF"/>
        </w:rPr>
        <w:t xml:space="preserve">1995 NH ALS 188, </w:t>
      </w:r>
      <w:r w:rsidRPr="00295173">
        <w:rPr>
          <w:rFonts w:asciiTheme="majorHAnsi" w:hAnsiTheme="majorHAnsi"/>
          <w:sz w:val="24"/>
          <w:szCs w:val="24"/>
        </w:rPr>
        <w:t xml:space="preserve">§ </w:t>
      </w:r>
      <w:r w:rsidRPr="00295173">
        <w:rPr>
          <w:rFonts w:asciiTheme="majorHAnsi" w:hAnsiTheme="majorHAnsi" w:cs="Times New Roman"/>
          <w:sz w:val="24"/>
          <w:szCs w:val="24"/>
          <w:shd w:val="clear" w:color="auto" w:fill="FFFFFF"/>
        </w:rPr>
        <w:t xml:space="preserve">3. </w:t>
      </w:r>
    </w:p>
    <w:p w14:paraId="763A5FD2" w14:textId="77777777" w:rsidR="007E392E" w:rsidRPr="00295173" w:rsidRDefault="007E392E" w:rsidP="007E392E">
      <w:pPr>
        <w:pStyle w:val="ListParagraph"/>
        <w:tabs>
          <w:tab w:val="left" w:pos="7050"/>
        </w:tabs>
        <w:spacing w:after="0"/>
        <w:rPr>
          <w:rFonts w:asciiTheme="majorHAnsi" w:eastAsiaTheme="majorEastAsia" w:hAnsiTheme="majorHAnsi" w:cstheme="majorBidi"/>
          <w:bCs/>
          <w:color w:val="000000" w:themeColor="text1"/>
          <w:sz w:val="24"/>
          <w:szCs w:val="24"/>
        </w:rPr>
      </w:pPr>
      <w:r w:rsidRPr="002C1D82">
        <w:rPr>
          <w:rFonts w:asciiTheme="majorHAnsi" w:eastAsiaTheme="majorEastAsia" w:hAnsiTheme="majorHAnsi" w:cstheme="majorBidi"/>
          <w:bCs/>
          <w:color w:val="000000" w:themeColor="text1"/>
          <w:sz w:val="24"/>
          <w:szCs w:val="24"/>
        </w:rPr>
        <w:tab/>
      </w:r>
    </w:p>
    <w:p w14:paraId="387AEDA1" w14:textId="77777777" w:rsidR="007E392E" w:rsidRPr="002C1D82" w:rsidRDefault="007E392E" w:rsidP="007E392E">
      <w:pPr>
        <w:tabs>
          <w:tab w:val="left" w:pos="7050"/>
        </w:tabs>
        <w:spacing w:after="0"/>
        <w:rPr>
          <w:rFonts w:asciiTheme="majorHAnsi" w:eastAsiaTheme="majorEastAsia" w:hAnsiTheme="majorHAnsi" w:cstheme="majorBidi"/>
          <w:bCs/>
          <w:color w:val="000000" w:themeColor="text1"/>
          <w:sz w:val="24"/>
          <w:szCs w:val="24"/>
        </w:rPr>
      </w:pPr>
      <w:r w:rsidRPr="00367320">
        <w:rPr>
          <w:rFonts w:asciiTheme="majorHAnsi" w:hAnsiTheme="majorHAnsi"/>
          <w:color w:val="6D6E71"/>
          <w:sz w:val="24"/>
          <w:szCs w:val="24"/>
          <w:shd w:val="clear" w:color="auto" w:fill="FFFFFF"/>
        </w:rPr>
        <w:t xml:space="preserve"> </w:t>
      </w:r>
    </w:p>
    <w:p w14:paraId="79C44F5B" w14:textId="77777777" w:rsidR="00A7237B" w:rsidRDefault="00A7237B">
      <w:pP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ype="page"/>
      </w:r>
    </w:p>
    <w:p w14:paraId="5EFB1A85" w14:textId="60BACFD7" w:rsidR="007E392E" w:rsidRPr="0002100C" w:rsidRDefault="007E392E" w:rsidP="007E392E">
      <w:pPr>
        <w:tabs>
          <w:tab w:val="left" w:pos="7050"/>
        </w:tabs>
        <w:spacing w:after="0"/>
        <w:rPr>
          <w:rFonts w:asciiTheme="majorHAnsi" w:hAnsiTheme="majorHAnsi"/>
          <w:b/>
          <w:color w:val="E36C0A" w:themeColor="accent6" w:themeShade="BF"/>
          <w:sz w:val="28"/>
          <w:szCs w:val="28"/>
        </w:rPr>
      </w:pPr>
      <w:r w:rsidRPr="0002100C">
        <w:rPr>
          <w:rFonts w:asciiTheme="majorHAnsi" w:hAnsiTheme="majorHAnsi"/>
          <w:b/>
          <w:color w:val="E36C0A" w:themeColor="accent6" w:themeShade="BF"/>
          <w:sz w:val="28"/>
          <w:szCs w:val="28"/>
        </w:rPr>
        <w:lastRenderedPageBreak/>
        <w:t xml:space="preserve">COSTS </w:t>
      </w:r>
    </w:p>
    <w:p w14:paraId="623542C5" w14:textId="77777777" w:rsidR="007E392E" w:rsidRPr="0002100C" w:rsidRDefault="007E392E" w:rsidP="007E392E">
      <w:pPr>
        <w:spacing w:after="0"/>
        <w:rPr>
          <w:rFonts w:asciiTheme="majorHAnsi" w:eastAsiaTheme="majorEastAsia" w:hAnsiTheme="majorHAnsi" w:cstheme="majorBidi"/>
          <w:bCs/>
          <w:color w:val="000000" w:themeColor="text1"/>
          <w:sz w:val="24"/>
          <w:szCs w:val="24"/>
        </w:rPr>
      </w:pPr>
    </w:p>
    <w:p w14:paraId="304F7355" w14:textId="53427575" w:rsidR="007E392E" w:rsidRPr="0002100C" w:rsidRDefault="007E392E" w:rsidP="007E392E">
      <w:pPr>
        <w:spacing w:after="0"/>
        <w:rPr>
          <w:rFonts w:asciiTheme="majorHAnsi" w:eastAsiaTheme="majorEastAsia" w:hAnsiTheme="majorHAnsi" w:cstheme="majorBidi"/>
          <w:bCs/>
          <w:color w:val="000000" w:themeColor="text1"/>
          <w:sz w:val="24"/>
          <w:szCs w:val="24"/>
        </w:rPr>
      </w:pPr>
      <w:r w:rsidRPr="0002100C">
        <w:rPr>
          <w:rFonts w:asciiTheme="majorHAnsi" w:eastAsiaTheme="majorEastAsia" w:hAnsiTheme="majorHAnsi" w:cstheme="majorBidi"/>
          <w:bCs/>
          <w:color w:val="000000" w:themeColor="text1"/>
          <w:sz w:val="24"/>
          <w:szCs w:val="24"/>
        </w:rPr>
        <w:t>The revenue loss from this tax expenditure is calculated annually as part of the Tax Expenditure Budget (TEB).  We estimate the cost of this credit in FY22 will be $</w:t>
      </w:r>
      <w:r>
        <w:rPr>
          <w:rFonts w:asciiTheme="majorHAnsi" w:eastAsiaTheme="majorEastAsia" w:hAnsiTheme="majorHAnsi" w:cstheme="majorBidi"/>
          <w:bCs/>
          <w:color w:val="000000" w:themeColor="text1"/>
          <w:sz w:val="24"/>
          <w:szCs w:val="24"/>
        </w:rPr>
        <w:t>4.1</w:t>
      </w:r>
      <w:r w:rsidRPr="0002100C">
        <w:rPr>
          <w:rFonts w:asciiTheme="majorHAnsi" w:eastAsiaTheme="majorEastAsia" w:hAnsiTheme="majorHAnsi" w:cstheme="majorBidi"/>
          <w:bCs/>
          <w:color w:val="000000" w:themeColor="text1"/>
          <w:sz w:val="24"/>
          <w:szCs w:val="24"/>
        </w:rPr>
        <w:t xml:space="preserve"> million.   </w:t>
      </w:r>
    </w:p>
    <w:p w14:paraId="73084FB4" w14:textId="77777777" w:rsidR="007E392E" w:rsidRPr="0002100C" w:rsidRDefault="007E392E" w:rsidP="007E392E">
      <w:pPr>
        <w:spacing w:after="0"/>
        <w:rPr>
          <w:rFonts w:asciiTheme="majorHAnsi" w:eastAsiaTheme="majorEastAsia" w:hAnsiTheme="majorHAnsi" w:cstheme="majorBidi"/>
          <w:bCs/>
          <w:color w:val="000000" w:themeColor="text1"/>
          <w:sz w:val="24"/>
          <w:szCs w:val="24"/>
        </w:rPr>
      </w:pPr>
    </w:p>
    <w:p w14:paraId="20E6A5B4" w14:textId="77777777" w:rsidR="007E392E" w:rsidRPr="0002100C" w:rsidRDefault="007E392E" w:rsidP="007E392E">
      <w:pPr>
        <w:spacing w:after="0"/>
        <w:jc w:val="center"/>
        <w:rPr>
          <w:rFonts w:asciiTheme="majorHAnsi" w:eastAsiaTheme="majorEastAsia" w:hAnsiTheme="majorHAnsi" w:cstheme="majorBidi"/>
          <w:b/>
          <w:color w:val="000000" w:themeColor="text1"/>
          <w:sz w:val="24"/>
          <w:szCs w:val="24"/>
        </w:rPr>
      </w:pPr>
      <w:r w:rsidRPr="0002100C">
        <w:rPr>
          <w:rFonts w:asciiTheme="majorHAnsi" w:eastAsiaTheme="majorEastAsia" w:hAnsiTheme="majorHAnsi" w:cstheme="majorBidi"/>
          <w:b/>
          <w:color w:val="000000" w:themeColor="text1"/>
          <w:sz w:val="24"/>
          <w:szCs w:val="24"/>
        </w:rPr>
        <w:t xml:space="preserve">Actual and Forecast Tax Loss from </w:t>
      </w:r>
      <w:r>
        <w:rPr>
          <w:rFonts w:asciiTheme="majorHAnsi" w:eastAsiaTheme="majorEastAsia" w:hAnsiTheme="majorHAnsi" w:cstheme="majorBidi"/>
          <w:b/>
          <w:color w:val="000000" w:themeColor="text1"/>
          <w:sz w:val="24"/>
          <w:szCs w:val="24"/>
        </w:rPr>
        <w:t>MA Bank Interest Deduction</w:t>
      </w:r>
      <w:r w:rsidRPr="0002100C">
        <w:rPr>
          <w:rFonts w:asciiTheme="majorHAnsi" w:eastAsiaTheme="majorEastAsia" w:hAnsiTheme="majorHAnsi" w:cstheme="majorBidi"/>
          <w:b/>
          <w:color w:val="000000" w:themeColor="text1"/>
          <w:sz w:val="24"/>
          <w:szCs w:val="24"/>
        </w:rPr>
        <w:t xml:space="preserve"> ($millions)</w:t>
      </w:r>
    </w:p>
    <w:p w14:paraId="4B6FA0DD" w14:textId="77777777" w:rsidR="007E392E" w:rsidRPr="0002100C" w:rsidRDefault="007E392E" w:rsidP="007E392E">
      <w:pPr>
        <w:spacing w:after="0"/>
        <w:jc w:val="center"/>
        <w:rPr>
          <w:rFonts w:asciiTheme="majorHAnsi" w:eastAsiaTheme="majorEastAsia" w:hAnsiTheme="majorHAnsi" w:cstheme="majorBidi"/>
          <w:b/>
          <w:color w:val="000000" w:themeColor="text1"/>
          <w:sz w:val="24"/>
          <w:szCs w:val="24"/>
        </w:rPr>
      </w:pPr>
    </w:p>
    <w:p w14:paraId="147B1A26" w14:textId="77777777" w:rsidR="007E392E" w:rsidRDefault="007E392E" w:rsidP="007E392E">
      <w:pPr>
        <w:spacing w:after="0"/>
        <w:jc w:val="center"/>
        <w:rPr>
          <w:noProof/>
        </w:rPr>
      </w:pPr>
      <w:r w:rsidRPr="007F16B9">
        <w:rPr>
          <w:noProof/>
        </w:rPr>
        <w:drawing>
          <wp:inline distT="0" distB="0" distL="0" distR="0" wp14:anchorId="74874C21" wp14:editId="058092B1">
            <wp:extent cx="37719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895350"/>
                    </a:xfrm>
                    <a:prstGeom prst="rect">
                      <a:avLst/>
                    </a:prstGeom>
                    <a:noFill/>
                    <a:ln>
                      <a:noFill/>
                    </a:ln>
                  </pic:spPr>
                </pic:pic>
              </a:graphicData>
            </a:graphic>
          </wp:inline>
        </w:drawing>
      </w:r>
    </w:p>
    <w:p w14:paraId="51A6F1CE" w14:textId="77777777" w:rsidR="007E392E" w:rsidRDefault="007E392E" w:rsidP="007E392E">
      <w:pPr>
        <w:spacing w:after="0"/>
        <w:jc w:val="center"/>
        <w:rPr>
          <w:noProof/>
        </w:rPr>
      </w:pPr>
    </w:p>
    <w:p w14:paraId="0C97490D" w14:textId="77777777" w:rsidR="007E392E" w:rsidRPr="0002100C" w:rsidRDefault="007E392E" w:rsidP="007E392E">
      <w:pPr>
        <w:spacing w:after="0"/>
        <w:jc w:val="center"/>
        <w:rPr>
          <w:rFonts w:asciiTheme="majorHAnsi" w:eastAsiaTheme="majorEastAsia" w:hAnsiTheme="majorHAnsi" w:cstheme="majorBidi"/>
          <w:bCs/>
          <w:color w:val="000000" w:themeColor="text1"/>
          <w:sz w:val="24"/>
          <w:szCs w:val="24"/>
        </w:rPr>
      </w:pPr>
    </w:p>
    <w:p w14:paraId="22DA29B4" w14:textId="77777777" w:rsidR="007E392E" w:rsidRPr="0002100C" w:rsidRDefault="007E392E" w:rsidP="007E392E">
      <w:pPr>
        <w:spacing w:after="0"/>
        <w:rPr>
          <w:rFonts w:asciiTheme="majorHAnsi" w:hAnsiTheme="majorHAnsi"/>
          <w:bCs/>
          <w:sz w:val="24"/>
          <w:szCs w:val="24"/>
        </w:rPr>
      </w:pPr>
    </w:p>
    <w:p w14:paraId="267E97CA" w14:textId="77777777" w:rsidR="007E392E" w:rsidRDefault="007E392E" w:rsidP="007E392E">
      <w:pP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ype="page"/>
      </w:r>
    </w:p>
    <w:p w14:paraId="6191D91A" w14:textId="77777777" w:rsidR="007E392E" w:rsidRPr="0002100C" w:rsidRDefault="007E392E" w:rsidP="007E392E">
      <w:pPr>
        <w:tabs>
          <w:tab w:val="left" w:pos="7050"/>
        </w:tabs>
        <w:rPr>
          <w:rFonts w:asciiTheme="majorHAnsi" w:hAnsiTheme="majorHAnsi"/>
          <w:bCs/>
          <w:i/>
          <w:iCs/>
          <w:color w:val="E36C0A" w:themeColor="accent6" w:themeShade="BF"/>
          <w:sz w:val="28"/>
          <w:szCs w:val="28"/>
        </w:rPr>
      </w:pPr>
      <w:r w:rsidRPr="0002100C">
        <w:rPr>
          <w:rFonts w:asciiTheme="majorHAnsi" w:hAnsiTheme="majorHAnsi"/>
          <w:b/>
          <w:color w:val="E36C0A" w:themeColor="accent6" w:themeShade="BF"/>
          <w:sz w:val="28"/>
          <w:szCs w:val="28"/>
        </w:rPr>
        <w:lastRenderedPageBreak/>
        <w:t xml:space="preserve">BENEFITS  </w:t>
      </w:r>
    </w:p>
    <w:p w14:paraId="3342A78B" w14:textId="77777777" w:rsidR="007E392E" w:rsidRPr="0002100C" w:rsidRDefault="007E392E" w:rsidP="007E392E">
      <w:pPr>
        <w:tabs>
          <w:tab w:val="left" w:pos="7050"/>
        </w:tabs>
        <w:spacing w:after="0"/>
        <w:rPr>
          <w:rFonts w:asciiTheme="majorHAnsi" w:hAnsiTheme="majorHAnsi"/>
          <w:b/>
          <w:bCs/>
          <w:sz w:val="28"/>
          <w:szCs w:val="28"/>
        </w:rPr>
      </w:pPr>
      <w:r>
        <w:rPr>
          <w:rFonts w:asciiTheme="majorHAnsi" w:hAnsiTheme="majorHAnsi"/>
          <w:b/>
          <w:bCs/>
          <w:sz w:val="28"/>
          <w:szCs w:val="28"/>
        </w:rPr>
        <w:t>MA Bank Interest Deduction</w:t>
      </w:r>
      <w:r w:rsidRPr="0002100C">
        <w:rPr>
          <w:rFonts w:asciiTheme="majorHAnsi" w:hAnsiTheme="majorHAnsi"/>
          <w:b/>
          <w:bCs/>
          <w:sz w:val="28"/>
          <w:szCs w:val="28"/>
        </w:rPr>
        <w:t xml:space="preserve"> claimed by filers in 2018, by Income level</w:t>
      </w:r>
    </w:p>
    <w:p w14:paraId="1F2244F5" w14:textId="77777777" w:rsidR="007E392E" w:rsidRPr="0002100C" w:rsidRDefault="007E392E" w:rsidP="007E392E">
      <w:pPr>
        <w:tabs>
          <w:tab w:val="left" w:pos="7050"/>
        </w:tabs>
        <w:spacing w:after="0"/>
        <w:rPr>
          <w:rFonts w:asciiTheme="majorHAnsi" w:hAnsiTheme="majorHAnsi"/>
          <w:i/>
          <w:iCs/>
          <w:sz w:val="24"/>
          <w:szCs w:val="24"/>
        </w:rPr>
      </w:pPr>
      <w:r w:rsidRPr="0002100C">
        <w:rPr>
          <w:rFonts w:asciiTheme="majorHAnsi" w:hAnsiTheme="majorHAnsi"/>
          <w:i/>
          <w:iCs/>
          <w:sz w:val="24"/>
          <w:szCs w:val="24"/>
        </w:rPr>
        <w:t>Source:  Massachusetts Statistics of Income</w:t>
      </w:r>
    </w:p>
    <w:p w14:paraId="00BC2D18" w14:textId="77777777" w:rsidR="007E392E" w:rsidRPr="0002100C" w:rsidRDefault="007E392E" w:rsidP="007E392E">
      <w:pPr>
        <w:tabs>
          <w:tab w:val="left" w:pos="7050"/>
        </w:tabs>
        <w:spacing w:after="0"/>
        <w:rPr>
          <w:rFonts w:asciiTheme="majorHAnsi" w:hAnsiTheme="majorHAnsi"/>
          <w:sz w:val="24"/>
          <w:szCs w:val="24"/>
        </w:rPr>
      </w:pPr>
      <w:r w:rsidRPr="00D86411">
        <w:rPr>
          <w:noProof/>
        </w:rPr>
        <w:drawing>
          <wp:inline distT="0" distB="0" distL="0" distR="0" wp14:anchorId="308837CA" wp14:editId="74D10FA7">
            <wp:extent cx="5943600" cy="4777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77105"/>
                    </a:xfrm>
                    <a:prstGeom prst="rect">
                      <a:avLst/>
                    </a:prstGeom>
                    <a:noFill/>
                    <a:ln>
                      <a:noFill/>
                    </a:ln>
                  </pic:spPr>
                </pic:pic>
              </a:graphicData>
            </a:graphic>
          </wp:inline>
        </w:drawing>
      </w:r>
    </w:p>
    <w:p w14:paraId="4E1AAD23" w14:textId="77777777" w:rsidR="007E392E" w:rsidRPr="0002100C" w:rsidRDefault="007E392E" w:rsidP="007E392E">
      <w:pPr>
        <w:tabs>
          <w:tab w:val="left" w:pos="7050"/>
        </w:tabs>
        <w:spacing w:after="0"/>
        <w:jc w:val="center"/>
        <w:rPr>
          <w:rFonts w:asciiTheme="majorHAnsi" w:hAnsiTheme="majorHAnsi"/>
          <w:sz w:val="24"/>
          <w:szCs w:val="24"/>
        </w:rPr>
      </w:pPr>
    </w:p>
    <w:p w14:paraId="7070F320" w14:textId="77777777" w:rsidR="007E392E" w:rsidRDefault="007E392E" w:rsidP="007E392E">
      <w:pPr>
        <w:spacing w:after="0"/>
        <w:rPr>
          <w:rFonts w:asciiTheme="majorHAnsi" w:hAnsiTheme="majorHAnsi"/>
          <w:sz w:val="24"/>
          <w:szCs w:val="24"/>
        </w:rPr>
      </w:pPr>
    </w:p>
    <w:p w14:paraId="382C0F02" w14:textId="77777777" w:rsidR="007E392E" w:rsidRDefault="007E392E" w:rsidP="007E392E">
      <w:pPr>
        <w:spacing w:after="0"/>
        <w:rPr>
          <w:rFonts w:asciiTheme="majorHAnsi" w:hAnsiTheme="majorHAnsi"/>
          <w:sz w:val="24"/>
          <w:szCs w:val="24"/>
        </w:rPr>
      </w:pPr>
    </w:p>
    <w:p w14:paraId="0D488749" w14:textId="77777777" w:rsidR="007E392E" w:rsidRPr="0002100C" w:rsidRDefault="007E392E" w:rsidP="007E392E">
      <w:pPr>
        <w:spacing w:after="0"/>
        <w:rPr>
          <w:rFonts w:asciiTheme="majorHAnsi" w:hAnsiTheme="majorHAnsi"/>
          <w:sz w:val="24"/>
          <w:szCs w:val="24"/>
        </w:rPr>
      </w:pPr>
    </w:p>
    <w:p w14:paraId="327AC0E7" w14:textId="77777777" w:rsidR="007E392E" w:rsidRPr="0002100C" w:rsidRDefault="007E392E" w:rsidP="007E392E">
      <w:pPr>
        <w:tabs>
          <w:tab w:val="left" w:pos="7050"/>
        </w:tabs>
        <w:spacing w:after="0"/>
        <w:rPr>
          <w:rFonts w:asciiTheme="majorHAnsi" w:hAnsiTheme="majorHAnsi"/>
          <w:b/>
          <w:sz w:val="24"/>
          <w:szCs w:val="24"/>
        </w:rPr>
      </w:pPr>
    </w:p>
    <w:p w14:paraId="2A473F67" w14:textId="77777777" w:rsidR="007E392E" w:rsidRPr="0002100C" w:rsidRDefault="007E392E" w:rsidP="007E392E">
      <w:pPr>
        <w:tabs>
          <w:tab w:val="left" w:pos="7050"/>
        </w:tabs>
        <w:spacing w:after="0"/>
        <w:rPr>
          <w:rFonts w:asciiTheme="majorHAnsi" w:hAnsiTheme="majorHAnsi"/>
          <w:b/>
          <w:color w:val="E36C0A" w:themeColor="accent6" w:themeShade="BF"/>
          <w:sz w:val="28"/>
          <w:szCs w:val="28"/>
        </w:rPr>
      </w:pPr>
      <w:r w:rsidRPr="0002100C">
        <w:rPr>
          <w:rFonts w:asciiTheme="majorHAnsi" w:hAnsiTheme="majorHAnsi"/>
          <w:b/>
          <w:color w:val="E36C0A" w:themeColor="accent6" w:themeShade="BF"/>
          <w:sz w:val="28"/>
          <w:szCs w:val="28"/>
        </w:rPr>
        <w:t>EVALUATION:  COMPARING COSTS AND BENEFITS</w:t>
      </w:r>
    </w:p>
    <w:p w14:paraId="0A5811F6" w14:textId="77777777" w:rsidR="007E392E" w:rsidRDefault="007E392E" w:rsidP="007E392E">
      <w:pPr>
        <w:tabs>
          <w:tab w:val="left" w:pos="7050"/>
        </w:tabs>
        <w:spacing w:after="0"/>
        <w:rPr>
          <w:rFonts w:asciiTheme="majorHAnsi" w:hAnsiTheme="majorHAnsi"/>
          <w:sz w:val="24"/>
          <w:szCs w:val="24"/>
        </w:rPr>
      </w:pPr>
    </w:p>
    <w:p w14:paraId="6FB5BF0A" w14:textId="1D3F5345" w:rsidR="007E392E" w:rsidRDefault="007E392E" w:rsidP="007E392E">
      <w:pPr>
        <w:spacing w:after="0"/>
        <w:rPr>
          <w:rFonts w:asciiTheme="majorHAnsi" w:hAnsiTheme="majorHAnsi"/>
          <w:sz w:val="24"/>
          <w:szCs w:val="24"/>
        </w:rPr>
      </w:pPr>
      <w:r>
        <w:rPr>
          <w:rFonts w:asciiTheme="majorHAnsi" w:hAnsiTheme="majorHAnsi"/>
          <w:sz w:val="24"/>
          <w:szCs w:val="24"/>
        </w:rPr>
        <w:t>The Massachusetts bank interest deduction costs Massachusetts</w:t>
      </w:r>
      <w:r w:rsidR="00E5472B">
        <w:rPr>
          <w:rFonts w:asciiTheme="majorHAnsi" w:hAnsiTheme="majorHAnsi"/>
          <w:sz w:val="24"/>
          <w:szCs w:val="24"/>
        </w:rPr>
        <w:t xml:space="preserve"> </w:t>
      </w:r>
      <w:r>
        <w:rPr>
          <w:rFonts w:asciiTheme="majorHAnsi" w:hAnsiTheme="majorHAnsi"/>
          <w:sz w:val="24"/>
          <w:szCs w:val="24"/>
        </w:rPr>
        <w:t xml:space="preserve">$3 to </w:t>
      </w:r>
      <w:r w:rsidRPr="00377157">
        <w:rPr>
          <w:rFonts w:asciiTheme="majorHAnsi" w:hAnsiTheme="majorHAnsi"/>
          <w:sz w:val="24"/>
          <w:szCs w:val="24"/>
        </w:rPr>
        <w:t>$</w:t>
      </w:r>
      <w:r>
        <w:rPr>
          <w:rFonts w:asciiTheme="majorHAnsi" w:hAnsiTheme="majorHAnsi"/>
          <w:sz w:val="24"/>
          <w:szCs w:val="24"/>
        </w:rPr>
        <w:t>4 million annually.  In addition to the di</w:t>
      </w:r>
      <w:r w:rsidRPr="0002100C">
        <w:rPr>
          <w:rFonts w:asciiTheme="majorHAnsi" w:hAnsiTheme="majorHAnsi"/>
          <w:sz w:val="24"/>
          <w:szCs w:val="24"/>
        </w:rPr>
        <w:t xml:space="preserve">rect </w:t>
      </w:r>
      <w:r>
        <w:rPr>
          <w:rFonts w:asciiTheme="majorHAnsi" w:hAnsiTheme="majorHAnsi"/>
          <w:sz w:val="24"/>
          <w:szCs w:val="24"/>
        </w:rPr>
        <w:t>tax savings to Massachusetts taxpayers, this deduction supports Massachusetts e</w:t>
      </w:r>
      <w:r w:rsidRPr="0002100C">
        <w:rPr>
          <w:rFonts w:asciiTheme="majorHAnsi" w:hAnsiTheme="majorHAnsi"/>
          <w:sz w:val="24"/>
          <w:szCs w:val="24"/>
        </w:rPr>
        <w:t xml:space="preserve">mployment in the </w:t>
      </w:r>
      <w:r>
        <w:rPr>
          <w:rFonts w:asciiTheme="majorHAnsi" w:hAnsiTheme="majorHAnsi"/>
          <w:sz w:val="24"/>
          <w:szCs w:val="24"/>
        </w:rPr>
        <w:t xml:space="preserve">banking </w:t>
      </w:r>
      <w:r w:rsidRPr="0002100C">
        <w:rPr>
          <w:rFonts w:asciiTheme="majorHAnsi" w:hAnsiTheme="majorHAnsi"/>
          <w:sz w:val="24"/>
          <w:szCs w:val="24"/>
        </w:rPr>
        <w:t>industry</w:t>
      </w:r>
      <w:r>
        <w:rPr>
          <w:rFonts w:asciiTheme="majorHAnsi" w:hAnsiTheme="majorHAnsi"/>
          <w:sz w:val="24"/>
          <w:szCs w:val="24"/>
        </w:rPr>
        <w:t xml:space="preserve">.  </w:t>
      </w:r>
    </w:p>
    <w:p w14:paraId="2A6ED713" w14:textId="77777777" w:rsidR="007E392E" w:rsidRPr="0002100C" w:rsidRDefault="007E392E" w:rsidP="007E392E">
      <w:pPr>
        <w:spacing w:after="0"/>
        <w:rPr>
          <w:rFonts w:asciiTheme="majorHAnsi" w:hAnsiTheme="majorHAnsi"/>
          <w:sz w:val="24"/>
          <w:szCs w:val="24"/>
        </w:rPr>
      </w:pPr>
    </w:p>
    <w:p w14:paraId="793DB1DD" w14:textId="6E639899" w:rsidR="007E392E" w:rsidRDefault="007E392E" w:rsidP="007E392E">
      <w:pPr>
        <w:spacing w:after="0"/>
        <w:rPr>
          <w:rFonts w:asciiTheme="majorHAnsi" w:hAnsiTheme="majorHAnsi"/>
          <w:sz w:val="24"/>
          <w:szCs w:val="24"/>
        </w:rPr>
      </w:pPr>
      <w:r>
        <w:rPr>
          <w:rFonts w:asciiTheme="majorHAnsi" w:hAnsiTheme="majorHAnsi"/>
          <w:sz w:val="24"/>
          <w:szCs w:val="24"/>
        </w:rPr>
        <w:lastRenderedPageBreak/>
        <w:t>While</w:t>
      </w:r>
      <w:r w:rsidR="00274512">
        <w:rPr>
          <w:rFonts w:asciiTheme="majorHAnsi" w:hAnsiTheme="majorHAnsi"/>
          <w:sz w:val="24"/>
          <w:szCs w:val="24"/>
        </w:rPr>
        <w:t xml:space="preserve"> the benefits of the deduction </w:t>
      </w:r>
      <w:r>
        <w:rPr>
          <w:rFonts w:asciiTheme="majorHAnsi" w:hAnsiTheme="majorHAnsi"/>
          <w:sz w:val="24"/>
          <w:szCs w:val="24"/>
        </w:rPr>
        <w:t xml:space="preserve">are small, they are widely distributed across all income strata in Massachusetts.  In theory, the deduction is equitable because as a percentage of income, the benefit is worth more to lower-income filers.  However, as actually applied, the deduction has insignificant benefits for most filers for two reasons: </w:t>
      </w:r>
    </w:p>
    <w:p w14:paraId="4EDD73CE" w14:textId="77777777" w:rsidR="007E392E" w:rsidRDefault="007E392E" w:rsidP="007E392E">
      <w:pPr>
        <w:tabs>
          <w:tab w:val="left" w:pos="7050"/>
        </w:tabs>
        <w:spacing w:after="0"/>
        <w:rPr>
          <w:rFonts w:asciiTheme="majorHAnsi" w:hAnsiTheme="majorHAnsi"/>
          <w:sz w:val="24"/>
          <w:szCs w:val="24"/>
        </w:rPr>
      </w:pPr>
    </w:p>
    <w:p w14:paraId="20B07DE1" w14:textId="7DE22987" w:rsidR="007E392E" w:rsidRPr="00377157" w:rsidRDefault="007E392E" w:rsidP="007E392E">
      <w:pPr>
        <w:tabs>
          <w:tab w:val="left" w:pos="7050"/>
        </w:tabs>
        <w:spacing w:after="0"/>
        <w:rPr>
          <w:rFonts w:asciiTheme="majorHAnsi" w:hAnsiTheme="majorHAnsi"/>
          <w:i/>
          <w:iCs/>
          <w:sz w:val="24"/>
          <w:szCs w:val="24"/>
        </w:rPr>
      </w:pPr>
      <w:r>
        <w:rPr>
          <w:rFonts w:asciiTheme="majorHAnsi" w:hAnsiTheme="majorHAnsi"/>
          <w:i/>
          <w:iCs/>
          <w:sz w:val="24"/>
          <w:szCs w:val="24"/>
        </w:rPr>
        <w:t>M</w:t>
      </w:r>
      <w:r w:rsidRPr="00377157">
        <w:rPr>
          <w:rFonts w:asciiTheme="majorHAnsi" w:hAnsiTheme="majorHAnsi"/>
          <w:i/>
          <w:iCs/>
          <w:sz w:val="24"/>
          <w:szCs w:val="24"/>
        </w:rPr>
        <w:t xml:space="preserve">inor tax savings:  </w:t>
      </w:r>
    </w:p>
    <w:p w14:paraId="2DD9E4A0" w14:textId="0FFC7583" w:rsidR="007E392E" w:rsidRDefault="007E392E" w:rsidP="007E392E">
      <w:pPr>
        <w:tabs>
          <w:tab w:val="left" w:pos="7050"/>
        </w:tabs>
        <w:spacing w:after="0"/>
        <w:rPr>
          <w:rFonts w:asciiTheme="majorHAnsi" w:hAnsiTheme="majorHAnsi"/>
          <w:sz w:val="24"/>
          <w:szCs w:val="24"/>
        </w:rPr>
      </w:pPr>
      <w:r>
        <w:rPr>
          <w:rFonts w:asciiTheme="majorHAnsi" w:hAnsiTheme="majorHAnsi"/>
          <w:sz w:val="24"/>
          <w:szCs w:val="24"/>
        </w:rPr>
        <w:t xml:space="preserve">The maximum value of the deduction is $100 for single filers and $200 for joint filers.  Because the Massachusetts personal income tax is imposed at a rate of 5%, this deduction provides tax savings up to a maximum of either $5 or $10 per filer.  </w:t>
      </w:r>
    </w:p>
    <w:p w14:paraId="1B249755" w14:textId="77777777" w:rsidR="007E392E" w:rsidRDefault="007E392E" w:rsidP="007E392E">
      <w:pPr>
        <w:tabs>
          <w:tab w:val="left" w:pos="7050"/>
        </w:tabs>
        <w:spacing w:after="0"/>
        <w:rPr>
          <w:rFonts w:asciiTheme="majorHAnsi" w:hAnsiTheme="majorHAnsi"/>
          <w:sz w:val="24"/>
          <w:szCs w:val="24"/>
        </w:rPr>
      </w:pPr>
    </w:p>
    <w:p w14:paraId="65CE5D1C" w14:textId="77777777" w:rsidR="007E392E" w:rsidRPr="00BA2636" w:rsidRDefault="007E392E" w:rsidP="007E392E">
      <w:pPr>
        <w:tabs>
          <w:tab w:val="left" w:pos="7050"/>
        </w:tabs>
        <w:spacing w:after="0"/>
        <w:rPr>
          <w:rFonts w:asciiTheme="majorHAnsi" w:hAnsiTheme="majorHAnsi"/>
          <w:i/>
          <w:iCs/>
          <w:sz w:val="24"/>
          <w:szCs w:val="24"/>
        </w:rPr>
      </w:pPr>
      <w:r w:rsidRPr="00BA2636">
        <w:rPr>
          <w:rFonts w:asciiTheme="majorHAnsi" w:hAnsiTheme="majorHAnsi"/>
          <w:i/>
          <w:iCs/>
          <w:sz w:val="24"/>
          <w:szCs w:val="24"/>
        </w:rPr>
        <w:t xml:space="preserve">Significant savings required to reach maximum: </w:t>
      </w:r>
    </w:p>
    <w:p w14:paraId="38D6F515" w14:textId="7CF3DC9F" w:rsidR="007E392E" w:rsidRPr="006E3711" w:rsidRDefault="007E392E" w:rsidP="007E392E">
      <w:pPr>
        <w:tabs>
          <w:tab w:val="left" w:pos="7050"/>
        </w:tabs>
        <w:spacing w:after="0"/>
        <w:rPr>
          <w:rFonts w:asciiTheme="majorHAnsi" w:hAnsiTheme="majorHAnsi"/>
          <w:b/>
          <w:sz w:val="24"/>
        </w:rPr>
      </w:pPr>
      <w:r>
        <w:rPr>
          <w:rFonts w:asciiTheme="majorHAnsi" w:hAnsiTheme="majorHAnsi"/>
          <w:sz w:val="24"/>
          <w:szCs w:val="24"/>
        </w:rPr>
        <w:t xml:space="preserve">The Massachusetts bank interest deduction was enacted in 1973.  At that time, interest rates were much higher than today, and it was not uncommon for a savings account to generate 5% interest annually.  By comparison, the current interest rate on a savings account may be only 0.1%.  Even a “high rate savings” account may pay only 1% interest annually.  </w:t>
      </w:r>
      <w:r w:rsidRPr="00A76303">
        <w:rPr>
          <w:rFonts w:asciiTheme="majorHAnsi" w:hAnsiTheme="majorHAnsi"/>
          <w:sz w:val="24"/>
          <w:szCs w:val="24"/>
        </w:rPr>
        <w:t xml:space="preserve">At a 1% interest rate, a taxpayer filing alone would have to have at least $10,000, or $20,000 if filing jointly, deposited in a Massachusetts bank to earn the maximum $100 or $200 in interest annually.  </w:t>
      </w:r>
      <w:r>
        <w:rPr>
          <w:rFonts w:asciiTheme="majorHAnsi" w:hAnsiTheme="majorHAnsi"/>
          <w:sz w:val="24"/>
          <w:szCs w:val="24"/>
        </w:rPr>
        <w:t>These are</w:t>
      </w:r>
      <w:r w:rsidR="00274512">
        <w:rPr>
          <w:rFonts w:asciiTheme="majorHAnsi" w:hAnsiTheme="majorHAnsi"/>
          <w:sz w:val="24"/>
          <w:szCs w:val="24"/>
        </w:rPr>
        <w:t xml:space="preserve"> </w:t>
      </w:r>
      <w:r w:rsidRPr="00A76303">
        <w:rPr>
          <w:rFonts w:asciiTheme="majorHAnsi" w:hAnsiTheme="majorHAnsi"/>
          <w:sz w:val="24"/>
          <w:szCs w:val="24"/>
        </w:rPr>
        <w:t>significant sum</w:t>
      </w:r>
      <w:r>
        <w:rPr>
          <w:rFonts w:asciiTheme="majorHAnsi" w:hAnsiTheme="majorHAnsi"/>
          <w:sz w:val="24"/>
          <w:szCs w:val="24"/>
        </w:rPr>
        <w:t>s</w:t>
      </w:r>
      <w:r w:rsidRPr="00A76303">
        <w:rPr>
          <w:rFonts w:asciiTheme="majorHAnsi" w:hAnsiTheme="majorHAnsi"/>
          <w:sz w:val="24"/>
          <w:szCs w:val="24"/>
        </w:rPr>
        <w:t xml:space="preserve"> to leave in an account bearing</w:t>
      </w:r>
      <w:r>
        <w:rPr>
          <w:rFonts w:asciiTheme="majorHAnsi" w:hAnsiTheme="majorHAnsi"/>
          <w:sz w:val="24"/>
          <w:szCs w:val="24"/>
        </w:rPr>
        <w:t xml:space="preserve"> such</w:t>
      </w:r>
      <w:r w:rsidRPr="00A76303">
        <w:rPr>
          <w:rFonts w:asciiTheme="majorHAnsi" w:hAnsiTheme="majorHAnsi"/>
          <w:sz w:val="24"/>
          <w:szCs w:val="24"/>
        </w:rPr>
        <w:t xml:space="preserve"> a minor return, even with the tax deduction.</w:t>
      </w:r>
      <w:r w:rsidRPr="006E3711">
        <w:rPr>
          <w:rFonts w:asciiTheme="majorHAnsi" w:hAnsiTheme="majorHAnsi"/>
          <w:b/>
          <w:sz w:val="24"/>
        </w:rPr>
        <w:t xml:space="preserve">  </w:t>
      </w:r>
    </w:p>
    <w:p w14:paraId="2984EE69" w14:textId="77777777" w:rsidR="007E392E" w:rsidRDefault="007E392E" w:rsidP="007E392E">
      <w:pPr>
        <w:tabs>
          <w:tab w:val="left" w:pos="7050"/>
        </w:tabs>
        <w:spacing w:after="0"/>
        <w:rPr>
          <w:rFonts w:asciiTheme="majorHAnsi" w:hAnsiTheme="majorHAnsi"/>
          <w:bCs/>
          <w:sz w:val="24"/>
          <w:szCs w:val="23"/>
          <w:highlight w:val="yellow"/>
        </w:rPr>
      </w:pPr>
    </w:p>
    <w:p w14:paraId="6BBB0C6E" w14:textId="77777777" w:rsidR="007E392E" w:rsidRPr="0002100C" w:rsidRDefault="007E392E" w:rsidP="007E392E">
      <w:pPr>
        <w:tabs>
          <w:tab w:val="left" w:pos="7050"/>
        </w:tabs>
        <w:spacing w:after="0"/>
        <w:rPr>
          <w:rFonts w:asciiTheme="majorHAnsi" w:hAnsiTheme="majorHAnsi"/>
          <w:bCs/>
          <w:sz w:val="24"/>
          <w:szCs w:val="23"/>
          <w:highlight w:val="yellow"/>
        </w:rPr>
      </w:pPr>
    </w:p>
    <w:p w14:paraId="01D8D372" w14:textId="77777777" w:rsidR="00274512" w:rsidRDefault="00274512" w:rsidP="006E3711">
      <w:pPr>
        <w:tabs>
          <w:tab w:val="left" w:pos="7050"/>
        </w:tabs>
        <w:spacing w:after="0"/>
        <w:rPr>
          <w:rFonts w:asciiTheme="majorHAnsi" w:eastAsiaTheme="majorEastAsia" w:hAnsiTheme="majorHAnsi" w:cstheme="majorBidi"/>
          <w:b/>
          <w:bCs/>
          <w:color w:val="E36C0A" w:themeColor="accent6" w:themeShade="BF"/>
          <w:sz w:val="28"/>
          <w:szCs w:val="28"/>
        </w:rPr>
      </w:pPr>
      <w:r w:rsidRPr="00274512">
        <w:rPr>
          <w:rFonts w:asciiTheme="majorHAnsi" w:eastAsiaTheme="majorEastAsia" w:hAnsiTheme="majorHAnsi" w:cstheme="majorBidi"/>
          <w:b/>
          <w:bCs/>
          <w:color w:val="E36C0A" w:themeColor="accent6" w:themeShade="BF"/>
          <w:sz w:val="28"/>
          <w:szCs w:val="28"/>
        </w:rPr>
        <w:t>SIMILAR TAX EXPENDITURES OFFERED BY OTHER STATES</w:t>
      </w:r>
    </w:p>
    <w:p w14:paraId="76347D13" w14:textId="77777777" w:rsidR="00274512" w:rsidRDefault="00274512" w:rsidP="007E392E">
      <w:pPr>
        <w:tabs>
          <w:tab w:val="left" w:pos="7050"/>
        </w:tabs>
        <w:spacing w:after="0"/>
        <w:rPr>
          <w:rFonts w:asciiTheme="majorHAnsi" w:eastAsiaTheme="majorEastAsia" w:hAnsiTheme="majorHAnsi" w:cstheme="majorBidi"/>
          <w:b/>
          <w:bCs/>
          <w:color w:val="E36C0A" w:themeColor="accent6" w:themeShade="BF"/>
          <w:sz w:val="28"/>
          <w:szCs w:val="28"/>
        </w:rPr>
      </w:pPr>
    </w:p>
    <w:p w14:paraId="56AF38BD" w14:textId="77777777" w:rsidR="007E392E" w:rsidRDefault="007E392E" w:rsidP="007E392E">
      <w:pPr>
        <w:tabs>
          <w:tab w:val="left" w:pos="7050"/>
        </w:tabs>
        <w:spacing w:after="0"/>
        <w:rPr>
          <w:rFonts w:asciiTheme="majorHAnsi" w:hAnsiTheme="majorHAnsi"/>
          <w:bCs/>
          <w:sz w:val="24"/>
          <w:szCs w:val="23"/>
        </w:rPr>
      </w:pPr>
      <w:r w:rsidRPr="00C17A97">
        <w:rPr>
          <w:rFonts w:asciiTheme="majorHAnsi" w:hAnsiTheme="majorHAnsi"/>
          <w:bCs/>
          <w:sz w:val="24"/>
          <w:szCs w:val="23"/>
        </w:rPr>
        <w:t>No other bordering states offer a parallel deduction or exemption for in-state bank interest.</w:t>
      </w:r>
    </w:p>
    <w:p w14:paraId="1B209EBA" w14:textId="77777777" w:rsidR="007E392E" w:rsidRPr="0002100C" w:rsidRDefault="007E392E" w:rsidP="007E392E">
      <w:pPr>
        <w:tabs>
          <w:tab w:val="left" w:pos="7050"/>
        </w:tabs>
        <w:spacing w:after="0"/>
        <w:rPr>
          <w:rFonts w:asciiTheme="majorHAnsi" w:hAnsiTheme="majorHAnsi"/>
          <w:bCs/>
          <w:sz w:val="24"/>
          <w:szCs w:val="23"/>
        </w:rPr>
      </w:pPr>
    </w:p>
    <w:p w14:paraId="4D7606E8" w14:textId="77777777" w:rsidR="007E392E" w:rsidRPr="0002100C" w:rsidRDefault="007E392E" w:rsidP="007E392E">
      <w:pPr>
        <w:tabs>
          <w:tab w:val="left" w:pos="7050"/>
        </w:tabs>
        <w:spacing w:after="0" w:line="240" w:lineRule="auto"/>
        <w:rPr>
          <w:rFonts w:asciiTheme="majorHAnsi" w:hAnsiTheme="majorHAnsi"/>
          <w:b/>
          <w:sz w:val="23"/>
          <w:szCs w:val="23"/>
        </w:rPr>
      </w:pPr>
    </w:p>
    <w:p w14:paraId="43F3DB1B" w14:textId="77777777" w:rsidR="007E392E" w:rsidRDefault="007E392E" w:rsidP="007E392E">
      <w:pPr>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br w:type="page"/>
      </w:r>
    </w:p>
    <w:p w14:paraId="7D297911" w14:textId="77777777" w:rsidR="007E392E" w:rsidRPr="0002100C" w:rsidRDefault="007E392E" w:rsidP="007E392E">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sidRPr="0002100C">
        <w:rPr>
          <w:rFonts w:asciiTheme="majorHAnsi" w:eastAsiaTheme="majorEastAsia" w:hAnsiTheme="majorHAnsi" w:cstheme="majorBidi"/>
          <w:b/>
          <w:bCs/>
          <w:color w:val="E36C0A" w:themeColor="accent6" w:themeShade="BF"/>
          <w:sz w:val="28"/>
          <w:szCs w:val="28"/>
        </w:rPr>
        <w:lastRenderedPageBreak/>
        <w:t xml:space="preserve">IS THE INCENTIVE AS DESIGNED ACCOMPLISHING ITS PURPOSE?  </w:t>
      </w:r>
    </w:p>
    <w:p w14:paraId="3B166E59" w14:textId="77777777" w:rsidR="007E392E" w:rsidRPr="0002100C" w:rsidRDefault="007E392E" w:rsidP="007E392E">
      <w:pPr>
        <w:tabs>
          <w:tab w:val="left" w:pos="7050"/>
        </w:tabs>
        <w:spacing w:after="0"/>
        <w:rPr>
          <w:rFonts w:asciiTheme="majorHAnsi" w:hAnsiTheme="majorHAnsi"/>
          <w:sz w:val="24"/>
          <w:szCs w:val="24"/>
        </w:rPr>
      </w:pPr>
    </w:p>
    <w:p w14:paraId="669418D5" w14:textId="7B1C5A90" w:rsidR="007E392E" w:rsidRDefault="007E392E" w:rsidP="007E392E">
      <w:pPr>
        <w:tabs>
          <w:tab w:val="left" w:pos="7050"/>
        </w:tabs>
        <w:spacing w:after="0"/>
        <w:rPr>
          <w:rFonts w:asciiTheme="majorHAnsi" w:hAnsiTheme="majorHAnsi"/>
          <w:bCs/>
          <w:sz w:val="24"/>
          <w:szCs w:val="23"/>
        </w:rPr>
      </w:pPr>
      <w:r>
        <w:rPr>
          <w:rFonts w:asciiTheme="majorHAnsi" w:hAnsiTheme="majorHAnsi"/>
          <w:bCs/>
          <w:sz w:val="24"/>
          <w:szCs w:val="23"/>
        </w:rPr>
        <w:t xml:space="preserve">This </w:t>
      </w:r>
      <w:r w:rsidRPr="00721143">
        <w:rPr>
          <w:rFonts w:asciiTheme="majorHAnsi" w:hAnsiTheme="majorHAnsi"/>
          <w:bCs/>
          <w:sz w:val="24"/>
          <w:szCs w:val="23"/>
        </w:rPr>
        <w:t>tax expenditure is designed to encourage taxpayers to open savings accounts with Massachusetts banks, thereby facilitating the growth and development of such banks.</w:t>
      </w:r>
      <w:r>
        <w:rPr>
          <w:rFonts w:asciiTheme="majorHAnsi" w:hAnsiTheme="majorHAnsi"/>
          <w:bCs/>
          <w:sz w:val="24"/>
          <w:szCs w:val="23"/>
        </w:rPr>
        <w:t xml:space="preserve">  However, as t</w:t>
      </w:r>
      <w:r w:rsidRPr="0002100C">
        <w:rPr>
          <w:rFonts w:asciiTheme="majorHAnsi" w:hAnsiTheme="majorHAnsi"/>
          <w:bCs/>
          <w:sz w:val="24"/>
          <w:szCs w:val="23"/>
        </w:rPr>
        <w:t xml:space="preserve">he chart below </w:t>
      </w:r>
      <w:r>
        <w:rPr>
          <w:rFonts w:asciiTheme="majorHAnsi" w:hAnsiTheme="majorHAnsi"/>
          <w:bCs/>
          <w:sz w:val="24"/>
          <w:szCs w:val="23"/>
        </w:rPr>
        <w:t>demonstrates,</w:t>
      </w:r>
      <w:r w:rsidRPr="0002100C">
        <w:rPr>
          <w:rFonts w:asciiTheme="majorHAnsi" w:hAnsiTheme="majorHAnsi"/>
          <w:bCs/>
          <w:sz w:val="24"/>
          <w:szCs w:val="23"/>
        </w:rPr>
        <w:t xml:space="preserve"> the </w:t>
      </w:r>
      <w:r>
        <w:rPr>
          <w:rFonts w:asciiTheme="majorHAnsi" w:hAnsiTheme="majorHAnsi"/>
          <w:bCs/>
          <w:sz w:val="24"/>
          <w:szCs w:val="23"/>
        </w:rPr>
        <w:t xml:space="preserve">amount of </w:t>
      </w:r>
      <w:r w:rsidR="004164C0">
        <w:rPr>
          <w:rFonts w:asciiTheme="majorHAnsi" w:hAnsiTheme="majorHAnsi"/>
          <w:bCs/>
          <w:sz w:val="24"/>
          <w:szCs w:val="23"/>
        </w:rPr>
        <w:t xml:space="preserve">Massachusetts bank </w:t>
      </w:r>
      <w:r>
        <w:rPr>
          <w:rFonts w:asciiTheme="majorHAnsi" w:hAnsiTheme="majorHAnsi"/>
          <w:bCs/>
          <w:sz w:val="24"/>
          <w:szCs w:val="23"/>
        </w:rPr>
        <w:t xml:space="preserve">interest </w:t>
      </w:r>
      <w:r w:rsidR="00C560FC">
        <w:rPr>
          <w:rFonts w:asciiTheme="majorHAnsi" w:hAnsiTheme="majorHAnsi"/>
          <w:bCs/>
          <w:sz w:val="24"/>
          <w:szCs w:val="23"/>
        </w:rPr>
        <w:t>deducted</w:t>
      </w:r>
      <w:r w:rsidR="009F26F6">
        <w:rPr>
          <w:rFonts w:asciiTheme="majorHAnsi" w:hAnsiTheme="majorHAnsi"/>
          <w:bCs/>
          <w:sz w:val="24"/>
          <w:szCs w:val="23"/>
        </w:rPr>
        <w:t xml:space="preserve"> annually</w:t>
      </w:r>
      <w:r>
        <w:rPr>
          <w:rFonts w:asciiTheme="majorHAnsi" w:hAnsiTheme="majorHAnsi"/>
          <w:bCs/>
          <w:sz w:val="24"/>
          <w:szCs w:val="23"/>
        </w:rPr>
        <w:t xml:space="preserve"> has generally been in decline for the past two decades:  </w:t>
      </w:r>
    </w:p>
    <w:p w14:paraId="5A898EAD" w14:textId="77777777" w:rsidR="007E392E" w:rsidRPr="0002100C" w:rsidRDefault="007E392E" w:rsidP="007E392E">
      <w:pPr>
        <w:tabs>
          <w:tab w:val="left" w:pos="7050"/>
        </w:tabs>
        <w:spacing w:after="0"/>
        <w:rPr>
          <w:rFonts w:asciiTheme="majorHAnsi" w:hAnsiTheme="majorHAnsi"/>
          <w:bCs/>
          <w:sz w:val="24"/>
          <w:szCs w:val="23"/>
        </w:rPr>
      </w:pPr>
    </w:p>
    <w:p w14:paraId="6A3360E1" w14:textId="55ECECAB" w:rsidR="007E392E" w:rsidRDefault="00C560FC" w:rsidP="007E392E">
      <w:pPr>
        <w:tabs>
          <w:tab w:val="left" w:pos="7050"/>
        </w:tabs>
        <w:spacing w:after="0"/>
        <w:jc w:val="center"/>
        <w:rPr>
          <w:rFonts w:asciiTheme="majorHAnsi" w:hAnsiTheme="majorHAnsi"/>
          <w:b/>
          <w:sz w:val="28"/>
          <w:szCs w:val="24"/>
        </w:rPr>
      </w:pPr>
      <w:r>
        <w:rPr>
          <w:rFonts w:asciiTheme="majorHAnsi" w:hAnsiTheme="majorHAnsi"/>
          <w:b/>
          <w:sz w:val="28"/>
          <w:szCs w:val="24"/>
        </w:rPr>
        <w:t xml:space="preserve">Total </w:t>
      </w:r>
      <w:r w:rsidR="007E392E" w:rsidRPr="0060086C">
        <w:rPr>
          <w:rFonts w:asciiTheme="majorHAnsi" w:hAnsiTheme="majorHAnsi"/>
          <w:b/>
          <w:sz w:val="28"/>
          <w:szCs w:val="24"/>
        </w:rPr>
        <w:t>Massachusetts Bank Interest</w:t>
      </w:r>
      <w:r w:rsidR="009F26F6">
        <w:rPr>
          <w:rFonts w:asciiTheme="majorHAnsi" w:hAnsiTheme="majorHAnsi"/>
          <w:b/>
          <w:sz w:val="28"/>
          <w:szCs w:val="24"/>
        </w:rPr>
        <w:t xml:space="preserve"> Deducted</w:t>
      </w:r>
      <w:r w:rsidR="007E392E">
        <w:rPr>
          <w:rFonts w:asciiTheme="majorHAnsi" w:hAnsiTheme="majorHAnsi"/>
          <w:b/>
          <w:sz w:val="28"/>
          <w:szCs w:val="24"/>
        </w:rPr>
        <w:t xml:space="preserve"> </w:t>
      </w:r>
    </w:p>
    <w:p w14:paraId="5018965E" w14:textId="24688446" w:rsidR="007E392E" w:rsidRPr="0060086C" w:rsidRDefault="007E392E" w:rsidP="007E392E">
      <w:pPr>
        <w:tabs>
          <w:tab w:val="left" w:pos="7050"/>
        </w:tabs>
        <w:spacing w:after="0"/>
        <w:jc w:val="center"/>
        <w:rPr>
          <w:rFonts w:asciiTheme="majorHAnsi" w:hAnsiTheme="majorHAnsi"/>
          <w:bCs/>
          <w:sz w:val="24"/>
        </w:rPr>
      </w:pPr>
      <w:r w:rsidRPr="0060086C">
        <w:rPr>
          <w:rFonts w:asciiTheme="majorHAnsi" w:hAnsiTheme="majorHAnsi"/>
          <w:bCs/>
          <w:sz w:val="24"/>
        </w:rPr>
        <w:t xml:space="preserve">Actual </w:t>
      </w:r>
      <w:r w:rsidR="009F26F6">
        <w:rPr>
          <w:rFonts w:asciiTheme="majorHAnsi" w:hAnsiTheme="majorHAnsi"/>
          <w:bCs/>
          <w:sz w:val="24"/>
        </w:rPr>
        <w:t>Massachusetts Bank Interest deducted</w:t>
      </w:r>
      <w:r w:rsidRPr="0060086C">
        <w:rPr>
          <w:rFonts w:asciiTheme="majorHAnsi" w:hAnsiTheme="majorHAnsi"/>
          <w:bCs/>
          <w:sz w:val="24"/>
        </w:rPr>
        <w:t>, 2001 to 2018; projected 2019 to 2021</w:t>
      </w:r>
    </w:p>
    <w:p w14:paraId="5A4D6CF0" w14:textId="77777777" w:rsidR="007E392E" w:rsidRDefault="007E392E" w:rsidP="007E392E">
      <w:pPr>
        <w:tabs>
          <w:tab w:val="left" w:pos="7050"/>
        </w:tabs>
        <w:spacing w:after="0"/>
        <w:jc w:val="center"/>
        <w:rPr>
          <w:rFonts w:asciiTheme="majorHAnsi" w:hAnsiTheme="majorHAnsi"/>
          <w:bCs/>
        </w:rPr>
      </w:pPr>
      <w:r w:rsidRPr="0060086C">
        <w:rPr>
          <w:rFonts w:asciiTheme="majorHAnsi" w:hAnsiTheme="majorHAnsi"/>
          <w:bCs/>
        </w:rPr>
        <w:t>(in $millions)</w:t>
      </w:r>
    </w:p>
    <w:p w14:paraId="67591664" w14:textId="77777777" w:rsidR="007E392E" w:rsidRPr="0060086C" w:rsidRDefault="007E392E" w:rsidP="007E392E">
      <w:pPr>
        <w:tabs>
          <w:tab w:val="left" w:pos="7050"/>
        </w:tabs>
        <w:spacing w:after="0"/>
        <w:jc w:val="center"/>
        <w:rPr>
          <w:rFonts w:asciiTheme="majorHAnsi" w:hAnsiTheme="majorHAnsi"/>
          <w:bCs/>
        </w:rPr>
      </w:pPr>
    </w:p>
    <w:p w14:paraId="5FBCE70C" w14:textId="77777777" w:rsidR="007E392E" w:rsidRDefault="007E392E" w:rsidP="007E392E">
      <w:pPr>
        <w:spacing w:after="0"/>
        <w:jc w:val="center"/>
        <w:rPr>
          <w:rFonts w:asciiTheme="majorHAnsi" w:eastAsiaTheme="majorEastAsia" w:hAnsiTheme="majorHAnsi" w:cstheme="majorBidi"/>
          <w:bCs/>
          <w:i/>
          <w:iCs/>
          <w:color w:val="000000" w:themeColor="text1"/>
          <w:sz w:val="24"/>
          <w:szCs w:val="24"/>
        </w:rPr>
      </w:pPr>
      <w:r w:rsidRPr="009D7983">
        <w:rPr>
          <w:rFonts w:asciiTheme="majorHAnsi" w:eastAsiaTheme="majorEastAsia" w:hAnsiTheme="majorHAnsi" w:cstheme="majorBidi"/>
          <w:bCs/>
          <w:i/>
          <w:iCs/>
          <w:color w:val="000000" w:themeColor="text1"/>
          <w:sz w:val="24"/>
          <w:szCs w:val="24"/>
        </w:rPr>
        <w:t>Source:  Massachusetts Department of Revenue Statistics of Income</w:t>
      </w:r>
    </w:p>
    <w:p w14:paraId="6CF8A6B3" w14:textId="77777777" w:rsidR="007E392E" w:rsidRPr="009D7983" w:rsidRDefault="007E392E" w:rsidP="007E392E">
      <w:pPr>
        <w:spacing w:after="0"/>
        <w:jc w:val="center"/>
        <w:rPr>
          <w:rFonts w:asciiTheme="majorHAnsi" w:eastAsiaTheme="majorEastAsia" w:hAnsiTheme="majorHAnsi" w:cstheme="majorBidi"/>
          <w:bCs/>
          <w:i/>
          <w:iCs/>
          <w:color w:val="000000" w:themeColor="text1"/>
          <w:sz w:val="24"/>
          <w:szCs w:val="24"/>
        </w:rPr>
      </w:pPr>
    </w:p>
    <w:p w14:paraId="1A201E16" w14:textId="77777777" w:rsidR="007E392E" w:rsidRPr="0002100C" w:rsidRDefault="007E392E" w:rsidP="007E392E">
      <w:pPr>
        <w:tabs>
          <w:tab w:val="left" w:pos="7050"/>
        </w:tabs>
        <w:spacing w:after="0"/>
        <w:jc w:val="center"/>
        <w:rPr>
          <w:rFonts w:asciiTheme="majorHAnsi" w:hAnsiTheme="majorHAnsi"/>
          <w:sz w:val="24"/>
          <w:szCs w:val="24"/>
        </w:rPr>
      </w:pPr>
      <w:r>
        <w:rPr>
          <w:rFonts w:asciiTheme="majorHAnsi" w:hAnsiTheme="majorHAnsi"/>
          <w:noProof/>
          <w:sz w:val="24"/>
          <w:szCs w:val="24"/>
        </w:rPr>
        <w:drawing>
          <wp:inline distT="0" distB="0" distL="0" distR="0" wp14:anchorId="1352809E" wp14:editId="5F1CE61E">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D2EEB9C" w14:textId="77777777" w:rsidR="007E392E" w:rsidRPr="0002100C" w:rsidRDefault="007E392E" w:rsidP="007E392E">
      <w:pPr>
        <w:tabs>
          <w:tab w:val="left" w:pos="7050"/>
        </w:tabs>
        <w:spacing w:after="0"/>
        <w:rPr>
          <w:rFonts w:asciiTheme="majorHAnsi" w:hAnsiTheme="majorHAnsi"/>
          <w:sz w:val="24"/>
          <w:szCs w:val="24"/>
        </w:rPr>
      </w:pPr>
    </w:p>
    <w:p w14:paraId="6C11B3A9" w14:textId="5C51ADCC" w:rsidR="007E392E" w:rsidRDefault="007E392E" w:rsidP="007E392E">
      <w:pPr>
        <w:tabs>
          <w:tab w:val="left" w:pos="7050"/>
        </w:tabs>
        <w:spacing w:after="0"/>
        <w:rPr>
          <w:rFonts w:asciiTheme="majorHAnsi" w:hAnsiTheme="majorHAnsi"/>
          <w:sz w:val="24"/>
          <w:szCs w:val="24"/>
        </w:rPr>
      </w:pPr>
      <w:r>
        <w:rPr>
          <w:rFonts w:asciiTheme="majorHAnsi" w:hAnsiTheme="majorHAnsi"/>
          <w:sz w:val="24"/>
          <w:szCs w:val="24"/>
        </w:rPr>
        <w:t>The general decline in the amount of Massachusetts bank interest providing this deduction suggests that the deduction is failing to acc</w:t>
      </w:r>
      <w:r w:rsidR="004164C0">
        <w:rPr>
          <w:rFonts w:asciiTheme="majorHAnsi" w:hAnsiTheme="majorHAnsi"/>
          <w:sz w:val="24"/>
          <w:szCs w:val="24"/>
        </w:rPr>
        <w:t>omplish its goal.  It should be</w:t>
      </w:r>
      <w:r>
        <w:rPr>
          <w:rFonts w:asciiTheme="majorHAnsi" w:hAnsiTheme="majorHAnsi"/>
          <w:sz w:val="24"/>
          <w:szCs w:val="24"/>
        </w:rPr>
        <w:t xml:space="preserve"> noted that interest rates have been falling steadily during the period depicted, which may have contributed to the decline in claimed deductions.  However, an examination of the claims by income level (“Benefits” section above) shows fewer claimants than would be expected.  Even among filers with incomes over $500,000, less than half claim </w:t>
      </w:r>
      <w:r w:rsidRPr="00561CEC">
        <w:rPr>
          <w:rFonts w:asciiTheme="majorHAnsi" w:hAnsiTheme="majorHAnsi"/>
          <w:i/>
          <w:iCs/>
          <w:sz w:val="24"/>
          <w:szCs w:val="24"/>
          <w:u w:val="single"/>
        </w:rPr>
        <w:t>any deduction at all</w:t>
      </w:r>
      <w:r>
        <w:rPr>
          <w:rFonts w:asciiTheme="majorHAnsi" w:hAnsiTheme="majorHAnsi"/>
          <w:sz w:val="24"/>
          <w:szCs w:val="24"/>
        </w:rPr>
        <w:t>.  It seems unlikely that filers at this income level would have zero Massachusetts bank interest income.</w:t>
      </w:r>
    </w:p>
    <w:p w14:paraId="7E263B20" w14:textId="77777777" w:rsidR="007E392E" w:rsidRDefault="007E392E" w:rsidP="007E392E">
      <w:pPr>
        <w:tabs>
          <w:tab w:val="left" w:pos="7050"/>
        </w:tabs>
        <w:spacing w:after="0"/>
        <w:rPr>
          <w:rFonts w:asciiTheme="majorHAnsi" w:hAnsiTheme="majorHAnsi"/>
          <w:sz w:val="24"/>
          <w:szCs w:val="24"/>
        </w:rPr>
      </w:pPr>
      <w:r>
        <w:rPr>
          <w:rFonts w:asciiTheme="majorHAnsi" w:hAnsiTheme="majorHAnsi"/>
          <w:sz w:val="24"/>
          <w:szCs w:val="24"/>
        </w:rPr>
        <w:t xml:space="preserve">  </w:t>
      </w:r>
    </w:p>
    <w:p w14:paraId="1BB727A6" w14:textId="4796313E" w:rsidR="007E392E" w:rsidRDefault="007E392E" w:rsidP="007E392E">
      <w:pPr>
        <w:tabs>
          <w:tab w:val="left" w:pos="7050"/>
        </w:tabs>
        <w:spacing w:after="0"/>
        <w:rPr>
          <w:rFonts w:asciiTheme="majorHAnsi" w:hAnsiTheme="majorHAnsi"/>
          <w:sz w:val="24"/>
          <w:szCs w:val="24"/>
        </w:rPr>
      </w:pPr>
      <w:r>
        <w:rPr>
          <w:rFonts w:asciiTheme="majorHAnsi" w:hAnsiTheme="majorHAnsi"/>
          <w:sz w:val="24"/>
          <w:szCs w:val="24"/>
        </w:rPr>
        <w:t xml:space="preserve">While we cannot be certain why this is so, as noted in the “Benefits” section, the maximum tax benefit is only a savings of $5 for taxpayers filing singly and $10 for taxpayers filing </w:t>
      </w:r>
      <w:r>
        <w:rPr>
          <w:rFonts w:asciiTheme="majorHAnsi" w:hAnsiTheme="majorHAnsi"/>
          <w:sz w:val="24"/>
          <w:szCs w:val="24"/>
        </w:rPr>
        <w:lastRenderedPageBreak/>
        <w:t xml:space="preserve">jointly.  The relatively low participation rate suggests that this current deduction is too small to have any significant impact on taxpayer behavior.  </w:t>
      </w:r>
    </w:p>
    <w:p w14:paraId="5C78C9DE" w14:textId="77777777" w:rsidR="007E392E" w:rsidRDefault="007E392E" w:rsidP="007E392E">
      <w:pPr>
        <w:tabs>
          <w:tab w:val="left" w:pos="7050"/>
        </w:tabs>
        <w:spacing w:after="0"/>
        <w:rPr>
          <w:rFonts w:asciiTheme="majorHAnsi" w:hAnsiTheme="majorHAnsi"/>
          <w:sz w:val="24"/>
          <w:szCs w:val="24"/>
        </w:rPr>
      </w:pPr>
    </w:p>
    <w:p w14:paraId="3EA5A5BB" w14:textId="77777777" w:rsidR="00FC686F" w:rsidRDefault="00FC686F" w:rsidP="00FC686F">
      <w:pPr>
        <w:rPr>
          <w:rFonts w:eastAsia="Times New Roman"/>
          <w:sz w:val="28"/>
          <w:szCs w:val="28"/>
        </w:rPr>
      </w:pPr>
      <w:r>
        <w:rPr>
          <w:rFonts w:eastAsia="Times New Roman"/>
          <w:sz w:val="28"/>
          <w:szCs w:val="28"/>
          <w:highlight w:val="cyan"/>
        </w:rPr>
        <w:t>To be completed further by TERC</w:t>
      </w:r>
    </w:p>
    <w:p w14:paraId="73D3D68A" w14:textId="77777777" w:rsidR="00FC686F" w:rsidRDefault="00FC686F" w:rsidP="00FC686F">
      <w:pPr>
        <w:rPr>
          <w:rFonts w:eastAsia="Times New Roman"/>
          <w:sz w:val="28"/>
          <w:szCs w:val="28"/>
        </w:rPr>
      </w:pPr>
    </w:p>
    <w:p w14:paraId="20DA63A5" w14:textId="77777777" w:rsidR="00FC686F" w:rsidRDefault="00FC686F" w:rsidP="00FC686F">
      <w:pPr>
        <w:rPr>
          <w:rFonts w:asciiTheme="majorHAnsi" w:eastAsiaTheme="majorEastAsia" w:hAnsiTheme="majorHAnsi" w:cstheme="majorBidi"/>
          <w:bCs/>
          <w:color w:val="000000" w:themeColor="text1"/>
          <w:sz w:val="24"/>
        </w:rPr>
      </w:pPr>
      <w:r>
        <w:rPr>
          <w:rFonts w:eastAsia="Times New Roman"/>
          <w:sz w:val="28"/>
          <w:szCs w:val="28"/>
          <w:highlight w:val="cyan"/>
        </w:rPr>
        <w:t>Conclusion/Recommendations: [To be Entered by TERC]</w:t>
      </w:r>
    </w:p>
    <w:p w14:paraId="05A70A98" w14:textId="77777777" w:rsidR="007E392E" w:rsidRPr="00E31A42" w:rsidRDefault="007E392E" w:rsidP="007E392E"/>
    <w:p w14:paraId="744E2250" w14:textId="77777777" w:rsidR="005F4E8F" w:rsidRPr="00CB5F77" w:rsidRDefault="005F4E8F" w:rsidP="00CB5F77"/>
    <w:sectPr w:rsidR="005F4E8F" w:rsidRPr="00CB5F77" w:rsidSect="006E37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12C3B" w14:textId="77777777" w:rsidR="00D14F1B" w:rsidRDefault="00D14F1B">
      <w:pPr>
        <w:spacing w:after="0" w:line="240" w:lineRule="auto"/>
      </w:pPr>
      <w:r>
        <w:separator/>
      </w:r>
    </w:p>
  </w:endnote>
  <w:endnote w:type="continuationSeparator" w:id="0">
    <w:p w14:paraId="5DFB2B26" w14:textId="77777777" w:rsidR="00D14F1B" w:rsidRDefault="00D14F1B">
      <w:pPr>
        <w:spacing w:after="0" w:line="240" w:lineRule="auto"/>
      </w:pPr>
      <w:r>
        <w:continuationSeparator/>
      </w:r>
    </w:p>
  </w:endnote>
  <w:endnote w:type="continuationNotice" w:id="1">
    <w:p w14:paraId="000A6706" w14:textId="77777777" w:rsidR="00D14F1B" w:rsidRDefault="00D14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AEBC4" w14:textId="77777777" w:rsidR="009B196D" w:rsidRDefault="009B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64E36" w14:textId="77777777" w:rsidR="00B204AF" w:rsidRPr="00B204AF" w:rsidRDefault="00B204AF" w:rsidP="00784433">
    <w:pPr>
      <w:pStyle w:val="Footer"/>
      <w:rPr>
        <w:rFonts w:asciiTheme="majorHAnsi" w:hAnsiTheme="majorHAnsi"/>
        <w:sz w:val="24"/>
      </w:rPr>
    </w:pPr>
  </w:p>
  <w:p w14:paraId="49A32B0F" w14:textId="77777777" w:rsidR="00B204AF" w:rsidRDefault="00B2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5F2B" w14:textId="77777777" w:rsidR="009B196D" w:rsidRDefault="009B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4C9D" w14:textId="77777777" w:rsidR="00D14F1B" w:rsidRDefault="00D14F1B">
      <w:pPr>
        <w:spacing w:after="0" w:line="240" w:lineRule="auto"/>
      </w:pPr>
      <w:r>
        <w:separator/>
      </w:r>
    </w:p>
  </w:footnote>
  <w:footnote w:type="continuationSeparator" w:id="0">
    <w:p w14:paraId="62FAE064" w14:textId="77777777" w:rsidR="00D14F1B" w:rsidRDefault="00D14F1B">
      <w:pPr>
        <w:spacing w:after="0" w:line="240" w:lineRule="auto"/>
      </w:pPr>
      <w:r>
        <w:continuationSeparator/>
      </w:r>
    </w:p>
  </w:footnote>
  <w:footnote w:type="continuationNotice" w:id="1">
    <w:p w14:paraId="27811C70" w14:textId="77777777" w:rsidR="00D14F1B" w:rsidRDefault="00D14F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CFC6" w14:textId="22450A4E" w:rsidR="009B196D" w:rsidRDefault="009B196D">
    <w:pPr>
      <w:pStyle w:val="Header"/>
    </w:pPr>
    <w:r>
      <w:rPr>
        <w:noProof/>
      </w:rPr>
      <w:pict w14:anchorId="1B302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728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E231" w14:textId="18011F18" w:rsidR="00A02F28" w:rsidRDefault="009B196D">
    <w:pPr>
      <w:pStyle w:val="Header"/>
    </w:pPr>
    <w:r>
      <w:rPr>
        <w:noProof/>
      </w:rPr>
      <w:pict w14:anchorId="57815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7283"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208E" w14:textId="73255C03" w:rsidR="009B196D" w:rsidRDefault="009B196D">
    <w:pPr>
      <w:pStyle w:val="Header"/>
    </w:pPr>
    <w:r>
      <w:rPr>
        <w:noProof/>
      </w:rPr>
      <w:pict w14:anchorId="1085AC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728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53FD7"/>
    <w:multiLevelType w:val="hybridMultilevel"/>
    <w:tmpl w:val="938E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0"/>
  </w:num>
  <w:num w:numId="5">
    <w:abstractNumId w:val="5"/>
  </w:num>
  <w:num w:numId="6">
    <w:abstractNumId w:val="7"/>
  </w:num>
  <w:num w:numId="7">
    <w:abstractNumId w:val="3"/>
  </w:num>
  <w:num w:numId="8">
    <w:abstractNumId w:val="2"/>
  </w:num>
  <w:num w:numId="9">
    <w:abstractNumId w:val="1"/>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392E"/>
    <w:rsid w:val="00003921"/>
    <w:rsid w:val="0000728B"/>
    <w:rsid w:val="00011C3A"/>
    <w:rsid w:val="0002100C"/>
    <w:rsid w:val="000230AD"/>
    <w:rsid w:val="00046C6A"/>
    <w:rsid w:val="00066F7A"/>
    <w:rsid w:val="000A4DDB"/>
    <w:rsid w:val="000C56D9"/>
    <w:rsid w:val="000F3809"/>
    <w:rsid w:val="00107835"/>
    <w:rsid w:val="00110E98"/>
    <w:rsid w:val="0011678F"/>
    <w:rsid w:val="00122D60"/>
    <w:rsid w:val="00132DA0"/>
    <w:rsid w:val="00141566"/>
    <w:rsid w:val="00183ABF"/>
    <w:rsid w:val="001E5D32"/>
    <w:rsid w:val="001E7FD3"/>
    <w:rsid w:val="002116BE"/>
    <w:rsid w:val="00235025"/>
    <w:rsid w:val="002403C1"/>
    <w:rsid w:val="00245D07"/>
    <w:rsid w:val="00254605"/>
    <w:rsid w:val="0026051D"/>
    <w:rsid w:val="00274512"/>
    <w:rsid w:val="002768F2"/>
    <w:rsid w:val="00282EBF"/>
    <w:rsid w:val="0028699E"/>
    <w:rsid w:val="00286A8A"/>
    <w:rsid w:val="00291074"/>
    <w:rsid w:val="0029658A"/>
    <w:rsid w:val="002970B4"/>
    <w:rsid w:val="002A54D6"/>
    <w:rsid w:val="002A71E8"/>
    <w:rsid w:val="002C6FF6"/>
    <w:rsid w:val="002D74AE"/>
    <w:rsid w:val="002E2DC9"/>
    <w:rsid w:val="002F10DB"/>
    <w:rsid w:val="002F5704"/>
    <w:rsid w:val="0030425B"/>
    <w:rsid w:val="003229C4"/>
    <w:rsid w:val="0034427A"/>
    <w:rsid w:val="00344841"/>
    <w:rsid w:val="00355122"/>
    <w:rsid w:val="003558AA"/>
    <w:rsid w:val="00355A51"/>
    <w:rsid w:val="00377157"/>
    <w:rsid w:val="00380D5D"/>
    <w:rsid w:val="00380FCD"/>
    <w:rsid w:val="003C1700"/>
    <w:rsid w:val="003E71AD"/>
    <w:rsid w:val="003F1FC6"/>
    <w:rsid w:val="004164C0"/>
    <w:rsid w:val="004351B8"/>
    <w:rsid w:val="00442FE4"/>
    <w:rsid w:val="00466D0B"/>
    <w:rsid w:val="004759E8"/>
    <w:rsid w:val="00481E5A"/>
    <w:rsid w:val="00484326"/>
    <w:rsid w:val="00485FBB"/>
    <w:rsid w:val="00486F3F"/>
    <w:rsid w:val="004A1129"/>
    <w:rsid w:val="004A3B69"/>
    <w:rsid w:val="004B14D0"/>
    <w:rsid w:val="004C0367"/>
    <w:rsid w:val="004C3153"/>
    <w:rsid w:val="004C45A3"/>
    <w:rsid w:val="004D54CC"/>
    <w:rsid w:val="00503DFA"/>
    <w:rsid w:val="00515EE7"/>
    <w:rsid w:val="00535F50"/>
    <w:rsid w:val="005529C5"/>
    <w:rsid w:val="00561CEC"/>
    <w:rsid w:val="00565D22"/>
    <w:rsid w:val="00567D60"/>
    <w:rsid w:val="00576773"/>
    <w:rsid w:val="005A0637"/>
    <w:rsid w:val="005A53F3"/>
    <w:rsid w:val="005B1BBE"/>
    <w:rsid w:val="005D5246"/>
    <w:rsid w:val="005F4E8F"/>
    <w:rsid w:val="0060086C"/>
    <w:rsid w:val="006016F3"/>
    <w:rsid w:val="00616EEB"/>
    <w:rsid w:val="00617863"/>
    <w:rsid w:val="00664139"/>
    <w:rsid w:val="00683ED4"/>
    <w:rsid w:val="006A209C"/>
    <w:rsid w:val="006A36F9"/>
    <w:rsid w:val="006B426D"/>
    <w:rsid w:val="006D4359"/>
    <w:rsid w:val="006E17B8"/>
    <w:rsid w:val="006E3711"/>
    <w:rsid w:val="006F32C9"/>
    <w:rsid w:val="006F4335"/>
    <w:rsid w:val="006F4DB1"/>
    <w:rsid w:val="00721143"/>
    <w:rsid w:val="007361C4"/>
    <w:rsid w:val="00736B1D"/>
    <w:rsid w:val="0074239C"/>
    <w:rsid w:val="0074787A"/>
    <w:rsid w:val="0075446F"/>
    <w:rsid w:val="00761091"/>
    <w:rsid w:val="00784433"/>
    <w:rsid w:val="00791DF6"/>
    <w:rsid w:val="007A2169"/>
    <w:rsid w:val="007A3349"/>
    <w:rsid w:val="007A4496"/>
    <w:rsid w:val="007C3ABD"/>
    <w:rsid w:val="007E392E"/>
    <w:rsid w:val="007E4AA9"/>
    <w:rsid w:val="007F16B9"/>
    <w:rsid w:val="007F1706"/>
    <w:rsid w:val="008119A2"/>
    <w:rsid w:val="008337C2"/>
    <w:rsid w:val="00880F58"/>
    <w:rsid w:val="00881147"/>
    <w:rsid w:val="00883851"/>
    <w:rsid w:val="008A5649"/>
    <w:rsid w:val="008C2341"/>
    <w:rsid w:val="00907C7E"/>
    <w:rsid w:val="009163C7"/>
    <w:rsid w:val="00921525"/>
    <w:rsid w:val="009223DE"/>
    <w:rsid w:val="00960EC0"/>
    <w:rsid w:val="00962EE7"/>
    <w:rsid w:val="009642AE"/>
    <w:rsid w:val="00976D38"/>
    <w:rsid w:val="00982AC7"/>
    <w:rsid w:val="00982C49"/>
    <w:rsid w:val="009A55CB"/>
    <w:rsid w:val="009B196D"/>
    <w:rsid w:val="009D167F"/>
    <w:rsid w:val="009F26F6"/>
    <w:rsid w:val="00A02F28"/>
    <w:rsid w:val="00A06D05"/>
    <w:rsid w:val="00A07796"/>
    <w:rsid w:val="00A308CA"/>
    <w:rsid w:val="00A44E82"/>
    <w:rsid w:val="00A4536A"/>
    <w:rsid w:val="00A51B06"/>
    <w:rsid w:val="00A6029C"/>
    <w:rsid w:val="00A6097D"/>
    <w:rsid w:val="00A62A00"/>
    <w:rsid w:val="00A62CB8"/>
    <w:rsid w:val="00A658D3"/>
    <w:rsid w:val="00A7237B"/>
    <w:rsid w:val="00A846CA"/>
    <w:rsid w:val="00A90DB7"/>
    <w:rsid w:val="00A94CCD"/>
    <w:rsid w:val="00A95DAB"/>
    <w:rsid w:val="00AD2A39"/>
    <w:rsid w:val="00AF40EC"/>
    <w:rsid w:val="00AF4D9B"/>
    <w:rsid w:val="00B04C56"/>
    <w:rsid w:val="00B204AF"/>
    <w:rsid w:val="00B27622"/>
    <w:rsid w:val="00B35829"/>
    <w:rsid w:val="00B37DB1"/>
    <w:rsid w:val="00B61EB3"/>
    <w:rsid w:val="00B77D67"/>
    <w:rsid w:val="00B80C28"/>
    <w:rsid w:val="00BA2636"/>
    <w:rsid w:val="00BC6806"/>
    <w:rsid w:val="00BD3224"/>
    <w:rsid w:val="00BE01E6"/>
    <w:rsid w:val="00BE75A5"/>
    <w:rsid w:val="00C07688"/>
    <w:rsid w:val="00C1578D"/>
    <w:rsid w:val="00C17A97"/>
    <w:rsid w:val="00C24414"/>
    <w:rsid w:val="00C32936"/>
    <w:rsid w:val="00C33B1F"/>
    <w:rsid w:val="00C55640"/>
    <w:rsid w:val="00C560FC"/>
    <w:rsid w:val="00C64F86"/>
    <w:rsid w:val="00CB5F77"/>
    <w:rsid w:val="00CC05CE"/>
    <w:rsid w:val="00CC208F"/>
    <w:rsid w:val="00CE3154"/>
    <w:rsid w:val="00CF41DD"/>
    <w:rsid w:val="00D065C7"/>
    <w:rsid w:val="00D14F1B"/>
    <w:rsid w:val="00D17E9D"/>
    <w:rsid w:val="00D27042"/>
    <w:rsid w:val="00D36264"/>
    <w:rsid w:val="00D363DB"/>
    <w:rsid w:val="00D4431A"/>
    <w:rsid w:val="00D5063B"/>
    <w:rsid w:val="00D70CBC"/>
    <w:rsid w:val="00D73F36"/>
    <w:rsid w:val="00D80D2E"/>
    <w:rsid w:val="00D86411"/>
    <w:rsid w:val="00DA2FF6"/>
    <w:rsid w:val="00DE0DA2"/>
    <w:rsid w:val="00DE5262"/>
    <w:rsid w:val="00DF0845"/>
    <w:rsid w:val="00DF5DBA"/>
    <w:rsid w:val="00E44611"/>
    <w:rsid w:val="00E5472B"/>
    <w:rsid w:val="00E671DE"/>
    <w:rsid w:val="00E72A52"/>
    <w:rsid w:val="00E92C1D"/>
    <w:rsid w:val="00EB40E2"/>
    <w:rsid w:val="00EB7778"/>
    <w:rsid w:val="00EC50FD"/>
    <w:rsid w:val="00ED3285"/>
    <w:rsid w:val="00ED4589"/>
    <w:rsid w:val="00EF06F2"/>
    <w:rsid w:val="00EF4AAA"/>
    <w:rsid w:val="00F065BC"/>
    <w:rsid w:val="00F076B1"/>
    <w:rsid w:val="00F14219"/>
    <w:rsid w:val="00F22DAA"/>
    <w:rsid w:val="00F24AE3"/>
    <w:rsid w:val="00F47715"/>
    <w:rsid w:val="00F51224"/>
    <w:rsid w:val="00F7586D"/>
    <w:rsid w:val="00F76959"/>
    <w:rsid w:val="00F82F4E"/>
    <w:rsid w:val="00F93830"/>
    <w:rsid w:val="00FC686F"/>
    <w:rsid w:val="00FC7795"/>
    <w:rsid w:val="00FE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62DF5E"/>
  <w15:docId w15:val="{214D2E20-D0A2-4F43-8C5D-A0CAE293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92E"/>
  </w:style>
  <w:style w:type="paragraph" w:styleId="Heading1">
    <w:name w:val="heading 1"/>
    <w:basedOn w:val="Normal"/>
    <w:next w:val="Normal"/>
    <w:link w:val="Heading1Char"/>
    <w:uiPriority w:val="9"/>
    <w:qFormat/>
    <w:rsid w:val="00A02F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2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2">
    <w:name w:val="Medium List 1 Accent 2"/>
    <w:basedOn w:val="TableNormal"/>
    <w:uiPriority w:val="65"/>
    <w:rsid w:val="007E392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7E392E"/>
    <w:pPr>
      <w:autoSpaceDE w:val="0"/>
      <w:autoSpaceDN w:val="0"/>
      <w:adjustRightInd w:val="0"/>
      <w:spacing w:after="0" w:line="240" w:lineRule="auto"/>
    </w:pPr>
    <w:rPr>
      <w:rFonts w:ascii="Sabon LT Std" w:hAnsi="Sabon LT Std" w:cs="Sabon LT Std"/>
      <w:color w:val="000000"/>
      <w:sz w:val="24"/>
      <w:szCs w:val="24"/>
    </w:rPr>
  </w:style>
  <w:style w:type="paragraph" w:styleId="ListParagraph">
    <w:name w:val="List Paragraph"/>
    <w:basedOn w:val="Normal"/>
    <w:uiPriority w:val="34"/>
    <w:qFormat/>
    <w:rsid w:val="007E392E"/>
    <w:pPr>
      <w:ind w:left="720"/>
      <w:contextualSpacing/>
    </w:pPr>
  </w:style>
  <w:style w:type="paragraph" w:styleId="Footer">
    <w:name w:val="footer"/>
    <w:basedOn w:val="Normal"/>
    <w:link w:val="FooterChar"/>
    <w:uiPriority w:val="99"/>
    <w:unhideWhenUsed/>
    <w:rsid w:val="007E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92E"/>
  </w:style>
  <w:style w:type="character" w:styleId="CommentReference">
    <w:name w:val="annotation reference"/>
    <w:basedOn w:val="DefaultParagraphFont"/>
    <w:uiPriority w:val="99"/>
    <w:semiHidden/>
    <w:unhideWhenUsed/>
    <w:rsid w:val="007E392E"/>
    <w:rPr>
      <w:sz w:val="16"/>
      <w:szCs w:val="16"/>
    </w:rPr>
  </w:style>
  <w:style w:type="paragraph" w:styleId="CommentText">
    <w:name w:val="annotation text"/>
    <w:basedOn w:val="Normal"/>
    <w:link w:val="CommentTextChar"/>
    <w:uiPriority w:val="99"/>
    <w:semiHidden/>
    <w:unhideWhenUsed/>
    <w:rsid w:val="007E392E"/>
    <w:pPr>
      <w:spacing w:line="240" w:lineRule="auto"/>
    </w:pPr>
    <w:rPr>
      <w:sz w:val="20"/>
      <w:szCs w:val="20"/>
    </w:rPr>
  </w:style>
  <w:style w:type="character" w:customStyle="1" w:styleId="CommentTextChar">
    <w:name w:val="Comment Text Char"/>
    <w:basedOn w:val="DefaultParagraphFont"/>
    <w:link w:val="CommentText"/>
    <w:uiPriority w:val="99"/>
    <w:semiHidden/>
    <w:rsid w:val="007E392E"/>
    <w:rPr>
      <w:sz w:val="20"/>
      <w:szCs w:val="20"/>
    </w:rPr>
  </w:style>
  <w:style w:type="paragraph" w:styleId="BalloonText">
    <w:name w:val="Balloon Text"/>
    <w:basedOn w:val="Normal"/>
    <w:link w:val="BalloonTextChar"/>
    <w:uiPriority w:val="99"/>
    <w:semiHidden/>
    <w:unhideWhenUsed/>
    <w:rsid w:val="007E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2E"/>
    <w:rPr>
      <w:rFonts w:ascii="Tahoma" w:hAnsi="Tahoma" w:cs="Tahoma"/>
      <w:sz w:val="16"/>
      <w:szCs w:val="16"/>
    </w:rPr>
  </w:style>
  <w:style w:type="character" w:customStyle="1" w:styleId="Heading1Char">
    <w:name w:val="Heading 1 Char"/>
    <w:basedOn w:val="DefaultParagraphFont"/>
    <w:link w:val="Heading1"/>
    <w:uiPriority w:val="9"/>
    <w:rsid w:val="00A02F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2F28"/>
    <w:rPr>
      <w:rFonts w:ascii="Times New Roman" w:eastAsia="Times New Roman" w:hAnsi="Times New Roman" w:cs="Times New Roman"/>
      <w:b/>
      <w:bCs/>
      <w:sz w:val="36"/>
      <w:szCs w:val="36"/>
    </w:rPr>
  </w:style>
  <w:style w:type="table" w:styleId="LightShading">
    <w:name w:val="Light Shading"/>
    <w:basedOn w:val="TableNormal"/>
    <w:uiPriority w:val="60"/>
    <w:rsid w:val="00A02F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02F2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02F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2F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2F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2F2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semiHidden/>
    <w:rsid w:val="00A02F2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02F28"/>
    <w:rPr>
      <w:rFonts w:ascii="Times New Roman" w:eastAsia="Times New Roman" w:hAnsi="Times New Roman" w:cs="Times New Roman"/>
      <w:sz w:val="20"/>
      <w:szCs w:val="20"/>
    </w:rPr>
  </w:style>
  <w:style w:type="character" w:styleId="FootnoteReference">
    <w:name w:val="footnote reference"/>
    <w:semiHidden/>
    <w:rsid w:val="00A02F28"/>
    <w:rPr>
      <w:rFonts w:cs="Times New Roman"/>
      <w:vertAlign w:val="superscript"/>
    </w:rPr>
  </w:style>
  <w:style w:type="character" w:styleId="Hyperlink">
    <w:name w:val="Hyperlink"/>
    <w:rsid w:val="00A02F28"/>
    <w:rPr>
      <w:rFonts w:cs="Times New Roman"/>
      <w:color w:val="0000FF"/>
      <w:u w:val="single"/>
    </w:rPr>
  </w:style>
  <w:style w:type="paragraph" w:styleId="Header">
    <w:name w:val="header"/>
    <w:basedOn w:val="Normal"/>
    <w:link w:val="HeaderChar"/>
    <w:uiPriority w:val="99"/>
    <w:unhideWhenUsed/>
    <w:rsid w:val="00A0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28"/>
  </w:style>
  <w:style w:type="paragraph" w:styleId="CommentSubject">
    <w:name w:val="annotation subject"/>
    <w:basedOn w:val="CommentText"/>
    <w:next w:val="CommentText"/>
    <w:link w:val="CommentSubjectChar"/>
    <w:uiPriority w:val="99"/>
    <w:semiHidden/>
    <w:unhideWhenUsed/>
    <w:rsid w:val="00A02F28"/>
    <w:rPr>
      <w:b/>
      <w:bCs/>
    </w:rPr>
  </w:style>
  <w:style w:type="character" w:customStyle="1" w:styleId="CommentSubjectChar">
    <w:name w:val="Comment Subject Char"/>
    <w:basedOn w:val="CommentTextChar"/>
    <w:link w:val="CommentSubject"/>
    <w:uiPriority w:val="99"/>
    <w:semiHidden/>
    <w:rsid w:val="00A02F28"/>
    <w:rPr>
      <w:b/>
      <w:bCs/>
      <w:sz w:val="20"/>
      <w:szCs w:val="20"/>
    </w:rPr>
  </w:style>
  <w:style w:type="character" w:customStyle="1" w:styleId="sssh">
    <w:name w:val="ss_sh"/>
    <w:basedOn w:val="DefaultParagraphFont"/>
    <w:rsid w:val="00A02F28"/>
  </w:style>
  <w:style w:type="character" w:customStyle="1" w:styleId="ssparalabel">
    <w:name w:val="ss_paralabel"/>
    <w:basedOn w:val="DefaultParagraphFont"/>
    <w:rsid w:val="00A02F28"/>
  </w:style>
  <w:style w:type="character" w:customStyle="1" w:styleId="ssbf">
    <w:name w:val="ss_bf"/>
    <w:basedOn w:val="DefaultParagraphFont"/>
    <w:rsid w:val="00A02F28"/>
  </w:style>
  <w:style w:type="character" w:customStyle="1" w:styleId="ssparacontent">
    <w:name w:val="ss_paracontent"/>
    <w:basedOn w:val="DefaultParagraphFont"/>
    <w:rsid w:val="00A02F28"/>
  </w:style>
  <w:style w:type="paragraph" w:styleId="Revision">
    <w:name w:val="Revision"/>
    <w:hidden/>
    <w:uiPriority w:val="99"/>
    <w:semiHidden/>
    <w:rsid w:val="00A02F28"/>
    <w:pPr>
      <w:spacing w:after="0" w:line="240" w:lineRule="auto"/>
    </w:pPr>
  </w:style>
  <w:style w:type="table" w:customStyle="1" w:styleId="MediumList1-Accent21">
    <w:name w:val="Medium List 1 - Accent 21"/>
    <w:basedOn w:val="TableNormal"/>
    <w:next w:val="MediumList1-Accent2"/>
    <w:uiPriority w:val="65"/>
    <w:rsid w:val="00A02F28"/>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2152">
      <w:bodyDiv w:val="1"/>
      <w:marLeft w:val="0"/>
      <w:marRight w:val="0"/>
      <w:marTop w:val="0"/>
      <w:marBottom w:val="0"/>
      <w:divBdr>
        <w:top w:val="none" w:sz="0" w:space="0" w:color="auto"/>
        <w:left w:val="none" w:sz="0" w:space="0" w:color="auto"/>
        <w:bottom w:val="none" w:sz="0" w:space="0" w:color="auto"/>
        <w:right w:val="none" w:sz="0" w:space="0" w:color="auto"/>
      </w:divBdr>
    </w:div>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 w:id="202227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E6613-3AA1-4B0C-896F-4B9DB044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DBB</dc:creator>
  <cp:lastModifiedBy>Scannell, Rachel (DOR)</cp:lastModifiedBy>
  <cp:revision>3</cp:revision>
  <dcterms:created xsi:type="dcterms:W3CDTF">2020-09-24T17:17:00Z</dcterms:created>
  <dcterms:modified xsi:type="dcterms:W3CDTF">2020-09-24T17:17:00Z</dcterms:modified>
</cp:coreProperties>
</file>