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E967A8" w:rsidRPr="00E967A8" w14:paraId="72D41B0A" w14:textId="77777777" w:rsidTr="00F36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722C167" w14:textId="77777777" w:rsidR="002E2DC9" w:rsidRPr="00E967A8" w:rsidRDefault="002E2DC9" w:rsidP="00F36DFE">
            <w:pPr>
              <w:jc w:val="center"/>
              <w:rPr>
                <w:color w:val="auto"/>
                <w:sz w:val="28"/>
                <w:szCs w:val="28"/>
              </w:rPr>
            </w:pPr>
            <w:bookmarkStart w:id="0" w:name="_GoBack"/>
            <w:bookmarkEnd w:id="0"/>
            <w:r w:rsidRPr="00E967A8">
              <w:rPr>
                <w:rFonts w:cs="Times New Roman"/>
                <w:color w:val="auto"/>
                <w:sz w:val="24"/>
              </w:rPr>
              <w:br w:type="page"/>
            </w:r>
            <w:r w:rsidRPr="00E967A8">
              <w:rPr>
                <w:color w:val="auto"/>
                <w:sz w:val="28"/>
                <w:szCs w:val="28"/>
              </w:rPr>
              <w:t xml:space="preserve">PROPOSED MASSACHUSETTS TAX EXPENDITURES </w:t>
            </w:r>
          </w:p>
          <w:p w14:paraId="3B628C65" w14:textId="77777777" w:rsidR="002E2DC9" w:rsidRPr="00E967A8" w:rsidRDefault="002E2DC9" w:rsidP="00F36DFE">
            <w:pPr>
              <w:jc w:val="center"/>
              <w:rPr>
                <w:b w:val="0"/>
                <w:bCs w:val="0"/>
                <w:color w:val="auto"/>
                <w:sz w:val="28"/>
                <w:szCs w:val="28"/>
              </w:rPr>
            </w:pPr>
            <w:r w:rsidRPr="00E967A8">
              <w:rPr>
                <w:color w:val="auto"/>
                <w:sz w:val="28"/>
                <w:szCs w:val="28"/>
              </w:rPr>
              <w:t xml:space="preserve">EVALUATION SUMMARY </w:t>
            </w:r>
          </w:p>
          <w:p w14:paraId="4EB0E1D2" w14:textId="77777777" w:rsidR="002E2DC9" w:rsidRPr="00E967A8" w:rsidRDefault="002E2DC9" w:rsidP="00F36DFE">
            <w:pPr>
              <w:rPr>
                <w:color w:val="auto"/>
                <w:sz w:val="28"/>
                <w:szCs w:val="28"/>
              </w:rPr>
            </w:pPr>
          </w:p>
        </w:tc>
      </w:tr>
      <w:tr w:rsidR="00E967A8" w:rsidRPr="00E967A8" w14:paraId="79DA8F79" w14:textId="77777777" w:rsidTr="00F3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E1E4219" w14:textId="77777777" w:rsidR="002E2DC9" w:rsidRPr="00E967A8" w:rsidRDefault="002E2DC9" w:rsidP="00F36DFE">
            <w:pPr>
              <w:jc w:val="center"/>
              <w:rPr>
                <w:rFonts w:asciiTheme="majorHAnsi" w:hAnsiTheme="majorHAnsi"/>
                <w:color w:val="auto"/>
              </w:rPr>
            </w:pPr>
            <w:r w:rsidRPr="00E967A8">
              <w:rPr>
                <w:rFonts w:asciiTheme="majorHAnsi" w:hAnsiTheme="majorHAnsi"/>
                <w:color w:val="auto"/>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51"/>
      </w:tblGrid>
      <w:tr w:rsidR="00E967A8" w:rsidRPr="00E967A8" w14:paraId="0B0810E3" w14:textId="77777777" w:rsidTr="00F36DFE">
        <w:trPr>
          <w:trHeight w:val="360"/>
        </w:trPr>
        <w:tc>
          <w:tcPr>
            <w:tcW w:w="4788" w:type="dxa"/>
          </w:tcPr>
          <w:p w14:paraId="50BEFF5B" w14:textId="77777777" w:rsidR="002E2DC9" w:rsidRPr="00E967A8" w:rsidRDefault="002E2DC9" w:rsidP="00F36DFE">
            <w:pPr>
              <w:tabs>
                <w:tab w:val="left" w:pos="7050"/>
              </w:tabs>
              <w:rPr>
                <w:rFonts w:asciiTheme="majorHAnsi" w:hAnsiTheme="majorHAnsi"/>
              </w:rPr>
            </w:pPr>
          </w:p>
        </w:tc>
        <w:tc>
          <w:tcPr>
            <w:tcW w:w="4770" w:type="dxa"/>
          </w:tcPr>
          <w:p w14:paraId="4A571D33" w14:textId="77777777" w:rsidR="002E2DC9" w:rsidRPr="00E967A8" w:rsidRDefault="002E2DC9" w:rsidP="00F36DFE">
            <w:pPr>
              <w:tabs>
                <w:tab w:val="left" w:pos="7050"/>
              </w:tabs>
              <w:rPr>
                <w:rFonts w:asciiTheme="majorHAnsi" w:hAnsiTheme="majorHAnsi"/>
              </w:rPr>
            </w:pPr>
          </w:p>
        </w:tc>
      </w:tr>
      <w:tr w:rsidR="00E967A8" w:rsidRPr="00E967A8" w14:paraId="43D5E017" w14:textId="77777777" w:rsidTr="00F36DFE">
        <w:tc>
          <w:tcPr>
            <w:tcW w:w="4788" w:type="dxa"/>
          </w:tcPr>
          <w:p w14:paraId="4F7C8265" w14:textId="77777777" w:rsidR="002E2DC9" w:rsidRPr="00E967A8" w:rsidRDefault="002E2DC9" w:rsidP="00F36DFE">
            <w:pPr>
              <w:tabs>
                <w:tab w:val="left" w:pos="7050"/>
              </w:tabs>
              <w:rPr>
                <w:rFonts w:asciiTheme="majorHAnsi" w:eastAsiaTheme="majorEastAsia" w:hAnsiTheme="majorHAnsi" w:cstheme="majorBidi"/>
                <w:b/>
                <w:bCs/>
              </w:rPr>
            </w:pPr>
            <w:r w:rsidRPr="00E967A8">
              <w:rPr>
                <w:rFonts w:asciiTheme="majorHAnsi" w:eastAsiaTheme="majorEastAsia" w:hAnsiTheme="majorHAnsi" w:cstheme="majorBidi"/>
                <w:b/>
                <w:bCs/>
              </w:rPr>
              <w:t>TAX EXPENDITURE TITLE</w:t>
            </w:r>
          </w:p>
          <w:p w14:paraId="76A343CA" w14:textId="77777777" w:rsidR="002E2DC9" w:rsidRPr="00E967A8" w:rsidRDefault="002E2DC9" w:rsidP="00F36DFE">
            <w:pPr>
              <w:tabs>
                <w:tab w:val="left" w:pos="7050"/>
              </w:tabs>
              <w:rPr>
                <w:rFonts w:asciiTheme="majorHAnsi" w:hAnsiTheme="majorHAnsi"/>
              </w:rPr>
            </w:pPr>
          </w:p>
        </w:tc>
        <w:tc>
          <w:tcPr>
            <w:tcW w:w="4770" w:type="dxa"/>
          </w:tcPr>
          <w:p w14:paraId="706C9A2F" w14:textId="2103CDD4" w:rsidR="002E2DC9" w:rsidRPr="00E967A8" w:rsidRDefault="00487FE1" w:rsidP="00F36DFE">
            <w:pPr>
              <w:tabs>
                <w:tab w:val="left" w:pos="7050"/>
              </w:tabs>
              <w:rPr>
                <w:rFonts w:asciiTheme="majorHAnsi" w:hAnsiTheme="majorHAnsi"/>
              </w:rPr>
            </w:pPr>
            <w:r w:rsidRPr="00E967A8">
              <w:rPr>
                <w:rFonts w:asciiTheme="majorHAnsi" w:hAnsiTheme="majorHAnsi"/>
              </w:rPr>
              <w:t>Deduction for Clean Fuel Vehicle</w:t>
            </w:r>
            <w:r w:rsidR="00DB59A9" w:rsidRPr="00E967A8">
              <w:rPr>
                <w:rFonts w:asciiTheme="majorHAnsi" w:hAnsiTheme="majorHAnsi"/>
              </w:rPr>
              <w:t>s and Certain Refueling Property</w:t>
            </w:r>
          </w:p>
          <w:p w14:paraId="1163FC61" w14:textId="77777777" w:rsidR="002E2DC9" w:rsidRPr="00E967A8" w:rsidRDefault="002E2DC9" w:rsidP="00F36DFE">
            <w:pPr>
              <w:tabs>
                <w:tab w:val="left" w:pos="7050"/>
              </w:tabs>
              <w:rPr>
                <w:rFonts w:asciiTheme="majorHAnsi" w:hAnsiTheme="majorHAnsi"/>
              </w:rPr>
            </w:pPr>
          </w:p>
        </w:tc>
      </w:tr>
      <w:tr w:rsidR="00E967A8" w:rsidRPr="00E967A8" w14:paraId="34082819" w14:textId="77777777" w:rsidTr="00F36DFE">
        <w:tc>
          <w:tcPr>
            <w:tcW w:w="4788" w:type="dxa"/>
          </w:tcPr>
          <w:p w14:paraId="7F02BDCD" w14:textId="77777777" w:rsidR="002E2DC9" w:rsidRPr="00E967A8" w:rsidRDefault="002E2DC9" w:rsidP="00F36DFE">
            <w:pPr>
              <w:tabs>
                <w:tab w:val="left" w:pos="7050"/>
              </w:tabs>
              <w:rPr>
                <w:rFonts w:asciiTheme="majorHAnsi" w:eastAsiaTheme="majorEastAsia" w:hAnsiTheme="majorHAnsi" w:cstheme="majorBidi"/>
                <w:b/>
                <w:bCs/>
              </w:rPr>
            </w:pPr>
            <w:r w:rsidRPr="00E967A8">
              <w:rPr>
                <w:rFonts w:asciiTheme="majorHAnsi" w:eastAsiaTheme="majorEastAsia" w:hAnsiTheme="majorHAnsi" w:cstheme="majorBidi"/>
                <w:b/>
                <w:bCs/>
              </w:rPr>
              <w:t>TAX EXPENDITURE NUMBER</w:t>
            </w:r>
          </w:p>
          <w:p w14:paraId="27384D72" w14:textId="77777777" w:rsidR="002E2DC9" w:rsidRPr="00E967A8" w:rsidRDefault="002E2DC9" w:rsidP="00F36DFE">
            <w:pPr>
              <w:tabs>
                <w:tab w:val="left" w:pos="7050"/>
              </w:tabs>
              <w:rPr>
                <w:rFonts w:asciiTheme="majorHAnsi" w:hAnsiTheme="majorHAnsi"/>
              </w:rPr>
            </w:pPr>
          </w:p>
        </w:tc>
        <w:tc>
          <w:tcPr>
            <w:tcW w:w="4770" w:type="dxa"/>
          </w:tcPr>
          <w:p w14:paraId="35FFDE83" w14:textId="77777777" w:rsidR="002E2DC9" w:rsidRPr="00E967A8" w:rsidRDefault="002E2DC9" w:rsidP="00F36DFE">
            <w:pPr>
              <w:tabs>
                <w:tab w:val="left" w:pos="7050"/>
              </w:tabs>
              <w:rPr>
                <w:rFonts w:asciiTheme="majorHAnsi" w:hAnsiTheme="majorHAnsi"/>
              </w:rPr>
            </w:pPr>
            <w:r w:rsidRPr="00E967A8">
              <w:rPr>
                <w:rFonts w:asciiTheme="majorHAnsi" w:hAnsiTheme="majorHAnsi"/>
              </w:rPr>
              <w:t>1.</w:t>
            </w:r>
            <w:r w:rsidR="00487FE1" w:rsidRPr="00E967A8">
              <w:rPr>
                <w:rFonts w:asciiTheme="majorHAnsi" w:hAnsiTheme="majorHAnsi"/>
              </w:rPr>
              <w:t>421</w:t>
            </w:r>
          </w:p>
        </w:tc>
      </w:tr>
      <w:tr w:rsidR="00E967A8" w:rsidRPr="00E967A8" w14:paraId="53C0F283" w14:textId="77777777" w:rsidTr="00F36DFE">
        <w:tc>
          <w:tcPr>
            <w:tcW w:w="4788" w:type="dxa"/>
          </w:tcPr>
          <w:p w14:paraId="37F71F20" w14:textId="77777777" w:rsidR="002E2DC9" w:rsidRPr="00E967A8" w:rsidRDefault="002E2DC9" w:rsidP="00F36DFE">
            <w:pPr>
              <w:tabs>
                <w:tab w:val="left" w:pos="7050"/>
              </w:tabs>
              <w:rPr>
                <w:rFonts w:asciiTheme="majorHAnsi" w:eastAsiaTheme="majorEastAsia" w:hAnsiTheme="majorHAnsi" w:cstheme="majorBidi"/>
                <w:b/>
                <w:bCs/>
              </w:rPr>
            </w:pPr>
            <w:r w:rsidRPr="00E967A8">
              <w:rPr>
                <w:rFonts w:asciiTheme="majorHAnsi" w:eastAsiaTheme="majorEastAsia" w:hAnsiTheme="majorHAnsi" w:cstheme="majorBidi"/>
                <w:b/>
                <w:bCs/>
              </w:rPr>
              <w:t>TAX EXPENDITURE CATEGORY</w:t>
            </w:r>
          </w:p>
          <w:p w14:paraId="1E71D283" w14:textId="77777777" w:rsidR="002E2DC9" w:rsidRPr="00E967A8" w:rsidRDefault="002E2DC9" w:rsidP="00F36DFE">
            <w:pPr>
              <w:tabs>
                <w:tab w:val="left" w:pos="7050"/>
              </w:tabs>
              <w:rPr>
                <w:rFonts w:asciiTheme="majorHAnsi" w:hAnsiTheme="majorHAnsi"/>
              </w:rPr>
            </w:pPr>
          </w:p>
        </w:tc>
        <w:tc>
          <w:tcPr>
            <w:tcW w:w="4770" w:type="dxa"/>
          </w:tcPr>
          <w:p w14:paraId="0FA5B4CC" w14:textId="77777777" w:rsidR="00487FE1" w:rsidRPr="00E967A8" w:rsidRDefault="00487FE1" w:rsidP="00F36DFE">
            <w:pPr>
              <w:tabs>
                <w:tab w:val="left" w:pos="7050"/>
              </w:tabs>
              <w:rPr>
                <w:rFonts w:asciiTheme="majorHAnsi" w:hAnsiTheme="majorHAnsi"/>
              </w:rPr>
            </w:pPr>
            <w:r w:rsidRPr="00E967A8">
              <w:rPr>
                <w:rFonts w:asciiTheme="majorHAnsi" w:hAnsiTheme="majorHAnsi"/>
              </w:rPr>
              <w:t>Deduction</w:t>
            </w:r>
            <w:r w:rsidR="002E2DC9" w:rsidRPr="00E967A8">
              <w:rPr>
                <w:rFonts w:asciiTheme="majorHAnsi" w:hAnsiTheme="majorHAnsi"/>
              </w:rPr>
              <w:t xml:space="preserve"> against tax</w:t>
            </w:r>
            <w:r w:rsidRPr="00E967A8">
              <w:rPr>
                <w:rFonts w:asciiTheme="majorHAnsi" w:hAnsiTheme="majorHAnsi"/>
              </w:rPr>
              <w:t>able income</w:t>
            </w:r>
          </w:p>
          <w:p w14:paraId="6315BB57" w14:textId="77777777" w:rsidR="002E2DC9" w:rsidRPr="00E967A8" w:rsidRDefault="002E2DC9" w:rsidP="00F36DFE">
            <w:pPr>
              <w:tabs>
                <w:tab w:val="left" w:pos="7050"/>
              </w:tabs>
              <w:rPr>
                <w:rFonts w:asciiTheme="majorHAnsi" w:hAnsiTheme="majorHAnsi"/>
              </w:rPr>
            </w:pPr>
          </w:p>
        </w:tc>
      </w:tr>
      <w:tr w:rsidR="00E967A8" w:rsidRPr="00E967A8" w14:paraId="07DE5C94" w14:textId="77777777" w:rsidTr="00F36DFE">
        <w:tc>
          <w:tcPr>
            <w:tcW w:w="4788" w:type="dxa"/>
          </w:tcPr>
          <w:p w14:paraId="2C2479BC" w14:textId="77777777" w:rsidR="002E2DC9" w:rsidRPr="00E967A8" w:rsidRDefault="002E2DC9" w:rsidP="00F36DFE">
            <w:pPr>
              <w:tabs>
                <w:tab w:val="left" w:pos="7050"/>
              </w:tabs>
              <w:rPr>
                <w:rFonts w:asciiTheme="majorHAnsi" w:eastAsiaTheme="majorEastAsia" w:hAnsiTheme="majorHAnsi" w:cstheme="majorBidi"/>
                <w:b/>
                <w:bCs/>
              </w:rPr>
            </w:pPr>
            <w:r w:rsidRPr="00E967A8">
              <w:rPr>
                <w:rFonts w:asciiTheme="majorHAnsi" w:eastAsiaTheme="majorEastAsia" w:hAnsiTheme="majorHAnsi" w:cstheme="majorBidi"/>
                <w:b/>
                <w:bCs/>
              </w:rPr>
              <w:t>TAX TYPE</w:t>
            </w:r>
          </w:p>
          <w:p w14:paraId="0E5EFB97" w14:textId="77777777" w:rsidR="002E2DC9" w:rsidRPr="00E967A8" w:rsidRDefault="002E2DC9" w:rsidP="00F36DFE">
            <w:pPr>
              <w:tabs>
                <w:tab w:val="left" w:pos="7050"/>
              </w:tabs>
              <w:rPr>
                <w:rFonts w:asciiTheme="majorHAnsi" w:hAnsiTheme="majorHAnsi"/>
              </w:rPr>
            </w:pPr>
          </w:p>
        </w:tc>
        <w:tc>
          <w:tcPr>
            <w:tcW w:w="4770" w:type="dxa"/>
          </w:tcPr>
          <w:p w14:paraId="6CE67E9C" w14:textId="77777777" w:rsidR="002E2DC9" w:rsidRPr="00E967A8" w:rsidRDefault="002E2DC9" w:rsidP="00F36DFE">
            <w:pPr>
              <w:tabs>
                <w:tab w:val="left" w:pos="7050"/>
              </w:tabs>
              <w:rPr>
                <w:rFonts w:asciiTheme="majorHAnsi" w:hAnsiTheme="majorHAnsi"/>
              </w:rPr>
            </w:pPr>
            <w:r w:rsidRPr="00E967A8">
              <w:rPr>
                <w:rFonts w:asciiTheme="majorHAnsi" w:hAnsiTheme="majorHAnsi"/>
              </w:rPr>
              <w:t>Personal income tax</w:t>
            </w:r>
            <w:r w:rsidR="00487FE1" w:rsidRPr="00E967A8">
              <w:rPr>
                <w:rFonts w:asciiTheme="majorHAnsi" w:hAnsiTheme="majorHAnsi"/>
              </w:rPr>
              <w:t xml:space="preserve"> </w:t>
            </w:r>
          </w:p>
          <w:p w14:paraId="61940DB2" w14:textId="77777777" w:rsidR="002E2DC9" w:rsidRPr="00E967A8" w:rsidRDefault="002E2DC9" w:rsidP="00F36DFE">
            <w:pPr>
              <w:tabs>
                <w:tab w:val="left" w:pos="7050"/>
              </w:tabs>
              <w:rPr>
                <w:rFonts w:asciiTheme="majorHAnsi" w:hAnsiTheme="majorHAnsi"/>
              </w:rPr>
            </w:pPr>
          </w:p>
        </w:tc>
      </w:tr>
      <w:tr w:rsidR="00E967A8" w:rsidRPr="00E967A8" w14:paraId="4CBC590E" w14:textId="77777777" w:rsidTr="00F36DFE">
        <w:tc>
          <w:tcPr>
            <w:tcW w:w="4788" w:type="dxa"/>
          </w:tcPr>
          <w:p w14:paraId="7892575B" w14:textId="77777777" w:rsidR="002E2DC9" w:rsidRPr="00E967A8" w:rsidRDefault="002E2DC9" w:rsidP="00F36DFE">
            <w:pPr>
              <w:tabs>
                <w:tab w:val="left" w:pos="7050"/>
              </w:tabs>
              <w:rPr>
                <w:rFonts w:asciiTheme="majorHAnsi" w:eastAsiaTheme="majorEastAsia" w:hAnsiTheme="majorHAnsi" w:cstheme="majorBidi"/>
                <w:b/>
                <w:bCs/>
              </w:rPr>
            </w:pPr>
            <w:r w:rsidRPr="00E967A8">
              <w:rPr>
                <w:rFonts w:asciiTheme="majorHAnsi" w:eastAsiaTheme="majorEastAsia" w:hAnsiTheme="majorHAnsi" w:cstheme="majorBidi"/>
                <w:b/>
                <w:bCs/>
              </w:rPr>
              <w:t>LEGAL REFERENCE</w:t>
            </w:r>
          </w:p>
          <w:p w14:paraId="212E23BD" w14:textId="77777777" w:rsidR="002E2DC9" w:rsidRPr="00E967A8" w:rsidRDefault="002E2DC9" w:rsidP="00F36DFE">
            <w:pPr>
              <w:tabs>
                <w:tab w:val="left" w:pos="7050"/>
              </w:tabs>
              <w:rPr>
                <w:rFonts w:asciiTheme="majorHAnsi" w:hAnsiTheme="majorHAnsi"/>
              </w:rPr>
            </w:pPr>
          </w:p>
        </w:tc>
        <w:tc>
          <w:tcPr>
            <w:tcW w:w="4770" w:type="dxa"/>
          </w:tcPr>
          <w:p w14:paraId="021DCFDF" w14:textId="77777777" w:rsidR="002E2DC9" w:rsidRPr="00E967A8" w:rsidRDefault="00487FE1" w:rsidP="00F36DFE">
            <w:pPr>
              <w:tabs>
                <w:tab w:val="left" w:pos="7050"/>
              </w:tabs>
              <w:rPr>
                <w:rFonts w:asciiTheme="majorHAnsi" w:hAnsiTheme="majorHAnsi"/>
              </w:rPr>
            </w:pPr>
            <w:r w:rsidRPr="00E967A8">
              <w:rPr>
                <w:rFonts w:asciiTheme="majorHAnsi" w:hAnsiTheme="majorHAnsi"/>
              </w:rPr>
              <w:t xml:space="preserve">IRC §§ 62(a)(14) and 179A </w:t>
            </w:r>
          </w:p>
        </w:tc>
      </w:tr>
      <w:tr w:rsidR="00E967A8" w:rsidRPr="00E967A8" w14:paraId="0CE4F553" w14:textId="77777777" w:rsidTr="00F36DFE">
        <w:tc>
          <w:tcPr>
            <w:tcW w:w="4788" w:type="dxa"/>
          </w:tcPr>
          <w:p w14:paraId="70B14D05" w14:textId="77777777" w:rsidR="002E2DC9" w:rsidRPr="00E967A8" w:rsidRDefault="002E2DC9" w:rsidP="00F36DFE">
            <w:pPr>
              <w:tabs>
                <w:tab w:val="left" w:pos="7050"/>
              </w:tabs>
              <w:rPr>
                <w:rFonts w:asciiTheme="majorHAnsi" w:eastAsiaTheme="majorEastAsia" w:hAnsiTheme="majorHAnsi" w:cstheme="majorBidi"/>
                <w:b/>
                <w:bCs/>
              </w:rPr>
            </w:pPr>
            <w:r w:rsidRPr="00E967A8">
              <w:rPr>
                <w:rFonts w:asciiTheme="majorHAnsi" w:eastAsiaTheme="majorEastAsia" w:hAnsiTheme="majorHAnsi" w:cstheme="majorBidi"/>
                <w:b/>
                <w:bCs/>
              </w:rPr>
              <w:t>YEAR ENACTED</w:t>
            </w:r>
          </w:p>
          <w:p w14:paraId="5CE4AEFA" w14:textId="77777777" w:rsidR="002E2DC9" w:rsidRPr="00E967A8" w:rsidRDefault="002E2DC9" w:rsidP="00F36DFE">
            <w:pPr>
              <w:tabs>
                <w:tab w:val="left" w:pos="7050"/>
              </w:tabs>
              <w:rPr>
                <w:rFonts w:asciiTheme="majorHAnsi" w:hAnsiTheme="majorHAnsi"/>
              </w:rPr>
            </w:pPr>
          </w:p>
        </w:tc>
        <w:tc>
          <w:tcPr>
            <w:tcW w:w="4770" w:type="dxa"/>
          </w:tcPr>
          <w:p w14:paraId="4C1997E4" w14:textId="77777777" w:rsidR="002E2DC9" w:rsidRPr="00E967A8" w:rsidRDefault="00487FE1" w:rsidP="00481964">
            <w:pPr>
              <w:tabs>
                <w:tab w:val="left" w:pos="7050"/>
              </w:tabs>
              <w:rPr>
                <w:rFonts w:asciiTheme="majorHAnsi" w:hAnsiTheme="majorHAnsi"/>
              </w:rPr>
            </w:pPr>
            <w:r w:rsidRPr="00E967A8">
              <w:rPr>
                <w:rFonts w:asciiTheme="majorHAnsi" w:hAnsiTheme="majorHAnsi"/>
              </w:rPr>
              <w:t xml:space="preserve">As part of </w:t>
            </w:r>
            <w:r w:rsidR="00674E29">
              <w:rPr>
                <w:rFonts w:asciiTheme="majorHAnsi" w:hAnsiTheme="majorHAnsi"/>
              </w:rPr>
              <w:t>19</w:t>
            </w:r>
            <w:r w:rsidR="00243FBB">
              <w:rPr>
                <w:rFonts w:asciiTheme="majorHAnsi" w:hAnsiTheme="majorHAnsi"/>
              </w:rPr>
              <w:t>9</w:t>
            </w:r>
            <w:r w:rsidR="00674E29">
              <w:rPr>
                <w:rFonts w:asciiTheme="majorHAnsi" w:hAnsiTheme="majorHAnsi"/>
              </w:rPr>
              <w:t xml:space="preserve">8 </w:t>
            </w:r>
            <w:r w:rsidRPr="00E967A8">
              <w:rPr>
                <w:rFonts w:asciiTheme="majorHAnsi" w:hAnsiTheme="majorHAnsi"/>
              </w:rPr>
              <w:t>Code</w:t>
            </w:r>
            <w:r w:rsidR="00243FBB">
              <w:rPr>
                <w:rFonts w:asciiTheme="majorHAnsi" w:hAnsiTheme="majorHAnsi"/>
              </w:rPr>
              <w:t xml:space="preserve"> u</w:t>
            </w:r>
            <w:r w:rsidRPr="00E967A8">
              <w:rPr>
                <w:rFonts w:asciiTheme="majorHAnsi" w:hAnsiTheme="majorHAnsi"/>
              </w:rPr>
              <w:t>pdate</w:t>
            </w:r>
          </w:p>
        </w:tc>
      </w:tr>
      <w:tr w:rsidR="00E967A8" w:rsidRPr="00E967A8" w14:paraId="0B9FD7F2" w14:textId="77777777" w:rsidTr="00F36DFE">
        <w:tc>
          <w:tcPr>
            <w:tcW w:w="4788" w:type="dxa"/>
          </w:tcPr>
          <w:p w14:paraId="46A42F6B" w14:textId="77777777" w:rsidR="002E2DC9" w:rsidRPr="00E967A8" w:rsidRDefault="002E2DC9" w:rsidP="00F36DFE">
            <w:pPr>
              <w:tabs>
                <w:tab w:val="left" w:pos="7050"/>
              </w:tabs>
              <w:rPr>
                <w:rFonts w:asciiTheme="majorHAnsi" w:hAnsiTheme="majorHAnsi"/>
              </w:rPr>
            </w:pPr>
            <w:r w:rsidRPr="00E967A8">
              <w:rPr>
                <w:rFonts w:asciiTheme="majorHAnsi" w:eastAsiaTheme="majorEastAsia" w:hAnsiTheme="majorHAnsi" w:cstheme="majorBidi"/>
                <w:b/>
                <w:bCs/>
              </w:rPr>
              <w:t>REPEAL/EXPIRATION DATE</w:t>
            </w:r>
          </w:p>
        </w:tc>
        <w:tc>
          <w:tcPr>
            <w:tcW w:w="4770" w:type="dxa"/>
          </w:tcPr>
          <w:p w14:paraId="23BBF38A" w14:textId="77777777" w:rsidR="002E2DC9" w:rsidRPr="00E967A8" w:rsidRDefault="00E967A8" w:rsidP="00F36DFE">
            <w:pPr>
              <w:tabs>
                <w:tab w:val="left" w:pos="7050"/>
              </w:tabs>
              <w:rPr>
                <w:rFonts w:asciiTheme="majorHAnsi" w:hAnsiTheme="majorHAnsi"/>
              </w:rPr>
            </w:pPr>
            <w:r>
              <w:rPr>
                <w:rFonts w:asciiTheme="majorHAnsi" w:hAnsiTheme="majorHAnsi"/>
              </w:rPr>
              <w:t>None, but deduction is l</w:t>
            </w:r>
            <w:r w:rsidR="006A76DB" w:rsidRPr="00E967A8">
              <w:rPr>
                <w:rFonts w:asciiTheme="majorHAnsi" w:hAnsiTheme="majorHAnsi"/>
              </w:rPr>
              <w:t>imited to vehicles and certain refueling property placed in service on or before December 31, 2006</w:t>
            </w:r>
          </w:p>
          <w:p w14:paraId="7C7ABC89" w14:textId="77777777" w:rsidR="002E2DC9" w:rsidRPr="00E967A8" w:rsidRDefault="002E2DC9" w:rsidP="00F36DFE">
            <w:pPr>
              <w:tabs>
                <w:tab w:val="left" w:pos="7050"/>
              </w:tabs>
              <w:rPr>
                <w:rFonts w:asciiTheme="majorHAnsi" w:hAnsiTheme="majorHAnsi"/>
              </w:rPr>
            </w:pPr>
          </w:p>
        </w:tc>
      </w:tr>
      <w:tr w:rsidR="00E967A8" w:rsidRPr="00E967A8" w14:paraId="1F06228B" w14:textId="77777777" w:rsidTr="00F36DFE">
        <w:tc>
          <w:tcPr>
            <w:tcW w:w="4788" w:type="dxa"/>
          </w:tcPr>
          <w:p w14:paraId="0E2C2247" w14:textId="77777777" w:rsidR="002E2DC9" w:rsidRPr="00E967A8" w:rsidRDefault="002E2DC9" w:rsidP="00F36DFE">
            <w:pPr>
              <w:tabs>
                <w:tab w:val="left" w:pos="7050"/>
              </w:tabs>
              <w:rPr>
                <w:rFonts w:asciiTheme="majorHAnsi" w:eastAsiaTheme="majorEastAsia" w:hAnsiTheme="majorHAnsi" w:cstheme="majorBidi"/>
                <w:b/>
                <w:bCs/>
              </w:rPr>
            </w:pPr>
            <w:r w:rsidRPr="00E967A8">
              <w:rPr>
                <w:rFonts w:asciiTheme="majorHAnsi" w:eastAsiaTheme="majorEastAsia" w:hAnsiTheme="majorHAnsi" w:cstheme="majorBidi"/>
                <w:b/>
                <w:bCs/>
              </w:rPr>
              <w:t>ANNUAL REVENUE IMPACT</w:t>
            </w:r>
          </w:p>
          <w:p w14:paraId="4E2BBC95" w14:textId="77777777" w:rsidR="002E2DC9" w:rsidRPr="00E967A8" w:rsidRDefault="002E2DC9" w:rsidP="00F36DFE">
            <w:pPr>
              <w:tabs>
                <w:tab w:val="left" w:pos="7050"/>
              </w:tabs>
              <w:rPr>
                <w:rFonts w:asciiTheme="majorHAnsi" w:hAnsiTheme="majorHAnsi"/>
              </w:rPr>
            </w:pPr>
          </w:p>
        </w:tc>
        <w:tc>
          <w:tcPr>
            <w:tcW w:w="4770" w:type="dxa"/>
          </w:tcPr>
          <w:p w14:paraId="7EEE8235" w14:textId="77777777" w:rsidR="002E2DC9" w:rsidRPr="00E967A8" w:rsidRDefault="00487FE1" w:rsidP="00F36DFE">
            <w:pPr>
              <w:tabs>
                <w:tab w:val="left" w:pos="7050"/>
              </w:tabs>
              <w:rPr>
                <w:rFonts w:asciiTheme="majorHAnsi" w:hAnsiTheme="majorHAnsi"/>
              </w:rPr>
            </w:pPr>
            <w:r w:rsidRPr="00E967A8">
              <w:rPr>
                <w:rFonts w:asciiTheme="majorHAnsi" w:hAnsiTheme="majorHAnsi"/>
              </w:rPr>
              <w:t>Negligible</w:t>
            </w:r>
          </w:p>
        </w:tc>
      </w:tr>
      <w:tr w:rsidR="00E967A8" w:rsidRPr="00E967A8" w14:paraId="7C35BF4E" w14:textId="77777777" w:rsidTr="00F36DFE">
        <w:tc>
          <w:tcPr>
            <w:tcW w:w="4788" w:type="dxa"/>
          </w:tcPr>
          <w:p w14:paraId="4967E891" w14:textId="77777777" w:rsidR="002E2DC9" w:rsidRPr="00E967A8" w:rsidRDefault="002E2DC9" w:rsidP="00F36DFE">
            <w:pPr>
              <w:tabs>
                <w:tab w:val="left" w:pos="7050"/>
              </w:tabs>
              <w:rPr>
                <w:rFonts w:asciiTheme="majorHAnsi" w:hAnsiTheme="majorHAnsi"/>
              </w:rPr>
            </w:pPr>
            <w:r w:rsidRPr="00E967A8">
              <w:rPr>
                <w:rFonts w:asciiTheme="majorHAnsi" w:eastAsiaTheme="majorEastAsia" w:hAnsiTheme="majorHAnsi" w:cstheme="majorBidi"/>
                <w:b/>
                <w:bCs/>
              </w:rPr>
              <w:t xml:space="preserve">NUMBER OF TAXPAYERS </w:t>
            </w:r>
          </w:p>
        </w:tc>
        <w:tc>
          <w:tcPr>
            <w:tcW w:w="4770" w:type="dxa"/>
          </w:tcPr>
          <w:p w14:paraId="3251D3C0" w14:textId="77777777" w:rsidR="002E2DC9" w:rsidRPr="00E967A8" w:rsidRDefault="00FA297A" w:rsidP="00F36DFE">
            <w:pPr>
              <w:tabs>
                <w:tab w:val="left" w:pos="7050"/>
              </w:tabs>
              <w:rPr>
                <w:rFonts w:asciiTheme="majorHAnsi" w:eastAsiaTheme="majorEastAsia" w:hAnsiTheme="majorHAnsi" w:cstheme="majorBidi"/>
                <w:bCs/>
              </w:rPr>
            </w:pPr>
            <w:r>
              <w:rPr>
                <w:rFonts w:asciiTheme="majorHAnsi" w:eastAsiaTheme="majorEastAsia" w:hAnsiTheme="majorHAnsi" w:cstheme="majorBidi"/>
                <w:bCs/>
              </w:rPr>
              <w:t>N/A</w:t>
            </w:r>
          </w:p>
          <w:p w14:paraId="083534C3" w14:textId="77777777" w:rsidR="002E2DC9" w:rsidRPr="00E967A8" w:rsidRDefault="002E2DC9" w:rsidP="00F36DFE">
            <w:pPr>
              <w:tabs>
                <w:tab w:val="left" w:pos="7050"/>
              </w:tabs>
              <w:rPr>
                <w:rFonts w:asciiTheme="majorHAnsi" w:hAnsiTheme="majorHAnsi"/>
              </w:rPr>
            </w:pPr>
          </w:p>
        </w:tc>
      </w:tr>
      <w:tr w:rsidR="002E2DC9" w:rsidRPr="00E967A8" w14:paraId="60145706" w14:textId="77777777" w:rsidTr="00F36DFE">
        <w:tc>
          <w:tcPr>
            <w:tcW w:w="4788" w:type="dxa"/>
          </w:tcPr>
          <w:p w14:paraId="34F90275" w14:textId="77777777" w:rsidR="002E2DC9" w:rsidRPr="00E967A8" w:rsidRDefault="002E2DC9" w:rsidP="00F36DFE">
            <w:pPr>
              <w:tabs>
                <w:tab w:val="left" w:pos="7050"/>
              </w:tabs>
              <w:rPr>
                <w:rFonts w:asciiTheme="majorHAnsi" w:hAnsiTheme="majorHAnsi"/>
              </w:rPr>
            </w:pPr>
            <w:r w:rsidRPr="00E967A8">
              <w:rPr>
                <w:rFonts w:asciiTheme="majorHAnsi" w:eastAsiaTheme="majorEastAsia" w:hAnsiTheme="majorHAnsi" w:cstheme="majorBidi"/>
                <w:b/>
                <w:bCs/>
              </w:rPr>
              <w:t>AVERAGE TAXPAYER BENEFIT</w:t>
            </w:r>
          </w:p>
        </w:tc>
        <w:tc>
          <w:tcPr>
            <w:tcW w:w="4770" w:type="dxa"/>
          </w:tcPr>
          <w:p w14:paraId="4FE0045D" w14:textId="77777777" w:rsidR="002E2DC9" w:rsidRPr="00E967A8" w:rsidRDefault="00FA297A" w:rsidP="00F36DFE">
            <w:pPr>
              <w:tabs>
                <w:tab w:val="left" w:pos="7050"/>
              </w:tabs>
              <w:rPr>
                <w:rFonts w:asciiTheme="majorHAnsi" w:hAnsiTheme="majorHAnsi"/>
              </w:rPr>
            </w:pPr>
            <w:r>
              <w:rPr>
                <w:rFonts w:asciiTheme="majorHAnsi" w:hAnsiTheme="majorHAnsi"/>
              </w:rPr>
              <w:t>N/A</w:t>
            </w:r>
          </w:p>
        </w:tc>
      </w:tr>
    </w:tbl>
    <w:p w14:paraId="075B68F6" w14:textId="77777777" w:rsidR="002E2DC9" w:rsidRPr="00E967A8" w:rsidRDefault="002E2DC9" w:rsidP="002E2DC9">
      <w:pPr>
        <w:rPr>
          <w:b/>
          <w:bCs/>
        </w:rPr>
      </w:pPr>
    </w:p>
    <w:tbl>
      <w:tblPr>
        <w:tblStyle w:val="TableGrid"/>
        <w:tblW w:w="0" w:type="auto"/>
        <w:tblLook w:val="04A0" w:firstRow="1" w:lastRow="0" w:firstColumn="1" w:lastColumn="0" w:noHBand="0" w:noVBand="1"/>
      </w:tblPr>
      <w:tblGrid>
        <w:gridCol w:w="4676"/>
        <w:gridCol w:w="4674"/>
      </w:tblGrid>
      <w:tr w:rsidR="00E967A8" w:rsidRPr="00E967A8" w14:paraId="505FA3F7" w14:textId="77777777" w:rsidTr="00F36DFE">
        <w:tc>
          <w:tcPr>
            <w:tcW w:w="4788" w:type="dxa"/>
          </w:tcPr>
          <w:p w14:paraId="58D6486F" w14:textId="77777777" w:rsidR="002E2DC9" w:rsidRPr="00E967A8" w:rsidRDefault="002E2DC9" w:rsidP="00F36DFE">
            <w:pPr>
              <w:tabs>
                <w:tab w:val="left" w:pos="7050"/>
              </w:tabs>
              <w:rPr>
                <w:rFonts w:asciiTheme="majorHAnsi" w:eastAsiaTheme="majorEastAsia" w:hAnsiTheme="majorHAnsi" w:cstheme="majorBidi"/>
                <w:b/>
                <w:bCs/>
                <w:sz w:val="24"/>
              </w:rPr>
            </w:pPr>
            <w:r w:rsidRPr="00E967A8">
              <w:rPr>
                <w:rFonts w:asciiTheme="majorHAnsi" w:eastAsiaTheme="majorEastAsia" w:hAnsiTheme="majorHAnsi" w:cstheme="majorBidi"/>
                <w:b/>
                <w:bCs/>
                <w:sz w:val="24"/>
              </w:rPr>
              <w:t>Description of the Tax Expenditure:</w:t>
            </w:r>
          </w:p>
          <w:p w14:paraId="2FA5A477" w14:textId="77777777" w:rsidR="002E2DC9" w:rsidRDefault="00AF647E" w:rsidP="00E967A8">
            <w:pPr>
              <w:tabs>
                <w:tab w:val="left" w:pos="7050"/>
              </w:tabs>
              <w:rPr>
                <w:rFonts w:asciiTheme="majorHAnsi" w:eastAsiaTheme="majorEastAsia" w:hAnsiTheme="majorHAnsi" w:cstheme="majorBidi"/>
                <w:sz w:val="24"/>
              </w:rPr>
            </w:pPr>
            <w:r w:rsidRPr="00E967A8">
              <w:rPr>
                <w:rFonts w:asciiTheme="majorHAnsi" w:eastAsiaTheme="majorEastAsia" w:hAnsiTheme="majorHAnsi" w:cstheme="majorBidi"/>
                <w:sz w:val="24"/>
              </w:rPr>
              <w:t>A deduction is allowed for a portion of the cost of qualifying motor vehicles that use clean-burning fuel</w:t>
            </w:r>
            <w:r w:rsidR="00E967A8">
              <w:rPr>
                <w:rFonts w:asciiTheme="majorHAnsi" w:eastAsiaTheme="majorEastAsia" w:hAnsiTheme="majorHAnsi" w:cstheme="majorBidi"/>
                <w:sz w:val="24"/>
              </w:rPr>
              <w:t xml:space="preserve"> </w:t>
            </w:r>
            <w:r w:rsidR="00E967A8" w:rsidRPr="00E967A8">
              <w:rPr>
                <w:rFonts w:asciiTheme="majorHAnsi" w:hAnsiTheme="majorHAnsi"/>
              </w:rPr>
              <w:t>placed in service on or before December 31, 2006</w:t>
            </w:r>
            <w:r w:rsidRPr="00E967A8">
              <w:rPr>
                <w:rFonts w:asciiTheme="majorHAnsi" w:eastAsiaTheme="majorEastAsia" w:hAnsiTheme="majorHAnsi" w:cstheme="majorBidi"/>
                <w:sz w:val="24"/>
              </w:rPr>
              <w:t>. </w:t>
            </w:r>
            <w:r w:rsidR="00DB3641" w:rsidRPr="00E967A8">
              <w:rPr>
                <w:rFonts w:asciiTheme="majorHAnsi" w:eastAsiaTheme="majorEastAsia" w:hAnsiTheme="majorHAnsi" w:cstheme="majorBidi"/>
                <w:sz w:val="24"/>
              </w:rPr>
              <w:t xml:space="preserve"> </w:t>
            </w:r>
            <w:r w:rsidR="00E967A8">
              <w:rPr>
                <w:rFonts w:asciiTheme="majorHAnsi" w:eastAsiaTheme="majorEastAsia" w:hAnsiTheme="majorHAnsi" w:cstheme="majorBidi"/>
                <w:sz w:val="24"/>
              </w:rPr>
              <w:t xml:space="preserve">The deduction exists in Massachusetts because it was present in the Code as of 1/1/05. </w:t>
            </w:r>
            <w:r w:rsidR="00DB3641" w:rsidRPr="00E967A8">
              <w:rPr>
                <w:rFonts w:asciiTheme="majorHAnsi" w:eastAsiaTheme="majorEastAsia" w:hAnsiTheme="majorHAnsi" w:cstheme="majorBidi"/>
                <w:sz w:val="24"/>
              </w:rPr>
              <w:t>The federal deduction was repealed in 2014.</w:t>
            </w:r>
          </w:p>
          <w:p w14:paraId="00A3306B" w14:textId="77777777" w:rsidR="007862F2" w:rsidRPr="00E967A8" w:rsidRDefault="007862F2" w:rsidP="00E967A8">
            <w:pPr>
              <w:tabs>
                <w:tab w:val="left" w:pos="7050"/>
              </w:tabs>
              <w:rPr>
                <w:rFonts w:asciiTheme="majorHAnsi" w:eastAsiaTheme="majorEastAsia" w:hAnsiTheme="majorHAnsi" w:cstheme="majorBidi"/>
                <w:sz w:val="24"/>
              </w:rPr>
            </w:pPr>
          </w:p>
        </w:tc>
        <w:tc>
          <w:tcPr>
            <w:tcW w:w="4788" w:type="dxa"/>
          </w:tcPr>
          <w:p w14:paraId="0F851B6B" w14:textId="77777777" w:rsidR="002E2DC9" w:rsidRPr="00E967A8" w:rsidRDefault="002E2DC9" w:rsidP="00F36DFE">
            <w:pPr>
              <w:tabs>
                <w:tab w:val="left" w:pos="7050"/>
              </w:tabs>
              <w:rPr>
                <w:rFonts w:asciiTheme="majorHAnsi" w:eastAsiaTheme="majorEastAsia" w:hAnsiTheme="majorHAnsi" w:cstheme="majorBidi"/>
                <w:b/>
                <w:bCs/>
                <w:sz w:val="24"/>
              </w:rPr>
            </w:pPr>
            <w:r w:rsidRPr="00E967A8">
              <w:rPr>
                <w:rFonts w:asciiTheme="majorHAnsi" w:eastAsiaTheme="majorEastAsia" w:hAnsiTheme="majorHAnsi" w:cstheme="majorBidi"/>
                <w:b/>
                <w:bCs/>
                <w:sz w:val="24"/>
              </w:rPr>
              <w:t>Is the purpose defined in the statute?</w:t>
            </w:r>
          </w:p>
          <w:p w14:paraId="0079813D" w14:textId="77777777" w:rsidR="002E2DC9" w:rsidRPr="00E967A8" w:rsidRDefault="002E2DC9" w:rsidP="00E967A8">
            <w:pPr>
              <w:rPr>
                <w:b/>
                <w:bCs/>
              </w:rPr>
            </w:pPr>
            <w:r w:rsidRPr="00E967A8">
              <w:rPr>
                <w:rFonts w:asciiTheme="majorHAnsi" w:eastAsiaTheme="majorEastAsia" w:hAnsiTheme="majorHAnsi" w:cstheme="majorBidi"/>
                <w:bCs/>
                <w:sz w:val="24"/>
              </w:rPr>
              <w:t xml:space="preserve">The statute does not explicitly state the purpose of this tax expenditure. We inferred that the purpose </w:t>
            </w:r>
            <w:r w:rsidR="00E967A8">
              <w:rPr>
                <w:rFonts w:asciiTheme="majorHAnsi" w:eastAsiaTheme="majorEastAsia" w:hAnsiTheme="majorHAnsi" w:cstheme="majorBidi"/>
                <w:bCs/>
                <w:sz w:val="24"/>
              </w:rPr>
              <w:t>was to</w:t>
            </w:r>
            <w:r w:rsidRPr="00E967A8">
              <w:rPr>
                <w:rFonts w:asciiTheme="majorHAnsi" w:eastAsiaTheme="majorEastAsia" w:hAnsiTheme="majorHAnsi" w:cstheme="majorBidi"/>
                <w:bCs/>
                <w:sz w:val="24"/>
              </w:rPr>
              <w:t xml:space="preserve"> </w:t>
            </w:r>
            <w:r w:rsidR="00AF647E" w:rsidRPr="00E967A8">
              <w:rPr>
                <w:rFonts w:asciiTheme="majorHAnsi" w:eastAsiaTheme="majorEastAsia" w:hAnsiTheme="majorHAnsi" w:cstheme="majorBidi"/>
                <w:bCs/>
                <w:sz w:val="24"/>
              </w:rPr>
              <w:t>encourage the purchase of vehicles that use clean burning fuel.</w:t>
            </w:r>
          </w:p>
        </w:tc>
      </w:tr>
      <w:tr w:rsidR="002E2DC9" w:rsidRPr="00E967A8" w14:paraId="07F0BB86" w14:textId="77777777" w:rsidTr="00F36DFE">
        <w:tc>
          <w:tcPr>
            <w:tcW w:w="4788" w:type="dxa"/>
          </w:tcPr>
          <w:p w14:paraId="00220FAB" w14:textId="1F475FEE" w:rsidR="002E2DC9" w:rsidRPr="00E967A8" w:rsidRDefault="002E2DC9" w:rsidP="00F36DFE">
            <w:pPr>
              <w:tabs>
                <w:tab w:val="left" w:pos="7050"/>
              </w:tabs>
              <w:rPr>
                <w:rFonts w:asciiTheme="majorHAnsi" w:eastAsiaTheme="majorEastAsia" w:hAnsiTheme="majorHAnsi" w:cstheme="majorBidi"/>
                <w:b/>
                <w:bCs/>
                <w:sz w:val="24"/>
              </w:rPr>
            </w:pPr>
            <w:r w:rsidRPr="00E967A8">
              <w:rPr>
                <w:rFonts w:asciiTheme="majorHAnsi" w:eastAsiaTheme="majorEastAsia" w:hAnsiTheme="majorHAnsi" w:cstheme="majorBidi"/>
                <w:b/>
                <w:bCs/>
                <w:sz w:val="24"/>
              </w:rPr>
              <w:t xml:space="preserve">What are the </w:t>
            </w:r>
            <w:r w:rsidR="00620B94">
              <w:rPr>
                <w:rFonts w:asciiTheme="majorHAnsi" w:eastAsiaTheme="majorEastAsia" w:hAnsiTheme="majorHAnsi" w:cstheme="majorBidi"/>
                <w:b/>
                <w:bCs/>
                <w:sz w:val="24"/>
              </w:rPr>
              <w:t>policy</w:t>
            </w:r>
            <w:r w:rsidRPr="00E967A8">
              <w:rPr>
                <w:rFonts w:asciiTheme="majorHAnsi" w:eastAsiaTheme="majorEastAsia" w:hAnsiTheme="majorHAnsi" w:cstheme="majorBidi"/>
                <w:b/>
                <w:bCs/>
                <w:sz w:val="24"/>
              </w:rPr>
              <w:t xml:space="preserve"> goals of the expenditure?</w:t>
            </w:r>
          </w:p>
          <w:p w14:paraId="35BFBAAF" w14:textId="67B6F890" w:rsidR="002E2DC9" w:rsidRPr="00E967A8" w:rsidRDefault="00620B94" w:rsidP="00FC6FDA">
            <w:pPr>
              <w:rPr>
                <w:b/>
                <w:bCs/>
              </w:rPr>
            </w:pPr>
            <w:r>
              <w:rPr>
                <w:rFonts w:asciiTheme="majorHAnsi" w:eastAsiaTheme="majorEastAsia" w:hAnsiTheme="majorHAnsi" w:cstheme="majorBidi"/>
                <w:bCs/>
                <w:sz w:val="24"/>
              </w:rPr>
              <w:t>To i</w:t>
            </w:r>
            <w:r w:rsidR="00547A4D" w:rsidRPr="00E967A8">
              <w:rPr>
                <w:rFonts w:asciiTheme="majorHAnsi" w:eastAsiaTheme="majorEastAsia" w:hAnsiTheme="majorHAnsi" w:cstheme="majorBidi"/>
                <w:bCs/>
                <w:sz w:val="24"/>
              </w:rPr>
              <w:t xml:space="preserve">ncrease consumer purchasing of </w:t>
            </w:r>
            <w:r>
              <w:rPr>
                <w:rFonts w:asciiTheme="majorHAnsi" w:eastAsiaTheme="majorEastAsia" w:hAnsiTheme="majorHAnsi" w:cstheme="majorBidi"/>
                <w:bCs/>
                <w:sz w:val="24"/>
              </w:rPr>
              <w:t>alternative</w:t>
            </w:r>
            <w:r w:rsidRPr="00E967A8">
              <w:rPr>
                <w:rFonts w:asciiTheme="majorHAnsi" w:eastAsiaTheme="majorEastAsia" w:hAnsiTheme="majorHAnsi" w:cstheme="majorBidi"/>
                <w:bCs/>
                <w:sz w:val="24"/>
              </w:rPr>
              <w:t xml:space="preserve"> </w:t>
            </w:r>
            <w:r w:rsidR="00547A4D" w:rsidRPr="00E967A8">
              <w:rPr>
                <w:rFonts w:asciiTheme="majorHAnsi" w:eastAsiaTheme="majorEastAsia" w:hAnsiTheme="majorHAnsi" w:cstheme="majorBidi"/>
                <w:bCs/>
                <w:sz w:val="24"/>
              </w:rPr>
              <w:t>fuel</w:t>
            </w:r>
            <w:r>
              <w:rPr>
                <w:rFonts w:asciiTheme="majorHAnsi" w:eastAsiaTheme="majorEastAsia" w:hAnsiTheme="majorHAnsi" w:cstheme="majorBidi"/>
                <w:bCs/>
                <w:sz w:val="24"/>
              </w:rPr>
              <w:t>-</w:t>
            </w:r>
            <w:r w:rsidR="00547A4D" w:rsidRPr="00E967A8">
              <w:rPr>
                <w:rFonts w:asciiTheme="majorHAnsi" w:eastAsiaTheme="majorEastAsia" w:hAnsiTheme="majorHAnsi" w:cstheme="majorBidi"/>
                <w:bCs/>
                <w:sz w:val="24"/>
              </w:rPr>
              <w:t>power</w:t>
            </w:r>
            <w:r w:rsidR="004278BD" w:rsidRPr="00E967A8">
              <w:rPr>
                <w:rFonts w:asciiTheme="majorHAnsi" w:eastAsiaTheme="majorEastAsia" w:hAnsiTheme="majorHAnsi" w:cstheme="majorBidi"/>
                <w:bCs/>
                <w:sz w:val="24"/>
              </w:rPr>
              <w:t>ed</w:t>
            </w:r>
            <w:r w:rsidR="00547A4D" w:rsidRPr="00E967A8">
              <w:rPr>
                <w:rFonts w:asciiTheme="majorHAnsi" w:eastAsiaTheme="majorEastAsia" w:hAnsiTheme="majorHAnsi" w:cstheme="majorBidi"/>
                <w:bCs/>
                <w:sz w:val="24"/>
              </w:rPr>
              <w:t xml:space="preserve"> vehicles</w:t>
            </w:r>
            <w:r>
              <w:rPr>
                <w:rFonts w:asciiTheme="majorHAnsi" w:eastAsiaTheme="majorEastAsia" w:hAnsiTheme="majorHAnsi" w:cstheme="majorBidi"/>
                <w:bCs/>
                <w:sz w:val="24"/>
              </w:rPr>
              <w:t>,</w:t>
            </w:r>
            <w:r w:rsidR="00547A4D" w:rsidRPr="00E967A8">
              <w:rPr>
                <w:rFonts w:asciiTheme="majorHAnsi" w:eastAsiaTheme="majorEastAsia" w:hAnsiTheme="majorHAnsi" w:cstheme="majorBidi"/>
                <w:bCs/>
                <w:sz w:val="24"/>
              </w:rPr>
              <w:t xml:space="preserve"> </w:t>
            </w:r>
            <w:r>
              <w:rPr>
                <w:rFonts w:asciiTheme="majorHAnsi" w:eastAsiaTheme="majorEastAsia" w:hAnsiTheme="majorHAnsi" w:cstheme="majorBidi"/>
                <w:bCs/>
                <w:sz w:val="24"/>
              </w:rPr>
              <w:t>thereby</w:t>
            </w:r>
            <w:r w:rsidR="004278BD" w:rsidRPr="00E967A8">
              <w:rPr>
                <w:rFonts w:asciiTheme="majorHAnsi" w:eastAsiaTheme="majorEastAsia" w:hAnsiTheme="majorHAnsi" w:cstheme="majorBidi"/>
                <w:bCs/>
                <w:sz w:val="24"/>
              </w:rPr>
              <w:t xml:space="preserve"> </w:t>
            </w:r>
            <w:r w:rsidR="0038343B" w:rsidRPr="00E967A8">
              <w:rPr>
                <w:rFonts w:asciiTheme="majorHAnsi" w:eastAsiaTheme="majorEastAsia" w:hAnsiTheme="majorHAnsi" w:cstheme="majorBidi"/>
                <w:bCs/>
                <w:sz w:val="24"/>
              </w:rPr>
              <w:t>reduc</w:t>
            </w:r>
            <w:r>
              <w:rPr>
                <w:rFonts w:asciiTheme="majorHAnsi" w:eastAsiaTheme="majorEastAsia" w:hAnsiTheme="majorHAnsi" w:cstheme="majorBidi"/>
                <w:bCs/>
                <w:sz w:val="24"/>
              </w:rPr>
              <w:t>ing</w:t>
            </w:r>
            <w:r w:rsidR="0038343B" w:rsidRPr="00E967A8">
              <w:rPr>
                <w:rFonts w:asciiTheme="majorHAnsi" w:eastAsiaTheme="majorEastAsia" w:hAnsiTheme="majorHAnsi" w:cstheme="majorBidi"/>
                <w:bCs/>
                <w:sz w:val="24"/>
              </w:rPr>
              <w:t xml:space="preserve"> </w:t>
            </w:r>
            <w:r w:rsidR="004278BD" w:rsidRPr="00E967A8">
              <w:rPr>
                <w:rFonts w:asciiTheme="majorHAnsi" w:eastAsiaTheme="majorEastAsia" w:hAnsiTheme="majorHAnsi" w:cstheme="majorBidi"/>
                <w:bCs/>
                <w:sz w:val="24"/>
              </w:rPr>
              <w:t>environmental pollution.</w:t>
            </w:r>
          </w:p>
        </w:tc>
        <w:tc>
          <w:tcPr>
            <w:tcW w:w="4788" w:type="dxa"/>
          </w:tcPr>
          <w:p w14:paraId="1769A1D2" w14:textId="77777777" w:rsidR="002E2DC9" w:rsidRPr="00E967A8" w:rsidRDefault="002E2DC9" w:rsidP="00E63D56">
            <w:pPr>
              <w:tabs>
                <w:tab w:val="left" w:pos="7050"/>
              </w:tabs>
              <w:rPr>
                <w:rFonts w:asciiTheme="majorHAnsi" w:eastAsiaTheme="majorEastAsia" w:hAnsiTheme="majorHAnsi" w:cstheme="majorBidi"/>
                <w:sz w:val="24"/>
              </w:rPr>
            </w:pPr>
            <w:r w:rsidRPr="00E967A8">
              <w:rPr>
                <w:rFonts w:asciiTheme="majorHAnsi" w:eastAsiaTheme="majorEastAsia" w:hAnsiTheme="majorHAnsi" w:cstheme="majorBidi"/>
                <w:b/>
                <w:bCs/>
                <w:sz w:val="24"/>
              </w:rPr>
              <w:t>Are there other states with a similar Tax Expenditure</w:t>
            </w:r>
            <w:r w:rsidRPr="00E967A8">
              <w:rPr>
                <w:rFonts w:asciiTheme="majorHAnsi" w:eastAsiaTheme="majorEastAsia" w:hAnsiTheme="majorHAnsi" w:cstheme="majorBidi"/>
                <w:sz w:val="24"/>
              </w:rPr>
              <w:t>?</w:t>
            </w:r>
            <w:r w:rsidR="00434BAD" w:rsidRPr="00E967A8">
              <w:rPr>
                <w:rFonts w:asciiTheme="majorHAnsi" w:eastAsiaTheme="majorEastAsia" w:hAnsiTheme="majorHAnsi" w:cstheme="majorBidi"/>
                <w:sz w:val="24"/>
              </w:rPr>
              <w:t xml:space="preserve"> </w:t>
            </w:r>
            <w:r w:rsidR="00CB101A" w:rsidRPr="00E967A8">
              <w:rPr>
                <w:rFonts w:asciiTheme="majorHAnsi" w:eastAsiaTheme="majorEastAsia" w:hAnsiTheme="majorHAnsi" w:cstheme="majorBidi"/>
                <w:sz w:val="24"/>
              </w:rPr>
              <w:t xml:space="preserve">All </w:t>
            </w:r>
            <w:r w:rsidR="00E63D56" w:rsidRPr="00E967A8">
              <w:rPr>
                <w:rFonts w:asciiTheme="majorHAnsi" w:eastAsiaTheme="majorEastAsia" w:hAnsiTheme="majorHAnsi" w:cstheme="majorBidi"/>
                <w:sz w:val="24"/>
              </w:rPr>
              <w:t>New England</w:t>
            </w:r>
            <w:r w:rsidR="00434BAD" w:rsidRPr="00E967A8">
              <w:rPr>
                <w:rFonts w:asciiTheme="majorHAnsi" w:eastAsiaTheme="majorEastAsia" w:hAnsiTheme="majorHAnsi" w:cstheme="majorBidi"/>
                <w:sz w:val="24"/>
              </w:rPr>
              <w:t xml:space="preserve"> states and NY have a variety of electric and/or hybrid vehicle incentives and some clean fuel incentive programs but no </w:t>
            </w:r>
            <w:r w:rsidR="00C122CA" w:rsidRPr="00E967A8">
              <w:rPr>
                <w:rFonts w:asciiTheme="majorHAnsi" w:eastAsiaTheme="majorEastAsia" w:hAnsiTheme="majorHAnsi" w:cstheme="majorBidi"/>
                <w:sz w:val="24"/>
              </w:rPr>
              <w:t xml:space="preserve">income tax </w:t>
            </w:r>
            <w:r w:rsidR="00434BAD" w:rsidRPr="00E967A8">
              <w:rPr>
                <w:rFonts w:asciiTheme="majorHAnsi" w:eastAsiaTheme="majorEastAsia" w:hAnsiTheme="majorHAnsi" w:cstheme="majorBidi"/>
                <w:sz w:val="24"/>
              </w:rPr>
              <w:t>deduction</w:t>
            </w:r>
            <w:r w:rsidR="00C122CA" w:rsidRPr="00E967A8">
              <w:rPr>
                <w:rFonts w:asciiTheme="majorHAnsi" w:eastAsiaTheme="majorEastAsia" w:hAnsiTheme="majorHAnsi" w:cstheme="majorBidi"/>
                <w:sz w:val="24"/>
              </w:rPr>
              <w:t>.</w:t>
            </w:r>
          </w:p>
          <w:p w14:paraId="4A71B9C6" w14:textId="77777777" w:rsidR="00487FE1" w:rsidRPr="00E967A8" w:rsidRDefault="00487FE1" w:rsidP="00F36DFE">
            <w:pPr>
              <w:rPr>
                <w:b/>
                <w:bCs/>
              </w:rPr>
            </w:pPr>
          </w:p>
        </w:tc>
      </w:tr>
    </w:tbl>
    <w:p w14:paraId="3956A7F2" w14:textId="77777777" w:rsidR="00DE0113" w:rsidRPr="00E967A8" w:rsidRDefault="00DE0113" w:rsidP="00DE0113">
      <w:pPr>
        <w:rPr>
          <w:b/>
          <w:bCs/>
        </w:rPr>
      </w:pPr>
    </w:p>
    <w:p w14:paraId="4C75C575" w14:textId="77777777" w:rsidR="00487FE1" w:rsidRPr="00E967A8" w:rsidRDefault="00487F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967A8" w:rsidRPr="00E967A8" w14:paraId="6C6A7638" w14:textId="77777777" w:rsidTr="00F36DFE">
        <w:tc>
          <w:tcPr>
            <w:tcW w:w="9576" w:type="dxa"/>
          </w:tcPr>
          <w:p w14:paraId="5D24EB79" w14:textId="77777777" w:rsidR="002E2DC9" w:rsidRPr="00E967A8" w:rsidRDefault="002E2DC9" w:rsidP="00F36DFE">
            <w:pPr>
              <w:tabs>
                <w:tab w:val="left" w:pos="7050"/>
              </w:tabs>
              <w:rPr>
                <w:rFonts w:eastAsiaTheme="majorEastAsia" w:cstheme="majorBidi"/>
                <w:b/>
                <w:bCs/>
              </w:rPr>
            </w:pPr>
          </w:p>
        </w:tc>
      </w:tr>
    </w:tbl>
    <w:tbl>
      <w:tblPr>
        <w:tblStyle w:val="MediumList1-Accent2"/>
        <w:tblW w:w="0" w:type="auto"/>
        <w:tblLook w:val="04A0" w:firstRow="1" w:lastRow="0" w:firstColumn="1" w:lastColumn="0" w:noHBand="0" w:noVBand="1"/>
      </w:tblPr>
      <w:tblGrid>
        <w:gridCol w:w="9360"/>
      </w:tblGrid>
      <w:tr w:rsidR="00E967A8" w:rsidRPr="00E967A8" w14:paraId="5D3DD707" w14:textId="77777777" w:rsidTr="00C07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B462673" w14:textId="77777777" w:rsidR="00ED4589" w:rsidRPr="00E967A8" w:rsidRDefault="00003921" w:rsidP="00003921">
            <w:pPr>
              <w:jc w:val="center"/>
              <w:rPr>
                <w:color w:val="auto"/>
                <w:sz w:val="36"/>
              </w:rPr>
            </w:pPr>
            <w:r w:rsidRPr="00E967A8">
              <w:rPr>
                <w:color w:val="auto"/>
                <w:sz w:val="40"/>
                <w:szCs w:val="32"/>
              </w:rPr>
              <w:t>Incentive Evaluation Results</w:t>
            </w:r>
          </w:p>
        </w:tc>
      </w:tr>
    </w:tbl>
    <w:p w14:paraId="286F0BCC" w14:textId="77777777" w:rsidR="00291074" w:rsidRPr="00E967A8" w:rsidRDefault="00291074" w:rsidP="00CF41DD">
      <w:pPr>
        <w:tabs>
          <w:tab w:val="left" w:pos="7050"/>
        </w:tabs>
        <w:spacing w:after="0"/>
        <w:rPr>
          <w:rFonts w:asciiTheme="majorHAnsi" w:hAnsiTheme="majorHAnsi"/>
          <w:b/>
          <w:sz w:val="28"/>
          <w:szCs w:val="24"/>
        </w:rPr>
      </w:pPr>
    </w:p>
    <w:p w14:paraId="47246C4C" w14:textId="77777777" w:rsidR="00291074" w:rsidRPr="00E967A8" w:rsidRDefault="00291074" w:rsidP="00291074">
      <w:pPr>
        <w:tabs>
          <w:tab w:val="left" w:pos="7050"/>
        </w:tabs>
        <w:spacing w:after="0"/>
        <w:rPr>
          <w:rFonts w:asciiTheme="majorHAnsi" w:hAnsiTheme="majorHAnsi"/>
          <w:b/>
          <w:sz w:val="28"/>
          <w:szCs w:val="28"/>
        </w:rPr>
      </w:pPr>
      <w:r w:rsidRPr="00A075B6">
        <w:rPr>
          <w:rFonts w:asciiTheme="majorHAnsi" w:hAnsiTheme="majorHAnsi"/>
          <w:b/>
          <w:color w:val="E36C0A" w:themeColor="accent6" w:themeShade="BF"/>
          <w:sz w:val="28"/>
          <w:szCs w:val="28"/>
        </w:rPr>
        <w:t>INTRODUCTION</w:t>
      </w:r>
    </w:p>
    <w:p w14:paraId="5B5B7B9F" w14:textId="77777777" w:rsidR="00291074" w:rsidRPr="00E967A8" w:rsidRDefault="00291074" w:rsidP="00291074">
      <w:pPr>
        <w:tabs>
          <w:tab w:val="left" w:pos="7050"/>
        </w:tabs>
        <w:spacing w:after="0"/>
        <w:rPr>
          <w:rFonts w:asciiTheme="majorHAnsi" w:hAnsiTheme="majorHAnsi"/>
          <w:b/>
          <w:sz w:val="24"/>
          <w:szCs w:val="24"/>
        </w:rPr>
      </w:pPr>
    </w:p>
    <w:p w14:paraId="734688B9" w14:textId="14CCF2FD" w:rsidR="00291074" w:rsidRDefault="00597FD7" w:rsidP="00597FD7">
      <w:pPr>
        <w:tabs>
          <w:tab w:val="left" w:pos="7050"/>
        </w:tabs>
        <w:spacing w:after="0"/>
        <w:rPr>
          <w:rFonts w:asciiTheme="majorHAnsi" w:hAnsiTheme="majorHAnsi"/>
          <w:sz w:val="24"/>
          <w:szCs w:val="24"/>
        </w:rPr>
      </w:pPr>
      <w:r>
        <w:rPr>
          <w:rFonts w:asciiTheme="majorHAnsi" w:hAnsiTheme="majorHAnsi"/>
          <w:sz w:val="24"/>
          <w:szCs w:val="24"/>
        </w:rPr>
        <w:t>This expenditure is tied to a federal deduction that was repealed in 2014. The deduction was</w:t>
      </w:r>
      <w:r w:rsidR="00487FE1" w:rsidRPr="00E967A8">
        <w:rPr>
          <w:rFonts w:asciiTheme="majorHAnsi" w:hAnsiTheme="majorHAnsi"/>
          <w:sz w:val="24"/>
          <w:szCs w:val="24"/>
        </w:rPr>
        <w:t xml:space="preserve"> for a portion of the cost of qualifying motor vehicles that use clean-burning fuel</w:t>
      </w:r>
      <w:r w:rsidR="009450E4" w:rsidRPr="00E967A8">
        <w:rPr>
          <w:rFonts w:asciiTheme="majorHAnsi" w:hAnsiTheme="majorHAnsi"/>
          <w:sz w:val="24"/>
          <w:szCs w:val="24"/>
        </w:rPr>
        <w:t xml:space="preserve"> and for certain refueling property used for the storage or dispensing of a clean-burning fuel or</w:t>
      </w:r>
      <w:r w:rsidR="00700769" w:rsidRPr="00E967A8">
        <w:rPr>
          <w:rFonts w:asciiTheme="majorHAnsi" w:hAnsiTheme="majorHAnsi"/>
          <w:sz w:val="24"/>
          <w:szCs w:val="24"/>
        </w:rPr>
        <w:t xml:space="preserve"> </w:t>
      </w:r>
      <w:r w:rsidR="009450E4" w:rsidRPr="00E967A8">
        <w:rPr>
          <w:rFonts w:asciiTheme="majorHAnsi" w:hAnsiTheme="majorHAnsi"/>
          <w:sz w:val="24"/>
          <w:szCs w:val="24"/>
        </w:rPr>
        <w:t xml:space="preserve">for the recharging of </w:t>
      </w:r>
      <w:r w:rsidR="00A22793" w:rsidRPr="00E967A8">
        <w:rPr>
          <w:rFonts w:asciiTheme="majorHAnsi" w:hAnsiTheme="majorHAnsi"/>
          <w:sz w:val="24"/>
          <w:szCs w:val="24"/>
        </w:rPr>
        <w:t xml:space="preserve">electric </w:t>
      </w:r>
      <w:r w:rsidR="009450E4" w:rsidRPr="00E967A8">
        <w:rPr>
          <w:rFonts w:asciiTheme="majorHAnsi" w:hAnsiTheme="majorHAnsi"/>
          <w:sz w:val="24"/>
          <w:szCs w:val="24"/>
        </w:rPr>
        <w:t>motor vehicles</w:t>
      </w:r>
      <w:r w:rsidR="00A22793" w:rsidRPr="00E967A8">
        <w:rPr>
          <w:rFonts w:asciiTheme="majorHAnsi" w:hAnsiTheme="majorHAnsi"/>
          <w:sz w:val="24"/>
          <w:szCs w:val="24"/>
        </w:rPr>
        <w:t xml:space="preserve">. </w:t>
      </w:r>
      <w:r w:rsidR="00487FE1" w:rsidRPr="00481964">
        <w:rPr>
          <w:rFonts w:asciiTheme="majorHAnsi" w:hAnsiTheme="majorHAnsi"/>
          <w:sz w:val="24"/>
          <w:szCs w:val="24"/>
        </w:rPr>
        <w:t xml:space="preserve"> </w:t>
      </w:r>
      <w:r w:rsidR="00481964">
        <w:rPr>
          <w:rFonts w:asciiTheme="majorHAnsi" w:hAnsiTheme="majorHAnsi"/>
          <w:sz w:val="24"/>
          <w:szCs w:val="24"/>
        </w:rPr>
        <w:t xml:space="preserve">Because Massachusetts currently conforms to the </w:t>
      </w:r>
      <w:r w:rsidR="00487FE1" w:rsidRPr="00E967A8">
        <w:rPr>
          <w:rFonts w:asciiTheme="majorHAnsi" w:hAnsiTheme="majorHAnsi"/>
          <w:sz w:val="24"/>
          <w:szCs w:val="24"/>
        </w:rPr>
        <w:t xml:space="preserve">Code as of January 1, 2005, Massachusetts </w:t>
      </w:r>
      <w:r w:rsidR="00481964">
        <w:rPr>
          <w:rFonts w:asciiTheme="majorHAnsi" w:hAnsiTheme="majorHAnsi"/>
          <w:sz w:val="24"/>
          <w:szCs w:val="24"/>
        </w:rPr>
        <w:t>conforms to</w:t>
      </w:r>
      <w:r w:rsidR="00487FE1" w:rsidRPr="00E967A8">
        <w:rPr>
          <w:rFonts w:asciiTheme="majorHAnsi" w:hAnsiTheme="majorHAnsi"/>
          <w:sz w:val="24"/>
          <w:szCs w:val="24"/>
        </w:rPr>
        <w:t xml:space="preserve"> the </w:t>
      </w:r>
      <w:r w:rsidR="00674E29">
        <w:rPr>
          <w:rFonts w:asciiTheme="majorHAnsi" w:hAnsiTheme="majorHAnsi"/>
          <w:sz w:val="24"/>
          <w:szCs w:val="24"/>
        </w:rPr>
        <w:t xml:space="preserve">federal </w:t>
      </w:r>
      <w:r w:rsidR="00487FE1" w:rsidRPr="00E967A8">
        <w:rPr>
          <w:rFonts w:asciiTheme="majorHAnsi" w:hAnsiTheme="majorHAnsi"/>
          <w:sz w:val="24"/>
          <w:szCs w:val="24"/>
        </w:rPr>
        <w:t xml:space="preserve">deduction </w:t>
      </w:r>
      <w:r w:rsidR="00481964">
        <w:rPr>
          <w:rFonts w:asciiTheme="majorHAnsi" w:hAnsiTheme="majorHAnsi"/>
          <w:sz w:val="24"/>
          <w:szCs w:val="24"/>
        </w:rPr>
        <w:t>as in effect at that time</w:t>
      </w:r>
      <w:r w:rsidR="00674E29">
        <w:rPr>
          <w:rFonts w:asciiTheme="majorHAnsi" w:hAnsiTheme="majorHAnsi"/>
          <w:sz w:val="24"/>
          <w:szCs w:val="24"/>
        </w:rPr>
        <w:t xml:space="preserve">, </w:t>
      </w:r>
      <w:r w:rsidR="007132C4">
        <w:rPr>
          <w:rFonts w:asciiTheme="majorHAnsi" w:hAnsiTheme="majorHAnsi"/>
          <w:sz w:val="24"/>
          <w:szCs w:val="24"/>
        </w:rPr>
        <w:t xml:space="preserve">including this one </w:t>
      </w:r>
      <w:r w:rsidR="00674E29">
        <w:rPr>
          <w:rFonts w:asciiTheme="majorHAnsi" w:hAnsiTheme="majorHAnsi"/>
          <w:sz w:val="24"/>
          <w:szCs w:val="24"/>
        </w:rPr>
        <w:t xml:space="preserve">which required vehicles and property to be placed in service on or </w:t>
      </w:r>
      <w:bookmarkStart w:id="1" w:name="_Hlk48286536"/>
      <w:r w:rsidR="00487FE1" w:rsidRPr="00D24D42">
        <w:rPr>
          <w:rFonts w:asciiTheme="majorHAnsi" w:hAnsiTheme="majorHAnsi"/>
          <w:sz w:val="24"/>
          <w:szCs w:val="24"/>
        </w:rPr>
        <w:t>before December 31, 2006</w:t>
      </w:r>
      <w:bookmarkEnd w:id="1"/>
      <w:r w:rsidR="00674E29" w:rsidRPr="00D24D42">
        <w:rPr>
          <w:rFonts w:asciiTheme="majorHAnsi" w:hAnsiTheme="majorHAnsi"/>
          <w:sz w:val="24"/>
          <w:szCs w:val="24"/>
        </w:rPr>
        <w:t xml:space="preserve">.  Massachusetts follows this requirement.  Thus, for practical purposes the deduction is no longer in effect.  </w:t>
      </w:r>
    </w:p>
    <w:p w14:paraId="06D162CC" w14:textId="77777777" w:rsidR="001749EE" w:rsidRDefault="001749EE" w:rsidP="00291074">
      <w:pPr>
        <w:tabs>
          <w:tab w:val="left" w:pos="7050"/>
        </w:tabs>
        <w:spacing w:after="0"/>
        <w:rPr>
          <w:rFonts w:asciiTheme="majorHAnsi" w:hAnsiTheme="majorHAnsi"/>
          <w:sz w:val="24"/>
          <w:szCs w:val="24"/>
        </w:rPr>
      </w:pPr>
    </w:p>
    <w:p w14:paraId="29C7D193" w14:textId="75597AE5" w:rsidR="00807251" w:rsidRPr="00E967A8" w:rsidRDefault="00807251" w:rsidP="00291074">
      <w:pPr>
        <w:tabs>
          <w:tab w:val="left" w:pos="7050"/>
        </w:tabs>
        <w:spacing w:after="0"/>
        <w:rPr>
          <w:rFonts w:asciiTheme="majorHAnsi" w:hAnsiTheme="majorHAnsi"/>
          <w:sz w:val="24"/>
          <w:szCs w:val="24"/>
        </w:rPr>
      </w:pPr>
      <w:r>
        <w:rPr>
          <w:rFonts w:asciiTheme="majorHAnsi" w:hAnsiTheme="majorHAnsi"/>
          <w:sz w:val="24"/>
          <w:szCs w:val="24"/>
        </w:rPr>
        <w:t>If Massachusetts were to update to the current Code, the 2014 repeal would be picked up as part of th</w:t>
      </w:r>
      <w:r w:rsidR="00C81E3F">
        <w:rPr>
          <w:rFonts w:asciiTheme="majorHAnsi" w:hAnsiTheme="majorHAnsi"/>
          <w:sz w:val="24"/>
          <w:szCs w:val="24"/>
        </w:rPr>
        <w:t>at</w:t>
      </w:r>
      <w:r>
        <w:rPr>
          <w:rFonts w:asciiTheme="majorHAnsi" w:hAnsiTheme="majorHAnsi"/>
          <w:sz w:val="24"/>
          <w:szCs w:val="24"/>
        </w:rPr>
        <w:t xml:space="preserve"> update and </w:t>
      </w:r>
      <w:r w:rsidR="006E4584">
        <w:rPr>
          <w:rFonts w:asciiTheme="majorHAnsi" w:hAnsiTheme="majorHAnsi"/>
          <w:sz w:val="24"/>
          <w:szCs w:val="24"/>
        </w:rPr>
        <w:t>t</w:t>
      </w:r>
      <w:r w:rsidR="00597FD7">
        <w:rPr>
          <w:rFonts w:asciiTheme="majorHAnsi" w:hAnsiTheme="majorHAnsi"/>
          <w:sz w:val="24"/>
          <w:szCs w:val="24"/>
        </w:rPr>
        <w:t xml:space="preserve">he deduction </w:t>
      </w:r>
      <w:r w:rsidR="00674E29">
        <w:rPr>
          <w:rFonts w:asciiTheme="majorHAnsi" w:hAnsiTheme="majorHAnsi"/>
          <w:sz w:val="24"/>
          <w:szCs w:val="24"/>
        </w:rPr>
        <w:t xml:space="preserve">would no longer be part of Massachusetts law.  </w:t>
      </w:r>
    </w:p>
    <w:p w14:paraId="71BFC758" w14:textId="77777777" w:rsidR="00355808" w:rsidRPr="00E967A8" w:rsidRDefault="00355808" w:rsidP="00291074">
      <w:pPr>
        <w:tabs>
          <w:tab w:val="left" w:pos="7050"/>
        </w:tabs>
        <w:spacing w:after="0"/>
        <w:rPr>
          <w:rFonts w:asciiTheme="majorHAnsi" w:hAnsiTheme="majorHAnsi"/>
          <w:sz w:val="24"/>
          <w:szCs w:val="24"/>
        </w:rPr>
      </w:pPr>
    </w:p>
    <w:p w14:paraId="35A533C3" w14:textId="77777777" w:rsidR="00291074" w:rsidRPr="00E967A8" w:rsidRDefault="00291074" w:rsidP="00291074">
      <w:pPr>
        <w:tabs>
          <w:tab w:val="left" w:pos="7050"/>
        </w:tabs>
        <w:spacing w:after="0"/>
        <w:rPr>
          <w:rFonts w:asciiTheme="majorHAnsi" w:hAnsiTheme="majorHAnsi"/>
          <w:sz w:val="24"/>
          <w:szCs w:val="24"/>
        </w:rPr>
      </w:pPr>
    </w:p>
    <w:p w14:paraId="1DBF9FE6" w14:textId="77777777" w:rsidR="00C97CE7" w:rsidRPr="00D17E9D" w:rsidRDefault="00C97CE7" w:rsidP="00C97CE7">
      <w:pPr>
        <w:tabs>
          <w:tab w:val="left" w:pos="7050"/>
        </w:tabs>
        <w:spacing w:after="0"/>
        <w:rPr>
          <w:rFonts w:asciiTheme="majorHAnsi" w:hAnsiTheme="majorHAnsi"/>
          <w:i/>
          <w:iCs/>
          <w:sz w:val="24"/>
          <w:szCs w:val="24"/>
        </w:rPr>
      </w:pPr>
      <w:r w:rsidRPr="00236766">
        <w:rPr>
          <w:rFonts w:asciiTheme="majorHAnsi" w:hAnsiTheme="majorHAnsi"/>
          <w:b/>
          <w:color w:val="E36C0A" w:themeColor="accent6" w:themeShade="BF"/>
          <w:sz w:val="28"/>
          <w:szCs w:val="28"/>
        </w:rPr>
        <w:t>POLICY GOAL</w:t>
      </w:r>
    </w:p>
    <w:p w14:paraId="5B660F26" w14:textId="77777777" w:rsidR="00291074" w:rsidRPr="00E967A8" w:rsidRDefault="00291074" w:rsidP="00291074">
      <w:pPr>
        <w:tabs>
          <w:tab w:val="left" w:pos="7050"/>
        </w:tabs>
        <w:spacing w:after="0"/>
        <w:rPr>
          <w:rFonts w:asciiTheme="majorHAnsi" w:hAnsiTheme="majorHAnsi"/>
          <w:i/>
          <w:iCs/>
          <w:sz w:val="24"/>
          <w:szCs w:val="24"/>
        </w:rPr>
      </w:pPr>
    </w:p>
    <w:p w14:paraId="7560016A" w14:textId="4DEBFCAD" w:rsidR="00D94721" w:rsidRDefault="00D94721" w:rsidP="00A62A00">
      <w:pPr>
        <w:tabs>
          <w:tab w:val="left" w:pos="7050"/>
        </w:tabs>
        <w:spacing w:after="0" w:line="240" w:lineRule="auto"/>
        <w:rPr>
          <w:rFonts w:asciiTheme="majorHAnsi" w:hAnsiTheme="majorHAnsi"/>
          <w:sz w:val="24"/>
          <w:szCs w:val="24"/>
        </w:rPr>
      </w:pPr>
      <w:r w:rsidRPr="00E967A8">
        <w:rPr>
          <w:rFonts w:asciiTheme="majorHAnsi" w:hAnsiTheme="majorHAnsi"/>
          <w:sz w:val="24"/>
          <w:szCs w:val="24"/>
        </w:rPr>
        <w:t>To encourage the purchase and use of clean fuel vehicles by allowing an immediate deduction for the cost of such vehicles and equipment used to refuel them instead of requiring such costs to be capitalized and deducted over a period of years</w:t>
      </w:r>
      <w:r w:rsidR="00191A61">
        <w:rPr>
          <w:rFonts w:asciiTheme="majorHAnsi" w:hAnsiTheme="majorHAnsi"/>
          <w:sz w:val="24"/>
          <w:szCs w:val="24"/>
        </w:rPr>
        <w:t xml:space="preserve">. Note, however, that the federal statute to which Massachusetts conforms has since been repealed. </w:t>
      </w:r>
      <w:r w:rsidR="00243FBB">
        <w:rPr>
          <w:rFonts w:asciiTheme="majorHAnsi" w:hAnsiTheme="majorHAnsi"/>
          <w:sz w:val="24"/>
          <w:szCs w:val="24"/>
        </w:rPr>
        <w:t xml:space="preserve"> </w:t>
      </w:r>
      <w:r w:rsidR="00191A61">
        <w:rPr>
          <w:rFonts w:asciiTheme="majorHAnsi" w:hAnsiTheme="majorHAnsi"/>
          <w:sz w:val="24"/>
          <w:szCs w:val="24"/>
        </w:rPr>
        <w:t xml:space="preserve">Massachusetts </w:t>
      </w:r>
      <w:r w:rsidR="00243FBB">
        <w:rPr>
          <w:rFonts w:asciiTheme="majorHAnsi" w:hAnsiTheme="majorHAnsi"/>
          <w:sz w:val="24"/>
          <w:szCs w:val="24"/>
        </w:rPr>
        <w:t xml:space="preserve">law </w:t>
      </w:r>
      <w:r w:rsidR="00191A61">
        <w:rPr>
          <w:rFonts w:asciiTheme="majorHAnsi" w:hAnsiTheme="majorHAnsi"/>
          <w:sz w:val="24"/>
          <w:szCs w:val="24"/>
        </w:rPr>
        <w:t>retains the deduction solely because of its conformity with the Code as it was in effect in 2005.</w:t>
      </w:r>
    </w:p>
    <w:p w14:paraId="7F232CD3" w14:textId="560BCED0" w:rsidR="00243FBB" w:rsidRDefault="00243FBB" w:rsidP="00A62A00">
      <w:pPr>
        <w:tabs>
          <w:tab w:val="left" w:pos="7050"/>
        </w:tabs>
        <w:spacing w:after="0" w:line="240" w:lineRule="auto"/>
        <w:rPr>
          <w:rFonts w:asciiTheme="majorHAnsi" w:hAnsiTheme="majorHAnsi"/>
          <w:sz w:val="24"/>
          <w:szCs w:val="24"/>
        </w:rPr>
      </w:pPr>
    </w:p>
    <w:p w14:paraId="1E09EE49" w14:textId="77777777" w:rsidR="006E4584" w:rsidRPr="00E967A8" w:rsidRDefault="006E4584" w:rsidP="00A62A00">
      <w:pPr>
        <w:tabs>
          <w:tab w:val="left" w:pos="7050"/>
        </w:tabs>
        <w:spacing w:after="0" w:line="240" w:lineRule="auto"/>
        <w:rPr>
          <w:rFonts w:asciiTheme="majorHAnsi" w:hAnsiTheme="majorHAnsi"/>
          <w:sz w:val="24"/>
          <w:szCs w:val="24"/>
        </w:rPr>
      </w:pPr>
    </w:p>
    <w:p w14:paraId="037B9B75" w14:textId="77777777" w:rsidR="00DE24AB" w:rsidRPr="00A07439" w:rsidRDefault="00DE24AB" w:rsidP="00DE24AB">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 xml:space="preserve">COSTS </w:t>
      </w:r>
    </w:p>
    <w:p w14:paraId="38079446" w14:textId="77777777" w:rsidR="00DE24AB" w:rsidRDefault="00DE24AB" w:rsidP="00DE24AB">
      <w:pPr>
        <w:spacing w:after="0"/>
        <w:rPr>
          <w:rFonts w:asciiTheme="majorHAnsi" w:eastAsiaTheme="majorEastAsia" w:hAnsiTheme="majorHAnsi" w:cstheme="majorBidi"/>
          <w:bCs/>
          <w:color w:val="000000" w:themeColor="text1"/>
          <w:sz w:val="24"/>
          <w:szCs w:val="24"/>
        </w:rPr>
      </w:pPr>
    </w:p>
    <w:p w14:paraId="15D000D2" w14:textId="60B2089D" w:rsidR="00B75F85" w:rsidRDefault="00DF2B74" w:rsidP="00DE24A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While </w:t>
      </w:r>
      <w:r w:rsidR="00FC6FDA">
        <w:rPr>
          <w:rFonts w:asciiTheme="majorHAnsi" w:eastAsiaTheme="majorEastAsia" w:hAnsiTheme="majorHAnsi" w:cstheme="majorBidi"/>
          <w:bCs/>
          <w:color w:val="000000" w:themeColor="text1"/>
          <w:sz w:val="24"/>
          <w:szCs w:val="24"/>
        </w:rPr>
        <w:t>DOR</w:t>
      </w:r>
      <w:r>
        <w:rPr>
          <w:rFonts w:asciiTheme="majorHAnsi" w:eastAsiaTheme="majorEastAsia" w:hAnsiTheme="majorHAnsi" w:cstheme="majorBidi"/>
          <w:bCs/>
          <w:color w:val="000000" w:themeColor="text1"/>
          <w:sz w:val="24"/>
          <w:szCs w:val="24"/>
        </w:rPr>
        <w:t xml:space="preserve"> ha</w:t>
      </w:r>
      <w:r w:rsidR="00DE24AB">
        <w:rPr>
          <w:rFonts w:asciiTheme="majorHAnsi" w:eastAsiaTheme="majorEastAsia" w:hAnsiTheme="majorHAnsi" w:cstheme="majorBidi"/>
          <w:bCs/>
          <w:color w:val="000000" w:themeColor="text1"/>
          <w:sz w:val="24"/>
          <w:szCs w:val="24"/>
        </w:rPr>
        <w:t xml:space="preserve">s </w:t>
      </w:r>
      <w:r>
        <w:rPr>
          <w:rFonts w:asciiTheme="majorHAnsi" w:eastAsiaTheme="majorEastAsia" w:hAnsiTheme="majorHAnsi" w:cstheme="majorBidi"/>
          <w:bCs/>
          <w:color w:val="000000" w:themeColor="text1"/>
          <w:sz w:val="24"/>
          <w:szCs w:val="24"/>
        </w:rPr>
        <w:t xml:space="preserve">estimated </w:t>
      </w:r>
      <w:r w:rsidR="00FC6FDA">
        <w:rPr>
          <w:rFonts w:asciiTheme="majorHAnsi" w:eastAsiaTheme="majorEastAsia" w:hAnsiTheme="majorHAnsi" w:cstheme="majorBidi"/>
          <w:bCs/>
          <w:color w:val="000000" w:themeColor="text1"/>
          <w:sz w:val="24"/>
          <w:szCs w:val="24"/>
        </w:rPr>
        <w:t xml:space="preserve">the cost of this expenditure to be </w:t>
      </w:r>
      <w:r w:rsidR="00DE24AB">
        <w:rPr>
          <w:rFonts w:asciiTheme="majorHAnsi" w:eastAsiaTheme="majorEastAsia" w:hAnsiTheme="majorHAnsi" w:cstheme="majorBidi"/>
          <w:bCs/>
          <w:color w:val="000000" w:themeColor="text1"/>
          <w:sz w:val="24"/>
          <w:szCs w:val="24"/>
        </w:rPr>
        <w:t>“</w:t>
      </w:r>
      <w:r w:rsidR="00A61FD5">
        <w:rPr>
          <w:rFonts w:asciiTheme="majorHAnsi" w:eastAsiaTheme="majorEastAsia" w:hAnsiTheme="majorHAnsi" w:cstheme="majorBidi"/>
          <w:bCs/>
          <w:color w:val="000000" w:themeColor="text1"/>
          <w:sz w:val="24"/>
          <w:szCs w:val="24"/>
        </w:rPr>
        <w:t>N</w:t>
      </w:r>
      <w:r w:rsidR="00DE24AB">
        <w:rPr>
          <w:rFonts w:asciiTheme="majorHAnsi" w:eastAsiaTheme="majorEastAsia" w:hAnsiTheme="majorHAnsi" w:cstheme="majorBidi"/>
          <w:bCs/>
          <w:color w:val="000000" w:themeColor="text1"/>
          <w:sz w:val="24"/>
          <w:szCs w:val="24"/>
        </w:rPr>
        <w:t>egligible”</w:t>
      </w:r>
      <w:r>
        <w:rPr>
          <w:rFonts w:asciiTheme="majorHAnsi" w:eastAsiaTheme="majorEastAsia" w:hAnsiTheme="majorHAnsi" w:cstheme="majorBidi"/>
          <w:bCs/>
          <w:color w:val="000000" w:themeColor="text1"/>
          <w:sz w:val="24"/>
          <w:szCs w:val="24"/>
        </w:rPr>
        <w:t>, it</w:t>
      </w:r>
      <w:r w:rsidR="00DE24AB">
        <w:rPr>
          <w:rFonts w:asciiTheme="majorHAnsi" w:eastAsiaTheme="majorEastAsia" w:hAnsiTheme="majorHAnsi" w:cstheme="majorBidi"/>
          <w:bCs/>
          <w:color w:val="000000" w:themeColor="text1"/>
          <w:sz w:val="24"/>
          <w:szCs w:val="24"/>
        </w:rPr>
        <w:t xml:space="preserve">s </w:t>
      </w:r>
      <w:r>
        <w:rPr>
          <w:rFonts w:asciiTheme="majorHAnsi" w:eastAsiaTheme="majorEastAsia" w:hAnsiTheme="majorHAnsi" w:cstheme="majorBidi"/>
          <w:bCs/>
          <w:color w:val="000000" w:themeColor="text1"/>
          <w:sz w:val="24"/>
          <w:szCs w:val="24"/>
        </w:rPr>
        <w:t>cost is likely</w:t>
      </w:r>
      <w:r w:rsidR="00DE24AB">
        <w:rPr>
          <w:rFonts w:asciiTheme="majorHAnsi" w:eastAsiaTheme="majorEastAsia" w:hAnsiTheme="majorHAnsi" w:cstheme="majorBidi"/>
          <w:bCs/>
          <w:color w:val="000000" w:themeColor="text1"/>
          <w:sz w:val="24"/>
          <w:szCs w:val="24"/>
        </w:rPr>
        <w:t xml:space="preserve"> zero</w:t>
      </w:r>
      <w:r w:rsidR="00FC6FDA">
        <w:rPr>
          <w:rFonts w:asciiTheme="majorHAnsi" w:eastAsiaTheme="majorEastAsia" w:hAnsiTheme="majorHAnsi" w:cstheme="majorBidi"/>
          <w:bCs/>
          <w:color w:val="000000" w:themeColor="text1"/>
          <w:sz w:val="24"/>
          <w:szCs w:val="24"/>
        </w:rPr>
        <w:t xml:space="preserve"> because the deduction is only available for vehicles placed in service prior to </w:t>
      </w:r>
      <w:r w:rsidR="00FC6FDA" w:rsidRPr="00E967A8">
        <w:rPr>
          <w:rFonts w:asciiTheme="majorHAnsi" w:hAnsiTheme="majorHAnsi"/>
        </w:rPr>
        <w:t>December 31, 2006</w:t>
      </w:r>
      <w:r w:rsidR="00DE24AB">
        <w:rPr>
          <w:rFonts w:asciiTheme="majorHAnsi" w:eastAsiaTheme="majorEastAsia" w:hAnsiTheme="majorHAnsi" w:cstheme="majorBidi"/>
          <w:bCs/>
          <w:color w:val="000000" w:themeColor="text1"/>
          <w:sz w:val="24"/>
          <w:szCs w:val="24"/>
        </w:rPr>
        <w:t xml:space="preserve">.  </w:t>
      </w:r>
    </w:p>
    <w:p w14:paraId="3CBEE3A5" w14:textId="7E072F7F" w:rsidR="00DE24AB" w:rsidRDefault="00DE24AB" w:rsidP="00DE24AB">
      <w:pPr>
        <w:spacing w:after="0"/>
        <w:rPr>
          <w:rFonts w:asciiTheme="majorHAnsi" w:hAnsiTheme="majorHAnsi"/>
          <w:bCs/>
          <w:sz w:val="24"/>
          <w:szCs w:val="24"/>
        </w:rPr>
      </w:pPr>
    </w:p>
    <w:p w14:paraId="74B61830" w14:textId="77777777" w:rsidR="006E4584" w:rsidRPr="00F51592" w:rsidRDefault="006E4584" w:rsidP="00DE24AB">
      <w:pPr>
        <w:spacing w:after="0"/>
        <w:rPr>
          <w:rFonts w:asciiTheme="majorHAnsi" w:hAnsiTheme="majorHAnsi"/>
          <w:bCs/>
          <w:sz w:val="24"/>
          <w:szCs w:val="24"/>
        </w:rPr>
      </w:pPr>
    </w:p>
    <w:p w14:paraId="6C5DBFB8" w14:textId="77777777" w:rsidR="006E4584" w:rsidRDefault="006E4584">
      <w:pP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ype="page"/>
      </w:r>
    </w:p>
    <w:p w14:paraId="02301460" w14:textId="08CAEFCA" w:rsidR="00DE24AB" w:rsidRPr="00616EEB" w:rsidRDefault="00DE24AB" w:rsidP="00DE24AB">
      <w:pPr>
        <w:tabs>
          <w:tab w:val="left" w:pos="7050"/>
        </w:tabs>
        <w:rPr>
          <w:rFonts w:asciiTheme="majorHAnsi" w:hAnsiTheme="majorHAnsi"/>
          <w:bCs/>
          <w:i/>
          <w:iCs/>
          <w:color w:val="E36C0A" w:themeColor="accent6" w:themeShade="BF"/>
          <w:sz w:val="28"/>
          <w:szCs w:val="28"/>
        </w:rPr>
      </w:pPr>
      <w:r w:rsidRPr="005529C5">
        <w:rPr>
          <w:rFonts w:asciiTheme="majorHAnsi" w:hAnsiTheme="majorHAnsi"/>
          <w:b/>
          <w:color w:val="E36C0A" w:themeColor="accent6" w:themeShade="BF"/>
          <w:sz w:val="28"/>
          <w:szCs w:val="28"/>
        </w:rPr>
        <w:lastRenderedPageBreak/>
        <w:t>BENEFITS</w:t>
      </w:r>
      <w:r>
        <w:rPr>
          <w:rFonts w:asciiTheme="majorHAnsi" w:hAnsiTheme="majorHAnsi"/>
          <w:b/>
          <w:color w:val="E36C0A" w:themeColor="accent6" w:themeShade="BF"/>
          <w:sz w:val="28"/>
          <w:szCs w:val="28"/>
        </w:rPr>
        <w:t xml:space="preserve"> </w:t>
      </w:r>
    </w:p>
    <w:p w14:paraId="0EC15F89" w14:textId="4B255B12" w:rsidR="000D043C" w:rsidRDefault="00597FD7" w:rsidP="000D043C">
      <w:pPr>
        <w:spacing w:after="0"/>
        <w:rPr>
          <w:rFonts w:asciiTheme="majorHAnsi" w:hAnsiTheme="majorHAnsi"/>
          <w:sz w:val="24"/>
          <w:szCs w:val="24"/>
        </w:rPr>
      </w:pPr>
      <w:r>
        <w:rPr>
          <w:rFonts w:asciiTheme="majorHAnsi" w:hAnsiTheme="majorHAnsi"/>
          <w:sz w:val="24"/>
          <w:szCs w:val="24"/>
        </w:rPr>
        <w:t xml:space="preserve">Given the requirement that eligible vehicles must have been placed in service prior to December 31, 2006, DOR estimates that very few, if any, taxpayers are benefitting from this deduction. </w:t>
      </w:r>
    </w:p>
    <w:p w14:paraId="68A6284C" w14:textId="2C1E0CC3" w:rsidR="00795188" w:rsidRPr="00795188" w:rsidRDefault="00795188" w:rsidP="00795188">
      <w:pPr>
        <w:spacing w:after="0"/>
        <w:rPr>
          <w:rFonts w:asciiTheme="majorHAnsi" w:hAnsiTheme="majorHAnsi"/>
          <w:sz w:val="24"/>
          <w:szCs w:val="24"/>
        </w:rPr>
      </w:pPr>
    </w:p>
    <w:p w14:paraId="273CE8F7" w14:textId="77777777" w:rsidR="00DE24AB" w:rsidRPr="00003FFA" w:rsidRDefault="00DE24AB" w:rsidP="00DE24AB">
      <w:pPr>
        <w:tabs>
          <w:tab w:val="left" w:pos="7050"/>
        </w:tabs>
        <w:spacing w:after="0"/>
        <w:rPr>
          <w:rFonts w:asciiTheme="majorHAnsi" w:hAnsiTheme="majorHAnsi"/>
          <w:b/>
          <w:sz w:val="24"/>
          <w:szCs w:val="24"/>
        </w:rPr>
      </w:pPr>
    </w:p>
    <w:p w14:paraId="66C221BF" w14:textId="77777777" w:rsidR="00DE24AB" w:rsidRPr="00A07439" w:rsidRDefault="00DE24AB" w:rsidP="00DE24AB">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40958A4F" w14:textId="77777777" w:rsidR="00DE24AB" w:rsidRDefault="00DE24AB" w:rsidP="00DE24AB">
      <w:pPr>
        <w:spacing w:after="0"/>
        <w:rPr>
          <w:rFonts w:asciiTheme="majorHAnsi" w:hAnsiTheme="majorHAnsi"/>
          <w:sz w:val="24"/>
          <w:szCs w:val="24"/>
        </w:rPr>
      </w:pPr>
    </w:p>
    <w:p w14:paraId="43E7BE15" w14:textId="17DC6504" w:rsidR="00795188" w:rsidRDefault="00795188" w:rsidP="00795188">
      <w:pPr>
        <w:spacing w:after="0"/>
        <w:rPr>
          <w:rFonts w:asciiTheme="majorHAnsi" w:hAnsiTheme="majorHAnsi"/>
          <w:sz w:val="24"/>
          <w:szCs w:val="24"/>
        </w:rPr>
      </w:pPr>
      <w:r>
        <w:rPr>
          <w:rFonts w:asciiTheme="majorHAnsi" w:hAnsiTheme="majorHAnsi"/>
          <w:sz w:val="24"/>
          <w:szCs w:val="24"/>
        </w:rPr>
        <w:t xml:space="preserve">This deduction, which was intended to promote alternatively fueled vehicles and facilities, has been superseded by other credits/deductions.  </w:t>
      </w:r>
      <w:r w:rsidR="00B04256">
        <w:rPr>
          <w:rFonts w:asciiTheme="majorHAnsi" w:hAnsiTheme="majorHAnsi"/>
          <w:sz w:val="24"/>
          <w:szCs w:val="24"/>
        </w:rPr>
        <w:t>Both costs and benefits are no</w:t>
      </w:r>
      <w:r w:rsidR="00243FBB">
        <w:rPr>
          <w:rFonts w:asciiTheme="majorHAnsi" w:hAnsiTheme="majorHAnsi"/>
          <w:sz w:val="24"/>
          <w:szCs w:val="24"/>
        </w:rPr>
        <w:t xml:space="preserve"> longer in effect.  </w:t>
      </w:r>
    </w:p>
    <w:p w14:paraId="2C740D1D" w14:textId="77777777" w:rsidR="00DE24AB" w:rsidRDefault="00DE24AB" w:rsidP="00DE24AB">
      <w:pPr>
        <w:tabs>
          <w:tab w:val="left" w:pos="7050"/>
        </w:tabs>
        <w:spacing w:after="0"/>
        <w:rPr>
          <w:rFonts w:asciiTheme="majorHAnsi" w:hAnsiTheme="majorHAnsi"/>
          <w:bCs/>
          <w:sz w:val="24"/>
          <w:szCs w:val="23"/>
          <w:highlight w:val="yellow"/>
        </w:rPr>
      </w:pPr>
    </w:p>
    <w:p w14:paraId="7B27D112" w14:textId="77777777" w:rsidR="00DE24AB" w:rsidRDefault="00DE24AB" w:rsidP="00DE24AB">
      <w:pPr>
        <w:tabs>
          <w:tab w:val="left" w:pos="7050"/>
        </w:tabs>
        <w:spacing w:after="0"/>
        <w:rPr>
          <w:rFonts w:asciiTheme="majorHAnsi" w:hAnsiTheme="majorHAnsi"/>
          <w:bCs/>
          <w:noProof/>
          <w:sz w:val="24"/>
          <w:szCs w:val="24"/>
        </w:rPr>
      </w:pPr>
    </w:p>
    <w:p w14:paraId="418CA0F1" w14:textId="77777777" w:rsidR="00DE24AB" w:rsidRPr="004C3153" w:rsidRDefault="00597E2E" w:rsidP="00DE24AB">
      <w:pPr>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O</w:t>
      </w:r>
      <w:r w:rsidR="00A17E5E">
        <w:rPr>
          <w:rFonts w:asciiTheme="majorHAnsi" w:eastAsiaTheme="majorEastAsia" w:hAnsiTheme="majorHAnsi" w:cstheme="majorBidi"/>
          <w:b/>
          <w:bCs/>
          <w:color w:val="E36C0A" w:themeColor="accent6" w:themeShade="BF"/>
          <w:sz w:val="28"/>
          <w:szCs w:val="28"/>
        </w:rPr>
        <w:t>THER TAX EXPENDITURES / PROGRAMS WITH SIMILAR GOALS</w:t>
      </w:r>
    </w:p>
    <w:p w14:paraId="4B070BB3" w14:textId="77777777" w:rsidR="00597E2E" w:rsidRPr="00597E2E" w:rsidRDefault="00597E2E" w:rsidP="00E15B38">
      <w:pPr>
        <w:shd w:val="clear" w:color="auto" w:fill="FFFFFF"/>
        <w:spacing w:after="150" w:line="240" w:lineRule="auto"/>
        <w:rPr>
          <w:rFonts w:asciiTheme="majorHAnsi" w:hAnsiTheme="majorHAnsi"/>
          <w:i/>
          <w:iCs/>
          <w:sz w:val="24"/>
          <w:szCs w:val="24"/>
        </w:rPr>
      </w:pPr>
      <w:r w:rsidRPr="00597E2E">
        <w:rPr>
          <w:rFonts w:asciiTheme="majorHAnsi" w:hAnsiTheme="majorHAnsi"/>
          <w:i/>
          <w:iCs/>
          <w:sz w:val="24"/>
          <w:szCs w:val="24"/>
        </w:rPr>
        <w:t>Federal Tax Credit</w:t>
      </w:r>
    </w:p>
    <w:p w14:paraId="6858BD2C" w14:textId="77777777" w:rsidR="00E15B38" w:rsidRPr="00597E2E" w:rsidRDefault="00E15B38" w:rsidP="00E15B38">
      <w:pPr>
        <w:shd w:val="clear" w:color="auto" w:fill="FFFFFF"/>
        <w:spacing w:after="150" w:line="240" w:lineRule="auto"/>
        <w:rPr>
          <w:rFonts w:asciiTheme="majorHAnsi" w:hAnsiTheme="majorHAnsi"/>
          <w:sz w:val="24"/>
          <w:szCs w:val="24"/>
        </w:rPr>
      </w:pPr>
      <w:r w:rsidRPr="00597E2E">
        <w:rPr>
          <w:rFonts w:asciiTheme="majorHAnsi" w:hAnsiTheme="majorHAnsi"/>
          <w:sz w:val="24"/>
          <w:szCs w:val="24"/>
        </w:rPr>
        <w:t>The </w:t>
      </w:r>
      <w:hyperlink r:id="rId8" w:history="1">
        <w:r w:rsidRPr="00597E2E">
          <w:rPr>
            <w:rFonts w:asciiTheme="majorHAnsi" w:hAnsiTheme="majorHAnsi"/>
            <w:sz w:val="24"/>
            <w:szCs w:val="24"/>
          </w:rPr>
          <w:t>Qualified Plug-in Electric Drive Motor Vehicle Tax Credit</w:t>
        </w:r>
      </w:hyperlink>
      <w:r w:rsidRPr="00597E2E">
        <w:rPr>
          <w:rFonts w:asciiTheme="majorHAnsi" w:hAnsiTheme="majorHAnsi"/>
          <w:sz w:val="24"/>
          <w:szCs w:val="24"/>
        </w:rPr>
        <w:t xml:space="preserve"> is the main federal incentive program for electric cars available in the United States. Under this program, the purchase of a new electric vehicle is </w:t>
      </w:r>
      <w:r w:rsidR="00597E2E" w:rsidRPr="00597E2E">
        <w:rPr>
          <w:rFonts w:asciiTheme="majorHAnsi" w:hAnsiTheme="majorHAnsi"/>
          <w:sz w:val="24"/>
          <w:szCs w:val="24"/>
        </w:rPr>
        <w:t>eligible</w:t>
      </w:r>
      <w:r w:rsidRPr="00597E2E">
        <w:rPr>
          <w:rFonts w:asciiTheme="majorHAnsi" w:hAnsiTheme="majorHAnsi"/>
          <w:sz w:val="24"/>
          <w:szCs w:val="24"/>
        </w:rPr>
        <w:t xml:space="preserve"> for a tax credit worth $7,500 as long as it meets the following criteria:</w:t>
      </w:r>
    </w:p>
    <w:p w14:paraId="2F5E3773" w14:textId="77777777" w:rsidR="00E15B38" w:rsidRPr="00597E2E" w:rsidRDefault="00E15B38" w:rsidP="00E15B38">
      <w:pPr>
        <w:numPr>
          <w:ilvl w:val="0"/>
          <w:numId w:val="12"/>
        </w:numPr>
        <w:shd w:val="clear" w:color="auto" w:fill="FFFFFF"/>
        <w:spacing w:before="100" w:beforeAutospacing="1" w:after="150" w:line="240" w:lineRule="auto"/>
        <w:ind w:left="300"/>
        <w:rPr>
          <w:rFonts w:asciiTheme="majorHAnsi" w:hAnsiTheme="majorHAnsi"/>
          <w:sz w:val="24"/>
          <w:szCs w:val="24"/>
        </w:rPr>
      </w:pPr>
      <w:r w:rsidRPr="00597E2E">
        <w:rPr>
          <w:rFonts w:asciiTheme="majorHAnsi" w:hAnsiTheme="majorHAnsi"/>
          <w:sz w:val="24"/>
          <w:szCs w:val="24"/>
        </w:rPr>
        <w:t>Purchased after December 31, 2009</w:t>
      </w:r>
    </w:p>
    <w:p w14:paraId="4C81F0EC" w14:textId="77777777" w:rsidR="00E15B38" w:rsidRPr="00597E2E" w:rsidRDefault="00E15B38" w:rsidP="00E15B38">
      <w:pPr>
        <w:numPr>
          <w:ilvl w:val="0"/>
          <w:numId w:val="12"/>
        </w:numPr>
        <w:shd w:val="clear" w:color="auto" w:fill="FFFFFF"/>
        <w:spacing w:before="100" w:beforeAutospacing="1" w:after="150" w:line="240" w:lineRule="auto"/>
        <w:ind w:left="300"/>
        <w:rPr>
          <w:rFonts w:asciiTheme="majorHAnsi" w:hAnsiTheme="majorHAnsi"/>
          <w:sz w:val="24"/>
          <w:szCs w:val="24"/>
        </w:rPr>
      </w:pPr>
      <w:r w:rsidRPr="00597E2E">
        <w:rPr>
          <w:rFonts w:asciiTheme="majorHAnsi" w:hAnsiTheme="majorHAnsi"/>
          <w:sz w:val="24"/>
          <w:szCs w:val="24"/>
        </w:rPr>
        <w:t>Uses a traction battery (as the vast majority of EVs do)</w:t>
      </w:r>
    </w:p>
    <w:p w14:paraId="300465C7" w14:textId="77777777" w:rsidR="00E15B38" w:rsidRPr="00597E2E" w:rsidRDefault="00E15B38" w:rsidP="00E15B38">
      <w:pPr>
        <w:numPr>
          <w:ilvl w:val="0"/>
          <w:numId w:val="12"/>
        </w:numPr>
        <w:shd w:val="clear" w:color="auto" w:fill="FFFFFF"/>
        <w:spacing w:before="100" w:beforeAutospacing="1" w:after="150" w:line="240" w:lineRule="auto"/>
        <w:ind w:left="300"/>
        <w:rPr>
          <w:rFonts w:asciiTheme="majorHAnsi" w:hAnsiTheme="majorHAnsi"/>
          <w:sz w:val="24"/>
          <w:szCs w:val="24"/>
        </w:rPr>
      </w:pPr>
      <w:r w:rsidRPr="00597E2E">
        <w:rPr>
          <w:rFonts w:asciiTheme="majorHAnsi" w:hAnsiTheme="majorHAnsi"/>
          <w:sz w:val="24"/>
          <w:szCs w:val="24"/>
        </w:rPr>
        <w:t>Battery has at least 4 kilowatt hours (kWh) of capacity</w:t>
      </w:r>
    </w:p>
    <w:p w14:paraId="33C1472E" w14:textId="77777777" w:rsidR="00E15B38" w:rsidRPr="00597E2E" w:rsidRDefault="00E15B38" w:rsidP="00E15B38">
      <w:pPr>
        <w:numPr>
          <w:ilvl w:val="0"/>
          <w:numId w:val="12"/>
        </w:numPr>
        <w:shd w:val="clear" w:color="auto" w:fill="FFFFFF"/>
        <w:spacing w:before="100" w:beforeAutospacing="1" w:after="150" w:line="240" w:lineRule="auto"/>
        <w:ind w:left="300"/>
        <w:rPr>
          <w:rFonts w:asciiTheme="majorHAnsi" w:hAnsiTheme="majorHAnsi"/>
          <w:sz w:val="24"/>
          <w:szCs w:val="24"/>
        </w:rPr>
      </w:pPr>
      <w:r w:rsidRPr="00597E2E">
        <w:rPr>
          <w:rFonts w:asciiTheme="majorHAnsi" w:hAnsiTheme="majorHAnsi"/>
          <w:sz w:val="24"/>
          <w:szCs w:val="24"/>
        </w:rPr>
        <w:t>Uses an external plug-in source to recharge</w:t>
      </w:r>
    </w:p>
    <w:p w14:paraId="18D478EB" w14:textId="77777777" w:rsidR="00E15B38" w:rsidRPr="00597E2E" w:rsidRDefault="00E15B38" w:rsidP="00E15B38">
      <w:pPr>
        <w:numPr>
          <w:ilvl w:val="0"/>
          <w:numId w:val="12"/>
        </w:numPr>
        <w:shd w:val="clear" w:color="auto" w:fill="FFFFFF"/>
        <w:spacing w:before="100" w:beforeAutospacing="1" w:after="150" w:line="240" w:lineRule="auto"/>
        <w:ind w:left="300"/>
        <w:rPr>
          <w:rFonts w:asciiTheme="majorHAnsi" w:hAnsiTheme="majorHAnsi"/>
          <w:sz w:val="24"/>
          <w:szCs w:val="24"/>
        </w:rPr>
      </w:pPr>
      <w:r w:rsidRPr="00597E2E">
        <w:rPr>
          <w:rFonts w:asciiTheme="majorHAnsi" w:hAnsiTheme="majorHAnsi"/>
          <w:sz w:val="24"/>
          <w:szCs w:val="24"/>
        </w:rPr>
        <w:t>Has a vehicle weight rating of up to 14,000 pounds</w:t>
      </w:r>
    </w:p>
    <w:p w14:paraId="2A2F949B" w14:textId="77777777" w:rsidR="00E15B38" w:rsidRPr="00597E2E" w:rsidRDefault="00E15B38" w:rsidP="00E15B38">
      <w:pPr>
        <w:numPr>
          <w:ilvl w:val="0"/>
          <w:numId w:val="12"/>
        </w:numPr>
        <w:shd w:val="clear" w:color="auto" w:fill="FFFFFF"/>
        <w:spacing w:before="100" w:beforeAutospacing="1" w:after="150" w:line="240" w:lineRule="auto"/>
        <w:ind w:left="300"/>
        <w:rPr>
          <w:rFonts w:asciiTheme="majorHAnsi" w:hAnsiTheme="majorHAnsi"/>
          <w:sz w:val="24"/>
          <w:szCs w:val="24"/>
        </w:rPr>
      </w:pPr>
      <w:r w:rsidRPr="00597E2E">
        <w:rPr>
          <w:rFonts w:asciiTheme="majorHAnsi" w:hAnsiTheme="majorHAnsi"/>
          <w:sz w:val="24"/>
          <w:szCs w:val="24"/>
        </w:rPr>
        <w:t>Meets emissions standards</w:t>
      </w:r>
    </w:p>
    <w:p w14:paraId="7E64D1DA" w14:textId="77777777" w:rsidR="00E15B38" w:rsidRPr="00597E2E" w:rsidRDefault="00E15B38" w:rsidP="00E15B38">
      <w:pPr>
        <w:shd w:val="clear" w:color="auto" w:fill="FFFFFF"/>
        <w:spacing w:after="150" w:line="240" w:lineRule="auto"/>
        <w:rPr>
          <w:rFonts w:asciiTheme="majorHAnsi" w:hAnsiTheme="majorHAnsi"/>
          <w:sz w:val="24"/>
          <w:szCs w:val="24"/>
        </w:rPr>
      </w:pPr>
      <w:r w:rsidRPr="00597E2E">
        <w:rPr>
          <w:rFonts w:asciiTheme="majorHAnsi" w:hAnsiTheme="majorHAnsi"/>
          <w:sz w:val="24"/>
          <w:szCs w:val="24"/>
        </w:rPr>
        <w:t xml:space="preserve">The federal electric car tax credit applies to both all-electric vehicles and plug-in hybrid vehicles, and the actual amount you can claim varies based on car model. </w:t>
      </w:r>
    </w:p>
    <w:p w14:paraId="7CD38656" w14:textId="77777777" w:rsidR="000D043C" w:rsidRDefault="00E15B38" w:rsidP="00E15B38">
      <w:pPr>
        <w:shd w:val="clear" w:color="auto" w:fill="FFFFFF"/>
        <w:spacing w:after="150" w:line="240" w:lineRule="auto"/>
        <w:rPr>
          <w:rFonts w:asciiTheme="majorHAnsi" w:hAnsiTheme="majorHAnsi"/>
          <w:sz w:val="24"/>
          <w:szCs w:val="24"/>
        </w:rPr>
      </w:pPr>
      <w:r w:rsidRPr="00597E2E">
        <w:rPr>
          <w:rFonts w:asciiTheme="majorHAnsi" w:hAnsiTheme="majorHAnsi"/>
          <w:sz w:val="24"/>
          <w:szCs w:val="24"/>
        </w:rPr>
        <w:t xml:space="preserve">This tax credit has a “phase out” built into the program that is dependent on the </w:t>
      </w:r>
      <w:r w:rsidR="000D043C">
        <w:rPr>
          <w:rFonts w:asciiTheme="majorHAnsi" w:hAnsiTheme="majorHAnsi"/>
          <w:sz w:val="24"/>
          <w:szCs w:val="24"/>
        </w:rPr>
        <w:t xml:space="preserve">volume of vehicles sold by the </w:t>
      </w:r>
      <w:r w:rsidRPr="00597E2E">
        <w:rPr>
          <w:rFonts w:asciiTheme="majorHAnsi" w:hAnsiTheme="majorHAnsi"/>
          <w:sz w:val="24"/>
          <w:szCs w:val="24"/>
        </w:rPr>
        <w:t>manufacturer of the car. The phase out will kick in at the beginning of the second calendar quarter after a manufacturer has sold 200,000 eligible AEVs and/or PHEVs.</w:t>
      </w:r>
      <w:r w:rsidR="000D043C">
        <w:rPr>
          <w:rFonts w:asciiTheme="majorHAnsi" w:hAnsiTheme="majorHAnsi"/>
          <w:sz w:val="24"/>
          <w:szCs w:val="24"/>
        </w:rPr>
        <w:t xml:space="preserve"> </w:t>
      </w:r>
      <w:r w:rsidRPr="00597E2E">
        <w:rPr>
          <w:rFonts w:asciiTheme="majorHAnsi" w:hAnsiTheme="majorHAnsi"/>
          <w:sz w:val="24"/>
          <w:szCs w:val="24"/>
        </w:rPr>
        <w:t xml:space="preserve"> </w:t>
      </w:r>
    </w:p>
    <w:p w14:paraId="59D5920B" w14:textId="77777777" w:rsidR="00E15B38" w:rsidRPr="00597E2E" w:rsidRDefault="000D043C" w:rsidP="00E15B38">
      <w:pPr>
        <w:shd w:val="clear" w:color="auto" w:fill="FFFFFF"/>
        <w:spacing w:after="150" w:line="240" w:lineRule="auto"/>
        <w:rPr>
          <w:rFonts w:asciiTheme="majorHAnsi" w:hAnsiTheme="majorHAnsi"/>
          <w:sz w:val="24"/>
          <w:szCs w:val="24"/>
        </w:rPr>
      </w:pPr>
      <w:r>
        <w:rPr>
          <w:rFonts w:asciiTheme="majorHAnsi" w:hAnsiTheme="majorHAnsi"/>
          <w:sz w:val="24"/>
          <w:szCs w:val="24"/>
        </w:rPr>
        <w:t>While m</w:t>
      </w:r>
      <w:r w:rsidR="00E15B38" w:rsidRPr="00597E2E">
        <w:rPr>
          <w:rFonts w:asciiTheme="majorHAnsi" w:hAnsiTheme="majorHAnsi"/>
          <w:sz w:val="24"/>
          <w:szCs w:val="24"/>
        </w:rPr>
        <w:t>ost electric cars are still eligible for this tax credit</w:t>
      </w:r>
      <w:r>
        <w:rPr>
          <w:rFonts w:asciiTheme="majorHAnsi" w:hAnsiTheme="majorHAnsi"/>
          <w:sz w:val="24"/>
          <w:szCs w:val="24"/>
        </w:rPr>
        <w:t>, it is of note that T</w:t>
      </w:r>
      <w:r w:rsidR="00E15B38" w:rsidRPr="00597E2E">
        <w:rPr>
          <w:rFonts w:asciiTheme="majorHAnsi" w:hAnsiTheme="majorHAnsi"/>
          <w:sz w:val="24"/>
          <w:szCs w:val="24"/>
        </w:rPr>
        <w:t>esla cars are no longer eligible for the full incentive. Only vehicles delivered by December 31, 3018 received the full credit. Vehicles delivered before June 30, 2019 received a credit of $3,750, those delivered between July 1, 2019 and December 31, 2019 will receive $1,875, and beyond that timeline no credit is available for Tesla.</w:t>
      </w:r>
    </w:p>
    <w:p w14:paraId="71509320" w14:textId="77777777" w:rsidR="00E15B38" w:rsidRPr="00597E2E" w:rsidRDefault="00E15B38" w:rsidP="00DE24AB">
      <w:pPr>
        <w:tabs>
          <w:tab w:val="left" w:pos="7050"/>
        </w:tabs>
        <w:spacing w:after="0" w:line="240" w:lineRule="auto"/>
        <w:rPr>
          <w:rFonts w:asciiTheme="majorHAnsi" w:hAnsiTheme="majorHAnsi"/>
          <w:sz w:val="24"/>
          <w:szCs w:val="24"/>
        </w:rPr>
      </w:pPr>
    </w:p>
    <w:p w14:paraId="3B291861" w14:textId="77777777" w:rsidR="008B57E0" w:rsidRPr="00002EB2" w:rsidRDefault="00002EB2" w:rsidP="008B57E0">
      <w:pPr>
        <w:shd w:val="clear" w:color="auto" w:fill="FFFFFF"/>
        <w:spacing w:after="72" w:line="240" w:lineRule="auto"/>
        <w:outlineLvl w:val="0"/>
        <w:rPr>
          <w:rFonts w:asciiTheme="majorHAnsi" w:hAnsiTheme="majorHAnsi"/>
          <w:i/>
          <w:iCs/>
          <w:sz w:val="24"/>
          <w:szCs w:val="24"/>
        </w:rPr>
      </w:pPr>
      <w:r w:rsidRPr="00002EB2">
        <w:rPr>
          <w:rFonts w:asciiTheme="majorHAnsi" w:hAnsiTheme="majorHAnsi"/>
          <w:i/>
          <w:iCs/>
          <w:sz w:val="24"/>
          <w:szCs w:val="24"/>
        </w:rPr>
        <w:t xml:space="preserve">Massachusetts </w:t>
      </w:r>
      <w:r w:rsidR="008B57E0" w:rsidRPr="00002EB2">
        <w:rPr>
          <w:rFonts w:asciiTheme="majorHAnsi" w:hAnsiTheme="majorHAnsi"/>
          <w:i/>
          <w:iCs/>
          <w:sz w:val="24"/>
          <w:szCs w:val="24"/>
        </w:rPr>
        <w:t>Plug-In and Zero Emission Vehicle Rebates</w:t>
      </w:r>
    </w:p>
    <w:p w14:paraId="32990E7E" w14:textId="138D516B" w:rsidR="008B57E0" w:rsidRPr="00002EB2" w:rsidRDefault="00597E2E" w:rsidP="008B57E0">
      <w:pPr>
        <w:shd w:val="clear" w:color="auto" w:fill="FFFFFF"/>
        <w:spacing w:after="240" w:line="314" w:lineRule="atLeast"/>
        <w:rPr>
          <w:rFonts w:asciiTheme="majorHAnsi" w:hAnsiTheme="majorHAnsi"/>
          <w:sz w:val="24"/>
          <w:szCs w:val="24"/>
        </w:rPr>
      </w:pPr>
      <w:r>
        <w:rPr>
          <w:rFonts w:asciiTheme="majorHAnsi" w:hAnsiTheme="majorHAnsi"/>
          <w:sz w:val="24"/>
          <w:szCs w:val="24"/>
        </w:rPr>
        <w:t>While</w:t>
      </w:r>
      <w:r w:rsidR="00002EB2">
        <w:rPr>
          <w:rFonts w:asciiTheme="majorHAnsi" w:hAnsiTheme="majorHAnsi"/>
          <w:sz w:val="24"/>
          <w:szCs w:val="24"/>
        </w:rPr>
        <w:t xml:space="preserve"> Massachusetts does not offer additional deductions or a </w:t>
      </w:r>
      <w:r>
        <w:rPr>
          <w:rFonts w:asciiTheme="majorHAnsi" w:hAnsiTheme="majorHAnsi"/>
          <w:sz w:val="24"/>
          <w:szCs w:val="24"/>
        </w:rPr>
        <w:t>tax credit</w:t>
      </w:r>
      <w:r w:rsidR="00B04256">
        <w:rPr>
          <w:rFonts w:asciiTheme="majorHAnsi" w:hAnsiTheme="majorHAnsi"/>
          <w:sz w:val="24"/>
          <w:szCs w:val="24"/>
        </w:rPr>
        <w:t xml:space="preserve"> for electric vehicles</w:t>
      </w:r>
      <w:r>
        <w:rPr>
          <w:rFonts w:asciiTheme="majorHAnsi" w:hAnsiTheme="majorHAnsi"/>
          <w:sz w:val="24"/>
          <w:szCs w:val="24"/>
        </w:rPr>
        <w:t xml:space="preserve">, </w:t>
      </w:r>
      <w:r w:rsidR="00002EB2">
        <w:rPr>
          <w:rFonts w:asciiTheme="majorHAnsi" w:hAnsiTheme="majorHAnsi"/>
          <w:sz w:val="24"/>
          <w:szCs w:val="24"/>
        </w:rPr>
        <w:t>it d</w:t>
      </w:r>
      <w:r>
        <w:rPr>
          <w:rFonts w:asciiTheme="majorHAnsi" w:hAnsiTheme="majorHAnsi"/>
          <w:sz w:val="24"/>
          <w:szCs w:val="24"/>
        </w:rPr>
        <w:t xml:space="preserve">oes offer </w:t>
      </w:r>
      <w:r w:rsidR="00002EB2">
        <w:rPr>
          <w:rFonts w:asciiTheme="majorHAnsi" w:hAnsiTheme="majorHAnsi"/>
          <w:sz w:val="24"/>
          <w:szCs w:val="24"/>
        </w:rPr>
        <w:t>rebates</w:t>
      </w:r>
      <w:r>
        <w:rPr>
          <w:rFonts w:asciiTheme="majorHAnsi" w:hAnsiTheme="majorHAnsi"/>
          <w:sz w:val="24"/>
          <w:szCs w:val="24"/>
        </w:rPr>
        <w:t xml:space="preserve"> for certain vehicles.  </w:t>
      </w:r>
      <w:r w:rsidR="00002EB2">
        <w:rPr>
          <w:rFonts w:asciiTheme="majorHAnsi" w:hAnsiTheme="majorHAnsi"/>
          <w:sz w:val="24"/>
          <w:szCs w:val="24"/>
        </w:rPr>
        <w:t xml:space="preserve">The </w:t>
      </w:r>
      <w:r w:rsidR="008B57E0" w:rsidRPr="00597E2E">
        <w:rPr>
          <w:rFonts w:asciiTheme="majorHAnsi" w:hAnsiTheme="majorHAnsi"/>
          <w:sz w:val="24"/>
          <w:szCs w:val="24"/>
        </w:rPr>
        <w:t>Massachusetts Department of Energy Resources</w:t>
      </w:r>
      <w:r>
        <w:rPr>
          <w:rFonts w:asciiTheme="majorHAnsi" w:hAnsiTheme="majorHAnsi"/>
          <w:sz w:val="24"/>
          <w:szCs w:val="24"/>
        </w:rPr>
        <w:t xml:space="preserve"> administers the “</w:t>
      </w:r>
      <w:r w:rsidR="008B57E0" w:rsidRPr="00597E2E">
        <w:rPr>
          <w:rFonts w:asciiTheme="majorHAnsi" w:hAnsiTheme="majorHAnsi"/>
          <w:i/>
          <w:iCs/>
          <w:sz w:val="24"/>
          <w:szCs w:val="24"/>
        </w:rPr>
        <w:t>Massachusetts Offers Rebates for Electric Vehicles</w:t>
      </w:r>
      <w:r>
        <w:rPr>
          <w:rFonts w:asciiTheme="majorHAnsi" w:hAnsiTheme="majorHAnsi"/>
          <w:sz w:val="24"/>
          <w:szCs w:val="24"/>
        </w:rPr>
        <w:t>”</w:t>
      </w:r>
      <w:r w:rsidR="008B57E0" w:rsidRPr="00597E2E">
        <w:rPr>
          <w:rFonts w:asciiTheme="majorHAnsi" w:hAnsiTheme="majorHAnsi"/>
          <w:sz w:val="24"/>
          <w:szCs w:val="24"/>
        </w:rPr>
        <w:t xml:space="preserve"> (</w:t>
      </w:r>
      <w:r>
        <w:rPr>
          <w:rFonts w:asciiTheme="majorHAnsi" w:hAnsiTheme="majorHAnsi"/>
          <w:sz w:val="24"/>
          <w:szCs w:val="24"/>
        </w:rPr>
        <w:t>“</w:t>
      </w:r>
      <w:r w:rsidR="008B57E0" w:rsidRPr="00597E2E">
        <w:rPr>
          <w:rFonts w:asciiTheme="majorHAnsi" w:hAnsiTheme="majorHAnsi"/>
          <w:sz w:val="24"/>
          <w:szCs w:val="24"/>
        </w:rPr>
        <w:t>MOR-EV</w:t>
      </w:r>
      <w:r>
        <w:rPr>
          <w:rFonts w:asciiTheme="majorHAnsi" w:hAnsiTheme="majorHAnsi"/>
          <w:sz w:val="24"/>
          <w:szCs w:val="24"/>
        </w:rPr>
        <w:t>”</w:t>
      </w:r>
      <w:r w:rsidR="008B57E0" w:rsidRPr="00597E2E">
        <w:rPr>
          <w:rFonts w:asciiTheme="majorHAnsi" w:hAnsiTheme="majorHAnsi"/>
          <w:sz w:val="24"/>
          <w:szCs w:val="24"/>
        </w:rPr>
        <w:t xml:space="preserve">) Program </w:t>
      </w:r>
      <w:r>
        <w:rPr>
          <w:rFonts w:asciiTheme="majorHAnsi" w:hAnsiTheme="majorHAnsi"/>
          <w:sz w:val="24"/>
          <w:szCs w:val="24"/>
        </w:rPr>
        <w:t xml:space="preserve">which </w:t>
      </w:r>
      <w:r w:rsidR="008B57E0" w:rsidRPr="00597E2E">
        <w:rPr>
          <w:rFonts w:asciiTheme="majorHAnsi" w:hAnsiTheme="majorHAnsi"/>
          <w:sz w:val="24"/>
          <w:szCs w:val="24"/>
        </w:rPr>
        <w:t>offers residents, nonprofits, and businesses rebates of up to $2,500 toward the purchase or lease of eligible battery electric and fuel cell electric vehicles and up to $1,500 for the purchase or lease of eligible plug-in hybrid electric vehicles. Eligible nonprofit and business fleet vehicles may include rental cars, company cars, and delivery vehicles. Vehicle purchase prices must be below $50,000. Applicants must retain ownership of the vehicle for a minimum of 36 months. Only vehicles purchased or leased on or after January 1, 2020 are eligible. For more information, visit the </w:t>
      </w:r>
      <w:hyperlink r:id="rId9" w:history="1">
        <w:r w:rsidR="008B57E0" w:rsidRPr="00002EB2">
          <w:rPr>
            <w:rFonts w:asciiTheme="majorHAnsi" w:hAnsiTheme="majorHAnsi"/>
            <w:sz w:val="24"/>
            <w:szCs w:val="24"/>
          </w:rPr>
          <w:t>MOR-EV</w:t>
        </w:r>
      </w:hyperlink>
      <w:r w:rsidR="008B57E0" w:rsidRPr="00002EB2">
        <w:rPr>
          <w:rFonts w:asciiTheme="majorHAnsi" w:hAnsiTheme="majorHAnsi"/>
          <w:sz w:val="24"/>
          <w:szCs w:val="24"/>
        </w:rPr>
        <w:t> website.</w:t>
      </w:r>
    </w:p>
    <w:p w14:paraId="34CDB5AA" w14:textId="77777777" w:rsidR="009836D3" w:rsidRDefault="009836D3" w:rsidP="00E15B38">
      <w:pPr>
        <w:rPr>
          <w:i/>
          <w:iCs/>
          <w:sz w:val="24"/>
          <w:szCs w:val="24"/>
        </w:rPr>
      </w:pPr>
    </w:p>
    <w:p w14:paraId="52BF15F2" w14:textId="77777777" w:rsidR="000D043C" w:rsidRDefault="00C97CE7" w:rsidP="00E15B38">
      <w:pPr>
        <w:rPr>
          <w:rFonts w:asciiTheme="majorHAnsi" w:hAnsiTheme="majorHAnsi"/>
          <w:sz w:val="24"/>
          <w:szCs w:val="24"/>
        </w:rPr>
      </w:pPr>
      <w:r w:rsidRPr="00C97CE7">
        <w:rPr>
          <w:rFonts w:asciiTheme="majorHAnsi" w:eastAsiaTheme="majorEastAsia" w:hAnsiTheme="majorHAnsi" w:cstheme="majorBidi"/>
          <w:b/>
          <w:bCs/>
          <w:color w:val="E36C0A" w:themeColor="accent6" w:themeShade="BF"/>
          <w:sz w:val="28"/>
          <w:szCs w:val="28"/>
        </w:rPr>
        <w:t>SIMILAR TAX EXPENDITURES OFFERED BY OTHER STATES</w:t>
      </w:r>
    </w:p>
    <w:p w14:paraId="07B9C0EE" w14:textId="77777777" w:rsidR="00E15B38" w:rsidRPr="00BB45CC" w:rsidRDefault="00E15B38" w:rsidP="00E15B38">
      <w:pPr>
        <w:rPr>
          <w:rFonts w:asciiTheme="majorHAnsi" w:hAnsiTheme="majorHAnsi"/>
          <w:sz w:val="24"/>
          <w:szCs w:val="24"/>
        </w:rPr>
      </w:pPr>
      <w:r w:rsidRPr="00BB45CC">
        <w:rPr>
          <w:rFonts w:asciiTheme="majorHAnsi" w:hAnsiTheme="majorHAnsi"/>
          <w:sz w:val="24"/>
          <w:szCs w:val="24"/>
        </w:rPr>
        <w:t xml:space="preserve">Maine: </w:t>
      </w:r>
      <w:bookmarkStart w:id="2" w:name="_Hlk48113436"/>
      <w:r w:rsidRPr="00BB45CC">
        <w:rPr>
          <w:rFonts w:asciiTheme="majorHAnsi" w:hAnsiTheme="majorHAnsi"/>
          <w:sz w:val="24"/>
          <w:szCs w:val="24"/>
        </w:rPr>
        <w:t>H</w:t>
      </w:r>
      <w:bookmarkStart w:id="3" w:name="_Hlk48112441"/>
      <w:r w:rsidRPr="00BB45CC">
        <w:rPr>
          <w:rFonts w:asciiTheme="majorHAnsi" w:hAnsiTheme="majorHAnsi"/>
          <w:sz w:val="24"/>
          <w:szCs w:val="24"/>
        </w:rPr>
        <w:t xml:space="preserve">as various incentive programs for hybrid &amp; electric vehicles and clean fuel, but no deduction. </w:t>
      </w:r>
      <w:bookmarkEnd w:id="2"/>
      <w:bookmarkEnd w:id="3"/>
      <w:r w:rsidRPr="00BB45CC">
        <w:rPr>
          <w:rFonts w:asciiTheme="majorHAnsi" w:hAnsiTheme="majorHAnsi"/>
          <w:sz w:val="24"/>
          <w:szCs w:val="24"/>
        </w:rPr>
        <w:fldChar w:fldCharType="begin"/>
      </w:r>
      <w:r w:rsidRPr="00BB45CC">
        <w:rPr>
          <w:rFonts w:asciiTheme="majorHAnsi" w:hAnsiTheme="majorHAnsi"/>
          <w:sz w:val="24"/>
          <w:szCs w:val="24"/>
        </w:rPr>
        <w:instrText xml:space="preserve"> HYPERLINK "https://afdc.energy.gov/laws/state_summary?state=ME" </w:instrText>
      </w:r>
      <w:r w:rsidRPr="00BB45CC">
        <w:rPr>
          <w:rFonts w:asciiTheme="majorHAnsi" w:hAnsiTheme="majorHAnsi"/>
          <w:sz w:val="24"/>
          <w:szCs w:val="24"/>
        </w:rPr>
        <w:fldChar w:fldCharType="separate"/>
      </w:r>
      <w:r w:rsidRPr="00BB45CC">
        <w:rPr>
          <w:rStyle w:val="Hyperlink"/>
          <w:rFonts w:asciiTheme="majorHAnsi" w:hAnsiTheme="majorHAnsi" w:cstheme="minorBidi"/>
          <w:color w:val="auto"/>
          <w:sz w:val="24"/>
          <w:szCs w:val="24"/>
        </w:rPr>
        <w:t>https://afdc.energy.gov/laws/state_summary?state=ME</w:t>
      </w:r>
      <w:r w:rsidRPr="00BB45CC">
        <w:rPr>
          <w:rFonts w:asciiTheme="majorHAnsi" w:hAnsiTheme="majorHAnsi"/>
          <w:sz w:val="24"/>
          <w:szCs w:val="24"/>
        </w:rPr>
        <w:fldChar w:fldCharType="end"/>
      </w:r>
    </w:p>
    <w:p w14:paraId="7C2B2008" w14:textId="77777777" w:rsidR="00E15B38" w:rsidRPr="00BB45CC" w:rsidRDefault="00E15B38" w:rsidP="00E15B38">
      <w:pPr>
        <w:rPr>
          <w:rFonts w:asciiTheme="majorHAnsi" w:hAnsiTheme="majorHAnsi"/>
          <w:sz w:val="24"/>
          <w:szCs w:val="24"/>
        </w:rPr>
      </w:pPr>
      <w:r w:rsidRPr="00BB45CC">
        <w:rPr>
          <w:rFonts w:asciiTheme="majorHAnsi" w:hAnsiTheme="majorHAnsi"/>
          <w:sz w:val="24"/>
          <w:szCs w:val="24"/>
        </w:rPr>
        <w:t xml:space="preserve">Vermont: Has various incentive programs for hybrid &amp; electric vehicles and clean fuel, but no deduction. </w:t>
      </w:r>
      <w:hyperlink r:id="rId10" w:history="1">
        <w:r w:rsidRPr="00BB45CC">
          <w:rPr>
            <w:rStyle w:val="Hyperlink"/>
            <w:rFonts w:asciiTheme="majorHAnsi" w:hAnsiTheme="majorHAnsi" w:cstheme="minorBidi"/>
            <w:color w:val="auto"/>
            <w:sz w:val="24"/>
            <w:szCs w:val="24"/>
          </w:rPr>
          <w:t>https://afdc.energy.gov/laws/state_summary?state=VT</w:t>
        </w:r>
      </w:hyperlink>
    </w:p>
    <w:p w14:paraId="1D78CE3E" w14:textId="77777777" w:rsidR="00E15B38" w:rsidRPr="00BB45CC" w:rsidRDefault="00E15B38" w:rsidP="00E15B38">
      <w:pPr>
        <w:rPr>
          <w:rFonts w:asciiTheme="majorHAnsi" w:hAnsiTheme="majorHAnsi"/>
          <w:sz w:val="24"/>
          <w:szCs w:val="24"/>
        </w:rPr>
      </w:pPr>
      <w:r w:rsidRPr="00BB45CC">
        <w:rPr>
          <w:rFonts w:asciiTheme="majorHAnsi" w:hAnsiTheme="majorHAnsi"/>
          <w:sz w:val="24"/>
          <w:szCs w:val="24"/>
        </w:rPr>
        <w:t xml:space="preserve">New Hampshire: Has some incentive programs for clean fuel, but no deduction. </w:t>
      </w:r>
      <w:hyperlink r:id="rId11" w:history="1">
        <w:r w:rsidRPr="00BB45CC">
          <w:rPr>
            <w:rStyle w:val="Hyperlink"/>
            <w:rFonts w:asciiTheme="majorHAnsi" w:hAnsiTheme="majorHAnsi" w:cstheme="minorBidi"/>
            <w:color w:val="auto"/>
            <w:sz w:val="24"/>
            <w:szCs w:val="24"/>
          </w:rPr>
          <w:t>https://afdc.energy.gov/laws/state_summary?state=NH</w:t>
        </w:r>
      </w:hyperlink>
    </w:p>
    <w:p w14:paraId="3E8CD366" w14:textId="77777777" w:rsidR="00E15B38" w:rsidRPr="00BB45CC" w:rsidRDefault="00E15B38" w:rsidP="00E15B38">
      <w:pPr>
        <w:rPr>
          <w:rFonts w:asciiTheme="majorHAnsi" w:hAnsiTheme="majorHAnsi"/>
          <w:sz w:val="24"/>
          <w:szCs w:val="24"/>
        </w:rPr>
      </w:pPr>
      <w:r w:rsidRPr="00BB45CC">
        <w:rPr>
          <w:rFonts w:asciiTheme="majorHAnsi" w:hAnsiTheme="majorHAnsi"/>
          <w:sz w:val="24"/>
          <w:szCs w:val="24"/>
        </w:rPr>
        <w:t xml:space="preserve">Rhode Island: Has some incentive programs for clean fuel, but no deduction. </w:t>
      </w:r>
      <w:hyperlink r:id="rId12" w:history="1">
        <w:r w:rsidRPr="00BB45CC">
          <w:rPr>
            <w:rStyle w:val="Hyperlink"/>
            <w:rFonts w:asciiTheme="majorHAnsi" w:hAnsiTheme="majorHAnsi" w:cstheme="minorBidi"/>
            <w:color w:val="auto"/>
            <w:sz w:val="24"/>
            <w:szCs w:val="24"/>
          </w:rPr>
          <w:t>https://afdc.energy.gov/laws/state_summary?state=RI</w:t>
        </w:r>
      </w:hyperlink>
    </w:p>
    <w:p w14:paraId="3B96D6B5" w14:textId="77777777" w:rsidR="00E15B38" w:rsidRPr="00BB45CC" w:rsidRDefault="00E15B38" w:rsidP="00E15B38">
      <w:pPr>
        <w:rPr>
          <w:rFonts w:asciiTheme="majorHAnsi" w:hAnsiTheme="majorHAnsi"/>
          <w:sz w:val="24"/>
          <w:szCs w:val="24"/>
        </w:rPr>
      </w:pPr>
      <w:r w:rsidRPr="00BB45CC">
        <w:rPr>
          <w:rFonts w:asciiTheme="majorHAnsi" w:hAnsiTheme="majorHAnsi"/>
          <w:sz w:val="24"/>
          <w:szCs w:val="24"/>
        </w:rPr>
        <w:t xml:space="preserve">Connecticut: Has various incentive programs for electric vehicles and clean fuel, but no deduction. </w:t>
      </w:r>
      <w:hyperlink r:id="rId13" w:history="1">
        <w:r w:rsidRPr="00BB45CC">
          <w:rPr>
            <w:rStyle w:val="Hyperlink"/>
            <w:rFonts w:asciiTheme="majorHAnsi" w:hAnsiTheme="majorHAnsi" w:cstheme="minorBidi"/>
            <w:color w:val="auto"/>
            <w:sz w:val="24"/>
            <w:szCs w:val="24"/>
          </w:rPr>
          <w:t>https://afdc.energy.gov/laws/state_summary?state=CT</w:t>
        </w:r>
      </w:hyperlink>
    </w:p>
    <w:p w14:paraId="24B7B1C0" w14:textId="77777777" w:rsidR="00E15B38" w:rsidRPr="00BB45CC" w:rsidRDefault="00E15B38" w:rsidP="00E15B38">
      <w:pPr>
        <w:rPr>
          <w:rStyle w:val="Hyperlink"/>
          <w:rFonts w:asciiTheme="majorHAnsi" w:hAnsiTheme="majorHAnsi" w:cstheme="minorBidi"/>
          <w:color w:val="auto"/>
          <w:sz w:val="24"/>
          <w:szCs w:val="24"/>
        </w:rPr>
      </w:pPr>
      <w:r w:rsidRPr="00BB45CC">
        <w:rPr>
          <w:rFonts w:asciiTheme="majorHAnsi" w:hAnsiTheme="majorHAnsi"/>
          <w:sz w:val="24"/>
          <w:szCs w:val="24"/>
        </w:rPr>
        <w:t xml:space="preserve">New York: Has various incentive programs for hybrid &amp; electric vehicles and clean fuel, but no deduction. </w:t>
      </w:r>
      <w:hyperlink r:id="rId14" w:history="1">
        <w:r w:rsidRPr="00BB45CC">
          <w:rPr>
            <w:rStyle w:val="Hyperlink"/>
            <w:rFonts w:asciiTheme="majorHAnsi" w:hAnsiTheme="majorHAnsi" w:cstheme="minorBidi"/>
            <w:color w:val="auto"/>
            <w:sz w:val="24"/>
            <w:szCs w:val="24"/>
          </w:rPr>
          <w:t>https://afdc.energy.gov/laws/state_summary?state=NY</w:t>
        </w:r>
      </w:hyperlink>
    </w:p>
    <w:p w14:paraId="362ADDFB" w14:textId="77777777" w:rsidR="00E15B38" w:rsidRPr="00BB45CC" w:rsidRDefault="00E15B38" w:rsidP="00E15B38">
      <w:pPr>
        <w:rPr>
          <w:rFonts w:asciiTheme="majorHAnsi" w:hAnsiTheme="majorHAnsi" w:cs="Times New Roman"/>
          <w:sz w:val="24"/>
          <w:szCs w:val="24"/>
        </w:rPr>
      </w:pPr>
      <w:r w:rsidRPr="00BB45CC">
        <w:rPr>
          <w:rFonts w:asciiTheme="majorHAnsi" w:hAnsiTheme="majorHAnsi" w:cs="Times New Roman"/>
          <w:sz w:val="24"/>
          <w:szCs w:val="24"/>
        </w:rPr>
        <w:t xml:space="preserve">Current Federal Incentives for Clean Fuel: </w:t>
      </w:r>
    </w:p>
    <w:p w14:paraId="2592A7BF" w14:textId="77777777" w:rsidR="00E15B38" w:rsidRPr="00BB45CC" w:rsidRDefault="009262EB" w:rsidP="00E15B38">
      <w:pPr>
        <w:rPr>
          <w:rFonts w:asciiTheme="majorHAnsi" w:hAnsiTheme="majorHAnsi" w:cs="Times New Roman"/>
          <w:sz w:val="24"/>
          <w:szCs w:val="24"/>
        </w:rPr>
      </w:pPr>
      <w:hyperlink r:id="rId15" w:history="1">
        <w:r w:rsidR="00E15B38" w:rsidRPr="00BB45CC">
          <w:rPr>
            <w:rStyle w:val="Hyperlink"/>
            <w:rFonts w:asciiTheme="majorHAnsi" w:hAnsiTheme="majorHAnsi"/>
            <w:color w:val="auto"/>
            <w:sz w:val="24"/>
            <w:szCs w:val="24"/>
          </w:rPr>
          <w:t>https://afdc.energy.gov/laws/all?state=US</w:t>
        </w:r>
      </w:hyperlink>
    </w:p>
    <w:p w14:paraId="063A21C2" w14:textId="77777777" w:rsidR="00E15B38" w:rsidRPr="00BB45CC" w:rsidRDefault="009262EB" w:rsidP="00E15B38">
      <w:pPr>
        <w:rPr>
          <w:rFonts w:asciiTheme="majorHAnsi" w:hAnsiTheme="majorHAnsi"/>
          <w:sz w:val="24"/>
          <w:szCs w:val="24"/>
          <w:u w:val="single"/>
        </w:rPr>
      </w:pPr>
      <w:hyperlink r:id="rId16" w:history="1">
        <w:r w:rsidR="00E15B38" w:rsidRPr="00BB45CC">
          <w:rPr>
            <w:rStyle w:val="Hyperlink"/>
            <w:rFonts w:asciiTheme="majorHAnsi" w:hAnsiTheme="majorHAnsi" w:cstheme="minorBidi"/>
            <w:color w:val="auto"/>
            <w:sz w:val="24"/>
            <w:szCs w:val="24"/>
          </w:rPr>
          <w:t>Alternative Fuels Data Center</w:t>
        </w:r>
      </w:hyperlink>
      <w:r w:rsidR="00E15B38" w:rsidRPr="00BB45CC">
        <w:rPr>
          <w:rFonts w:asciiTheme="majorHAnsi" w:hAnsiTheme="majorHAnsi"/>
          <w:sz w:val="24"/>
          <w:szCs w:val="24"/>
          <w:u w:val="single"/>
        </w:rPr>
        <w:t xml:space="preserve"> Survey</w:t>
      </w:r>
    </w:p>
    <w:p w14:paraId="7F2DBB02" w14:textId="77777777" w:rsidR="00DE24AB" w:rsidRPr="007862F2" w:rsidRDefault="009262EB" w:rsidP="00E15B38">
      <w:pPr>
        <w:tabs>
          <w:tab w:val="left" w:pos="7050"/>
        </w:tabs>
        <w:spacing w:after="0"/>
        <w:rPr>
          <w:rFonts w:asciiTheme="majorHAnsi" w:eastAsiaTheme="majorEastAsia" w:hAnsiTheme="majorHAnsi" w:cstheme="majorBidi"/>
          <w:sz w:val="24"/>
          <w:szCs w:val="24"/>
        </w:rPr>
      </w:pPr>
      <w:hyperlink r:id="rId17" w:history="1">
        <w:r w:rsidR="00E15B38" w:rsidRPr="00BB45CC">
          <w:rPr>
            <w:rStyle w:val="Hyperlink"/>
            <w:rFonts w:asciiTheme="majorHAnsi" w:hAnsiTheme="majorHAnsi" w:cstheme="minorBidi"/>
            <w:color w:val="auto"/>
            <w:sz w:val="24"/>
            <w:szCs w:val="24"/>
          </w:rPr>
          <w:t>https://afdc.energy.gov/laws</w:t>
        </w:r>
      </w:hyperlink>
    </w:p>
    <w:p w14:paraId="186C2A06" w14:textId="77777777" w:rsidR="00E15B38" w:rsidRDefault="00E15B38" w:rsidP="00DE24AB">
      <w:pPr>
        <w:tabs>
          <w:tab w:val="left" w:pos="7050"/>
        </w:tabs>
        <w:spacing w:after="0"/>
        <w:rPr>
          <w:rFonts w:asciiTheme="majorHAnsi" w:eastAsiaTheme="majorEastAsia" w:hAnsiTheme="majorHAnsi" w:cstheme="majorBidi"/>
          <w:sz w:val="24"/>
          <w:szCs w:val="24"/>
        </w:rPr>
      </w:pPr>
    </w:p>
    <w:p w14:paraId="0894EA0C" w14:textId="77777777" w:rsidR="00C97CE7" w:rsidRPr="007862F2" w:rsidRDefault="00C97CE7" w:rsidP="00DE24AB">
      <w:pPr>
        <w:tabs>
          <w:tab w:val="left" w:pos="7050"/>
        </w:tabs>
        <w:spacing w:after="0"/>
        <w:rPr>
          <w:rFonts w:asciiTheme="majorHAnsi" w:eastAsiaTheme="majorEastAsia" w:hAnsiTheme="majorHAnsi" w:cstheme="majorBidi"/>
          <w:sz w:val="24"/>
          <w:szCs w:val="24"/>
        </w:rPr>
      </w:pPr>
    </w:p>
    <w:p w14:paraId="53E374DF" w14:textId="77777777" w:rsidR="00E15B38" w:rsidRPr="00A07439" w:rsidRDefault="00E15B38" w:rsidP="00E15B38">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580776C9" w14:textId="77777777" w:rsidR="00E15B38" w:rsidRDefault="00E15B38" w:rsidP="00E15B38">
      <w:pPr>
        <w:tabs>
          <w:tab w:val="left" w:pos="7050"/>
        </w:tabs>
        <w:spacing w:after="0" w:line="240" w:lineRule="auto"/>
        <w:rPr>
          <w:rFonts w:asciiTheme="majorHAnsi" w:eastAsiaTheme="majorEastAsia" w:hAnsiTheme="majorHAnsi" w:cstheme="majorBidi"/>
          <w:bCs/>
          <w:color w:val="000000" w:themeColor="text1"/>
          <w:sz w:val="24"/>
          <w:szCs w:val="24"/>
        </w:rPr>
      </w:pPr>
    </w:p>
    <w:p w14:paraId="3164ECD0" w14:textId="2025ABFC" w:rsidR="00C97CE7" w:rsidRDefault="00E15B38" w:rsidP="00C97CE7">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This </w:t>
      </w:r>
      <w:r w:rsidR="00002EB2">
        <w:rPr>
          <w:rFonts w:asciiTheme="majorHAnsi" w:eastAsiaTheme="majorEastAsia" w:hAnsiTheme="majorHAnsi" w:cstheme="majorBidi"/>
          <w:bCs/>
          <w:color w:val="000000" w:themeColor="text1"/>
          <w:sz w:val="24"/>
          <w:szCs w:val="24"/>
        </w:rPr>
        <w:t>deduction</w:t>
      </w:r>
      <w:r>
        <w:rPr>
          <w:rFonts w:asciiTheme="majorHAnsi" w:eastAsiaTheme="majorEastAsia" w:hAnsiTheme="majorHAnsi" w:cstheme="majorBidi"/>
          <w:bCs/>
          <w:color w:val="000000" w:themeColor="text1"/>
          <w:sz w:val="24"/>
          <w:szCs w:val="24"/>
        </w:rPr>
        <w:t xml:space="preserve"> has only been retained as </w:t>
      </w:r>
      <w:r w:rsidR="006E4584">
        <w:rPr>
          <w:rFonts w:asciiTheme="majorHAnsi" w:eastAsiaTheme="majorEastAsia" w:hAnsiTheme="majorHAnsi" w:cstheme="majorBidi"/>
          <w:bCs/>
          <w:color w:val="000000" w:themeColor="text1"/>
          <w:sz w:val="24"/>
          <w:szCs w:val="24"/>
        </w:rPr>
        <w:t>a result</w:t>
      </w:r>
      <w:r>
        <w:rPr>
          <w:rFonts w:asciiTheme="majorHAnsi" w:eastAsiaTheme="majorEastAsia" w:hAnsiTheme="majorHAnsi" w:cstheme="majorBidi"/>
          <w:bCs/>
          <w:color w:val="000000" w:themeColor="text1"/>
          <w:sz w:val="24"/>
          <w:szCs w:val="24"/>
        </w:rPr>
        <w:t xml:space="preserve"> of Massachusetts conforming to the 2005 Code. </w:t>
      </w:r>
      <w:r w:rsidR="00243FBB">
        <w:rPr>
          <w:rFonts w:asciiTheme="majorHAnsi" w:eastAsiaTheme="majorEastAsia" w:hAnsiTheme="majorHAnsi" w:cstheme="majorBidi"/>
          <w:bCs/>
          <w:color w:val="000000" w:themeColor="text1"/>
          <w:sz w:val="24"/>
          <w:szCs w:val="24"/>
        </w:rPr>
        <w:t xml:space="preserve"> But as noted above</w:t>
      </w:r>
      <w:r w:rsidR="00597FD7">
        <w:rPr>
          <w:rFonts w:asciiTheme="majorHAnsi" w:eastAsiaTheme="majorEastAsia" w:hAnsiTheme="majorHAnsi" w:cstheme="majorBidi"/>
          <w:bCs/>
          <w:color w:val="000000" w:themeColor="text1"/>
          <w:sz w:val="24"/>
          <w:szCs w:val="24"/>
        </w:rPr>
        <w:t>, for practical purposes the deduction is</w:t>
      </w:r>
      <w:r w:rsidR="00243FBB">
        <w:rPr>
          <w:rFonts w:asciiTheme="majorHAnsi" w:eastAsiaTheme="majorEastAsia" w:hAnsiTheme="majorHAnsi" w:cstheme="majorBidi"/>
          <w:bCs/>
          <w:color w:val="000000" w:themeColor="text1"/>
          <w:sz w:val="24"/>
          <w:szCs w:val="24"/>
        </w:rPr>
        <w:t xml:space="preserve"> no longer in effect.  Thus,</w:t>
      </w:r>
      <w:r w:rsidR="00C939DF">
        <w:rPr>
          <w:rFonts w:asciiTheme="majorHAnsi" w:eastAsiaTheme="majorEastAsia" w:hAnsiTheme="majorHAnsi" w:cstheme="majorBidi"/>
          <w:bCs/>
          <w:color w:val="000000" w:themeColor="text1"/>
          <w:sz w:val="24"/>
          <w:szCs w:val="24"/>
        </w:rPr>
        <w:t xml:space="preserve"> </w:t>
      </w:r>
      <w:r w:rsidR="00243FBB">
        <w:rPr>
          <w:rFonts w:asciiTheme="majorHAnsi" w:eastAsiaTheme="majorEastAsia" w:hAnsiTheme="majorHAnsi" w:cstheme="majorBidi"/>
          <w:bCs/>
          <w:color w:val="000000" w:themeColor="text1"/>
          <w:sz w:val="24"/>
          <w:szCs w:val="24"/>
        </w:rPr>
        <w:t>it</w:t>
      </w:r>
      <w:r w:rsidR="00597E2E">
        <w:rPr>
          <w:rFonts w:asciiTheme="majorHAnsi" w:eastAsiaTheme="majorEastAsia" w:hAnsiTheme="majorHAnsi" w:cstheme="majorBidi"/>
          <w:bCs/>
          <w:color w:val="000000" w:themeColor="text1"/>
          <w:sz w:val="24"/>
          <w:szCs w:val="24"/>
        </w:rPr>
        <w:t xml:space="preserve"> no longer incentivizes the purchase of alternatively fueled vehicles.  </w:t>
      </w:r>
    </w:p>
    <w:p w14:paraId="7B4F560C" w14:textId="2DA4F788" w:rsidR="006E4584" w:rsidRDefault="006E4584" w:rsidP="00C97CE7">
      <w:pPr>
        <w:rPr>
          <w:rFonts w:asciiTheme="majorHAnsi" w:eastAsiaTheme="majorEastAsia" w:hAnsiTheme="majorHAnsi" w:cstheme="majorBidi"/>
          <w:bCs/>
          <w:color w:val="000000" w:themeColor="text1"/>
          <w:sz w:val="24"/>
          <w:szCs w:val="24"/>
        </w:rPr>
      </w:pPr>
    </w:p>
    <w:p w14:paraId="2CB8E8E9" w14:textId="77777777" w:rsidR="006E4584" w:rsidRDefault="006E4584" w:rsidP="00C97CE7">
      <w:pPr>
        <w:rPr>
          <w:rFonts w:asciiTheme="majorHAnsi" w:eastAsiaTheme="majorEastAsia" w:hAnsiTheme="majorHAnsi" w:cstheme="majorBidi"/>
          <w:bCs/>
          <w:color w:val="000000" w:themeColor="text1"/>
          <w:sz w:val="24"/>
          <w:szCs w:val="24"/>
        </w:rPr>
      </w:pPr>
    </w:p>
    <w:p w14:paraId="07DDC1B4" w14:textId="77777777" w:rsidR="00C97CE7" w:rsidRDefault="00C97CE7" w:rsidP="00C97CE7">
      <w:pPr>
        <w:rPr>
          <w:rFonts w:eastAsia="Times New Roman"/>
          <w:sz w:val="28"/>
          <w:szCs w:val="28"/>
        </w:rPr>
      </w:pPr>
      <w:r>
        <w:rPr>
          <w:rFonts w:eastAsia="Times New Roman"/>
          <w:sz w:val="28"/>
          <w:szCs w:val="28"/>
          <w:highlight w:val="cyan"/>
        </w:rPr>
        <w:t>To be completed further by TERC</w:t>
      </w:r>
    </w:p>
    <w:p w14:paraId="615CDD92" w14:textId="77777777" w:rsidR="00C97CE7" w:rsidRDefault="00C97CE7" w:rsidP="00C97CE7">
      <w:pPr>
        <w:rPr>
          <w:rFonts w:eastAsia="Times New Roman"/>
          <w:sz w:val="28"/>
          <w:szCs w:val="28"/>
        </w:rPr>
      </w:pPr>
    </w:p>
    <w:p w14:paraId="42AD194F" w14:textId="77777777" w:rsidR="00C97CE7" w:rsidRDefault="00C97CE7" w:rsidP="00C97CE7">
      <w:pPr>
        <w:rPr>
          <w:rFonts w:asciiTheme="majorHAnsi" w:eastAsiaTheme="majorEastAsia" w:hAnsiTheme="majorHAnsi" w:cstheme="majorBidi"/>
          <w:bCs/>
          <w:color w:val="000000" w:themeColor="text1"/>
          <w:sz w:val="24"/>
        </w:rPr>
      </w:pPr>
      <w:r>
        <w:rPr>
          <w:rFonts w:eastAsia="Times New Roman"/>
          <w:sz w:val="28"/>
          <w:szCs w:val="28"/>
          <w:highlight w:val="cyan"/>
        </w:rPr>
        <w:t>Conclusion/Recommendations: [To be Entered by TERC]</w:t>
      </w:r>
    </w:p>
    <w:p w14:paraId="05B0BB6D" w14:textId="77777777" w:rsidR="00E15B38" w:rsidRDefault="00E15B38" w:rsidP="00E15B38">
      <w:pPr>
        <w:rPr>
          <w:rFonts w:asciiTheme="majorHAnsi" w:eastAsiaTheme="majorEastAsia" w:hAnsiTheme="majorHAnsi" w:cstheme="majorBidi"/>
          <w:bCs/>
          <w:color w:val="000000" w:themeColor="text1"/>
          <w:sz w:val="24"/>
          <w:szCs w:val="24"/>
        </w:rPr>
      </w:pPr>
    </w:p>
    <w:p w14:paraId="68130243" w14:textId="77777777" w:rsidR="00C97CE7" w:rsidRDefault="00C97CE7" w:rsidP="00E15B38">
      <w:pPr>
        <w:rPr>
          <w:rFonts w:asciiTheme="majorHAnsi" w:eastAsiaTheme="majorEastAsia" w:hAnsiTheme="majorHAnsi" w:cstheme="majorBidi"/>
          <w:bCs/>
          <w:color w:val="000000" w:themeColor="text1"/>
          <w:sz w:val="24"/>
          <w:szCs w:val="24"/>
        </w:rPr>
      </w:pPr>
    </w:p>
    <w:sectPr w:rsidR="00C97CE7" w:rsidSect="00ED458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05DB7" w14:textId="77777777" w:rsidR="00F67273" w:rsidRDefault="00F67273" w:rsidP="00110E98">
      <w:pPr>
        <w:spacing w:after="0" w:line="240" w:lineRule="auto"/>
      </w:pPr>
      <w:r>
        <w:separator/>
      </w:r>
    </w:p>
  </w:endnote>
  <w:endnote w:type="continuationSeparator" w:id="0">
    <w:p w14:paraId="132D5352" w14:textId="77777777" w:rsidR="00F67273" w:rsidRDefault="00F67273"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2D82" w14:textId="77777777" w:rsidR="009262EB" w:rsidRDefault="00926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8B37" w14:textId="77777777" w:rsidR="00B204AF" w:rsidRPr="00B204AF" w:rsidRDefault="00B204AF" w:rsidP="00784433">
    <w:pPr>
      <w:pStyle w:val="Footer"/>
      <w:rPr>
        <w:rFonts w:asciiTheme="majorHAnsi" w:hAnsiTheme="majorHAnsi"/>
        <w:sz w:val="24"/>
      </w:rPr>
    </w:pPr>
  </w:p>
  <w:p w14:paraId="171E60E0" w14:textId="77777777" w:rsidR="00B204AF" w:rsidRDefault="00B2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8A44" w14:textId="77777777" w:rsidR="009262EB" w:rsidRDefault="0092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4B34" w14:textId="77777777" w:rsidR="00F67273" w:rsidRDefault="00F67273" w:rsidP="00110E98">
      <w:pPr>
        <w:spacing w:after="0" w:line="240" w:lineRule="auto"/>
      </w:pPr>
      <w:r>
        <w:separator/>
      </w:r>
    </w:p>
  </w:footnote>
  <w:footnote w:type="continuationSeparator" w:id="0">
    <w:p w14:paraId="6B8031B6" w14:textId="77777777" w:rsidR="00F67273" w:rsidRDefault="00F67273" w:rsidP="00110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4D01" w14:textId="1ECB23AD" w:rsidR="009262EB" w:rsidRDefault="009262EB">
    <w:pPr>
      <w:pStyle w:val="Header"/>
    </w:pPr>
    <w:r>
      <w:rPr>
        <w:noProof/>
      </w:rPr>
      <w:pict w14:anchorId="49716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21719" o:spid="_x0000_s819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DAAC" w14:textId="1BBC126B" w:rsidR="009262EB" w:rsidRDefault="009262EB">
    <w:pPr>
      <w:pStyle w:val="Header"/>
    </w:pPr>
    <w:r>
      <w:rPr>
        <w:noProof/>
      </w:rPr>
      <w:pict w14:anchorId="760AE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21720" o:spid="_x0000_s819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FC75" w14:textId="4D7E67E7" w:rsidR="009262EB" w:rsidRDefault="009262EB">
    <w:pPr>
      <w:pStyle w:val="Header"/>
    </w:pPr>
    <w:r>
      <w:rPr>
        <w:noProof/>
      </w:rPr>
      <w:pict w14:anchorId="0CFFD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21718"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23B6A"/>
    <w:multiLevelType w:val="multilevel"/>
    <w:tmpl w:val="0D7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6"/>
  </w:num>
  <w:num w:numId="6">
    <w:abstractNumId w:val="8"/>
  </w:num>
  <w:num w:numId="7">
    <w:abstractNumId w:val="3"/>
  </w:num>
  <w:num w:numId="8">
    <w:abstractNumId w:val="2"/>
  </w:num>
  <w:num w:numId="9">
    <w:abstractNumId w:val="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3F"/>
    <w:rsid w:val="00002EB2"/>
    <w:rsid w:val="00003921"/>
    <w:rsid w:val="0000728B"/>
    <w:rsid w:val="00011C3A"/>
    <w:rsid w:val="000230AD"/>
    <w:rsid w:val="00046C6A"/>
    <w:rsid w:val="00061215"/>
    <w:rsid w:val="00066F7A"/>
    <w:rsid w:val="000A4DDB"/>
    <w:rsid w:val="000B1D21"/>
    <w:rsid w:val="000C56D9"/>
    <w:rsid w:val="000D043C"/>
    <w:rsid w:val="000F3809"/>
    <w:rsid w:val="00106ED2"/>
    <w:rsid w:val="00107835"/>
    <w:rsid w:val="00110E98"/>
    <w:rsid w:val="00112701"/>
    <w:rsid w:val="0011678F"/>
    <w:rsid w:val="00122D60"/>
    <w:rsid w:val="00141566"/>
    <w:rsid w:val="001464FC"/>
    <w:rsid w:val="001749EE"/>
    <w:rsid w:val="00183ABF"/>
    <w:rsid w:val="00191A61"/>
    <w:rsid w:val="00197C37"/>
    <w:rsid w:val="001A14E2"/>
    <w:rsid w:val="001C1F60"/>
    <w:rsid w:val="001E7FD3"/>
    <w:rsid w:val="002116BE"/>
    <w:rsid w:val="00216874"/>
    <w:rsid w:val="00235025"/>
    <w:rsid w:val="002403C1"/>
    <w:rsid w:val="00243FBB"/>
    <w:rsid w:val="00245D07"/>
    <w:rsid w:val="00261DFE"/>
    <w:rsid w:val="002768F2"/>
    <w:rsid w:val="00282EBF"/>
    <w:rsid w:val="0028699E"/>
    <w:rsid w:val="00290568"/>
    <w:rsid w:val="00291074"/>
    <w:rsid w:val="002970B4"/>
    <w:rsid w:val="002A2C8A"/>
    <w:rsid w:val="002A54D6"/>
    <w:rsid w:val="002A71E8"/>
    <w:rsid w:val="002D74AE"/>
    <w:rsid w:val="002E19F8"/>
    <w:rsid w:val="002E2DC9"/>
    <w:rsid w:val="002F10DB"/>
    <w:rsid w:val="002F5704"/>
    <w:rsid w:val="0030425B"/>
    <w:rsid w:val="003229C4"/>
    <w:rsid w:val="003309AB"/>
    <w:rsid w:val="00344841"/>
    <w:rsid w:val="003463C1"/>
    <w:rsid w:val="00355122"/>
    <w:rsid w:val="00355808"/>
    <w:rsid w:val="00355A51"/>
    <w:rsid w:val="0036307E"/>
    <w:rsid w:val="00380D5D"/>
    <w:rsid w:val="0038343B"/>
    <w:rsid w:val="003C1700"/>
    <w:rsid w:val="003D14E2"/>
    <w:rsid w:val="003E71AD"/>
    <w:rsid w:val="003F1C0F"/>
    <w:rsid w:val="00403FA3"/>
    <w:rsid w:val="004278BD"/>
    <w:rsid w:val="00434BAD"/>
    <w:rsid w:val="004351B8"/>
    <w:rsid w:val="00460B3A"/>
    <w:rsid w:val="00466D0B"/>
    <w:rsid w:val="00481964"/>
    <w:rsid w:val="00481E5A"/>
    <w:rsid w:val="00484AC8"/>
    <w:rsid w:val="00485FBB"/>
    <w:rsid w:val="00486F3F"/>
    <w:rsid w:val="00487FE1"/>
    <w:rsid w:val="004A1129"/>
    <w:rsid w:val="004A3B69"/>
    <w:rsid w:val="004B14D0"/>
    <w:rsid w:val="004C0367"/>
    <w:rsid w:val="004C3153"/>
    <w:rsid w:val="004C45A3"/>
    <w:rsid w:val="004D3CC4"/>
    <w:rsid w:val="004D54CC"/>
    <w:rsid w:val="004F52AC"/>
    <w:rsid w:val="005026FD"/>
    <w:rsid w:val="00503DFA"/>
    <w:rsid w:val="005058B9"/>
    <w:rsid w:val="00515EE7"/>
    <w:rsid w:val="00522D63"/>
    <w:rsid w:val="0052438C"/>
    <w:rsid w:val="00547A4D"/>
    <w:rsid w:val="005529C5"/>
    <w:rsid w:val="00565D22"/>
    <w:rsid w:val="00567D60"/>
    <w:rsid w:val="00576773"/>
    <w:rsid w:val="00585E2D"/>
    <w:rsid w:val="00597E2E"/>
    <w:rsid w:val="00597FD7"/>
    <w:rsid w:val="005A0637"/>
    <w:rsid w:val="005A53F3"/>
    <w:rsid w:val="005B1BBE"/>
    <w:rsid w:val="005B22FA"/>
    <w:rsid w:val="005B3E5E"/>
    <w:rsid w:val="005C5696"/>
    <w:rsid w:val="006016F3"/>
    <w:rsid w:val="00616EEB"/>
    <w:rsid w:val="00617863"/>
    <w:rsid w:val="00620B94"/>
    <w:rsid w:val="00664139"/>
    <w:rsid w:val="00671DD5"/>
    <w:rsid w:val="00674E29"/>
    <w:rsid w:val="00683ED4"/>
    <w:rsid w:val="006A0ACF"/>
    <w:rsid w:val="006A209C"/>
    <w:rsid w:val="006A76DB"/>
    <w:rsid w:val="006C50FF"/>
    <w:rsid w:val="006D4359"/>
    <w:rsid w:val="006E4584"/>
    <w:rsid w:val="006F4DB1"/>
    <w:rsid w:val="00700769"/>
    <w:rsid w:val="007124C1"/>
    <w:rsid w:val="007132C4"/>
    <w:rsid w:val="00714CEF"/>
    <w:rsid w:val="0072639E"/>
    <w:rsid w:val="007361C4"/>
    <w:rsid w:val="0074239C"/>
    <w:rsid w:val="00757630"/>
    <w:rsid w:val="00764652"/>
    <w:rsid w:val="00783366"/>
    <w:rsid w:val="00784433"/>
    <w:rsid w:val="007862F2"/>
    <w:rsid w:val="00795188"/>
    <w:rsid w:val="007A3349"/>
    <w:rsid w:val="007C3ABD"/>
    <w:rsid w:val="007C5A9A"/>
    <w:rsid w:val="007E4AA9"/>
    <w:rsid w:val="007F0BCB"/>
    <w:rsid w:val="007F1706"/>
    <w:rsid w:val="00803A27"/>
    <w:rsid w:val="00807251"/>
    <w:rsid w:val="008102B0"/>
    <w:rsid w:val="008119A2"/>
    <w:rsid w:val="0082199A"/>
    <w:rsid w:val="00822002"/>
    <w:rsid w:val="008337C2"/>
    <w:rsid w:val="0085124F"/>
    <w:rsid w:val="00852A18"/>
    <w:rsid w:val="00881147"/>
    <w:rsid w:val="008906D1"/>
    <w:rsid w:val="008B57E0"/>
    <w:rsid w:val="008C2341"/>
    <w:rsid w:val="00907C7E"/>
    <w:rsid w:val="009163C7"/>
    <w:rsid w:val="00921525"/>
    <w:rsid w:val="009223DE"/>
    <w:rsid w:val="0092420B"/>
    <w:rsid w:val="009262EB"/>
    <w:rsid w:val="00944190"/>
    <w:rsid w:val="009450E4"/>
    <w:rsid w:val="0094598D"/>
    <w:rsid w:val="00947CE8"/>
    <w:rsid w:val="00960EC0"/>
    <w:rsid w:val="009836D3"/>
    <w:rsid w:val="0099488D"/>
    <w:rsid w:val="009A55CB"/>
    <w:rsid w:val="009A6040"/>
    <w:rsid w:val="009D167F"/>
    <w:rsid w:val="009E1F6B"/>
    <w:rsid w:val="00A075B6"/>
    <w:rsid w:val="00A076A0"/>
    <w:rsid w:val="00A07796"/>
    <w:rsid w:val="00A17E5E"/>
    <w:rsid w:val="00A22793"/>
    <w:rsid w:val="00A44E82"/>
    <w:rsid w:val="00A6097D"/>
    <w:rsid w:val="00A61FD5"/>
    <w:rsid w:val="00A62A00"/>
    <w:rsid w:val="00A658D3"/>
    <w:rsid w:val="00A846CA"/>
    <w:rsid w:val="00A90DB7"/>
    <w:rsid w:val="00A91424"/>
    <w:rsid w:val="00A94CCD"/>
    <w:rsid w:val="00AA2111"/>
    <w:rsid w:val="00AB7DDF"/>
    <w:rsid w:val="00AD2A39"/>
    <w:rsid w:val="00AF4D9B"/>
    <w:rsid w:val="00AF647E"/>
    <w:rsid w:val="00B03707"/>
    <w:rsid w:val="00B04256"/>
    <w:rsid w:val="00B204AF"/>
    <w:rsid w:val="00B37DB1"/>
    <w:rsid w:val="00B6329B"/>
    <w:rsid w:val="00B75F85"/>
    <w:rsid w:val="00B77D67"/>
    <w:rsid w:val="00B80C28"/>
    <w:rsid w:val="00BB45CC"/>
    <w:rsid w:val="00BC0EF1"/>
    <w:rsid w:val="00BC6806"/>
    <w:rsid w:val="00BD3224"/>
    <w:rsid w:val="00BE01E6"/>
    <w:rsid w:val="00C07688"/>
    <w:rsid w:val="00C122CA"/>
    <w:rsid w:val="00C12AE6"/>
    <w:rsid w:val="00C1578D"/>
    <w:rsid w:val="00C24414"/>
    <w:rsid w:val="00C32936"/>
    <w:rsid w:val="00C55640"/>
    <w:rsid w:val="00C70314"/>
    <w:rsid w:val="00C81E3F"/>
    <w:rsid w:val="00C939DF"/>
    <w:rsid w:val="00C97CE7"/>
    <w:rsid w:val="00CB101A"/>
    <w:rsid w:val="00CC05CE"/>
    <w:rsid w:val="00CC208F"/>
    <w:rsid w:val="00CE3154"/>
    <w:rsid w:val="00CE56A1"/>
    <w:rsid w:val="00CF41DD"/>
    <w:rsid w:val="00D01038"/>
    <w:rsid w:val="00D17E9D"/>
    <w:rsid w:val="00D24D42"/>
    <w:rsid w:val="00D27042"/>
    <w:rsid w:val="00D30B1B"/>
    <w:rsid w:val="00D363DB"/>
    <w:rsid w:val="00D4431A"/>
    <w:rsid w:val="00D55084"/>
    <w:rsid w:val="00D73F36"/>
    <w:rsid w:val="00D80D2E"/>
    <w:rsid w:val="00D865D2"/>
    <w:rsid w:val="00D94721"/>
    <w:rsid w:val="00DB3641"/>
    <w:rsid w:val="00DB59A9"/>
    <w:rsid w:val="00DE0113"/>
    <w:rsid w:val="00DE0DA2"/>
    <w:rsid w:val="00DE24AB"/>
    <w:rsid w:val="00DE5262"/>
    <w:rsid w:val="00DF2B74"/>
    <w:rsid w:val="00E15B38"/>
    <w:rsid w:val="00E55D31"/>
    <w:rsid w:val="00E63D56"/>
    <w:rsid w:val="00E671DE"/>
    <w:rsid w:val="00E72A52"/>
    <w:rsid w:val="00E92C1D"/>
    <w:rsid w:val="00E967A8"/>
    <w:rsid w:val="00EB40E2"/>
    <w:rsid w:val="00ED3285"/>
    <w:rsid w:val="00ED4589"/>
    <w:rsid w:val="00EF4AAA"/>
    <w:rsid w:val="00EF5742"/>
    <w:rsid w:val="00EF7045"/>
    <w:rsid w:val="00F065BC"/>
    <w:rsid w:val="00F076B1"/>
    <w:rsid w:val="00F14219"/>
    <w:rsid w:val="00F22DAA"/>
    <w:rsid w:val="00F24AE3"/>
    <w:rsid w:val="00F51224"/>
    <w:rsid w:val="00F67273"/>
    <w:rsid w:val="00F7586D"/>
    <w:rsid w:val="00F82F4E"/>
    <w:rsid w:val="00F93830"/>
    <w:rsid w:val="00FA297A"/>
    <w:rsid w:val="00FC6FDA"/>
    <w:rsid w:val="00FC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1DDE3478"/>
  <w15:docId w15:val="{1A021C68-3D96-4F98-9758-5F913118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UnresolvedMention1">
    <w:name w:val="Unresolved Mention1"/>
    <w:basedOn w:val="DefaultParagraphFont"/>
    <w:uiPriority w:val="99"/>
    <w:semiHidden/>
    <w:unhideWhenUsed/>
    <w:rsid w:val="00822002"/>
    <w:rPr>
      <w:color w:val="605E5C"/>
      <w:shd w:val="clear" w:color="auto" w:fill="E1DFDD"/>
    </w:rPr>
  </w:style>
  <w:style w:type="character" w:styleId="FollowedHyperlink">
    <w:name w:val="FollowedHyperlink"/>
    <w:basedOn w:val="DefaultParagraphFont"/>
    <w:uiPriority w:val="99"/>
    <w:semiHidden/>
    <w:unhideWhenUsed/>
    <w:rsid w:val="0092420B"/>
    <w:rPr>
      <w:color w:val="800080" w:themeColor="followedHyperlink"/>
      <w:u w:val="single"/>
    </w:rPr>
  </w:style>
  <w:style w:type="paragraph" w:styleId="Revision">
    <w:name w:val="Revision"/>
    <w:hidden/>
    <w:uiPriority w:val="99"/>
    <w:semiHidden/>
    <w:rsid w:val="00106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 w:id="1654094132">
      <w:bodyDiv w:val="1"/>
      <w:marLeft w:val="0"/>
      <w:marRight w:val="0"/>
      <w:marTop w:val="0"/>
      <w:marBottom w:val="0"/>
      <w:divBdr>
        <w:top w:val="none" w:sz="0" w:space="0" w:color="auto"/>
        <w:left w:val="none" w:sz="0" w:space="0" w:color="auto"/>
        <w:bottom w:val="none" w:sz="0" w:space="0" w:color="auto"/>
        <w:right w:val="none" w:sz="0" w:space="0" w:color="auto"/>
      </w:divBdr>
      <w:divsChild>
        <w:div w:id="1800951686">
          <w:marLeft w:val="0"/>
          <w:marRight w:val="0"/>
          <w:marTop w:val="0"/>
          <w:marBottom w:val="0"/>
          <w:divBdr>
            <w:top w:val="none" w:sz="0" w:space="0" w:color="auto"/>
            <w:left w:val="none" w:sz="0" w:space="0" w:color="auto"/>
            <w:bottom w:val="none" w:sz="0" w:space="0" w:color="auto"/>
            <w:right w:val="none" w:sz="0" w:space="0" w:color="auto"/>
          </w:divBdr>
          <w:divsChild>
            <w:div w:id="1432236344">
              <w:marLeft w:val="525"/>
              <w:marRight w:val="0"/>
              <w:marTop w:val="0"/>
              <w:marBottom w:val="0"/>
              <w:divBdr>
                <w:top w:val="none" w:sz="0" w:space="0" w:color="auto"/>
                <w:left w:val="none" w:sz="0" w:space="0" w:color="auto"/>
                <w:bottom w:val="none" w:sz="0" w:space="0" w:color="auto"/>
                <w:right w:val="none" w:sz="0" w:space="0" w:color="auto"/>
              </w:divBdr>
              <w:divsChild>
                <w:div w:id="371926765">
                  <w:marLeft w:val="225"/>
                  <w:marRight w:val="0"/>
                  <w:marTop w:val="225"/>
                  <w:marBottom w:val="225"/>
                  <w:divBdr>
                    <w:top w:val="single" w:sz="6" w:space="6" w:color="CCCCCC"/>
                    <w:left w:val="single" w:sz="6" w:space="6" w:color="CCCCCC"/>
                    <w:bottom w:val="single" w:sz="6" w:space="0" w:color="CCCCCC"/>
                    <w:right w:val="single" w:sz="6" w:space="6" w:color="CCCCCC"/>
                  </w:divBdr>
                  <w:divsChild>
                    <w:div w:id="12029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211">
      <w:bodyDiv w:val="1"/>
      <w:marLeft w:val="0"/>
      <w:marRight w:val="0"/>
      <w:marTop w:val="0"/>
      <w:marBottom w:val="0"/>
      <w:divBdr>
        <w:top w:val="none" w:sz="0" w:space="0" w:color="auto"/>
        <w:left w:val="none" w:sz="0" w:space="0" w:color="auto"/>
        <w:bottom w:val="none" w:sz="0" w:space="0" w:color="auto"/>
        <w:right w:val="none" w:sz="0" w:space="0" w:color="auto"/>
      </w:divBdr>
    </w:div>
    <w:div w:id="19002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redits-deductions/individuals/plug-in-electric-drive-vehicle-credit-section-30d" TargetMode="External"/><Relationship Id="rId13" Type="http://schemas.openxmlformats.org/officeDocument/2006/relationships/hyperlink" Target="https://afdc.energy.gov/laws/state_summary?state=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fdc.energy.gov/laws/state_summary?state=RI" TargetMode="External"/><Relationship Id="rId17" Type="http://schemas.openxmlformats.org/officeDocument/2006/relationships/hyperlink" Target="https://afdc.energy.gov/law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fdc.energ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dc.energy.gov/laws/state_summary?state=N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fdc.energy.gov/laws/all?state=US" TargetMode="External"/><Relationship Id="rId23" Type="http://schemas.openxmlformats.org/officeDocument/2006/relationships/footer" Target="footer3.xml"/><Relationship Id="rId10" Type="http://schemas.openxmlformats.org/officeDocument/2006/relationships/hyperlink" Target="https://afdc.energy.gov/laws/state_summary?state=V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or-ev.org/" TargetMode="External"/><Relationship Id="rId14" Type="http://schemas.openxmlformats.org/officeDocument/2006/relationships/hyperlink" Target="https://afdc.energy.gov/laws/state_summary?state=N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3956-BB1E-47B9-9370-1C547C9B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Scannell, Rachel (DOR)</cp:lastModifiedBy>
  <cp:revision>2</cp:revision>
  <cp:lastPrinted>2020-01-28T19:08:00Z</cp:lastPrinted>
  <dcterms:created xsi:type="dcterms:W3CDTF">2020-09-24T17:19:00Z</dcterms:created>
  <dcterms:modified xsi:type="dcterms:W3CDTF">2020-09-24T17:19:00Z</dcterms:modified>
</cp:coreProperties>
</file>