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44D37" w14:textId="77777777" w:rsidR="008B01C8" w:rsidRDefault="008B01C8" w:rsidP="008B01C8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>The Commonwealth of Massachusetts</w:t>
      </w:r>
    </w:p>
    <w:p w14:paraId="4BB2FC70" w14:textId="77777777" w:rsidR="008B01C8" w:rsidRDefault="008B01C8" w:rsidP="008B01C8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C8B3D24" w14:textId="77777777" w:rsidR="008B01C8" w:rsidRDefault="008B01C8" w:rsidP="008B01C8">
      <w:pPr>
        <w:pStyle w:val="ExecOffice"/>
        <w:framePr w:w="6926" w:wrap="notBeside" w:vAnchor="page" w:x="2884" w:y="711"/>
      </w:pPr>
      <w:r>
        <w:t>Department of Public Health</w:t>
      </w:r>
    </w:p>
    <w:p w14:paraId="74B5497E" w14:textId="77777777" w:rsidR="008B01C8" w:rsidRDefault="008B01C8" w:rsidP="008B01C8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69D1688C" w14:textId="77777777" w:rsidR="008B01C8" w:rsidRDefault="008B01C8" w:rsidP="008B01C8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174423F" wp14:editId="441E610C">
            <wp:extent cx="962025" cy="1152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4B3C7" w14:textId="77777777" w:rsidR="008B01C8" w:rsidRDefault="008B01C8" w:rsidP="008B01C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DF45B" wp14:editId="67142F95">
                <wp:simplePos x="0" y="0"/>
                <wp:positionH relativeFrom="column">
                  <wp:posOffset>4141470</wp:posOffset>
                </wp:positionH>
                <wp:positionV relativeFrom="paragraph">
                  <wp:posOffset>539750</wp:posOffset>
                </wp:positionV>
                <wp:extent cx="1572895" cy="1136015"/>
                <wp:effectExtent l="0" t="0" r="0" b="6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BE87E" w14:textId="77777777" w:rsidR="0002325C" w:rsidRDefault="0002325C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7631261" w14:textId="77777777" w:rsidR="0002325C" w:rsidRPr="003A7AFC" w:rsidRDefault="0002325C" w:rsidP="008B01C8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7EC4B63A" w14:textId="77777777" w:rsidR="0002325C" w:rsidRDefault="0002325C" w:rsidP="008B01C8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5B8FC89A" w14:textId="77777777" w:rsidR="0002325C" w:rsidRPr="00FC6B42" w:rsidRDefault="0002325C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Monica Bharel</w:t>
                            </w:r>
                          </w:p>
                          <w:p w14:paraId="360FADC3" w14:textId="77777777" w:rsidR="0002325C" w:rsidRDefault="0002325C" w:rsidP="008B01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289E84F" w14:textId="77777777" w:rsidR="0002325C" w:rsidRDefault="0002325C" w:rsidP="008B01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4FA1E9B4" w14:textId="77777777" w:rsidR="0002325C" w:rsidRPr="004813AC" w:rsidRDefault="0002325C" w:rsidP="008B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18F716A" w14:textId="77777777" w:rsidR="0002325C" w:rsidRPr="004813AC" w:rsidRDefault="0002325C" w:rsidP="008B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46FEACE0" w14:textId="77777777" w:rsidR="0002325C" w:rsidRPr="00FC6B42" w:rsidRDefault="0002325C" w:rsidP="008B01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5C7DF45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6.1pt;margin-top:42.5pt;width:123.85pt;height:8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" stroked="f">
                <v:textbox style="mso-fit-shape-to-text:t">
                  <w:txbxContent>
                    <w:p w14:paraId="798BE87E" w14:textId="77777777" w:rsidR="0002325C" w:rsidRDefault="0002325C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07631261" w14:textId="77777777" w:rsidR="0002325C" w:rsidRPr="003A7AFC" w:rsidRDefault="0002325C" w:rsidP="008B01C8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7EC4B63A" w14:textId="77777777" w:rsidR="0002325C" w:rsidRDefault="0002325C" w:rsidP="008B01C8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5B8FC89A" w14:textId="77777777" w:rsidR="0002325C" w:rsidRPr="00FC6B42" w:rsidRDefault="0002325C" w:rsidP="008B01C8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Monica Bharel</w:t>
                      </w:r>
                    </w:p>
                    <w:p w14:paraId="360FADC3" w14:textId="77777777" w:rsidR="0002325C" w:rsidRDefault="0002325C" w:rsidP="008B01C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289E84F" w14:textId="77777777" w:rsidR="0002325C" w:rsidRDefault="0002325C" w:rsidP="008B01C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4FA1E9B4" w14:textId="77777777" w:rsidR="0002325C" w:rsidRPr="004813AC" w:rsidRDefault="0002325C" w:rsidP="008B01C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118F716A" w14:textId="77777777" w:rsidR="0002325C" w:rsidRPr="004813AC" w:rsidRDefault="0002325C" w:rsidP="008B01C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46FEACE0" w14:textId="77777777" w:rsidR="0002325C" w:rsidRPr="00FC6B42" w:rsidRDefault="0002325C" w:rsidP="008B01C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24FE2" wp14:editId="186F4208">
                <wp:simplePos x="0" y="0"/>
                <wp:positionH relativeFrom="column">
                  <wp:posOffset>-1699895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254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92A4C" w14:textId="77777777" w:rsidR="0002325C" w:rsidRDefault="0002325C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188A54B" w14:textId="77777777" w:rsidR="0002325C" w:rsidRDefault="0002325C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7239CF23" w14:textId="77777777" w:rsidR="0002325C" w:rsidRDefault="0002325C" w:rsidP="008B01C8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2ECC67F4" w14:textId="77777777" w:rsidR="0002325C" w:rsidRDefault="0002325C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72BCD2C8" w14:textId="77777777" w:rsidR="0002325C" w:rsidRDefault="0002325C" w:rsidP="008B01C8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C724FE2" id="Text Box 6" o:spid="_x0000_s1027" type="#_x0000_t202" style="position:absolute;margin-left:-133.85pt;margin-top:42.5pt;width:123.8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" stroked="f">
                <v:textbox style="mso-fit-shape-to-text:t">
                  <w:txbxContent>
                    <w:p w14:paraId="74692A4C" w14:textId="77777777" w:rsidR="0002325C" w:rsidRDefault="0002325C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0188A54B" w14:textId="77777777" w:rsidR="0002325C" w:rsidRDefault="0002325C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7239CF23" w14:textId="77777777" w:rsidR="0002325C" w:rsidRDefault="0002325C" w:rsidP="008B01C8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2ECC67F4" w14:textId="77777777" w:rsidR="0002325C" w:rsidRDefault="0002325C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72BCD2C8" w14:textId="77777777" w:rsidR="0002325C" w:rsidRDefault="0002325C" w:rsidP="008B01C8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4691A8DE" w14:textId="77777777" w:rsidR="008B01C8" w:rsidRDefault="008B01C8" w:rsidP="008B01C8"/>
    <w:p w14:paraId="5D0822BD" w14:textId="77777777" w:rsidR="008B01C8" w:rsidRPr="009908FF" w:rsidRDefault="008B01C8" w:rsidP="008B01C8"/>
    <w:p w14:paraId="1C29A18D" w14:textId="77777777" w:rsidR="008B01C8" w:rsidRDefault="008B01C8" w:rsidP="008B01C8">
      <w:pPr>
        <w:rPr>
          <w:b/>
          <w:szCs w:val="24"/>
        </w:rPr>
      </w:pPr>
    </w:p>
    <w:p w14:paraId="04275F7D" w14:textId="77777777" w:rsidR="008B01C8" w:rsidRDefault="008B01C8" w:rsidP="008B01C8">
      <w:pPr>
        <w:rPr>
          <w:b/>
          <w:szCs w:val="24"/>
        </w:rPr>
      </w:pPr>
    </w:p>
    <w:p w14:paraId="7586F9E6" w14:textId="77777777" w:rsidR="008B01C8" w:rsidRDefault="008B01C8" w:rsidP="008B01C8">
      <w:pPr>
        <w:rPr>
          <w:b/>
          <w:szCs w:val="24"/>
        </w:rPr>
      </w:pPr>
    </w:p>
    <w:p w14:paraId="562DF54C" w14:textId="5A0B14C8" w:rsidR="00D65DA3" w:rsidRPr="00ED09E1" w:rsidRDefault="00D65DA3" w:rsidP="008B01C8">
      <w:pPr>
        <w:jc w:val="center"/>
        <w:rPr>
          <w:b/>
          <w:szCs w:val="24"/>
        </w:rPr>
      </w:pPr>
      <w:r w:rsidRPr="00ED09E1">
        <w:rPr>
          <w:b/>
          <w:szCs w:val="24"/>
        </w:rPr>
        <w:t>Circular Letter:</w:t>
      </w:r>
      <w:r w:rsidRPr="00ED09E1">
        <w:rPr>
          <w:szCs w:val="24"/>
        </w:rPr>
        <w:t xml:space="preserve">  </w:t>
      </w:r>
      <w:r w:rsidRPr="00ED09E1">
        <w:rPr>
          <w:b/>
          <w:szCs w:val="24"/>
        </w:rPr>
        <w:t xml:space="preserve">DHCQ </w:t>
      </w:r>
      <w:r w:rsidR="00123B77">
        <w:rPr>
          <w:b/>
          <w:szCs w:val="24"/>
        </w:rPr>
        <w:t>16-4-658</w:t>
      </w:r>
    </w:p>
    <w:p w14:paraId="3C28517B" w14:textId="77777777" w:rsidR="00744C22" w:rsidRPr="00ED09E1" w:rsidRDefault="00744C22" w:rsidP="00D65DA3">
      <w:pPr>
        <w:rPr>
          <w:szCs w:val="24"/>
        </w:rPr>
      </w:pPr>
    </w:p>
    <w:p w14:paraId="71CAB299" w14:textId="77777777" w:rsidR="00D65DA3" w:rsidRDefault="00D65DA3" w:rsidP="00D65DA3">
      <w:pPr>
        <w:rPr>
          <w:szCs w:val="24"/>
        </w:rPr>
      </w:pPr>
      <w:r w:rsidRPr="00ED09E1">
        <w:rPr>
          <w:b/>
          <w:szCs w:val="24"/>
        </w:rPr>
        <w:t>TO:</w:t>
      </w:r>
      <w:r w:rsidRPr="00ED09E1">
        <w:rPr>
          <w:szCs w:val="24"/>
        </w:rPr>
        <w:t xml:space="preserve"> </w:t>
      </w:r>
      <w:r w:rsidRPr="00ED09E1">
        <w:rPr>
          <w:szCs w:val="24"/>
        </w:rPr>
        <w:tab/>
      </w:r>
      <w:r w:rsidRPr="00ED09E1">
        <w:rPr>
          <w:szCs w:val="24"/>
        </w:rPr>
        <w:tab/>
      </w:r>
      <w:r w:rsidR="008E4207">
        <w:rPr>
          <w:szCs w:val="24"/>
        </w:rPr>
        <w:t>Acute</w:t>
      </w:r>
      <w:r w:rsidR="00B72B8C" w:rsidRPr="00B72B8C">
        <w:rPr>
          <w:szCs w:val="24"/>
          <w:lang w:val="en"/>
        </w:rPr>
        <w:t xml:space="preserve"> </w:t>
      </w:r>
      <w:r w:rsidR="00B72B8C">
        <w:rPr>
          <w:szCs w:val="24"/>
          <w:lang w:val="en"/>
        </w:rPr>
        <w:t>Care H</w:t>
      </w:r>
      <w:r w:rsidR="00F943FE">
        <w:rPr>
          <w:szCs w:val="24"/>
          <w:lang w:val="en"/>
        </w:rPr>
        <w:t>ospitals</w:t>
      </w:r>
    </w:p>
    <w:p w14:paraId="08328C66" w14:textId="77777777" w:rsidR="00744C22" w:rsidRDefault="00744C22" w:rsidP="00D65DA3">
      <w:pPr>
        <w:rPr>
          <w:szCs w:val="24"/>
        </w:rPr>
      </w:pPr>
    </w:p>
    <w:p w14:paraId="1640DF6D" w14:textId="77777777" w:rsidR="00B72B8C" w:rsidRDefault="00D65DA3" w:rsidP="000D2E84">
      <w:pPr>
        <w:rPr>
          <w:szCs w:val="24"/>
        </w:rPr>
      </w:pPr>
      <w:r w:rsidRPr="00ED09E1">
        <w:rPr>
          <w:b/>
          <w:szCs w:val="24"/>
        </w:rPr>
        <w:t>FROM:</w:t>
      </w:r>
      <w:r w:rsidRPr="00ED09E1">
        <w:rPr>
          <w:szCs w:val="24"/>
        </w:rPr>
        <w:tab/>
      </w:r>
      <w:r w:rsidR="00B72B8C">
        <w:rPr>
          <w:szCs w:val="24"/>
        </w:rPr>
        <w:t>Monica Bharel</w:t>
      </w:r>
      <w:r w:rsidR="000D2E84">
        <w:rPr>
          <w:szCs w:val="24"/>
        </w:rPr>
        <w:t xml:space="preserve">, </w:t>
      </w:r>
      <w:r w:rsidR="00B72B8C">
        <w:rPr>
          <w:szCs w:val="24"/>
        </w:rPr>
        <w:t>MD</w:t>
      </w:r>
      <w:r w:rsidR="00A43D6C">
        <w:rPr>
          <w:szCs w:val="24"/>
        </w:rPr>
        <w:t>,</w:t>
      </w:r>
      <w:r w:rsidR="006E1891">
        <w:rPr>
          <w:szCs w:val="24"/>
        </w:rPr>
        <w:t xml:space="preserve"> MPH,</w:t>
      </w:r>
      <w:r w:rsidR="00A43D6C">
        <w:rPr>
          <w:szCs w:val="24"/>
        </w:rPr>
        <w:t xml:space="preserve"> </w:t>
      </w:r>
      <w:proofErr w:type="gramStart"/>
      <w:r w:rsidR="00A43D6C">
        <w:rPr>
          <w:szCs w:val="24"/>
        </w:rPr>
        <w:t>Commissioner</w:t>
      </w:r>
      <w:proofErr w:type="gramEnd"/>
    </w:p>
    <w:p w14:paraId="51C81F2E" w14:textId="77777777" w:rsidR="001B6590" w:rsidRDefault="000D2E84" w:rsidP="00B72B8C">
      <w:pPr>
        <w:ind w:left="720" w:firstLine="720"/>
        <w:rPr>
          <w:szCs w:val="24"/>
        </w:rPr>
      </w:pPr>
      <w:r>
        <w:rPr>
          <w:szCs w:val="24"/>
        </w:rPr>
        <w:t>Department of Public Health</w:t>
      </w:r>
    </w:p>
    <w:p w14:paraId="0561059A" w14:textId="77777777" w:rsidR="00D65DA3" w:rsidRPr="00ED09E1" w:rsidRDefault="00D65DA3" w:rsidP="00D65DA3">
      <w:pPr>
        <w:rPr>
          <w:b/>
          <w:szCs w:val="24"/>
        </w:rPr>
      </w:pPr>
    </w:p>
    <w:p w14:paraId="762088E8" w14:textId="40ECB662" w:rsidR="00D65DA3" w:rsidRPr="00ED09E1" w:rsidRDefault="00D65DA3" w:rsidP="00D65DA3">
      <w:pPr>
        <w:rPr>
          <w:szCs w:val="24"/>
        </w:rPr>
      </w:pPr>
      <w:r w:rsidRPr="00ED09E1">
        <w:rPr>
          <w:b/>
          <w:szCs w:val="24"/>
        </w:rPr>
        <w:t>DATE:</w:t>
      </w:r>
      <w:r w:rsidRPr="00ED09E1">
        <w:rPr>
          <w:b/>
          <w:szCs w:val="24"/>
        </w:rPr>
        <w:tab/>
      </w:r>
      <w:r w:rsidR="00502A18">
        <w:rPr>
          <w:szCs w:val="24"/>
        </w:rPr>
        <w:t>April 1</w:t>
      </w:r>
      <w:r w:rsidR="009727F2">
        <w:rPr>
          <w:szCs w:val="24"/>
        </w:rPr>
        <w:t>4</w:t>
      </w:r>
      <w:r w:rsidR="00733561">
        <w:rPr>
          <w:szCs w:val="24"/>
        </w:rPr>
        <w:t>, 2016</w:t>
      </w:r>
    </w:p>
    <w:p w14:paraId="593133AD" w14:textId="77777777" w:rsidR="00D65DA3" w:rsidRPr="00ED09E1" w:rsidRDefault="00D65DA3" w:rsidP="00D65DA3">
      <w:pPr>
        <w:rPr>
          <w:szCs w:val="24"/>
        </w:rPr>
      </w:pPr>
    </w:p>
    <w:p w14:paraId="4F985661" w14:textId="42F8B990" w:rsidR="00D65DA3" w:rsidRPr="00ED09E1" w:rsidRDefault="00D65DA3" w:rsidP="008D442D">
      <w:pPr>
        <w:ind w:left="1440" w:hanging="1440"/>
        <w:rPr>
          <w:szCs w:val="24"/>
        </w:rPr>
      </w:pPr>
      <w:r w:rsidRPr="00ED09E1">
        <w:rPr>
          <w:b/>
          <w:szCs w:val="24"/>
        </w:rPr>
        <w:t>RE:</w:t>
      </w:r>
      <w:r w:rsidRPr="00ED09E1">
        <w:rPr>
          <w:szCs w:val="24"/>
        </w:rPr>
        <w:tab/>
      </w:r>
      <w:r w:rsidR="00F943FE">
        <w:rPr>
          <w:szCs w:val="24"/>
        </w:rPr>
        <w:t xml:space="preserve">Reporting of Newborn Substance Exposure and Hospitalizations </w:t>
      </w:r>
      <w:r w:rsidR="00AC6E87">
        <w:rPr>
          <w:szCs w:val="24"/>
        </w:rPr>
        <w:t>Caused by Ingestion of a Controlled Substance</w:t>
      </w:r>
    </w:p>
    <w:p w14:paraId="22369B9C" w14:textId="77777777" w:rsidR="00D65DA3" w:rsidRDefault="00D65DA3" w:rsidP="00D65DA3">
      <w:pPr>
        <w:rPr>
          <w:szCs w:val="24"/>
        </w:rPr>
      </w:pPr>
    </w:p>
    <w:p w14:paraId="23FC7761" w14:textId="4186F8D6" w:rsidR="00895475" w:rsidRDefault="00005231" w:rsidP="00BC2BB2">
      <w:pPr>
        <w:autoSpaceDE w:val="0"/>
        <w:autoSpaceDN w:val="0"/>
        <w:adjustRightInd w:val="0"/>
        <w:spacing w:line="276" w:lineRule="auto"/>
        <w:rPr>
          <w:szCs w:val="24"/>
          <w:lang w:val="en"/>
        </w:rPr>
      </w:pPr>
      <w:r w:rsidRPr="00ED09E1">
        <w:rPr>
          <w:szCs w:val="24"/>
        </w:rPr>
        <w:t xml:space="preserve">The purpose of this Circular Letter is to </w:t>
      </w:r>
      <w:r w:rsidR="00895475">
        <w:rPr>
          <w:szCs w:val="24"/>
        </w:rPr>
        <w:t>provide guidance to acute</w:t>
      </w:r>
      <w:r w:rsidR="00895475" w:rsidRPr="00B72B8C">
        <w:rPr>
          <w:szCs w:val="24"/>
          <w:lang w:val="en"/>
        </w:rPr>
        <w:t xml:space="preserve"> </w:t>
      </w:r>
      <w:r w:rsidR="00895475">
        <w:rPr>
          <w:szCs w:val="24"/>
          <w:lang w:val="en"/>
        </w:rPr>
        <w:t>care h</w:t>
      </w:r>
      <w:r w:rsidR="00895475" w:rsidRPr="00B72B8C">
        <w:rPr>
          <w:szCs w:val="24"/>
          <w:lang w:val="en"/>
        </w:rPr>
        <w:t>ospitals</w:t>
      </w:r>
      <w:r w:rsidR="00895475">
        <w:rPr>
          <w:szCs w:val="24"/>
          <w:lang w:val="en"/>
        </w:rPr>
        <w:t xml:space="preserve">, </w:t>
      </w:r>
      <w:r w:rsidR="00895475" w:rsidRPr="00B72B8C">
        <w:rPr>
          <w:szCs w:val="24"/>
          <w:lang w:val="en"/>
        </w:rPr>
        <w:t>consistent with the privacy protections offered by federal and state laws</w:t>
      </w:r>
      <w:r w:rsidR="00895475">
        <w:rPr>
          <w:szCs w:val="24"/>
          <w:lang w:val="en"/>
        </w:rPr>
        <w:t>,</w:t>
      </w:r>
      <w:r w:rsidR="00895475">
        <w:rPr>
          <w:szCs w:val="24"/>
        </w:rPr>
        <w:t xml:space="preserve"> in order to establish </w:t>
      </w:r>
      <w:r w:rsidR="00895475" w:rsidRPr="00B72B8C">
        <w:rPr>
          <w:szCs w:val="24"/>
          <w:lang w:val="en"/>
        </w:rPr>
        <w:t>the systematic</w:t>
      </w:r>
      <w:r w:rsidR="00F943FE">
        <w:rPr>
          <w:szCs w:val="24"/>
          <w:lang w:val="en"/>
        </w:rPr>
        <w:t>, monthly</w:t>
      </w:r>
      <w:r w:rsidR="00895475" w:rsidRPr="00B72B8C">
        <w:rPr>
          <w:szCs w:val="24"/>
          <w:lang w:val="en"/>
        </w:rPr>
        <w:t xml:space="preserve"> </w:t>
      </w:r>
      <w:r w:rsidR="00F943FE">
        <w:rPr>
          <w:szCs w:val="24"/>
          <w:lang w:val="en"/>
        </w:rPr>
        <w:t>reporting of infants identified as having been exposed to controlled substances and hospitalizations caused by ingestion of controlled substances</w:t>
      </w:r>
      <w:r w:rsidR="00895475">
        <w:rPr>
          <w:szCs w:val="24"/>
          <w:lang w:val="en"/>
        </w:rPr>
        <w:t xml:space="preserve">. This guidance is provided in accordance with section </w:t>
      </w:r>
      <w:r w:rsidR="00F943FE">
        <w:rPr>
          <w:szCs w:val="24"/>
          <w:lang w:val="en"/>
        </w:rPr>
        <w:t xml:space="preserve">16(b) of chapter 38 of the General Laws, as </w:t>
      </w:r>
      <w:r w:rsidR="004312F7">
        <w:rPr>
          <w:szCs w:val="24"/>
          <w:lang w:val="en"/>
        </w:rPr>
        <w:t>included</w:t>
      </w:r>
      <w:r w:rsidR="00F943FE">
        <w:rPr>
          <w:szCs w:val="24"/>
          <w:lang w:val="en"/>
        </w:rPr>
        <w:t xml:space="preserve"> by section 1</w:t>
      </w:r>
      <w:r w:rsidR="003A454D">
        <w:rPr>
          <w:szCs w:val="24"/>
          <w:lang w:val="en"/>
        </w:rPr>
        <w:t>1</w:t>
      </w:r>
      <w:r w:rsidR="00F943FE">
        <w:rPr>
          <w:szCs w:val="24"/>
          <w:lang w:val="en"/>
        </w:rPr>
        <w:t xml:space="preserve"> of </w:t>
      </w:r>
      <w:r w:rsidR="00F943FE" w:rsidRPr="0042672A">
        <w:rPr>
          <w:szCs w:val="24"/>
          <w:lang w:val="en"/>
        </w:rPr>
        <w:t>chapter 258</w:t>
      </w:r>
      <w:r w:rsidR="00F943FE">
        <w:rPr>
          <w:szCs w:val="24"/>
          <w:lang w:val="en"/>
        </w:rPr>
        <w:t xml:space="preserve"> of the acts of 201</w:t>
      </w:r>
      <w:r w:rsidR="0002325C">
        <w:rPr>
          <w:szCs w:val="24"/>
          <w:lang w:val="en"/>
        </w:rPr>
        <w:t>4</w:t>
      </w:r>
      <w:r w:rsidR="00895475">
        <w:rPr>
          <w:szCs w:val="24"/>
          <w:lang w:val="en"/>
        </w:rPr>
        <w:t xml:space="preserve">, </w:t>
      </w:r>
      <w:r w:rsidR="0042672A" w:rsidRPr="0042672A">
        <w:rPr>
          <w:i/>
          <w:szCs w:val="24"/>
          <w:lang w:val="en"/>
        </w:rPr>
        <w:t>An Act to Increase Opportunities for Long-Term Substance Abuse Recovery</w:t>
      </w:r>
      <w:r w:rsidR="0042672A">
        <w:rPr>
          <w:szCs w:val="24"/>
          <w:lang w:val="en"/>
        </w:rPr>
        <w:t xml:space="preserve">, and </w:t>
      </w:r>
      <w:r w:rsidR="00B57DC4">
        <w:rPr>
          <w:szCs w:val="24"/>
          <w:lang w:val="en"/>
        </w:rPr>
        <w:t xml:space="preserve">further amended by section 10 of chapter 52 of the acts of 2016, </w:t>
      </w:r>
      <w:r w:rsidR="00895475" w:rsidRPr="00A43D6C">
        <w:rPr>
          <w:i/>
          <w:szCs w:val="24"/>
          <w:lang w:val="en"/>
        </w:rPr>
        <w:t xml:space="preserve">An Act </w:t>
      </w:r>
      <w:r w:rsidR="00AC749B">
        <w:rPr>
          <w:i/>
          <w:szCs w:val="24"/>
          <w:lang w:val="en"/>
        </w:rPr>
        <w:t>Relative to Substance Abuse, Treatment, Education and Prevention</w:t>
      </w:r>
      <w:r w:rsidR="00A43D6C">
        <w:rPr>
          <w:szCs w:val="24"/>
          <w:lang w:val="en"/>
        </w:rPr>
        <w:t>, which reads as follows:</w:t>
      </w:r>
    </w:p>
    <w:p w14:paraId="277C978F" w14:textId="77777777" w:rsidR="00A43D6C" w:rsidRDefault="00A43D6C" w:rsidP="00BC2BB2">
      <w:pPr>
        <w:autoSpaceDE w:val="0"/>
        <w:autoSpaceDN w:val="0"/>
        <w:adjustRightInd w:val="0"/>
        <w:spacing w:line="276" w:lineRule="auto"/>
        <w:rPr>
          <w:szCs w:val="24"/>
          <w:lang w:val="en"/>
        </w:rPr>
      </w:pPr>
    </w:p>
    <w:p w14:paraId="71CF2230" w14:textId="40365FB0" w:rsidR="00A43D6C" w:rsidRPr="004312F7" w:rsidRDefault="00A43D6C" w:rsidP="00BC2BB2">
      <w:pPr>
        <w:autoSpaceDE w:val="0"/>
        <w:autoSpaceDN w:val="0"/>
        <w:adjustRightInd w:val="0"/>
        <w:spacing w:line="276" w:lineRule="auto"/>
        <w:ind w:left="720"/>
        <w:rPr>
          <w:i/>
          <w:szCs w:val="24"/>
          <w:lang w:val="en"/>
        </w:rPr>
      </w:pPr>
      <w:r w:rsidRPr="004312F7">
        <w:rPr>
          <w:i/>
          <w:szCs w:val="24"/>
          <w:lang w:val="en"/>
        </w:rPr>
        <w:t xml:space="preserve">SECTION </w:t>
      </w:r>
      <w:r w:rsidR="00F943FE" w:rsidRPr="004312F7">
        <w:rPr>
          <w:i/>
          <w:szCs w:val="24"/>
          <w:lang w:val="en"/>
        </w:rPr>
        <w:t xml:space="preserve">16….. (b) </w:t>
      </w:r>
      <w:r w:rsidR="00AC749B">
        <w:rPr>
          <w:i/>
          <w:szCs w:val="24"/>
          <w:lang w:val="en"/>
        </w:rPr>
        <w:t>A</w:t>
      </w:r>
      <w:r w:rsidR="00F943FE" w:rsidRPr="004312F7">
        <w:rPr>
          <w:i/>
          <w:szCs w:val="24"/>
          <w:lang w:val="en"/>
        </w:rPr>
        <w:t xml:space="preserve">cute hospitals, as defined in </w:t>
      </w:r>
      <w:hyperlink r:id="rId9" w:history="1">
        <w:r w:rsidR="00F943FE" w:rsidRPr="004312F7">
          <w:rPr>
            <w:rStyle w:val="Hyperlink"/>
            <w:i/>
            <w:color w:val="auto"/>
            <w:szCs w:val="24"/>
            <w:u w:val="none"/>
            <w:lang w:val="en"/>
          </w:rPr>
          <w:t>section 64 of chapter 118E</w:t>
        </w:r>
      </w:hyperlink>
      <w:r w:rsidR="00F943FE" w:rsidRPr="004312F7">
        <w:rPr>
          <w:i/>
          <w:szCs w:val="24"/>
          <w:lang w:val="en"/>
        </w:rPr>
        <w:t xml:space="preserve">, shall file a </w:t>
      </w:r>
      <w:r w:rsidR="00AC749B">
        <w:rPr>
          <w:i/>
          <w:szCs w:val="24"/>
          <w:lang w:val="en"/>
        </w:rPr>
        <w:t xml:space="preserve">monthly </w:t>
      </w:r>
      <w:r w:rsidR="00F943FE" w:rsidRPr="004312F7">
        <w:rPr>
          <w:i/>
          <w:szCs w:val="24"/>
          <w:lang w:val="en"/>
        </w:rPr>
        <w:t xml:space="preserve">report </w:t>
      </w:r>
      <w:r w:rsidR="00AC749B">
        <w:rPr>
          <w:i/>
          <w:szCs w:val="24"/>
          <w:lang w:val="en"/>
        </w:rPr>
        <w:t xml:space="preserve">regarding the exposure of children to controlled substances </w:t>
      </w:r>
      <w:r w:rsidR="00F943FE" w:rsidRPr="004312F7">
        <w:rPr>
          <w:i/>
          <w:szCs w:val="24"/>
          <w:lang w:val="en"/>
        </w:rPr>
        <w:t>with the commissioner of public health in a manner</w:t>
      </w:r>
      <w:r w:rsidR="00AC749B">
        <w:rPr>
          <w:i/>
          <w:szCs w:val="24"/>
          <w:lang w:val="en"/>
        </w:rPr>
        <w:t xml:space="preserve"> to be </w:t>
      </w:r>
      <w:r w:rsidR="00F943FE" w:rsidRPr="004312F7">
        <w:rPr>
          <w:i/>
          <w:szCs w:val="24"/>
          <w:lang w:val="en"/>
        </w:rPr>
        <w:t>determined by the commissioner of public health. This report shall include</w:t>
      </w:r>
      <w:r w:rsidR="00AC749B">
        <w:rPr>
          <w:i/>
          <w:szCs w:val="24"/>
          <w:lang w:val="en"/>
        </w:rPr>
        <w:t>, but not be limited to: (</w:t>
      </w:r>
      <w:proofErr w:type="spellStart"/>
      <w:r w:rsidR="00AC749B">
        <w:rPr>
          <w:i/>
          <w:szCs w:val="24"/>
          <w:lang w:val="en"/>
        </w:rPr>
        <w:t>i</w:t>
      </w:r>
      <w:proofErr w:type="spellEnd"/>
      <w:r w:rsidR="00AC749B">
        <w:rPr>
          <w:i/>
          <w:szCs w:val="24"/>
          <w:lang w:val="en"/>
        </w:rPr>
        <w:t>)</w:t>
      </w:r>
      <w:r w:rsidR="00F943FE" w:rsidRPr="004312F7">
        <w:rPr>
          <w:i/>
          <w:szCs w:val="24"/>
          <w:lang w:val="en"/>
        </w:rPr>
        <w:t xml:space="preserve"> the number of infants born in the previous month identified by the hospital as hav</w:t>
      </w:r>
      <w:r w:rsidR="008D442D">
        <w:rPr>
          <w:i/>
          <w:szCs w:val="24"/>
          <w:lang w:val="en"/>
        </w:rPr>
        <w:t xml:space="preserve">ing been exposed to a schedule </w:t>
      </w:r>
      <w:r w:rsidR="00F943FE" w:rsidRPr="004312F7">
        <w:rPr>
          <w:i/>
          <w:szCs w:val="24"/>
          <w:lang w:val="en"/>
        </w:rPr>
        <w:t xml:space="preserve">I through schedule </w:t>
      </w:r>
      <w:r w:rsidR="008D442D">
        <w:rPr>
          <w:i/>
          <w:szCs w:val="24"/>
          <w:lang w:val="en"/>
        </w:rPr>
        <w:t>I</w:t>
      </w:r>
      <w:r w:rsidR="00F943FE" w:rsidRPr="004312F7">
        <w:rPr>
          <w:i/>
          <w:szCs w:val="24"/>
          <w:lang w:val="en"/>
        </w:rPr>
        <w:t xml:space="preserve">I, inclusive, controlled substance, under </w:t>
      </w:r>
      <w:hyperlink r:id="rId10" w:history="1">
        <w:r w:rsidR="00F943FE" w:rsidRPr="004312F7">
          <w:rPr>
            <w:rStyle w:val="Hyperlink"/>
            <w:i/>
            <w:color w:val="auto"/>
            <w:szCs w:val="24"/>
            <w:u w:val="none"/>
            <w:lang w:val="en"/>
          </w:rPr>
          <w:t>chapter 94C</w:t>
        </w:r>
      </w:hyperlink>
      <w:r w:rsidR="00F943FE" w:rsidRPr="004312F7">
        <w:rPr>
          <w:i/>
          <w:szCs w:val="24"/>
          <w:lang w:val="en"/>
        </w:rPr>
        <w:t xml:space="preserve">, </w:t>
      </w:r>
      <w:r w:rsidR="008D442D">
        <w:rPr>
          <w:i/>
          <w:szCs w:val="24"/>
          <w:lang w:val="en"/>
        </w:rPr>
        <w:t xml:space="preserve">and those controlled substances in schedule III, under chapter 94C, that the drug formulary commission established in section 13 of chapter 17 has determined have a heightened level of public health risk due to the </w:t>
      </w:r>
      <w:r w:rsidR="00D36DC2">
        <w:rPr>
          <w:i/>
          <w:szCs w:val="24"/>
          <w:lang w:val="en"/>
        </w:rPr>
        <w:t>drugs</w:t>
      </w:r>
      <w:r w:rsidR="008D442D">
        <w:rPr>
          <w:i/>
          <w:szCs w:val="24"/>
          <w:lang w:val="en"/>
        </w:rPr>
        <w:t xml:space="preserve">’ potential for abuse and misuse, </w:t>
      </w:r>
      <w:r w:rsidR="006718BA">
        <w:rPr>
          <w:i/>
          <w:szCs w:val="24"/>
          <w:lang w:val="en"/>
        </w:rPr>
        <w:t xml:space="preserve">and </w:t>
      </w:r>
      <w:r w:rsidR="00AC749B">
        <w:rPr>
          <w:i/>
          <w:szCs w:val="24"/>
          <w:lang w:val="en"/>
        </w:rPr>
        <w:t xml:space="preserve"> (ii) </w:t>
      </w:r>
      <w:r w:rsidR="006718BA">
        <w:rPr>
          <w:i/>
          <w:szCs w:val="24"/>
          <w:lang w:val="en"/>
        </w:rPr>
        <w:t xml:space="preserve">the number and specific causes </w:t>
      </w:r>
      <w:r w:rsidR="00F943FE" w:rsidRPr="004312F7">
        <w:rPr>
          <w:i/>
          <w:szCs w:val="24"/>
          <w:lang w:val="en"/>
        </w:rPr>
        <w:t xml:space="preserve">of hospitalizations </w:t>
      </w:r>
      <w:r w:rsidR="006718BA">
        <w:rPr>
          <w:i/>
          <w:szCs w:val="24"/>
          <w:lang w:val="en"/>
        </w:rPr>
        <w:t xml:space="preserve">of children under the age of 11 </w:t>
      </w:r>
      <w:r w:rsidR="00F943FE" w:rsidRPr="004312F7">
        <w:rPr>
          <w:i/>
          <w:szCs w:val="24"/>
          <w:lang w:val="en"/>
        </w:rPr>
        <w:t>cau</w:t>
      </w:r>
      <w:r w:rsidR="00D36DC2">
        <w:rPr>
          <w:i/>
          <w:szCs w:val="24"/>
          <w:lang w:val="en"/>
        </w:rPr>
        <w:t xml:space="preserve">sed by ingestion of a schedule </w:t>
      </w:r>
      <w:r w:rsidR="00F943FE" w:rsidRPr="004312F7">
        <w:rPr>
          <w:i/>
          <w:szCs w:val="24"/>
          <w:lang w:val="en"/>
        </w:rPr>
        <w:t xml:space="preserve">I through schedule </w:t>
      </w:r>
      <w:r w:rsidR="00D36DC2">
        <w:rPr>
          <w:i/>
          <w:szCs w:val="24"/>
          <w:lang w:val="en"/>
        </w:rPr>
        <w:t>I</w:t>
      </w:r>
      <w:r w:rsidR="00F943FE" w:rsidRPr="004312F7">
        <w:rPr>
          <w:i/>
          <w:szCs w:val="24"/>
          <w:lang w:val="en"/>
        </w:rPr>
        <w:t xml:space="preserve">I, inclusive, controlled substance, under said </w:t>
      </w:r>
      <w:hyperlink r:id="rId11" w:history="1">
        <w:r w:rsidR="00F943FE" w:rsidRPr="004312F7">
          <w:rPr>
            <w:rStyle w:val="Hyperlink"/>
            <w:i/>
            <w:color w:val="auto"/>
            <w:szCs w:val="24"/>
            <w:u w:val="none"/>
            <w:lang w:val="en"/>
          </w:rPr>
          <w:t>chapter 94C</w:t>
        </w:r>
      </w:hyperlink>
      <w:r w:rsidR="00D36DC2">
        <w:rPr>
          <w:rStyle w:val="Hyperlink"/>
          <w:i/>
          <w:color w:val="auto"/>
          <w:szCs w:val="24"/>
          <w:u w:val="none"/>
          <w:lang w:val="en"/>
        </w:rPr>
        <w:t xml:space="preserve">, and </w:t>
      </w:r>
      <w:r w:rsidR="00D36DC2">
        <w:rPr>
          <w:i/>
          <w:szCs w:val="24"/>
          <w:lang w:val="en"/>
        </w:rPr>
        <w:t>those controlled substances in schedule III, under chapter 94C, that the drug formulary commission established in section 13 of chapter 17 has determined have a heightened level of public health risk due to the drugs’ potential for abuse and misuse</w:t>
      </w:r>
      <w:r w:rsidR="00F943FE" w:rsidRPr="004312F7">
        <w:rPr>
          <w:i/>
          <w:szCs w:val="24"/>
          <w:lang w:val="en"/>
        </w:rPr>
        <w:t>.</w:t>
      </w:r>
    </w:p>
    <w:p w14:paraId="5FD375C7" w14:textId="77777777" w:rsidR="006718BA" w:rsidRDefault="006718BA" w:rsidP="00BC2BB2">
      <w:pPr>
        <w:spacing w:line="276" w:lineRule="auto"/>
        <w:rPr>
          <w:b/>
          <w:szCs w:val="24"/>
          <w:lang w:val="en"/>
        </w:rPr>
      </w:pPr>
    </w:p>
    <w:p w14:paraId="1F8902E5" w14:textId="2EE4E49A" w:rsidR="006718BA" w:rsidRDefault="006718BA" w:rsidP="00BC2BB2">
      <w:pPr>
        <w:spacing w:line="276" w:lineRule="auto"/>
        <w:rPr>
          <w:b/>
          <w:szCs w:val="24"/>
          <w:lang w:val="en"/>
        </w:rPr>
      </w:pPr>
      <w:r w:rsidRPr="006718BA">
        <w:rPr>
          <w:b/>
          <w:szCs w:val="24"/>
          <w:lang w:val="en"/>
        </w:rPr>
        <w:t>Reporting Overview</w:t>
      </w:r>
      <w:r w:rsidR="00504FC5">
        <w:rPr>
          <w:b/>
          <w:szCs w:val="24"/>
          <w:lang w:val="en"/>
        </w:rPr>
        <w:t>:</w:t>
      </w:r>
    </w:p>
    <w:p w14:paraId="14662D4F" w14:textId="77777777" w:rsidR="00504FC5" w:rsidRPr="006718BA" w:rsidRDefault="00504FC5" w:rsidP="00BC2BB2">
      <w:pPr>
        <w:spacing w:line="276" w:lineRule="auto"/>
        <w:rPr>
          <w:b/>
          <w:szCs w:val="24"/>
          <w:lang w:val="en"/>
        </w:rPr>
      </w:pPr>
    </w:p>
    <w:p w14:paraId="12A8B081" w14:textId="5DAA14D4" w:rsidR="008E4207" w:rsidRDefault="008E4207" w:rsidP="00BC2BB2">
      <w:pPr>
        <w:spacing w:line="276" w:lineRule="auto"/>
        <w:rPr>
          <w:szCs w:val="24"/>
          <w:lang w:val="en"/>
        </w:rPr>
      </w:pPr>
      <w:r>
        <w:rPr>
          <w:szCs w:val="24"/>
          <w:lang w:val="en"/>
        </w:rPr>
        <w:t xml:space="preserve">All data required under section 16 must be reported to </w:t>
      </w:r>
      <w:r w:rsidR="00B57DC4">
        <w:rPr>
          <w:szCs w:val="24"/>
          <w:lang w:val="en"/>
        </w:rPr>
        <w:t>the Department of Public Health (</w:t>
      </w:r>
      <w:r>
        <w:rPr>
          <w:szCs w:val="24"/>
          <w:lang w:val="en"/>
        </w:rPr>
        <w:t>DPH</w:t>
      </w:r>
      <w:r w:rsidR="00B57DC4">
        <w:rPr>
          <w:szCs w:val="24"/>
          <w:lang w:val="en"/>
        </w:rPr>
        <w:t>)</w:t>
      </w:r>
      <w:r>
        <w:rPr>
          <w:szCs w:val="24"/>
          <w:lang w:val="en"/>
        </w:rPr>
        <w:t xml:space="preserve"> through the Health Care Facilities Reporting System (HCFRS) in the aggregate, on a monthly basis, within 60 days of the </w:t>
      </w:r>
      <w:r w:rsidR="00AC6E87">
        <w:rPr>
          <w:szCs w:val="24"/>
          <w:lang w:val="en"/>
        </w:rPr>
        <w:t xml:space="preserve">close of the </w:t>
      </w:r>
      <w:r w:rsidR="007D134F">
        <w:rPr>
          <w:szCs w:val="24"/>
          <w:lang w:val="en"/>
        </w:rPr>
        <w:t xml:space="preserve">reporting month. For example: </w:t>
      </w:r>
      <w:r>
        <w:rPr>
          <w:szCs w:val="24"/>
          <w:lang w:val="en"/>
        </w:rPr>
        <w:t>data for the month of January</w:t>
      </w:r>
      <w:r w:rsidR="00B57DC4">
        <w:rPr>
          <w:szCs w:val="24"/>
          <w:lang w:val="en"/>
        </w:rPr>
        <w:t>, for which the reporting period closes on January 31</w:t>
      </w:r>
      <w:r w:rsidR="00B57DC4" w:rsidRPr="001C347F">
        <w:rPr>
          <w:szCs w:val="24"/>
          <w:vertAlign w:val="superscript"/>
          <w:lang w:val="en"/>
        </w:rPr>
        <w:t>st</w:t>
      </w:r>
      <w:r w:rsidR="00B57DC4">
        <w:rPr>
          <w:szCs w:val="24"/>
          <w:lang w:val="en"/>
        </w:rPr>
        <w:t>,</w:t>
      </w:r>
      <w:r>
        <w:rPr>
          <w:szCs w:val="24"/>
          <w:lang w:val="en"/>
        </w:rPr>
        <w:t xml:space="preserve"> </w:t>
      </w:r>
      <w:r w:rsidR="0002325C">
        <w:rPr>
          <w:szCs w:val="24"/>
          <w:lang w:val="en"/>
        </w:rPr>
        <w:t>is</w:t>
      </w:r>
      <w:r>
        <w:rPr>
          <w:szCs w:val="24"/>
          <w:lang w:val="en"/>
        </w:rPr>
        <w:t xml:space="preserve"> due no later than the following March 31</w:t>
      </w:r>
      <w:r w:rsidRPr="0047088D">
        <w:rPr>
          <w:szCs w:val="24"/>
          <w:vertAlign w:val="superscript"/>
          <w:lang w:val="en"/>
        </w:rPr>
        <w:t>st</w:t>
      </w:r>
      <w:r>
        <w:rPr>
          <w:szCs w:val="24"/>
          <w:lang w:val="en"/>
        </w:rPr>
        <w:t xml:space="preserve">. </w:t>
      </w:r>
    </w:p>
    <w:p w14:paraId="6C87F7AA" w14:textId="77777777" w:rsidR="008E4207" w:rsidRDefault="008E4207" w:rsidP="00BC2BB2">
      <w:pPr>
        <w:spacing w:line="276" w:lineRule="auto"/>
        <w:rPr>
          <w:szCs w:val="24"/>
          <w:lang w:val="en"/>
        </w:rPr>
      </w:pPr>
    </w:p>
    <w:p w14:paraId="37351471" w14:textId="15312970" w:rsidR="008E4207" w:rsidRDefault="00EC1CFF" w:rsidP="00BC2BB2">
      <w:pPr>
        <w:spacing w:line="276" w:lineRule="auto"/>
        <w:rPr>
          <w:szCs w:val="24"/>
          <w:lang w:val="en"/>
        </w:rPr>
      </w:pPr>
      <w:r>
        <w:rPr>
          <w:szCs w:val="24"/>
          <w:lang w:val="en"/>
        </w:rPr>
        <w:t>Specific instructions for reporting and a</w:t>
      </w:r>
      <w:r w:rsidR="008E4207">
        <w:rPr>
          <w:szCs w:val="24"/>
          <w:lang w:val="en"/>
        </w:rPr>
        <w:t xml:space="preserve">n illustration of the HCFRS portal specific to this data reporting </w:t>
      </w:r>
      <w:r>
        <w:rPr>
          <w:szCs w:val="24"/>
          <w:lang w:val="en"/>
        </w:rPr>
        <w:t>are</w:t>
      </w:r>
      <w:r w:rsidR="008E4207">
        <w:rPr>
          <w:szCs w:val="24"/>
          <w:lang w:val="en"/>
        </w:rPr>
        <w:t xml:space="preserve"> included as </w:t>
      </w:r>
      <w:r w:rsidR="00D36DC2" w:rsidRPr="00963C14">
        <w:rPr>
          <w:szCs w:val="24"/>
          <w:lang w:val="en"/>
        </w:rPr>
        <w:t>the attached document</w:t>
      </w:r>
      <w:r w:rsidR="00D36DC2" w:rsidRPr="00D36DC2">
        <w:rPr>
          <w:b/>
          <w:szCs w:val="24"/>
          <w:lang w:val="en"/>
        </w:rPr>
        <w:t xml:space="preserve"> “Instructions for Reporting</w:t>
      </w:r>
      <w:r w:rsidR="00D36DC2">
        <w:rPr>
          <w:b/>
          <w:szCs w:val="24"/>
          <w:lang w:val="en"/>
        </w:rPr>
        <w:t xml:space="preserve"> </w:t>
      </w:r>
      <w:r w:rsidR="00963C14">
        <w:rPr>
          <w:b/>
          <w:szCs w:val="24"/>
          <w:lang w:val="en"/>
        </w:rPr>
        <w:t xml:space="preserve">Newborn Exposures and </w:t>
      </w:r>
      <w:r w:rsidR="00871C7A">
        <w:rPr>
          <w:b/>
          <w:szCs w:val="24"/>
          <w:lang w:val="en"/>
        </w:rPr>
        <w:t xml:space="preserve">Hospitalizations Caused by Ingestion in Children </w:t>
      </w:r>
      <w:proofErr w:type="gramStart"/>
      <w:r w:rsidR="00871C7A">
        <w:rPr>
          <w:b/>
          <w:szCs w:val="24"/>
          <w:lang w:val="en"/>
        </w:rPr>
        <w:t>Under</w:t>
      </w:r>
      <w:proofErr w:type="gramEnd"/>
      <w:r w:rsidR="00871C7A">
        <w:rPr>
          <w:b/>
          <w:szCs w:val="24"/>
          <w:lang w:val="en"/>
        </w:rPr>
        <w:t xml:space="preserve"> 11</w:t>
      </w:r>
      <w:r w:rsidR="00D36DC2" w:rsidRPr="00D36DC2">
        <w:rPr>
          <w:b/>
          <w:szCs w:val="24"/>
          <w:lang w:val="en"/>
        </w:rPr>
        <w:t>”</w:t>
      </w:r>
      <w:r w:rsidR="008E4207">
        <w:rPr>
          <w:szCs w:val="24"/>
          <w:lang w:val="en"/>
        </w:rPr>
        <w:t xml:space="preserve">. </w:t>
      </w:r>
    </w:p>
    <w:p w14:paraId="0A5E0B3F" w14:textId="77777777" w:rsidR="008E4207" w:rsidRDefault="008E4207" w:rsidP="00BC2BB2">
      <w:pPr>
        <w:spacing w:line="276" w:lineRule="auto"/>
        <w:rPr>
          <w:szCs w:val="24"/>
          <w:lang w:val="en"/>
        </w:rPr>
      </w:pPr>
    </w:p>
    <w:p w14:paraId="310420BB" w14:textId="1F5F559B" w:rsidR="00D36DC2" w:rsidRDefault="00D36DC2" w:rsidP="00D36DC2">
      <w:pPr>
        <w:spacing w:line="276" w:lineRule="auto"/>
        <w:rPr>
          <w:szCs w:val="24"/>
          <w:lang w:val="en"/>
        </w:rPr>
      </w:pPr>
      <w:r>
        <w:rPr>
          <w:szCs w:val="24"/>
          <w:lang w:val="en"/>
        </w:rPr>
        <w:t>In order to ensure consistency and accuracy in reporting, all data required under section 16 is based upon International Classification of Diseases, 10</w:t>
      </w:r>
      <w:r w:rsidRPr="00D36DC2">
        <w:rPr>
          <w:szCs w:val="24"/>
          <w:vertAlign w:val="superscript"/>
          <w:lang w:val="en"/>
        </w:rPr>
        <w:t>th</w:t>
      </w:r>
      <w:r>
        <w:rPr>
          <w:szCs w:val="24"/>
          <w:lang w:val="en"/>
        </w:rPr>
        <w:t xml:space="preserve"> Revision, Clinical Modification (ICD-10-CM) definitions.  </w:t>
      </w:r>
    </w:p>
    <w:p w14:paraId="33BAC689" w14:textId="77777777" w:rsidR="00D36DC2" w:rsidRPr="00D36DC2" w:rsidRDefault="00D36DC2" w:rsidP="00D36DC2">
      <w:pPr>
        <w:spacing w:line="276" w:lineRule="auto"/>
        <w:rPr>
          <w:szCs w:val="24"/>
          <w:lang w:val="en"/>
        </w:rPr>
      </w:pPr>
    </w:p>
    <w:p w14:paraId="013FE64D" w14:textId="77777777" w:rsidR="00ED09E1" w:rsidRDefault="00E5270B" w:rsidP="00BC2BB2">
      <w:pPr>
        <w:pStyle w:val="ListParagraph"/>
        <w:numPr>
          <w:ilvl w:val="0"/>
          <w:numId w:val="4"/>
        </w:numPr>
        <w:spacing w:line="276" w:lineRule="auto"/>
        <w:rPr>
          <w:szCs w:val="24"/>
          <w:lang w:val="en"/>
        </w:rPr>
      </w:pPr>
      <w:r>
        <w:rPr>
          <w:szCs w:val="24"/>
          <w:lang w:val="en"/>
        </w:rPr>
        <w:t>I</w:t>
      </w:r>
      <w:r w:rsidR="00100258">
        <w:rPr>
          <w:szCs w:val="24"/>
          <w:lang w:val="en"/>
        </w:rPr>
        <w:t xml:space="preserve">nfants </w:t>
      </w:r>
      <w:r w:rsidR="00AC6E87">
        <w:rPr>
          <w:szCs w:val="24"/>
          <w:lang w:val="en"/>
        </w:rPr>
        <w:t xml:space="preserve">born in the past month </w:t>
      </w:r>
      <w:r w:rsidR="00100258">
        <w:rPr>
          <w:szCs w:val="24"/>
          <w:lang w:val="en"/>
        </w:rPr>
        <w:t>exposed to controlled substances</w:t>
      </w:r>
      <w:r>
        <w:rPr>
          <w:szCs w:val="24"/>
          <w:lang w:val="en"/>
        </w:rPr>
        <w:t>:</w:t>
      </w:r>
      <w:r w:rsidRPr="00B72B8C">
        <w:rPr>
          <w:szCs w:val="24"/>
          <w:lang w:val="en"/>
        </w:rPr>
        <w:t xml:space="preserve"> </w:t>
      </w:r>
    </w:p>
    <w:p w14:paraId="0B72B799" w14:textId="77777777" w:rsidR="00E5270B" w:rsidRDefault="00E5270B" w:rsidP="00BC2BB2">
      <w:pPr>
        <w:spacing w:line="276" w:lineRule="auto"/>
        <w:rPr>
          <w:szCs w:val="24"/>
          <w:lang w:val="en"/>
        </w:rPr>
      </w:pPr>
    </w:p>
    <w:p w14:paraId="4AFA0EB9" w14:textId="2763DB00" w:rsidR="006A5C69" w:rsidRDefault="006A5C69" w:rsidP="00BC2BB2">
      <w:pPr>
        <w:spacing w:line="276" w:lineRule="auto"/>
        <w:rPr>
          <w:szCs w:val="24"/>
          <w:lang w:val="en"/>
        </w:rPr>
      </w:pPr>
      <w:r>
        <w:rPr>
          <w:szCs w:val="24"/>
          <w:lang w:val="en"/>
        </w:rPr>
        <w:t xml:space="preserve">On a monthly basis, a hospital must capture and report </w:t>
      </w:r>
      <w:r w:rsidR="004312F7">
        <w:rPr>
          <w:szCs w:val="24"/>
          <w:lang w:val="en"/>
        </w:rPr>
        <w:t xml:space="preserve">all </w:t>
      </w:r>
      <w:r>
        <w:rPr>
          <w:szCs w:val="24"/>
          <w:lang w:val="en"/>
        </w:rPr>
        <w:t>instances of infant exposure and overdose by providing the following ICD</w:t>
      </w:r>
      <w:r w:rsidR="00FC3C00">
        <w:rPr>
          <w:szCs w:val="24"/>
          <w:lang w:val="en"/>
        </w:rPr>
        <w:t>-</w:t>
      </w:r>
      <w:r>
        <w:rPr>
          <w:szCs w:val="24"/>
          <w:lang w:val="en"/>
        </w:rPr>
        <w:t>10</w:t>
      </w:r>
      <w:r w:rsidR="00D36DC2">
        <w:rPr>
          <w:szCs w:val="24"/>
          <w:lang w:val="en"/>
        </w:rPr>
        <w:t>-CM</w:t>
      </w:r>
      <w:r>
        <w:rPr>
          <w:szCs w:val="24"/>
          <w:lang w:val="en"/>
        </w:rPr>
        <w:t xml:space="preserve"> codes:</w:t>
      </w:r>
    </w:p>
    <w:p w14:paraId="76139FA4" w14:textId="77777777" w:rsidR="006A5C69" w:rsidRDefault="006A5C69" w:rsidP="00BC2BB2">
      <w:pPr>
        <w:spacing w:line="276" w:lineRule="auto"/>
        <w:rPr>
          <w:szCs w:val="24"/>
          <w:lang w:val="en"/>
        </w:rPr>
      </w:pPr>
    </w:p>
    <w:p w14:paraId="69E04339" w14:textId="77777777" w:rsidR="006A5C69" w:rsidRPr="006A5C69" w:rsidRDefault="006A5C69" w:rsidP="00BC2BB2">
      <w:pPr>
        <w:pStyle w:val="ListParagraph"/>
        <w:numPr>
          <w:ilvl w:val="0"/>
          <w:numId w:val="14"/>
        </w:numPr>
        <w:spacing w:line="276" w:lineRule="auto"/>
        <w:rPr>
          <w:szCs w:val="24"/>
          <w:lang w:val="en"/>
        </w:rPr>
      </w:pPr>
      <w:r w:rsidRPr="006A5C69">
        <w:rPr>
          <w:szCs w:val="24"/>
          <w:lang w:val="en"/>
        </w:rPr>
        <w:t>Related to a mother’s drug dependence:</w:t>
      </w:r>
    </w:p>
    <w:p w14:paraId="5B7FCA3B" w14:textId="1F92695F" w:rsidR="006A5C69" w:rsidRPr="008E4207" w:rsidRDefault="007767CB" w:rsidP="00BC2BB2">
      <w:pPr>
        <w:pStyle w:val="ListParagraph"/>
        <w:numPr>
          <w:ilvl w:val="1"/>
          <w:numId w:val="14"/>
        </w:numPr>
        <w:spacing w:line="276" w:lineRule="auto"/>
        <w:rPr>
          <w:szCs w:val="24"/>
        </w:rPr>
      </w:pPr>
      <w:r w:rsidRPr="008E4207">
        <w:rPr>
          <w:szCs w:val="24"/>
        </w:rPr>
        <w:t xml:space="preserve">F11.20 </w:t>
      </w:r>
      <w:r w:rsidR="006A5C69" w:rsidRPr="008E4207">
        <w:rPr>
          <w:szCs w:val="24"/>
        </w:rPr>
        <w:t>– drug dependence to opioids</w:t>
      </w:r>
      <w:r w:rsidR="008D442D">
        <w:rPr>
          <w:szCs w:val="24"/>
        </w:rPr>
        <w:t xml:space="preserve"> </w:t>
      </w:r>
    </w:p>
    <w:p w14:paraId="11F23C5E" w14:textId="0E9D98A6" w:rsidR="006A5C69" w:rsidRPr="008E4207" w:rsidRDefault="007767CB" w:rsidP="00BC2BB2">
      <w:pPr>
        <w:pStyle w:val="ListParagraph"/>
        <w:numPr>
          <w:ilvl w:val="1"/>
          <w:numId w:val="14"/>
        </w:numPr>
        <w:spacing w:line="276" w:lineRule="auto"/>
        <w:rPr>
          <w:szCs w:val="24"/>
        </w:rPr>
      </w:pPr>
      <w:r w:rsidRPr="008E4207">
        <w:rPr>
          <w:szCs w:val="24"/>
        </w:rPr>
        <w:t>F13.20</w:t>
      </w:r>
      <w:r w:rsidR="006A5C69" w:rsidRPr="008E4207">
        <w:rPr>
          <w:szCs w:val="24"/>
        </w:rPr>
        <w:t xml:space="preserve"> – drug dependence to benzodiazepines</w:t>
      </w:r>
      <w:r w:rsidR="008D442D">
        <w:rPr>
          <w:szCs w:val="24"/>
        </w:rPr>
        <w:t xml:space="preserve"> </w:t>
      </w:r>
    </w:p>
    <w:p w14:paraId="1502AD14" w14:textId="77777777" w:rsidR="006A5C69" w:rsidRDefault="006A5C69" w:rsidP="00BC2BB2">
      <w:pPr>
        <w:spacing w:line="276" w:lineRule="auto"/>
        <w:rPr>
          <w:szCs w:val="24"/>
        </w:rPr>
      </w:pPr>
    </w:p>
    <w:p w14:paraId="22B6A452" w14:textId="2D4D5622" w:rsidR="006A5C69" w:rsidRPr="006A5C69" w:rsidRDefault="006A5C69" w:rsidP="00BC2BB2">
      <w:pPr>
        <w:pStyle w:val="ListParagraph"/>
        <w:numPr>
          <w:ilvl w:val="0"/>
          <w:numId w:val="14"/>
        </w:numPr>
        <w:spacing w:line="276" w:lineRule="auto"/>
        <w:rPr>
          <w:szCs w:val="24"/>
        </w:rPr>
      </w:pPr>
      <w:r w:rsidRPr="006A5C69">
        <w:rPr>
          <w:szCs w:val="24"/>
        </w:rPr>
        <w:t xml:space="preserve">Related to </w:t>
      </w:r>
      <w:r w:rsidR="007D134F">
        <w:rPr>
          <w:szCs w:val="24"/>
        </w:rPr>
        <w:t>newborn</w:t>
      </w:r>
      <w:r w:rsidRPr="006A5C69">
        <w:rPr>
          <w:szCs w:val="24"/>
        </w:rPr>
        <w:t xml:space="preserve"> exposure:</w:t>
      </w:r>
    </w:p>
    <w:p w14:paraId="53CA9F47" w14:textId="7265BC2D" w:rsidR="006A5C69" w:rsidRPr="008E4207" w:rsidRDefault="007767CB" w:rsidP="00BC2BB2">
      <w:pPr>
        <w:pStyle w:val="ListParagraph"/>
        <w:numPr>
          <w:ilvl w:val="1"/>
          <w:numId w:val="14"/>
        </w:numPr>
        <w:spacing w:line="276" w:lineRule="auto"/>
        <w:rPr>
          <w:szCs w:val="24"/>
        </w:rPr>
      </w:pPr>
      <w:r w:rsidRPr="008E4207">
        <w:rPr>
          <w:szCs w:val="24"/>
        </w:rPr>
        <w:t>P96.1</w:t>
      </w:r>
      <w:r w:rsidR="006A5C69" w:rsidRPr="008E4207">
        <w:rPr>
          <w:szCs w:val="24"/>
        </w:rPr>
        <w:t xml:space="preserve"> – neonatal abstinence syndrome</w:t>
      </w:r>
      <w:r w:rsidR="007D134F">
        <w:rPr>
          <w:szCs w:val="24"/>
        </w:rPr>
        <w:t xml:space="preserve"> </w:t>
      </w:r>
    </w:p>
    <w:p w14:paraId="1F4D3731" w14:textId="5C251247" w:rsidR="006A5C69" w:rsidRPr="008E4207" w:rsidRDefault="007D134F" w:rsidP="00BC2BB2">
      <w:pPr>
        <w:pStyle w:val="ListParagraph"/>
        <w:numPr>
          <w:ilvl w:val="1"/>
          <w:numId w:val="14"/>
        </w:numPr>
        <w:spacing w:line="276" w:lineRule="auto"/>
        <w:rPr>
          <w:szCs w:val="24"/>
        </w:rPr>
      </w:pPr>
      <w:r>
        <w:rPr>
          <w:szCs w:val="24"/>
        </w:rPr>
        <w:t>P04.49 –affected by maternal use</w:t>
      </w:r>
      <w:r w:rsidR="007767CB" w:rsidRPr="008E4207">
        <w:rPr>
          <w:szCs w:val="24"/>
        </w:rPr>
        <w:t xml:space="preserve"> </w:t>
      </w:r>
      <w:r w:rsidR="008D442D">
        <w:rPr>
          <w:szCs w:val="24"/>
        </w:rPr>
        <w:t>of</w:t>
      </w:r>
      <w:r w:rsidR="007767CB" w:rsidRPr="008E4207">
        <w:rPr>
          <w:szCs w:val="24"/>
        </w:rPr>
        <w:t xml:space="preserve"> drugs of a</w:t>
      </w:r>
      <w:r w:rsidR="008D442D">
        <w:rPr>
          <w:szCs w:val="24"/>
        </w:rPr>
        <w:t>ddiction</w:t>
      </w:r>
      <w:r w:rsidR="007767CB" w:rsidRPr="008E4207">
        <w:rPr>
          <w:szCs w:val="24"/>
        </w:rPr>
        <w:t xml:space="preserve"> </w:t>
      </w:r>
    </w:p>
    <w:p w14:paraId="704B28D1" w14:textId="77777777" w:rsidR="006A5C69" w:rsidRDefault="006A5C69" w:rsidP="00BC2BB2">
      <w:pPr>
        <w:spacing w:line="276" w:lineRule="auto"/>
        <w:rPr>
          <w:szCs w:val="24"/>
          <w:lang w:val="en"/>
        </w:rPr>
      </w:pPr>
    </w:p>
    <w:p w14:paraId="0E69C7D9" w14:textId="60EDEFAA" w:rsidR="007767CB" w:rsidRPr="006718BA" w:rsidRDefault="007767CB" w:rsidP="006718BA">
      <w:pPr>
        <w:spacing w:line="276" w:lineRule="auto"/>
        <w:rPr>
          <w:szCs w:val="24"/>
        </w:rPr>
      </w:pPr>
      <w:r w:rsidRPr="006718BA">
        <w:rPr>
          <w:szCs w:val="24"/>
        </w:rPr>
        <w:t>A hospital must report the total number of births</w:t>
      </w:r>
      <w:r w:rsidR="005C6925">
        <w:rPr>
          <w:szCs w:val="24"/>
        </w:rPr>
        <w:t>, living or dead,</w:t>
      </w:r>
      <w:r w:rsidRPr="006718BA">
        <w:rPr>
          <w:szCs w:val="24"/>
        </w:rPr>
        <w:t xml:space="preserve"> </w:t>
      </w:r>
      <w:r w:rsidR="001C347F">
        <w:rPr>
          <w:szCs w:val="24"/>
        </w:rPr>
        <w:t xml:space="preserve">where the gestational age is estimated to be 24 weeks or greater </w:t>
      </w:r>
      <w:r w:rsidRPr="006718BA">
        <w:rPr>
          <w:szCs w:val="24"/>
        </w:rPr>
        <w:t>as the denominator for this measure.</w:t>
      </w:r>
      <w:r w:rsidR="00AC6E87" w:rsidRPr="006718BA">
        <w:rPr>
          <w:szCs w:val="24"/>
        </w:rPr>
        <w:t xml:space="preserve">  If the hospital does not have labor and delivery services and there were no births, then report zero in this field.  </w:t>
      </w:r>
    </w:p>
    <w:p w14:paraId="0B24954B" w14:textId="77777777" w:rsidR="007767CB" w:rsidRDefault="007767CB" w:rsidP="00BC2BB2">
      <w:pPr>
        <w:spacing w:line="276" w:lineRule="auto"/>
        <w:rPr>
          <w:szCs w:val="24"/>
          <w:lang w:val="en"/>
        </w:rPr>
      </w:pPr>
    </w:p>
    <w:p w14:paraId="15802056" w14:textId="1A0F58EC" w:rsidR="00E5270B" w:rsidRPr="00E5270B" w:rsidRDefault="00100258" w:rsidP="00BC2BB2">
      <w:pPr>
        <w:pStyle w:val="ListParagraph"/>
        <w:numPr>
          <w:ilvl w:val="0"/>
          <w:numId w:val="4"/>
        </w:numPr>
        <w:spacing w:line="276" w:lineRule="auto"/>
        <w:rPr>
          <w:szCs w:val="24"/>
          <w:lang w:val="en"/>
        </w:rPr>
      </w:pPr>
      <w:r>
        <w:rPr>
          <w:szCs w:val="24"/>
          <w:lang w:val="en"/>
        </w:rPr>
        <w:t>Hospitalizations caused by ingestion</w:t>
      </w:r>
      <w:r w:rsidR="00871C7A">
        <w:rPr>
          <w:szCs w:val="24"/>
          <w:lang w:val="en"/>
        </w:rPr>
        <w:t xml:space="preserve"> in children under age 11</w:t>
      </w:r>
      <w:r>
        <w:rPr>
          <w:szCs w:val="24"/>
          <w:lang w:val="en"/>
        </w:rPr>
        <w:t>:</w:t>
      </w:r>
    </w:p>
    <w:p w14:paraId="6F653EA8" w14:textId="77777777" w:rsidR="00744C22" w:rsidRDefault="00744C22" w:rsidP="00BC2BB2">
      <w:pPr>
        <w:spacing w:line="276" w:lineRule="auto"/>
        <w:rPr>
          <w:szCs w:val="24"/>
          <w:lang w:val="en"/>
        </w:rPr>
      </w:pPr>
    </w:p>
    <w:p w14:paraId="1A21B4CF" w14:textId="653351D9" w:rsidR="006A5C69" w:rsidRDefault="006A5C69" w:rsidP="00BC2BB2">
      <w:pPr>
        <w:spacing w:line="276" w:lineRule="auto"/>
        <w:rPr>
          <w:szCs w:val="24"/>
          <w:lang w:val="en"/>
        </w:rPr>
      </w:pPr>
      <w:r>
        <w:rPr>
          <w:szCs w:val="24"/>
          <w:lang w:val="en"/>
        </w:rPr>
        <w:t xml:space="preserve">On a monthly basis, a hospital must capture and report </w:t>
      </w:r>
      <w:r w:rsidR="00655EFE">
        <w:rPr>
          <w:szCs w:val="24"/>
          <w:lang w:val="en"/>
        </w:rPr>
        <w:t>the</w:t>
      </w:r>
      <w:r>
        <w:rPr>
          <w:szCs w:val="24"/>
          <w:lang w:val="en"/>
        </w:rPr>
        <w:t xml:space="preserve"> </w:t>
      </w:r>
      <w:r w:rsidR="00655EFE" w:rsidRPr="00655EFE">
        <w:rPr>
          <w:szCs w:val="24"/>
          <w:lang w:val="en"/>
        </w:rPr>
        <w:t xml:space="preserve">number and specific causes of hospitalizations caused by ingestion of </w:t>
      </w:r>
      <w:r w:rsidR="00655EFE">
        <w:rPr>
          <w:szCs w:val="24"/>
          <w:lang w:val="en"/>
        </w:rPr>
        <w:t xml:space="preserve">controlled substances </w:t>
      </w:r>
      <w:r>
        <w:rPr>
          <w:szCs w:val="24"/>
          <w:lang w:val="en"/>
        </w:rPr>
        <w:t>by providing the following ICD</w:t>
      </w:r>
      <w:r w:rsidR="00FC3C00">
        <w:rPr>
          <w:szCs w:val="24"/>
          <w:lang w:val="en"/>
        </w:rPr>
        <w:t>-</w:t>
      </w:r>
      <w:r>
        <w:rPr>
          <w:szCs w:val="24"/>
          <w:lang w:val="en"/>
        </w:rPr>
        <w:t>10 codes</w:t>
      </w:r>
      <w:r w:rsidR="00655EFE">
        <w:rPr>
          <w:szCs w:val="24"/>
          <w:lang w:val="en"/>
        </w:rPr>
        <w:t>:</w:t>
      </w:r>
    </w:p>
    <w:p w14:paraId="1A2233C1" w14:textId="77777777" w:rsidR="006A5C69" w:rsidRDefault="006A5C69" w:rsidP="00BC2BB2">
      <w:pPr>
        <w:spacing w:line="276" w:lineRule="auto"/>
        <w:rPr>
          <w:szCs w:val="24"/>
          <w:lang w:val="en"/>
        </w:rPr>
      </w:pPr>
    </w:p>
    <w:p w14:paraId="2D2842B0" w14:textId="77777777" w:rsidR="006A5C69" w:rsidRPr="00655EFE" w:rsidRDefault="00655EFE" w:rsidP="00BC2BB2">
      <w:pPr>
        <w:pStyle w:val="ListParagraph"/>
        <w:numPr>
          <w:ilvl w:val="0"/>
          <w:numId w:val="14"/>
        </w:numPr>
        <w:spacing w:line="276" w:lineRule="auto"/>
        <w:rPr>
          <w:szCs w:val="24"/>
          <w:lang w:val="en"/>
        </w:rPr>
      </w:pPr>
      <w:r>
        <w:rPr>
          <w:szCs w:val="24"/>
          <w:lang w:val="en"/>
        </w:rPr>
        <w:lastRenderedPageBreak/>
        <w:t xml:space="preserve">For </w:t>
      </w:r>
      <w:r w:rsidRPr="00655EFE">
        <w:t>all emergency department (ED) visits, observation stays and hospital discharges</w:t>
      </w:r>
      <w:r w:rsidR="006A5C69" w:rsidRPr="00655EFE">
        <w:rPr>
          <w:szCs w:val="24"/>
          <w:lang w:val="en"/>
        </w:rPr>
        <w:t>:</w:t>
      </w:r>
    </w:p>
    <w:p w14:paraId="7C933007" w14:textId="40FD73D4" w:rsidR="008E4207" w:rsidRPr="008E4207" w:rsidRDefault="00871C7A" w:rsidP="00BC2BB2">
      <w:pPr>
        <w:pStyle w:val="ListParagraph"/>
        <w:numPr>
          <w:ilvl w:val="1"/>
          <w:numId w:val="14"/>
        </w:numPr>
        <w:spacing w:line="276" w:lineRule="auto"/>
        <w:rPr>
          <w:szCs w:val="24"/>
        </w:rPr>
      </w:pPr>
      <w:r>
        <w:rPr>
          <w:szCs w:val="24"/>
        </w:rPr>
        <w:t>T40.0(x1-x4)</w:t>
      </w:r>
      <w:r w:rsidR="008E4207" w:rsidRPr="008E4207">
        <w:rPr>
          <w:szCs w:val="24"/>
        </w:rPr>
        <w:t xml:space="preserve"> – </w:t>
      </w:r>
      <w:r w:rsidR="00B34465">
        <w:rPr>
          <w:szCs w:val="24"/>
        </w:rPr>
        <w:t>opium-caused ingestions</w:t>
      </w:r>
      <w:r w:rsidR="008E4207" w:rsidRPr="008E4207">
        <w:rPr>
          <w:szCs w:val="24"/>
        </w:rPr>
        <w:t xml:space="preserve"> </w:t>
      </w:r>
    </w:p>
    <w:p w14:paraId="35A6716F" w14:textId="41E4371C" w:rsidR="008E4207" w:rsidRPr="008E4207" w:rsidRDefault="00871C7A" w:rsidP="00BC2BB2">
      <w:pPr>
        <w:pStyle w:val="ListParagraph"/>
        <w:numPr>
          <w:ilvl w:val="1"/>
          <w:numId w:val="14"/>
        </w:numPr>
        <w:spacing w:line="276" w:lineRule="auto"/>
        <w:rPr>
          <w:szCs w:val="24"/>
        </w:rPr>
      </w:pPr>
      <w:r>
        <w:rPr>
          <w:szCs w:val="24"/>
        </w:rPr>
        <w:t>T40.1(x1-x4)</w:t>
      </w:r>
      <w:r w:rsidRPr="008E4207">
        <w:rPr>
          <w:szCs w:val="24"/>
        </w:rPr>
        <w:t xml:space="preserve"> </w:t>
      </w:r>
      <w:r w:rsidR="008E4207" w:rsidRPr="008E4207">
        <w:rPr>
          <w:szCs w:val="24"/>
        </w:rPr>
        <w:t xml:space="preserve"> – </w:t>
      </w:r>
      <w:r w:rsidR="00B34465">
        <w:rPr>
          <w:szCs w:val="24"/>
        </w:rPr>
        <w:t>heroin-caused ingestions</w:t>
      </w:r>
      <w:r w:rsidR="008E4207" w:rsidRPr="008E4207">
        <w:rPr>
          <w:szCs w:val="24"/>
        </w:rPr>
        <w:t xml:space="preserve"> </w:t>
      </w:r>
    </w:p>
    <w:p w14:paraId="4D5A7096" w14:textId="609E7BBD" w:rsidR="00655EFE" w:rsidRPr="008E4207" w:rsidRDefault="00871C7A" w:rsidP="00BC2BB2">
      <w:pPr>
        <w:pStyle w:val="ListParagraph"/>
        <w:numPr>
          <w:ilvl w:val="1"/>
          <w:numId w:val="14"/>
        </w:numPr>
        <w:spacing w:line="276" w:lineRule="auto"/>
        <w:rPr>
          <w:szCs w:val="24"/>
        </w:rPr>
      </w:pPr>
      <w:r>
        <w:rPr>
          <w:szCs w:val="24"/>
        </w:rPr>
        <w:t>T40.2(x1-x4)</w:t>
      </w:r>
      <w:r w:rsidR="00655EFE" w:rsidRPr="008E4207">
        <w:rPr>
          <w:szCs w:val="24"/>
        </w:rPr>
        <w:t xml:space="preserve"> – </w:t>
      </w:r>
      <w:r w:rsidR="00B34465">
        <w:rPr>
          <w:szCs w:val="24"/>
        </w:rPr>
        <w:t>opioid-caused ingestions</w:t>
      </w:r>
    </w:p>
    <w:p w14:paraId="219E0C5A" w14:textId="259479D0" w:rsidR="008E4207" w:rsidRPr="008E4207" w:rsidRDefault="00871C7A" w:rsidP="00BC2BB2">
      <w:pPr>
        <w:pStyle w:val="ListParagraph"/>
        <w:numPr>
          <w:ilvl w:val="1"/>
          <w:numId w:val="14"/>
        </w:numPr>
        <w:spacing w:line="276" w:lineRule="auto"/>
        <w:rPr>
          <w:szCs w:val="24"/>
        </w:rPr>
      </w:pPr>
      <w:r>
        <w:rPr>
          <w:szCs w:val="24"/>
        </w:rPr>
        <w:t>T40.3(x1-x4)</w:t>
      </w:r>
      <w:r w:rsidR="008E4207" w:rsidRPr="008E4207">
        <w:rPr>
          <w:szCs w:val="24"/>
        </w:rPr>
        <w:t xml:space="preserve"> – </w:t>
      </w:r>
      <w:r>
        <w:rPr>
          <w:szCs w:val="24"/>
        </w:rPr>
        <w:t>methadone-caused ingestions</w:t>
      </w:r>
    </w:p>
    <w:p w14:paraId="474C94B6" w14:textId="43995CFC" w:rsidR="00655EFE" w:rsidRDefault="00871C7A" w:rsidP="00BC2BB2">
      <w:pPr>
        <w:pStyle w:val="ListParagraph"/>
        <w:numPr>
          <w:ilvl w:val="1"/>
          <w:numId w:val="14"/>
        </w:numPr>
        <w:spacing w:line="276" w:lineRule="auto"/>
        <w:rPr>
          <w:szCs w:val="24"/>
        </w:rPr>
      </w:pPr>
      <w:r>
        <w:rPr>
          <w:szCs w:val="24"/>
        </w:rPr>
        <w:t>T40.4(x1-x4)</w:t>
      </w:r>
      <w:r w:rsidRPr="008E4207">
        <w:rPr>
          <w:szCs w:val="24"/>
        </w:rPr>
        <w:t xml:space="preserve"> </w:t>
      </w:r>
      <w:r w:rsidR="00655EFE" w:rsidRPr="008E4207">
        <w:rPr>
          <w:szCs w:val="24"/>
        </w:rPr>
        <w:t xml:space="preserve">– </w:t>
      </w:r>
      <w:r>
        <w:rPr>
          <w:szCs w:val="24"/>
        </w:rPr>
        <w:t>synthetic narcotics-caused ingestions</w:t>
      </w:r>
    </w:p>
    <w:p w14:paraId="68914716" w14:textId="53D33862" w:rsidR="00871C7A" w:rsidRDefault="00871C7A" w:rsidP="00BC2BB2">
      <w:pPr>
        <w:pStyle w:val="ListParagraph"/>
        <w:numPr>
          <w:ilvl w:val="1"/>
          <w:numId w:val="14"/>
        </w:numPr>
        <w:spacing w:line="276" w:lineRule="auto"/>
        <w:rPr>
          <w:szCs w:val="24"/>
        </w:rPr>
      </w:pPr>
      <w:r>
        <w:rPr>
          <w:szCs w:val="24"/>
        </w:rPr>
        <w:t>T40.691-T40.694</w:t>
      </w:r>
      <w:r w:rsidR="0042672A">
        <w:rPr>
          <w:szCs w:val="24"/>
        </w:rPr>
        <w:t xml:space="preserve"> – </w:t>
      </w:r>
      <w:r>
        <w:rPr>
          <w:szCs w:val="24"/>
        </w:rPr>
        <w:t>other narcotic</w:t>
      </w:r>
      <w:r w:rsidR="00B34465">
        <w:rPr>
          <w:szCs w:val="24"/>
        </w:rPr>
        <w:t>-caused</w:t>
      </w:r>
      <w:r>
        <w:rPr>
          <w:szCs w:val="24"/>
        </w:rPr>
        <w:t xml:space="preserve"> ingestions</w:t>
      </w:r>
    </w:p>
    <w:p w14:paraId="0E736387" w14:textId="35011481" w:rsidR="00B34465" w:rsidRPr="008E4207" w:rsidRDefault="0042672A" w:rsidP="00B34465">
      <w:pPr>
        <w:pStyle w:val="ListParagraph"/>
        <w:numPr>
          <w:ilvl w:val="1"/>
          <w:numId w:val="14"/>
        </w:numPr>
        <w:spacing w:line="276" w:lineRule="auto"/>
        <w:rPr>
          <w:szCs w:val="24"/>
        </w:rPr>
      </w:pPr>
      <w:r>
        <w:rPr>
          <w:szCs w:val="24"/>
        </w:rPr>
        <w:t xml:space="preserve">T40.601-T40.604 – </w:t>
      </w:r>
      <w:r w:rsidR="00B34465">
        <w:rPr>
          <w:szCs w:val="24"/>
        </w:rPr>
        <w:t>unspecified narcotic-caused ingestions</w:t>
      </w:r>
    </w:p>
    <w:p w14:paraId="5FF1F6E9" w14:textId="785A5B2A" w:rsidR="00655EFE" w:rsidRPr="00B34465" w:rsidRDefault="00B34465" w:rsidP="00BC2BB2">
      <w:pPr>
        <w:pStyle w:val="ListParagraph"/>
        <w:numPr>
          <w:ilvl w:val="1"/>
          <w:numId w:val="14"/>
        </w:numPr>
        <w:spacing w:line="276" w:lineRule="auto"/>
      </w:pPr>
      <w:r w:rsidRPr="00B34465">
        <w:rPr>
          <w:szCs w:val="24"/>
        </w:rPr>
        <w:t>T42.4(x1-x4)</w:t>
      </w:r>
      <w:r w:rsidR="0042672A">
        <w:rPr>
          <w:szCs w:val="24"/>
        </w:rPr>
        <w:t xml:space="preserve"> –</w:t>
      </w:r>
      <w:r w:rsidRPr="00B34465">
        <w:rPr>
          <w:szCs w:val="24"/>
        </w:rPr>
        <w:t xml:space="preserve"> benzodiazepine-based tranquilizers-caused</w:t>
      </w:r>
      <w:r>
        <w:rPr>
          <w:szCs w:val="24"/>
        </w:rPr>
        <w:t xml:space="preserve"> ingestions</w:t>
      </w:r>
    </w:p>
    <w:p w14:paraId="3EC307EC" w14:textId="77777777" w:rsidR="00B34465" w:rsidRDefault="00B34465" w:rsidP="00B34465">
      <w:pPr>
        <w:spacing w:line="276" w:lineRule="auto"/>
        <w:ind w:left="1080"/>
      </w:pPr>
    </w:p>
    <w:p w14:paraId="609A3EF4" w14:textId="77777777" w:rsidR="00655EFE" w:rsidRPr="006718BA" w:rsidRDefault="007767CB" w:rsidP="006718BA">
      <w:pPr>
        <w:spacing w:line="276" w:lineRule="auto"/>
        <w:rPr>
          <w:szCs w:val="24"/>
          <w:lang w:val="en"/>
        </w:rPr>
      </w:pPr>
      <w:r>
        <w:t>A h</w:t>
      </w:r>
      <w:r w:rsidR="00655EFE" w:rsidRPr="00655EFE">
        <w:t xml:space="preserve">ospital </w:t>
      </w:r>
      <w:r>
        <w:t>must</w:t>
      </w:r>
      <w:r w:rsidR="00655EFE" w:rsidRPr="00655EFE">
        <w:t xml:space="preserve"> distinguish between those cases where these ICD-</w:t>
      </w:r>
      <w:r w:rsidR="008E4207">
        <w:t>10</w:t>
      </w:r>
      <w:r w:rsidR="00655EFE" w:rsidRPr="00655EFE">
        <w:t xml:space="preserve"> codes were the primary code and where they were coded as related to the hospitalization</w:t>
      </w:r>
      <w:r w:rsidR="0068499B">
        <w:t xml:space="preserve"> or a secondary diagnosis or greater</w:t>
      </w:r>
      <w:r w:rsidR="00655EFE" w:rsidRPr="00655EFE">
        <w:t>.</w:t>
      </w:r>
    </w:p>
    <w:p w14:paraId="186E0F94" w14:textId="77777777" w:rsidR="007767CB" w:rsidRPr="007767CB" w:rsidRDefault="007767CB" w:rsidP="00BC2BB2">
      <w:pPr>
        <w:pStyle w:val="ListParagraph"/>
        <w:spacing w:line="276" w:lineRule="auto"/>
        <w:rPr>
          <w:szCs w:val="24"/>
          <w:lang w:val="en"/>
        </w:rPr>
      </w:pPr>
    </w:p>
    <w:p w14:paraId="51585AAF" w14:textId="4AC910C4" w:rsidR="00655EFE" w:rsidRPr="006718BA" w:rsidRDefault="007767CB" w:rsidP="006718BA">
      <w:pPr>
        <w:spacing w:line="276" w:lineRule="auto"/>
        <w:rPr>
          <w:szCs w:val="24"/>
          <w:lang w:val="en"/>
        </w:rPr>
      </w:pPr>
      <w:r>
        <w:t>A hospital</w:t>
      </w:r>
      <w:r w:rsidRPr="00655EFE">
        <w:t xml:space="preserve"> </w:t>
      </w:r>
      <w:r>
        <w:t>must</w:t>
      </w:r>
      <w:r w:rsidRPr="00655EFE">
        <w:t xml:space="preserve"> report the number of ED visits, observation stays and inpatient hospitalizations</w:t>
      </w:r>
      <w:r w:rsidR="00504FC5">
        <w:t xml:space="preserve"> of children under the age of 11</w:t>
      </w:r>
      <w:r w:rsidRPr="00655EFE">
        <w:t xml:space="preserve"> as the denominator for this measure</w:t>
      </w:r>
      <w:r>
        <w:t>.</w:t>
      </w:r>
    </w:p>
    <w:p w14:paraId="459BD513" w14:textId="77777777" w:rsidR="00655EFE" w:rsidRDefault="00655EFE" w:rsidP="00BC2BB2">
      <w:pPr>
        <w:spacing w:line="276" w:lineRule="auto"/>
        <w:rPr>
          <w:szCs w:val="24"/>
          <w:lang w:val="en"/>
        </w:rPr>
      </w:pPr>
    </w:p>
    <w:p w14:paraId="1E94FE08" w14:textId="451A1360" w:rsidR="00504FC5" w:rsidRDefault="00504FC5" w:rsidP="006718BA">
      <w:pPr>
        <w:rPr>
          <w:b/>
        </w:rPr>
      </w:pPr>
      <w:r>
        <w:rPr>
          <w:b/>
        </w:rPr>
        <w:t xml:space="preserve">Best Practice </w:t>
      </w:r>
      <w:r w:rsidRPr="00504FC5">
        <w:rPr>
          <w:b/>
        </w:rPr>
        <w:t xml:space="preserve">Guidance: </w:t>
      </w:r>
    </w:p>
    <w:p w14:paraId="044BF796" w14:textId="77777777" w:rsidR="00504FC5" w:rsidRPr="00504FC5" w:rsidRDefault="00504FC5" w:rsidP="006718BA">
      <w:pPr>
        <w:rPr>
          <w:b/>
        </w:rPr>
      </w:pPr>
    </w:p>
    <w:p w14:paraId="7165F301" w14:textId="05AC61F7" w:rsidR="00504FC5" w:rsidRDefault="006718BA" w:rsidP="006718BA">
      <w:r>
        <w:t>In 2013</w:t>
      </w:r>
      <w:r w:rsidR="00B57DC4">
        <w:t>,</w:t>
      </w:r>
      <w:r>
        <w:t xml:space="preserve"> DPH issued circular letter, 13-5-586, </w:t>
      </w:r>
      <w:hyperlink r:id="rId12" w:history="1">
        <w:r w:rsidRPr="00000187">
          <w:rPr>
            <w:rStyle w:val="Hyperlink"/>
          </w:rPr>
          <w:t xml:space="preserve">Guidelines for Community Standard for Maternal/Newborn Screening </w:t>
        </w:r>
        <w:proofErr w:type="gramStart"/>
        <w:r w:rsidRPr="00000187">
          <w:rPr>
            <w:rStyle w:val="Hyperlink"/>
          </w:rPr>
          <w:t>For</w:t>
        </w:r>
        <w:proofErr w:type="gramEnd"/>
        <w:r w:rsidRPr="00000187">
          <w:rPr>
            <w:rStyle w:val="Hyperlink"/>
          </w:rPr>
          <w:t xml:space="preserve"> Alcohol/Substance Use</w:t>
        </w:r>
      </w:hyperlink>
      <w:r>
        <w:t xml:space="preserve"> , which summarizes the consensus approach to screening pregnant women and their newborns for exposure t</w:t>
      </w:r>
      <w:r w:rsidR="00504FC5">
        <w:t xml:space="preserve">o drugs during pregnancy.     </w:t>
      </w:r>
    </w:p>
    <w:p w14:paraId="1DA608CD" w14:textId="77777777" w:rsidR="00B57DC4" w:rsidRDefault="00B57DC4" w:rsidP="006718BA"/>
    <w:p w14:paraId="13EF4B33" w14:textId="02037A0C" w:rsidR="004640AC" w:rsidRDefault="006718BA" w:rsidP="001C347F">
      <w:r>
        <w:t xml:space="preserve">It can also be found at: </w:t>
      </w:r>
      <w:hyperlink r:id="rId13" w:history="1">
        <w:r w:rsidRPr="00337B2F">
          <w:rPr>
            <w:rStyle w:val="Hyperlink"/>
          </w:rPr>
          <w:t>http://www.mass.gov/eohhs/docs/dph/quality/hcq-circular-letters/2013/dhcq-1305586.pdf</w:t>
        </w:r>
      </w:hyperlink>
    </w:p>
    <w:p w14:paraId="5E249DE5" w14:textId="77777777" w:rsidR="004640AC" w:rsidRDefault="004640AC" w:rsidP="00BC2BB2">
      <w:pPr>
        <w:spacing w:line="276" w:lineRule="auto"/>
      </w:pPr>
    </w:p>
    <w:p w14:paraId="5A6DE038" w14:textId="540B664F" w:rsidR="001C347F" w:rsidRDefault="001C347F" w:rsidP="00BC2BB2">
      <w:pPr>
        <w:spacing w:line="276" w:lineRule="auto"/>
      </w:pPr>
      <w:r>
        <w:t xml:space="preserve">Data reporting should begin for the month of April 2016.  Hospital organizations should submit their data for each hospital site via HCFRS, no later than June 30, 2016.   </w:t>
      </w:r>
    </w:p>
    <w:p w14:paraId="5460C056" w14:textId="77777777" w:rsidR="001C347F" w:rsidRDefault="001C347F" w:rsidP="00BC2BB2">
      <w:pPr>
        <w:spacing w:line="276" w:lineRule="auto"/>
      </w:pPr>
    </w:p>
    <w:p w14:paraId="064A0A28" w14:textId="4A7D37FF" w:rsidR="004D1F28" w:rsidRPr="008E4207" w:rsidRDefault="001B6590" w:rsidP="00BC2BB2">
      <w:pPr>
        <w:spacing w:line="276" w:lineRule="auto"/>
      </w:pPr>
      <w:r w:rsidRPr="004312F7">
        <w:t xml:space="preserve">Questions </w:t>
      </w:r>
      <w:r w:rsidR="00EA3FA2" w:rsidRPr="004312F7">
        <w:t xml:space="preserve">on compliance with these requirements </w:t>
      </w:r>
      <w:r w:rsidR="001E6730" w:rsidRPr="004312F7">
        <w:t xml:space="preserve">may be directed to </w:t>
      </w:r>
      <w:r w:rsidR="00EA3FA2" w:rsidRPr="004312F7">
        <w:t>Kat</w:t>
      </w:r>
      <w:r w:rsidR="006718BA">
        <w:t>herin</w:t>
      </w:r>
      <w:r w:rsidR="00EA3FA2" w:rsidRPr="004312F7">
        <w:t>e Fillo</w:t>
      </w:r>
      <w:r w:rsidR="00934EA6" w:rsidRPr="004312F7">
        <w:t xml:space="preserve">, </w:t>
      </w:r>
      <w:r w:rsidR="00EA3FA2" w:rsidRPr="004312F7">
        <w:t xml:space="preserve">Manager </w:t>
      </w:r>
      <w:r w:rsidR="00F27B96" w:rsidRPr="004312F7">
        <w:t xml:space="preserve">of </w:t>
      </w:r>
      <w:r w:rsidR="00895475" w:rsidRPr="004312F7">
        <w:t>Quality Improvement</w:t>
      </w:r>
      <w:r w:rsidR="00934EA6" w:rsidRPr="004312F7">
        <w:t xml:space="preserve">, </w:t>
      </w:r>
      <w:r w:rsidR="00895475" w:rsidRPr="004312F7">
        <w:t>Bureau of Health Care Safety and Quality</w:t>
      </w:r>
      <w:r w:rsidR="004312F7">
        <w:t>, Department of Public Health</w:t>
      </w:r>
      <w:r w:rsidR="00895475" w:rsidRPr="004312F7">
        <w:t xml:space="preserve">, </w:t>
      </w:r>
      <w:hyperlink r:id="rId14" w:history="1">
        <w:r w:rsidR="00EA3FA2" w:rsidRPr="004312F7">
          <w:rPr>
            <w:rStyle w:val="Hyperlink"/>
          </w:rPr>
          <w:t>katherine.fillo@state.ma.us</w:t>
        </w:r>
      </w:hyperlink>
      <w:r w:rsidR="004312F7">
        <w:t>.</w:t>
      </w:r>
    </w:p>
    <w:sectPr w:rsidR="004D1F28" w:rsidRPr="008E4207" w:rsidSect="003F028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E12012" w15:done="0"/>
  <w15:commentEx w15:paraId="39D59AA0" w15:done="0"/>
  <w15:commentEx w15:paraId="42851520" w15:paraIdParent="39D59A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F1032" w14:textId="77777777" w:rsidR="00870E29" w:rsidRDefault="00870E29">
      <w:r>
        <w:separator/>
      </w:r>
    </w:p>
  </w:endnote>
  <w:endnote w:type="continuationSeparator" w:id="0">
    <w:p w14:paraId="6195131E" w14:textId="77777777" w:rsidR="00870E29" w:rsidRDefault="0087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384C1" w14:textId="77777777" w:rsidR="0002325C" w:rsidRDefault="0002325C" w:rsidP="00B506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88D36E" w14:textId="77777777" w:rsidR="0002325C" w:rsidRDefault="0002325C" w:rsidP="007031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3427" w14:textId="77777777" w:rsidR="0002325C" w:rsidRDefault="0002325C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75AC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475AC1">
      <w:rPr>
        <w:b/>
        <w:bCs/>
        <w:noProof/>
      </w:rPr>
      <w:t>3</w:t>
    </w:r>
    <w:r>
      <w:rPr>
        <w:b/>
        <w:bCs/>
      </w:rPr>
      <w:fldChar w:fldCharType="end"/>
    </w:r>
  </w:p>
  <w:p w14:paraId="18DC6C33" w14:textId="77777777" w:rsidR="0002325C" w:rsidRDefault="0002325C" w:rsidP="0070319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0246F" w14:textId="77777777" w:rsidR="0002325C" w:rsidRDefault="00023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6FA23" w14:textId="77777777" w:rsidR="00870E29" w:rsidRDefault="00870E29">
      <w:r>
        <w:separator/>
      </w:r>
    </w:p>
  </w:footnote>
  <w:footnote w:type="continuationSeparator" w:id="0">
    <w:p w14:paraId="3C970AE9" w14:textId="77777777" w:rsidR="00870E29" w:rsidRDefault="0087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6AA1E" w14:textId="77777777" w:rsidR="0002325C" w:rsidRDefault="000232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8020C" w14:textId="36A13BE6" w:rsidR="0002325C" w:rsidRDefault="000232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8FF74" w14:textId="77777777" w:rsidR="0002325C" w:rsidRDefault="000232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702B"/>
    <w:multiLevelType w:val="hybridMultilevel"/>
    <w:tmpl w:val="F90CD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8846A2"/>
    <w:multiLevelType w:val="hybridMultilevel"/>
    <w:tmpl w:val="F34C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65EC"/>
    <w:multiLevelType w:val="hybridMultilevel"/>
    <w:tmpl w:val="AB6E169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AE95F2B"/>
    <w:multiLevelType w:val="hybridMultilevel"/>
    <w:tmpl w:val="C126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1326C"/>
    <w:multiLevelType w:val="hybridMultilevel"/>
    <w:tmpl w:val="1AC6604C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38025F1A"/>
    <w:multiLevelType w:val="hybridMultilevel"/>
    <w:tmpl w:val="4CA84EDC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0B06594"/>
    <w:multiLevelType w:val="hybridMultilevel"/>
    <w:tmpl w:val="F88A899A"/>
    <w:lvl w:ilvl="0" w:tplc="8D06BD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377543"/>
    <w:multiLevelType w:val="hybridMultilevel"/>
    <w:tmpl w:val="A46A28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80D5BC6"/>
    <w:multiLevelType w:val="hybridMultilevel"/>
    <w:tmpl w:val="F5BCB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9388E"/>
    <w:multiLevelType w:val="hybridMultilevel"/>
    <w:tmpl w:val="DCFEA910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60E27770"/>
    <w:multiLevelType w:val="hybridMultilevel"/>
    <w:tmpl w:val="9DDC749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301659F"/>
    <w:multiLevelType w:val="hybridMultilevel"/>
    <w:tmpl w:val="AFF6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838B2"/>
    <w:multiLevelType w:val="hybridMultilevel"/>
    <w:tmpl w:val="DADC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E1EA3"/>
    <w:multiLevelType w:val="hybridMultilevel"/>
    <w:tmpl w:val="0E7AB7C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C4EE6"/>
    <w:multiLevelType w:val="hybridMultilevel"/>
    <w:tmpl w:val="077C779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14"/>
  </w:num>
  <w:num w:numId="11">
    <w:abstractNumId w:val="9"/>
  </w:num>
  <w:num w:numId="12">
    <w:abstractNumId w:val="4"/>
  </w:num>
  <w:num w:numId="13">
    <w:abstractNumId w:val="13"/>
  </w:num>
  <w:num w:numId="14">
    <w:abstractNumId w:val="8"/>
  </w:num>
  <w:num w:numId="15">
    <w:abstractNumId w:val="1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tfillo">
    <w15:presenceInfo w15:providerId="None" w15:userId="ktfi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F5"/>
    <w:rsid w:val="00000622"/>
    <w:rsid w:val="00001AFD"/>
    <w:rsid w:val="00002386"/>
    <w:rsid w:val="00002FF8"/>
    <w:rsid w:val="00005231"/>
    <w:rsid w:val="000057DA"/>
    <w:rsid w:val="000079C4"/>
    <w:rsid w:val="00011173"/>
    <w:rsid w:val="00011E17"/>
    <w:rsid w:val="00013736"/>
    <w:rsid w:val="00013DBF"/>
    <w:rsid w:val="000159C9"/>
    <w:rsid w:val="00015B4E"/>
    <w:rsid w:val="0002325C"/>
    <w:rsid w:val="0002450C"/>
    <w:rsid w:val="00025781"/>
    <w:rsid w:val="000266B4"/>
    <w:rsid w:val="00026741"/>
    <w:rsid w:val="00030193"/>
    <w:rsid w:val="00034A0F"/>
    <w:rsid w:val="00035E33"/>
    <w:rsid w:val="000360CD"/>
    <w:rsid w:val="00037D90"/>
    <w:rsid w:val="00037E66"/>
    <w:rsid w:val="00040C41"/>
    <w:rsid w:val="00043E39"/>
    <w:rsid w:val="000457CC"/>
    <w:rsid w:val="00046473"/>
    <w:rsid w:val="000471AA"/>
    <w:rsid w:val="00051702"/>
    <w:rsid w:val="00053D46"/>
    <w:rsid w:val="000543FC"/>
    <w:rsid w:val="00055105"/>
    <w:rsid w:val="000626B7"/>
    <w:rsid w:val="000627CA"/>
    <w:rsid w:val="00063939"/>
    <w:rsid w:val="0006624E"/>
    <w:rsid w:val="00066779"/>
    <w:rsid w:val="000667B0"/>
    <w:rsid w:val="0006690A"/>
    <w:rsid w:val="0006726E"/>
    <w:rsid w:val="00067FE4"/>
    <w:rsid w:val="00070733"/>
    <w:rsid w:val="000719B7"/>
    <w:rsid w:val="00071A06"/>
    <w:rsid w:val="000729FB"/>
    <w:rsid w:val="00075A67"/>
    <w:rsid w:val="0007797C"/>
    <w:rsid w:val="00077F57"/>
    <w:rsid w:val="0008065F"/>
    <w:rsid w:val="000819E0"/>
    <w:rsid w:val="00083517"/>
    <w:rsid w:val="00084F3A"/>
    <w:rsid w:val="0008521A"/>
    <w:rsid w:val="00086290"/>
    <w:rsid w:val="0009194E"/>
    <w:rsid w:val="00091F85"/>
    <w:rsid w:val="00092628"/>
    <w:rsid w:val="00092EA5"/>
    <w:rsid w:val="00093582"/>
    <w:rsid w:val="00096104"/>
    <w:rsid w:val="00097CCD"/>
    <w:rsid w:val="000A1613"/>
    <w:rsid w:val="000A4204"/>
    <w:rsid w:val="000A4A24"/>
    <w:rsid w:val="000A7C72"/>
    <w:rsid w:val="000B1A70"/>
    <w:rsid w:val="000B46EA"/>
    <w:rsid w:val="000B59A5"/>
    <w:rsid w:val="000B6ACC"/>
    <w:rsid w:val="000B7190"/>
    <w:rsid w:val="000C3EEB"/>
    <w:rsid w:val="000C4A9C"/>
    <w:rsid w:val="000C4F33"/>
    <w:rsid w:val="000C620C"/>
    <w:rsid w:val="000C62C4"/>
    <w:rsid w:val="000C7C10"/>
    <w:rsid w:val="000D2E84"/>
    <w:rsid w:val="000D3772"/>
    <w:rsid w:val="000D7FEF"/>
    <w:rsid w:val="000E04B8"/>
    <w:rsid w:val="000E0801"/>
    <w:rsid w:val="000E1C9B"/>
    <w:rsid w:val="000E3649"/>
    <w:rsid w:val="000E5328"/>
    <w:rsid w:val="000E6E60"/>
    <w:rsid w:val="000E705F"/>
    <w:rsid w:val="000E7112"/>
    <w:rsid w:val="000F310C"/>
    <w:rsid w:val="000F3676"/>
    <w:rsid w:val="000F3DC2"/>
    <w:rsid w:val="000F6618"/>
    <w:rsid w:val="001000C0"/>
    <w:rsid w:val="00100258"/>
    <w:rsid w:val="00100D4B"/>
    <w:rsid w:val="001017E6"/>
    <w:rsid w:val="001028E7"/>
    <w:rsid w:val="001029E8"/>
    <w:rsid w:val="00105EDF"/>
    <w:rsid w:val="00107097"/>
    <w:rsid w:val="0010749B"/>
    <w:rsid w:val="00112C04"/>
    <w:rsid w:val="001137FD"/>
    <w:rsid w:val="00114DBB"/>
    <w:rsid w:val="0011553D"/>
    <w:rsid w:val="001164A3"/>
    <w:rsid w:val="001209FE"/>
    <w:rsid w:val="00121EDD"/>
    <w:rsid w:val="001237AB"/>
    <w:rsid w:val="00123B77"/>
    <w:rsid w:val="00123C39"/>
    <w:rsid w:val="001255FD"/>
    <w:rsid w:val="00126BD6"/>
    <w:rsid w:val="00127408"/>
    <w:rsid w:val="00132F79"/>
    <w:rsid w:val="00133889"/>
    <w:rsid w:val="00133C05"/>
    <w:rsid w:val="00135153"/>
    <w:rsid w:val="00136520"/>
    <w:rsid w:val="0013699F"/>
    <w:rsid w:val="001372E9"/>
    <w:rsid w:val="00137F6F"/>
    <w:rsid w:val="00141BA5"/>
    <w:rsid w:val="00143B89"/>
    <w:rsid w:val="0014431E"/>
    <w:rsid w:val="00145195"/>
    <w:rsid w:val="001460D0"/>
    <w:rsid w:val="00147975"/>
    <w:rsid w:val="00150DCB"/>
    <w:rsid w:val="00151974"/>
    <w:rsid w:val="00152113"/>
    <w:rsid w:val="00153C98"/>
    <w:rsid w:val="00155A41"/>
    <w:rsid w:val="0016412E"/>
    <w:rsid w:val="001641EE"/>
    <w:rsid w:val="00165C9D"/>
    <w:rsid w:val="0017101A"/>
    <w:rsid w:val="0017427A"/>
    <w:rsid w:val="00174AE2"/>
    <w:rsid w:val="00175BB0"/>
    <w:rsid w:val="00175C46"/>
    <w:rsid w:val="00176755"/>
    <w:rsid w:val="00176CB9"/>
    <w:rsid w:val="0018057B"/>
    <w:rsid w:val="001808AA"/>
    <w:rsid w:val="0018153C"/>
    <w:rsid w:val="00182147"/>
    <w:rsid w:val="001825DA"/>
    <w:rsid w:val="00183C7C"/>
    <w:rsid w:val="00186A00"/>
    <w:rsid w:val="00187C31"/>
    <w:rsid w:val="00197329"/>
    <w:rsid w:val="001A0BD4"/>
    <w:rsid w:val="001A2810"/>
    <w:rsid w:val="001A3288"/>
    <w:rsid w:val="001A4665"/>
    <w:rsid w:val="001A4A3B"/>
    <w:rsid w:val="001A5867"/>
    <w:rsid w:val="001A5C36"/>
    <w:rsid w:val="001B0CE8"/>
    <w:rsid w:val="001B16A1"/>
    <w:rsid w:val="001B4D9C"/>
    <w:rsid w:val="001B530D"/>
    <w:rsid w:val="001B6590"/>
    <w:rsid w:val="001C3255"/>
    <w:rsid w:val="001C347F"/>
    <w:rsid w:val="001C3C14"/>
    <w:rsid w:val="001C3F38"/>
    <w:rsid w:val="001C7638"/>
    <w:rsid w:val="001D4710"/>
    <w:rsid w:val="001D5C3C"/>
    <w:rsid w:val="001D6839"/>
    <w:rsid w:val="001E18D3"/>
    <w:rsid w:val="001E2955"/>
    <w:rsid w:val="001E3A92"/>
    <w:rsid w:val="001E57AF"/>
    <w:rsid w:val="001E57B6"/>
    <w:rsid w:val="001E6730"/>
    <w:rsid w:val="001E6B48"/>
    <w:rsid w:val="001F449A"/>
    <w:rsid w:val="001F66B1"/>
    <w:rsid w:val="001F6A86"/>
    <w:rsid w:val="002018FD"/>
    <w:rsid w:val="00201AA6"/>
    <w:rsid w:val="002032BC"/>
    <w:rsid w:val="0020336A"/>
    <w:rsid w:val="00210260"/>
    <w:rsid w:val="00210C3F"/>
    <w:rsid w:val="002126B4"/>
    <w:rsid w:val="00212B0C"/>
    <w:rsid w:val="00212C27"/>
    <w:rsid w:val="00212E52"/>
    <w:rsid w:val="00213E9F"/>
    <w:rsid w:val="002147C5"/>
    <w:rsid w:val="0021498F"/>
    <w:rsid w:val="00217708"/>
    <w:rsid w:val="00217B40"/>
    <w:rsid w:val="00224414"/>
    <w:rsid w:val="00226E4C"/>
    <w:rsid w:val="00235C77"/>
    <w:rsid w:val="00245E5E"/>
    <w:rsid w:val="00246EB6"/>
    <w:rsid w:val="00257A67"/>
    <w:rsid w:val="00260CCB"/>
    <w:rsid w:val="00262899"/>
    <w:rsid w:val="00262CCA"/>
    <w:rsid w:val="0026386F"/>
    <w:rsid w:val="00263E35"/>
    <w:rsid w:val="00271792"/>
    <w:rsid w:val="002720CD"/>
    <w:rsid w:val="0027321A"/>
    <w:rsid w:val="002735C4"/>
    <w:rsid w:val="002758CC"/>
    <w:rsid w:val="00275A76"/>
    <w:rsid w:val="0028047B"/>
    <w:rsid w:val="0028394D"/>
    <w:rsid w:val="00283DFC"/>
    <w:rsid w:val="00283F5A"/>
    <w:rsid w:val="00284276"/>
    <w:rsid w:val="00286B3F"/>
    <w:rsid w:val="00290DE7"/>
    <w:rsid w:val="002941B3"/>
    <w:rsid w:val="002949CC"/>
    <w:rsid w:val="00296389"/>
    <w:rsid w:val="002A1C40"/>
    <w:rsid w:val="002A2B9D"/>
    <w:rsid w:val="002A7D05"/>
    <w:rsid w:val="002B0F5C"/>
    <w:rsid w:val="002B17E7"/>
    <w:rsid w:val="002B23AA"/>
    <w:rsid w:val="002B368F"/>
    <w:rsid w:val="002B3EFC"/>
    <w:rsid w:val="002B6D1E"/>
    <w:rsid w:val="002B7637"/>
    <w:rsid w:val="002C05B9"/>
    <w:rsid w:val="002C3DA5"/>
    <w:rsid w:val="002C4612"/>
    <w:rsid w:val="002C51FD"/>
    <w:rsid w:val="002D03A7"/>
    <w:rsid w:val="002D1444"/>
    <w:rsid w:val="002D1F20"/>
    <w:rsid w:val="002D1FE8"/>
    <w:rsid w:val="002D329D"/>
    <w:rsid w:val="002D4795"/>
    <w:rsid w:val="002E1114"/>
    <w:rsid w:val="002E2410"/>
    <w:rsid w:val="002E2F23"/>
    <w:rsid w:val="002E497C"/>
    <w:rsid w:val="002E7BC5"/>
    <w:rsid w:val="002F0C26"/>
    <w:rsid w:val="002F11D6"/>
    <w:rsid w:val="002F191A"/>
    <w:rsid w:val="002F5CC5"/>
    <w:rsid w:val="002F745C"/>
    <w:rsid w:val="00300B64"/>
    <w:rsid w:val="00300C69"/>
    <w:rsid w:val="00301F6E"/>
    <w:rsid w:val="003061E1"/>
    <w:rsid w:val="00307050"/>
    <w:rsid w:val="00311E16"/>
    <w:rsid w:val="003130A1"/>
    <w:rsid w:val="003165E9"/>
    <w:rsid w:val="00317566"/>
    <w:rsid w:val="003215C8"/>
    <w:rsid w:val="00321A43"/>
    <w:rsid w:val="0032362A"/>
    <w:rsid w:val="00331A48"/>
    <w:rsid w:val="00332B6D"/>
    <w:rsid w:val="003345EB"/>
    <w:rsid w:val="00335CD1"/>
    <w:rsid w:val="0033689A"/>
    <w:rsid w:val="00336B25"/>
    <w:rsid w:val="003447D4"/>
    <w:rsid w:val="00347353"/>
    <w:rsid w:val="00350DC8"/>
    <w:rsid w:val="003511AC"/>
    <w:rsid w:val="003524BD"/>
    <w:rsid w:val="003559F2"/>
    <w:rsid w:val="0035623F"/>
    <w:rsid w:val="00357365"/>
    <w:rsid w:val="00361F4B"/>
    <w:rsid w:val="00362549"/>
    <w:rsid w:val="003651ED"/>
    <w:rsid w:val="003652BF"/>
    <w:rsid w:val="00365BAB"/>
    <w:rsid w:val="00370ABD"/>
    <w:rsid w:val="003714B2"/>
    <w:rsid w:val="00374F8C"/>
    <w:rsid w:val="00375301"/>
    <w:rsid w:val="0037772D"/>
    <w:rsid w:val="00382454"/>
    <w:rsid w:val="00383FF3"/>
    <w:rsid w:val="00384470"/>
    <w:rsid w:val="00384976"/>
    <w:rsid w:val="00386583"/>
    <w:rsid w:val="003872A4"/>
    <w:rsid w:val="00387440"/>
    <w:rsid w:val="003909C3"/>
    <w:rsid w:val="003931E2"/>
    <w:rsid w:val="00393420"/>
    <w:rsid w:val="003940F2"/>
    <w:rsid w:val="0039442F"/>
    <w:rsid w:val="0039721B"/>
    <w:rsid w:val="00397FF5"/>
    <w:rsid w:val="003A2079"/>
    <w:rsid w:val="003A454D"/>
    <w:rsid w:val="003A6EFC"/>
    <w:rsid w:val="003B03B9"/>
    <w:rsid w:val="003B041E"/>
    <w:rsid w:val="003B2CD0"/>
    <w:rsid w:val="003B308F"/>
    <w:rsid w:val="003B3577"/>
    <w:rsid w:val="003C257A"/>
    <w:rsid w:val="003C5A62"/>
    <w:rsid w:val="003C77D6"/>
    <w:rsid w:val="003D4C69"/>
    <w:rsid w:val="003D64B6"/>
    <w:rsid w:val="003D7761"/>
    <w:rsid w:val="003E1B28"/>
    <w:rsid w:val="003E2BF0"/>
    <w:rsid w:val="003E3C7B"/>
    <w:rsid w:val="003E4BD2"/>
    <w:rsid w:val="003E4C20"/>
    <w:rsid w:val="003E5561"/>
    <w:rsid w:val="003F028A"/>
    <w:rsid w:val="003F14BF"/>
    <w:rsid w:val="003F3299"/>
    <w:rsid w:val="003F33E9"/>
    <w:rsid w:val="003F4860"/>
    <w:rsid w:val="003F4EB5"/>
    <w:rsid w:val="003F5134"/>
    <w:rsid w:val="003F626C"/>
    <w:rsid w:val="004041DF"/>
    <w:rsid w:val="00405C8C"/>
    <w:rsid w:val="00406D63"/>
    <w:rsid w:val="00410FA3"/>
    <w:rsid w:val="00411B80"/>
    <w:rsid w:val="00412208"/>
    <w:rsid w:val="00413438"/>
    <w:rsid w:val="004147F4"/>
    <w:rsid w:val="0042061E"/>
    <w:rsid w:val="004213F9"/>
    <w:rsid w:val="00423799"/>
    <w:rsid w:val="00423E65"/>
    <w:rsid w:val="00424C7B"/>
    <w:rsid w:val="0042672A"/>
    <w:rsid w:val="00426DFC"/>
    <w:rsid w:val="004306DD"/>
    <w:rsid w:val="00430ABD"/>
    <w:rsid w:val="0043128D"/>
    <w:rsid w:val="004312F7"/>
    <w:rsid w:val="004334C5"/>
    <w:rsid w:val="00434B30"/>
    <w:rsid w:val="00435DC5"/>
    <w:rsid w:val="00436A48"/>
    <w:rsid w:val="00436B1A"/>
    <w:rsid w:val="00440158"/>
    <w:rsid w:val="00445F5E"/>
    <w:rsid w:val="004466C2"/>
    <w:rsid w:val="00446C53"/>
    <w:rsid w:val="00452702"/>
    <w:rsid w:val="00454F51"/>
    <w:rsid w:val="00455E03"/>
    <w:rsid w:val="004607DE"/>
    <w:rsid w:val="00461783"/>
    <w:rsid w:val="004617E2"/>
    <w:rsid w:val="00461A12"/>
    <w:rsid w:val="004628BC"/>
    <w:rsid w:val="00463F64"/>
    <w:rsid w:val="004640AC"/>
    <w:rsid w:val="00465D28"/>
    <w:rsid w:val="0047088D"/>
    <w:rsid w:val="00470C41"/>
    <w:rsid w:val="004723A8"/>
    <w:rsid w:val="004727E6"/>
    <w:rsid w:val="004743D8"/>
    <w:rsid w:val="0047455D"/>
    <w:rsid w:val="00475AC1"/>
    <w:rsid w:val="00477D02"/>
    <w:rsid w:val="00481E9B"/>
    <w:rsid w:val="004820B7"/>
    <w:rsid w:val="004908A8"/>
    <w:rsid w:val="00491C40"/>
    <w:rsid w:val="00491D63"/>
    <w:rsid w:val="00492636"/>
    <w:rsid w:val="00493C3A"/>
    <w:rsid w:val="004947D0"/>
    <w:rsid w:val="0049664F"/>
    <w:rsid w:val="00496DB8"/>
    <w:rsid w:val="004A1880"/>
    <w:rsid w:val="004A1E58"/>
    <w:rsid w:val="004A2559"/>
    <w:rsid w:val="004A7099"/>
    <w:rsid w:val="004B2727"/>
    <w:rsid w:val="004B27DE"/>
    <w:rsid w:val="004B37E0"/>
    <w:rsid w:val="004B534A"/>
    <w:rsid w:val="004B66FE"/>
    <w:rsid w:val="004B6A79"/>
    <w:rsid w:val="004C12B0"/>
    <w:rsid w:val="004C2C2A"/>
    <w:rsid w:val="004C737B"/>
    <w:rsid w:val="004C7DC7"/>
    <w:rsid w:val="004D1F28"/>
    <w:rsid w:val="004D3A50"/>
    <w:rsid w:val="004D3E66"/>
    <w:rsid w:val="004D7B06"/>
    <w:rsid w:val="004E068E"/>
    <w:rsid w:val="004E0B02"/>
    <w:rsid w:val="004E104E"/>
    <w:rsid w:val="004E4541"/>
    <w:rsid w:val="004E4BBD"/>
    <w:rsid w:val="004E4C39"/>
    <w:rsid w:val="004E4EA7"/>
    <w:rsid w:val="004E580B"/>
    <w:rsid w:val="004E7FCD"/>
    <w:rsid w:val="004F2297"/>
    <w:rsid w:val="004F2FAF"/>
    <w:rsid w:val="004F3C54"/>
    <w:rsid w:val="004F3E60"/>
    <w:rsid w:val="004F4D3B"/>
    <w:rsid w:val="00500265"/>
    <w:rsid w:val="005002C1"/>
    <w:rsid w:val="00501A13"/>
    <w:rsid w:val="00502A18"/>
    <w:rsid w:val="00504FC5"/>
    <w:rsid w:val="00510373"/>
    <w:rsid w:val="005103E2"/>
    <w:rsid w:val="0051153A"/>
    <w:rsid w:val="00511BD6"/>
    <w:rsid w:val="00516017"/>
    <w:rsid w:val="00516622"/>
    <w:rsid w:val="00516D8B"/>
    <w:rsid w:val="00517077"/>
    <w:rsid w:val="00521547"/>
    <w:rsid w:val="00521B59"/>
    <w:rsid w:val="00523770"/>
    <w:rsid w:val="00526F1D"/>
    <w:rsid w:val="00527911"/>
    <w:rsid w:val="0053039D"/>
    <w:rsid w:val="0053289A"/>
    <w:rsid w:val="00532B16"/>
    <w:rsid w:val="005345B2"/>
    <w:rsid w:val="00535977"/>
    <w:rsid w:val="00536E0F"/>
    <w:rsid w:val="00540554"/>
    <w:rsid w:val="00543B2F"/>
    <w:rsid w:val="00543BC1"/>
    <w:rsid w:val="0055339D"/>
    <w:rsid w:val="00553BB0"/>
    <w:rsid w:val="00554E93"/>
    <w:rsid w:val="00555DBD"/>
    <w:rsid w:val="00556B11"/>
    <w:rsid w:val="005616A7"/>
    <w:rsid w:val="005619CD"/>
    <w:rsid w:val="00564D40"/>
    <w:rsid w:val="0056614E"/>
    <w:rsid w:val="0056642F"/>
    <w:rsid w:val="00567045"/>
    <w:rsid w:val="00567586"/>
    <w:rsid w:val="00570B69"/>
    <w:rsid w:val="005712B2"/>
    <w:rsid w:val="0057230D"/>
    <w:rsid w:val="0057268D"/>
    <w:rsid w:val="005761B6"/>
    <w:rsid w:val="0057781E"/>
    <w:rsid w:val="0058226D"/>
    <w:rsid w:val="005834BE"/>
    <w:rsid w:val="00584DDF"/>
    <w:rsid w:val="0058568C"/>
    <w:rsid w:val="0058699D"/>
    <w:rsid w:val="00587190"/>
    <w:rsid w:val="0059027B"/>
    <w:rsid w:val="00590C75"/>
    <w:rsid w:val="00590C97"/>
    <w:rsid w:val="00591EA1"/>
    <w:rsid w:val="00593191"/>
    <w:rsid w:val="00594811"/>
    <w:rsid w:val="005A0471"/>
    <w:rsid w:val="005A1157"/>
    <w:rsid w:val="005A131D"/>
    <w:rsid w:val="005A17CD"/>
    <w:rsid w:val="005A2310"/>
    <w:rsid w:val="005A2D14"/>
    <w:rsid w:val="005A34CC"/>
    <w:rsid w:val="005A4638"/>
    <w:rsid w:val="005A5209"/>
    <w:rsid w:val="005A5DB8"/>
    <w:rsid w:val="005A6D0F"/>
    <w:rsid w:val="005A7E03"/>
    <w:rsid w:val="005B13FE"/>
    <w:rsid w:val="005B4B12"/>
    <w:rsid w:val="005B691D"/>
    <w:rsid w:val="005B6DE7"/>
    <w:rsid w:val="005B787A"/>
    <w:rsid w:val="005C3DE5"/>
    <w:rsid w:val="005C4AA2"/>
    <w:rsid w:val="005C4E1B"/>
    <w:rsid w:val="005C4FC3"/>
    <w:rsid w:val="005C60BF"/>
    <w:rsid w:val="005C6925"/>
    <w:rsid w:val="005C6DF7"/>
    <w:rsid w:val="005C73DD"/>
    <w:rsid w:val="005D0437"/>
    <w:rsid w:val="005D2B85"/>
    <w:rsid w:val="005D6E87"/>
    <w:rsid w:val="005D6F91"/>
    <w:rsid w:val="005D7458"/>
    <w:rsid w:val="005E4672"/>
    <w:rsid w:val="005E4A8A"/>
    <w:rsid w:val="005F02C9"/>
    <w:rsid w:val="005F0F4C"/>
    <w:rsid w:val="005F111A"/>
    <w:rsid w:val="005F1C7B"/>
    <w:rsid w:val="005F295B"/>
    <w:rsid w:val="005F3A8B"/>
    <w:rsid w:val="0060083F"/>
    <w:rsid w:val="006025A7"/>
    <w:rsid w:val="006026A7"/>
    <w:rsid w:val="006046E5"/>
    <w:rsid w:val="00606FA4"/>
    <w:rsid w:val="00610F04"/>
    <w:rsid w:val="00612F1F"/>
    <w:rsid w:val="00613D7D"/>
    <w:rsid w:val="0061734A"/>
    <w:rsid w:val="006205FE"/>
    <w:rsid w:val="006208EA"/>
    <w:rsid w:val="00622840"/>
    <w:rsid w:val="00624A9B"/>
    <w:rsid w:val="00624FB0"/>
    <w:rsid w:val="0062511B"/>
    <w:rsid w:val="00627310"/>
    <w:rsid w:val="00635AE6"/>
    <w:rsid w:val="00635CEF"/>
    <w:rsid w:val="00637187"/>
    <w:rsid w:val="00642575"/>
    <w:rsid w:val="00643196"/>
    <w:rsid w:val="006452E3"/>
    <w:rsid w:val="00647DA7"/>
    <w:rsid w:val="006510A3"/>
    <w:rsid w:val="00652B17"/>
    <w:rsid w:val="00653B60"/>
    <w:rsid w:val="006547D1"/>
    <w:rsid w:val="0065518B"/>
    <w:rsid w:val="00655EFE"/>
    <w:rsid w:val="006573F6"/>
    <w:rsid w:val="00660225"/>
    <w:rsid w:val="00661513"/>
    <w:rsid w:val="00662E64"/>
    <w:rsid w:val="00663C60"/>
    <w:rsid w:val="0066577A"/>
    <w:rsid w:val="006709A8"/>
    <w:rsid w:val="006718BA"/>
    <w:rsid w:val="00673D9D"/>
    <w:rsid w:val="00673EB5"/>
    <w:rsid w:val="006751A1"/>
    <w:rsid w:val="00675445"/>
    <w:rsid w:val="00675BC7"/>
    <w:rsid w:val="0068110A"/>
    <w:rsid w:val="0068499B"/>
    <w:rsid w:val="00690969"/>
    <w:rsid w:val="006938BA"/>
    <w:rsid w:val="00694743"/>
    <w:rsid w:val="006959ED"/>
    <w:rsid w:val="00696ADA"/>
    <w:rsid w:val="0069713D"/>
    <w:rsid w:val="006A10EE"/>
    <w:rsid w:val="006A3064"/>
    <w:rsid w:val="006A428D"/>
    <w:rsid w:val="006A4D08"/>
    <w:rsid w:val="006A5C69"/>
    <w:rsid w:val="006A62E5"/>
    <w:rsid w:val="006A69F9"/>
    <w:rsid w:val="006A79C9"/>
    <w:rsid w:val="006B0EB7"/>
    <w:rsid w:val="006B1F97"/>
    <w:rsid w:val="006B2B92"/>
    <w:rsid w:val="006B2C93"/>
    <w:rsid w:val="006B388D"/>
    <w:rsid w:val="006B5A59"/>
    <w:rsid w:val="006B68B4"/>
    <w:rsid w:val="006C1409"/>
    <w:rsid w:val="006C37B0"/>
    <w:rsid w:val="006C3898"/>
    <w:rsid w:val="006C3AE0"/>
    <w:rsid w:val="006C5A11"/>
    <w:rsid w:val="006C5F0A"/>
    <w:rsid w:val="006C763A"/>
    <w:rsid w:val="006D214A"/>
    <w:rsid w:val="006D322A"/>
    <w:rsid w:val="006D349F"/>
    <w:rsid w:val="006D394A"/>
    <w:rsid w:val="006D5EB6"/>
    <w:rsid w:val="006D64E2"/>
    <w:rsid w:val="006D7056"/>
    <w:rsid w:val="006D7625"/>
    <w:rsid w:val="006E0B04"/>
    <w:rsid w:val="006E0B5E"/>
    <w:rsid w:val="006E1227"/>
    <w:rsid w:val="006E1891"/>
    <w:rsid w:val="006E3352"/>
    <w:rsid w:val="006E7E6E"/>
    <w:rsid w:val="006F2A21"/>
    <w:rsid w:val="006F6A9F"/>
    <w:rsid w:val="006F7674"/>
    <w:rsid w:val="00701F51"/>
    <w:rsid w:val="00702EF0"/>
    <w:rsid w:val="00703194"/>
    <w:rsid w:val="00703791"/>
    <w:rsid w:val="007059F6"/>
    <w:rsid w:val="00711EF2"/>
    <w:rsid w:val="0071366A"/>
    <w:rsid w:val="00714EFE"/>
    <w:rsid w:val="007156D0"/>
    <w:rsid w:val="007162CE"/>
    <w:rsid w:val="0071686F"/>
    <w:rsid w:val="00717A4B"/>
    <w:rsid w:val="007202A3"/>
    <w:rsid w:val="007226D7"/>
    <w:rsid w:val="007235F1"/>
    <w:rsid w:val="007244DD"/>
    <w:rsid w:val="00724C85"/>
    <w:rsid w:val="0072579E"/>
    <w:rsid w:val="00726E81"/>
    <w:rsid w:val="007310C4"/>
    <w:rsid w:val="00733561"/>
    <w:rsid w:val="0073592B"/>
    <w:rsid w:val="00735D22"/>
    <w:rsid w:val="00736009"/>
    <w:rsid w:val="00736203"/>
    <w:rsid w:val="00737790"/>
    <w:rsid w:val="007440EE"/>
    <w:rsid w:val="00744C22"/>
    <w:rsid w:val="00746FC5"/>
    <w:rsid w:val="00747AE6"/>
    <w:rsid w:val="00747E9F"/>
    <w:rsid w:val="007524C7"/>
    <w:rsid w:val="00752960"/>
    <w:rsid w:val="007549AE"/>
    <w:rsid w:val="00755103"/>
    <w:rsid w:val="00760122"/>
    <w:rsid w:val="007614CB"/>
    <w:rsid w:val="00762878"/>
    <w:rsid w:val="00763FEE"/>
    <w:rsid w:val="0076554A"/>
    <w:rsid w:val="00765A90"/>
    <w:rsid w:val="00766212"/>
    <w:rsid w:val="00766D31"/>
    <w:rsid w:val="00766E9C"/>
    <w:rsid w:val="00771514"/>
    <w:rsid w:val="007727DE"/>
    <w:rsid w:val="00775EFA"/>
    <w:rsid w:val="007767CB"/>
    <w:rsid w:val="00776844"/>
    <w:rsid w:val="00776D39"/>
    <w:rsid w:val="007770ED"/>
    <w:rsid w:val="00780831"/>
    <w:rsid w:val="007815E9"/>
    <w:rsid w:val="00782158"/>
    <w:rsid w:val="00783623"/>
    <w:rsid w:val="00785CC9"/>
    <w:rsid w:val="0079110E"/>
    <w:rsid w:val="007934F4"/>
    <w:rsid w:val="00794188"/>
    <w:rsid w:val="007A09E0"/>
    <w:rsid w:val="007A09E7"/>
    <w:rsid w:val="007A45CB"/>
    <w:rsid w:val="007A6671"/>
    <w:rsid w:val="007B0D6E"/>
    <w:rsid w:val="007B3159"/>
    <w:rsid w:val="007B328A"/>
    <w:rsid w:val="007B45E2"/>
    <w:rsid w:val="007B54FC"/>
    <w:rsid w:val="007B5C36"/>
    <w:rsid w:val="007B7522"/>
    <w:rsid w:val="007C16CC"/>
    <w:rsid w:val="007C1C81"/>
    <w:rsid w:val="007C1FD8"/>
    <w:rsid w:val="007C2754"/>
    <w:rsid w:val="007C4FF6"/>
    <w:rsid w:val="007C5F49"/>
    <w:rsid w:val="007C744D"/>
    <w:rsid w:val="007D028F"/>
    <w:rsid w:val="007D134F"/>
    <w:rsid w:val="007D18EB"/>
    <w:rsid w:val="007D1B2D"/>
    <w:rsid w:val="007D227D"/>
    <w:rsid w:val="007D3246"/>
    <w:rsid w:val="007D7405"/>
    <w:rsid w:val="007E0656"/>
    <w:rsid w:val="007E1E26"/>
    <w:rsid w:val="007E2377"/>
    <w:rsid w:val="007E346F"/>
    <w:rsid w:val="007E6285"/>
    <w:rsid w:val="007E744E"/>
    <w:rsid w:val="007F0891"/>
    <w:rsid w:val="007F1B97"/>
    <w:rsid w:val="007F441A"/>
    <w:rsid w:val="007F4BFF"/>
    <w:rsid w:val="00801F2C"/>
    <w:rsid w:val="00801F63"/>
    <w:rsid w:val="0080456C"/>
    <w:rsid w:val="00810219"/>
    <w:rsid w:val="008118E8"/>
    <w:rsid w:val="00811ED9"/>
    <w:rsid w:val="008145FD"/>
    <w:rsid w:val="00814F14"/>
    <w:rsid w:val="00816D67"/>
    <w:rsid w:val="00820EB4"/>
    <w:rsid w:val="008216AC"/>
    <w:rsid w:val="0082315F"/>
    <w:rsid w:val="00824320"/>
    <w:rsid w:val="00826392"/>
    <w:rsid w:val="008307E4"/>
    <w:rsid w:val="00831C4D"/>
    <w:rsid w:val="00834CCD"/>
    <w:rsid w:val="00835B75"/>
    <w:rsid w:val="00837864"/>
    <w:rsid w:val="00841071"/>
    <w:rsid w:val="00842490"/>
    <w:rsid w:val="008425DA"/>
    <w:rsid w:val="0084369D"/>
    <w:rsid w:val="0085154D"/>
    <w:rsid w:val="00852693"/>
    <w:rsid w:val="00855943"/>
    <w:rsid w:val="00855F07"/>
    <w:rsid w:val="00855F34"/>
    <w:rsid w:val="00865294"/>
    <w:rsid w:val="00865F72"/>
    <w:rsid w:val="00870B42"/>
    <w:rsid w:val="00870E29"/>
    <w:rsid w:val="00871C7A"/>
    <w:rsid w:val="008771B9"/>
    <w:rsid w:val="00881600"/>
    <w:rsid w:val="00881D00"/>
    <w:rsid w:val="00883BDA"/>
    <w:rsid w:val="00884957"/>
    <w:rsid w:val="00885E50"/>
    <w:rsid w:val="00886803"/>
    <w:rsid w:val="008904AD"/>
    <w:rsid w:val="0089114E"/>
    <w:rsid w:val="00891869"/>
    <w:rsid w:val="008927E2"/>
    <w:rsid w:val="00894545"/>
    <w:rsid w:val="00895475"/>
    <w:rsid w:val="00897D5D"/>
    <w:rsid w:val="008A129F"/>
    <w:rsid w:val="008A12A6"/>
    <w:rsid w:val="008A2EB3"/>
    <w:rsid w:val="008A52B2"/>
    <w:rsid w:val="008A6452"/>
    <w:rsid w:val="008A6C1B"/>
    <w:rsid w:val="008B01C8"/>
    <w:rsid w:val="008B6B87"/>
    <w:rsid w:val="008B6D0E"/>
    <w:rsid w:val="008B794E"/>
    <w:rsid w:val="008C14A1"/>
    <w:rsid w:val="008C1DC1"/>
    <w:rsid w:val="008C48CE"/>
    <w:rsid w:val="008C4FE2"/>
    <w:rsid w:val="008C6CE8"/>
    <w:rsid w:val="008C7FC0"/>
    <w:rsid w:val="008D1F23"/>
    <w:rsid w:val="008D2431"/>
    <w:rsid w:val="008D3315"/>
    <w:rsid w:val="008D442D"/>
    <w:rsid w:val="008E2ECD"/>
    <w:rsid w:val="008E4207"/>
    <w:rsid w:val="008E4242"/>
    <w:rsid w:val="008E43F7"/>
    <w:rsid w:val="008E4664"/>
    <w:rsid w:val="008E5A09"/>
    <w:rsid w:val="008F10BA"/>
    <w:rsid w:val="008F17AF"/>
    <w:rsid w:val="008F5314"/>
    <w:rsid w:val="008F55E1"/>
    <w:rsid w:val="008F5CD9"/>
    <w:rsid w:val="00900A88"/>
    <w:rsid w:val="00903BCD"/>
    <w:rsid w:val="00904F6A"/>
    <w:rsid w:val="009066D6"/>
    <w:rsid w:val="00907671"/>
    <w:rsid w:val="00907E45"/>
    <w:rsid w:val="009112F0"/>
    <w:rsid w:val="00913F12"/>
    <w:rsid w:val="0091526C"/>
    <w:rsid w:val="0091557C"/>
    <w:rsid w:val="00915F68"/>
    <w:rsid w:val="00917308"/>
    <w:rsid w:val="009201B4"/>
    <w:rsid w:val="0092306C"/>
    <w:rsid w:val="009248E8"/>
    <w:rsid w:val="00926B1B"/>
    <w:rsid w:val="00930C90"/>
    <w:rsid w:val="00931785"/>
    <w:rsid w:val="00932858"/>
    <w:rsid w:val="00934EA6"/>
    <w:rsid w:val="00941341"/>
    <w:rsid w:val="0094455D"/>
    <w:rsid w:val="009459F1"/>
    <w:rsid w:val="00947426"/>
    <w:rsid w:val="009479DD"/>
    <w:rsid w:val="0095081C"/>
    <w:rsid w:val="00950C99"/>
    <w:rsid w:val="00951C16"/>
    <w:rsid w:val="00951E26"/>
    <w:rsid w:val="009527B8"/>
    <w:rsid w:val="00952967"/>
    <w:rsid w:val="009565D6"/>
    <w:rsid w:val="00956B59"/>
    <w:rsid w:val="00956B5E"/>
    <w:rsid w:val="00956D29"/>
    <w:rsid w:val="00957736"/>
    <w:rsid w:val="009602F5"/>
    <w:rsid w:val="0096081C"/>
    <w:rsid w:val="00962D4F"/>
    <w:rsid w:val="00963C14"/>
    <w:rsid w:val="00967260"/>
    <w:rsid w:val="009677B7"/>
    <w:rsid w:val="009711F1"/>
    <w:rsid w:val="00971224"/>
    <w:rsid w:val="00971BE9"/>
    <w:rsid w:val="009727F2"/>
    <w:rsid w:val="00973001"/>
    <w:rsid w:val="00974301"/>
    <w:rsid w:val="00977354"/>
    <w:rsid w:val="00977E3C"/>
    <w:rsid w:val="0098251C"/>
    <w:rsid w:val="00982A1A"/>
    <w:rsid w:val="00986B5E"/>
    <w:rsid w:val="0098703F"/>
    <w:rsid w:val="00990467"/>
    <w:rsid w:val="00991012"/>
    <w:rsid w:val="00991799"/>
    <w:rsid w:val="00991BC1"/>
    <w:rsid w:val="00992DE9"/>
    <w:rsid w:val="00994240"/>
    <w:rsid w:val="0099587E"/>
    <w:rsid w:val="00995D71"/>
    <w:rsid w:val="00995DE3"/>
    <w:rsid w:val="00996F70"/>
    <w:rsid w:val="00997227"/>
    <w:rsid w:val="009A0004"/>
    <w:rsid w:val="009A06AE"/>
    <w:rsid w:val="009A318D"/>
    <w:rsid w:val="009A3192"/>
    <w:rsid w:val="009A597E"/>
    <w:rsid w:val="009A6082"/>
    <w:rsid w:val="009A6960"/>
    <w:rsid w:val="009B008D"/>
    <w:rsid w:val="009B04A2"/>
    <w:rsid w:val="009B1889"/>
    <w:rsid w:val="009B4A94"/>
    <w:rsid w:val="009B57E4"/>
    <w:rsid w:val="009B5BB1"/>
    <w:rsid w:val="009B5D4A"/>
    <w:rsid w:val="009B7C4E"/>
    <w:rsid w:val="009C0D03"/>
    <w:rsid w:val="009C21A8"/>
    <w:rsid w:val="009C2AD3"/>
    <w:rsid w:val="009C3866"/>
    <w:rsid w:val="009C7D29"/>
    <w:rsid w:val="009D00A2"/>
    <w:rsid w:val="009D266E"/>
    <w:rsid w:val="009D50B6"/>
    <w:rsid w:val="009D5DAF"/>
    <w:rsid w:val="009D7CE8"/>
    <w:rsid w:val="009E0FC8"/>
    <w:rsid w:val="009E1268"/>
    <w:rsid w:val="009E18A8"/>
    <w:rsid w:val="009E2538"/>
    <w:rsid w:val="009E5C79"/>
    <w:rsid w:val="009E5CD0"/>
    <w:rsid w:val="009E69CC"/>
    <w:rsid w:val="009F0E99"/>
    <w:rsid w:val="009F267E"/>
    <w:rsid w:val="009F5937"/>
    <w:rsid w:val="009F5CA5"/>
    <w:rsid w:val="009F5DE5"/>
    <w:rsid w:val="009F6A84"/>
    <w:rsid w:val="009F7C3A"/>
    <w:rsid w:val="00A008E1"/>
    <w:rsid w:val="00A00EBB"/>
    <w:rsid w:val="00A01295"/>
    <w:rsid w:val="00A02881"/>
    <w:rsid w:val="00A02D79"/>
    <w:rsid w:val="00A06FD5"/>
    <w:rsid w:val="00A07CDA"/>
    <w:rsid w:val="00A1148A"/>
    <w:rsid w:val="00A122AB"/>
    <w:rsid w:val="00A12BED"/>
    <w:rsid w:val="00A16C45"/>
    <w:rsid w:val="00A171E4"/>
    <w:rsid w:val="00A1745E"/>
    <w:rsid w:val="00A20FCC"/>
    <w:rsid w:val="00A2303A"/>
    <w:rsid w:val="00A23155"/>
    <w:rsid w:val="00A2671D"/>
    <w:rsid w:val="00A26F10"/>
    <w:rsid w:val="00A27197"/>
    <w:rsid w:val="00A30F42"/>
    <w:rsid w:val="00A3113E"/>
    <w:rsid w:val="00A312C2"/>
    <w:rsid w:val="00A32C28"/>
    <w:rsid w:val="00A37F35"/>
    <w:rsid w:val="00A40362"/>
    <w:rsid w:val="00A40AEA"/>
    <w:rsid w:val="00A40CCD"/>
    <w:rsid w:val="00A43D6C"/>
    <w:rsid w:val="00A479B8"/>
    <w:rsid w:val="00A523C6"/>
    <w:rsid w:val="00A54354"/>
    <w:rsid w:val="00A54559"/>
    <w:rsid w:val="00A548B1"/>
    <w:rsid w:val="00A60B80"/>
    <w:rsid w:val="00A616B5"/>
    <w:rsid w:val="00A62DF0"/>
    <w:rsid w:val="00A62F0A"/>
    <w:rsid w:val="00A63442"/>
    <w:rsid w:val="00A6467A"/>
    <w:rsid w:val="00A64B09"/>
    <w:rsid w:val="00A653D9"/>
    <w:rsid w:val="00A666F4"/>
    <w:rsid w:val="00A66B80"/>
    <w:rsid w:val="00A70273"/>
    <w:rsid w:val="00A728B8"/>
    <w:rsid w:val="00A73DB4"/>
    <w:rsid w:val="00A8276F"/>
    <w:rsid w:val="00A86EA4"/>
    <w:rsid w:val="00A878E9"/>
    <w:rsid w:val="00A9245C"/>
    <w:rsid w:val="00A97F17"/>
    <w:rsid w:val="00AA136B"/>
    <w:rsid w:val="00AA481E"/>
    <w:rsid w:val="00AA7E09"/>
    <w:rsid w:val="00AB1FC6"/>
    <w:rsid w:val="00AB3193"/>
    <w:rsid w:val="00AB574E"/>
    <w:rsid w:val="00AB7848"/>
    <w:rsid w:val="00AC0109"/>
    <w:rsid w:val="00AC2687"/>
    <w:rsid w:val="00AC410F"/>
    <w:rsid w:val="00AC578C"/>
    <w:rsid w:val="00AC6BE9"/>
    <w:rsid w:val="00AC6E87"/>
    <w:rsid w:val="00AC72F7"/>
    <w:rsid w:val="00AC749B"/>
    <w:rsid w:val="00AD005A"/>
    <w:rsid w:val="00AD1BCE"/>
    <w:rsid w:val="00AD3609"/>
    <w:rsid w:val="00AD4DDA"/>
    <w:rsid w:val="00AE1D7B"/>
    <w:rsid w:val="00AE5D69"/>
    <w:rsid w:val="00AE5DD9"/>
    <w:rsid w:val="00AE7751"/>
    <w:rsid w:val="00AF0061"/>
    <w:rsid w:val="00AF2634"/>
    <w:rsid w:val="00AF3F2F"/>
    <w:rsid w:val="00AF49D5"/>
    <w:rsid w:val="00AF4EB3"/>
    <w:rsid w:val="00AF5360"/>
    <w:rsid w:val="00AF67B1"/>
    <w:rsid w:val="00B005E1"/>
    <w:rsid w:val="00B014F5"/>
    <w:rsid w:val="00B03057"/>
    <w:rsid w:val="00B0427D"/>
    <w:rsid w:val="00B05551"/>
    <w:rsid w:val="00B05D6B"/>
    <w:rsid w:val="00B05E14"/>
    <w:rsid w:val="00B064DF"/>
    <w:rsid w:val="00B06849"/>
    <w:rsid w:val="00B0795F"/>
    <w:rsid w:val="00B10F7C"/>
    <w:rsid w:val="00B12813"/>
    <w:rsid w:val="00B1333B"/>
    <w:rsid w:val="00B14823"/>
    <w:rsid w:val="00B14870"/>
    <w:rsid w:val="00B156CF"/>
    <w:rsid w:val="00B16278"/>
    <w:rsid w:val="00B1754D"/>
    <w:rsid w:val="00B17DC7"/>
    <w:rsid w:val="00B20365"/>
    <w:rsid w:val="00B22841"/>
    <w:rsid w:val="00B2313B"/>
    <w:rsid w:val="00B24318"/>
    <w:rsid w:val="00B266B4"/>
    <w:rsid w:val="00B27709"/>
    <w:rsid w:val="00B3417C"/>
    <w:rsid w:val="00B34465"/>
    <w:rsid w:val="00B36E04"/>
    <w:rsid w:val="00B423E9"/>
    <w:rsid w:val="00B437E1"/>
    <w:rsid w:val="00B438BA"/>
    <w:rsid w:val="00B446E8"/>
    <w:rsid w:val="00B451FE"/>
    <w:rsid w:val="00B5069B"/>
    <w:rsid w:val="00B50CC7"/>
    <w:rsid w:val="00B515EA"/>
    <w:rsid w:val="00B52546"/>
    <w:rsid w:val="00B54556"/>
    <w:rsid w:val="00B567BA"/>
    <w:rsid w:val="00B57DC4"/>
    <w:rsid w:val="00B635BA"/>
    <w:rsid w:val="00B65C73"/>
    <w:rsid w:val="00B65F73"/>
    <w:rsid w:val="00B70591"/>
    <w:rsid w:val="00B72A8B"/>
    <w:rsid w:val="00B72B8C"/>
    <w:rsid w:val="00B74641"/>
    <w:rsid w:val="00B831EE"/>
    <w:rsid w:val="00B84070"/>
    <w:rsid w:val="00B841A7"/>
    <w:rsid w:val="00B84216"/>
    <w:rsid w:val="00B86895"/>
    <w:rsid w:val="00B86BB5"/>
    <w:rsid w:val="00B86ECF"/>
    <w:rsid w:val="00B9041B"/>
    <w:rsid w:val="00B90446"/>
    <w:rsid w:val="00B91548"/>
    <w:rsid w:val="00B924B7"/>
    <w:rsid w:val="00B954EA"/>
    <w:rsid w:val="00B9752E"/>
    <w:rsid w:val="00B97F7C"/>
    <w:rsid w:val="00BA0C30"/>
    <w:rsid w:val="00BA188A"/>
    <w:rsid w:val="00BA1E85"/>
    <w:rsid w:val="00BA438E"/>
    <w:rsid w:val="00BA45CA"/>
    <w:rsid w:val="00BA7668"/>
    <w:rsid w:val="00BB04FE"/>
    <w:rsid w:val="00BB21BE"/>
    <w:rsid w:val="00BB5123"/>
    <w:rsid w:val="00BB534C"/>
    <w:rsid w:val="00BB6B2A"/>
    <w:rsid w:val="00BC1258"/>
    <w:rsid w:val="00BC126D"/>
    <w:rsid w:val="00BC2585"/>
    <w:rsid w:val="00BC2774"/>
    <w:rsid w:val="00BC2BB2"/>
    <w:rsid w:val="00BC37FA"/>
    <w:rsid w:val="00BC5DAB"/>
    <w:rsid w:val="00BC60EA"/>
    <w:rsid w:val="00BC74F6"/>
    <w:rsid w:val="00BD038F"/>
    <w:rsid w:val="00BD0B72"/>
    <w:rsid w:val="00BD0D28"/>
    <w:rsid w:val="00BD29D2"/>
    <w:rsid w:val="00BD3C3C"/>
    <w:rsid w:val="00BD578A"/>
    <w:rsid w:val="00BD5DA5"/>
    <w:rsid w:val="00BD6317"/>
    <w:rsid w:val="00BE071A"/>
    <w:rsid w:val="00BE12ED"/>
    <w:rsid w:val="00BE13D6"/>
    <w:rsid w:val="00BE6385"/>
    <w:rsid w:val="00BE6678"/>
    <w:rsid w:val="00BE760D"/>
    <w:rsid w:val="00BE762A"/>
    <w:rsid w:val="00BF0C41"/>
    <w:rsid w:val="00BF0D71"/>
    <w:rsid w:val="00BF1B3A"/>
    <w:rsid w:val="00BF3467"/>
    <w:rsid w:val="00BF5DD4"/>
    <w:rsid w:val="00C02276"/>
    <w:rsid w:val="00C02FB7"/>
    <w:rsid w:val="00C038CC"/>
    <w:rsid w:val="00C05A62"/>
    <w:rsid w:val="00C07C15"/>
    <w:rsid w:val="00C15228"/>
    <w:rsid w:val="00C15F7D"/>
    <w:rsid w:val="00C17339"/>
    <w:rsid w:val="00C21274"/>
    <w:rsid w:val="00C26065"/>
    <w:rsid w:val="00C26B19"/>
    <w:rsid w:val="00C326E6"/>
    <w:rsid w:val="00C35519"/>
    <w:rsid w:val="00C3575E"/>
    <w:rsid w:val="00C37D34"/>
    <w:rsid w:val="00C43C8B"/>
    <w:rsid w:val="00C45246"/>
    <w:rsid w:val="00C46955"/>
    <w:rsid w:val="00C472D5"/>
    <w:rsid w:val="00C50070"/>
    <w:rsid w:val="00C51385"/>
    <w:rsid w:val="00C51880"/>
    <w:rsid w:val="00C518F4"/>
    <w:rsid w:val="00C52720"/>
    <w:rsid w:val="00C52998"/>
    <w:rsid w:val="00C5427B"/>
    <w:rsid w:val="00C54DBA"/>
    <w:rsid w:val="00C55904"/>
    <w:rsid w:val="00C607FB"/>
    <w:rsid w:val="00C60C44"/>
    <w:rsid w:val="00C65CCF"/>
    <w:rsid w:val="00C670ED"/>
    <w:rsid w:val="00C711F9"/>
    <w:rsid w:val="00C712A9"/>
    <w:rsid w:val="00C7193F"/>
    <w:rsid w:val="00C72BD5"/>
    <w:rsid w:val="00C733C0"/>
    <w:rsid w:val="00C74FBB"/>
    <w:rsid w:val="00C76A61"/>
    <w:rsid w:val="00C76E3D"/>
    <w:rsid w:val="00C813DB"/>
    <w:rsid w:val="00C840D7"/>
    <w:rsid w:val="00C8583E"/>
    <w:rsid w:val="00C860FA"/>
    <w:rsid w:val="00C87232"/>
    <w:rsid w:val="00C87E7A"/>
    <w:rsid w:val="00C87F7D"/>
    <w:rsid w:val="00C91AD5"/>
    <w:rsid w:val="00C924EC"/>
    <w:rsid w:val="00C9465A"/>
    <w:rsid w:val="00C94951"/>
    <w:rsid w:val="00C961E6"/>
    <w:rsid w:val="00CA0DA9"/>
    <w:rsid w:val="00CA4718"/>
    <w:rsid w:val="00CA4C03"/>
    <w:rsid w:val="00CA51DF"/>
    <w:rsid w:val="00CA5A3D"/>
    <w:rsid w:val="00CA61E5"/>
    <w:rsid w:val="00CA7929"/>
    <w:rsid w:val="00CB0DBF"/>
    <w:rsid w:val="00CB1305"/>
    <w:rsid w:val="00CB267C"/>
    <w:rsid w:val="00CB4A5B"/>
    <w:rsid w:val="00CB6325"/>
    <w:rsid w:val="00CC084E"/>
    <w:rsid w:val="00CC24C5"/>
    <w:rsid w:val="00CC42E5"/>
    <w:rsid w:val="00CC4AF0"/>
    <w:rsid w:val="00CC4F27"/>
    <w:rsid w:val="00CC785B"/>
    <w:rsid w:val="00CD0597"/>
    <w:rsid w:val="00CD22B4"/>
    <w:rsid w:val="00CD32CE"/>
    <w:rsid w:val="00CD3308"/>
    <w:rsid w:val="00CD7077"/>
    <w:rsid w:val="00CD7558"/>
    <w:rsid w:val="00CE1919"/>
    <w:rsid w:val="00CE1DA8"/>
    <w:rsid w:val="00CE41D4"/>
    <w:rsid w:val="00CE5AF4"/>
    <w:rsid w:val="00CE7ED5"/>
    <w:rsid w:val="00CF2C36"/>
    <w:rsid w:val="00CF2F74"/>
    <w:rsid w:val="00CF3D30"/>
    <w:rsid w:val="00CF44FC"/>
    <w:rsid w:val="00CF500E"/>
    <w:rsid w:val="00CF670C"/>
    <w:rsid w:val="00CF69AE"/>
    <w:rsid w:val="00CF6A03"/>
    <w:rsid w:val="00CF6E82"/>
    <w:rsid w:val="00CF6EC5"/>
    <w:rsid w:val="00CF6F63"/>
    <w:rsid w:val="00CF72C0"/>
    <w:rsid w:val="00D00A7C"/>
    <w:rsid w:val="00D01774"/>
    <w:rsid w:val="00D02535"/>
    <w:rsid w:val="00D04359"/>
    <w:rsid w:val="00D05786"/>
    <w:rsid w:val="00D06400"/>
    <w:rsid w:val="00D06848"/>
    <w:rsid w:val="00D07553"/>
    <w:rsid w:val="00D10456"/>
    <w:rsid w:val="00D13E8A"/>
    <w:rsid w:val="00D222F0"/>
    <w:rsid w:val="00D22678"/>
    <w:rsid w:val="00D22CB0"/>
    <w:rsid w:val="00D24A2F"/>
    <w:rsid w:val="00D32077"/>
    <w:rsid w:val="00D33C65"/>
    <w:rsid w:val="00D35224"/>
    <w:rsid w:val="00D35DE1"/>
    <w:rsid w:val="00D361EB"/>
    <w:rsid w:val="00D36DC2"/>
    <w:rsid w:val="00D407AF"/>
    <w:rsid w:val="00D421D9"/>
    <w:rsid w:val="00D436D5"/>
    <w:rsid w:val="00D46EA6"/>
    <w:rsid w:val="00D55DAD"/>
    <w:rsid w:val="00D56110"/>
    <w:rsid w:val="00D56AD7"/>
    <w:rsid w:val="00D578CB"/>
    <w:rsid w:val="00D60864"/>
    <w:rsid w:val="00D65DA3"/>
    <w:rsid w:val="00D660F6"/>
    <w:rsid w:val="00D71B3C"/>
    <w:rsid w:val="00D724B1"/>
    <w:rsid w:val="00D74282"/>
    <w:rsid w:val="00D74944"/>
    <w:rsid w:val="00D74B44"/>
    <w:rsid w:val="00D76B3A"/>
    <w:rsid w:val="00D770D5"/>
    <w:rsid w:val="00D82522"/>
    <w:rsid w:val="00D837A3"/>
    <w:rsid w:val="00D83B59"/>
    <w:rsid w:val="00D83BDD"/>
    <w:rsid w:val="00D840E5"/>
    <w:rsid w:val="00D85201"/>
    <w:rsid w:val="00D853CB"/>
    <w:rsid w:val="00D90B6A"/>
    <w:rsid w:val="00D92899"/>
    <w:rsid w:val="00D9606F"/>
    <w:rsid w:val="00DA32D5"/>
    <w:rsid w:val="00DA6B3E"/>
    <w:rsid w:val="00DB1AAF"/>
    <w:rsid w:val="00DC136D"/>
    <w:rsid w:val="00DC215F"/>
    <w:rsid w:val="00DC3368"/>
    <w:rsid w:val="00DC60EB"/>
    <w:rsid w:val="00DD46A1"/>
    <w:rsid w:val="00DE01BA"/>
    <w:rsid w:val="00DE23CE"/>
    <w:rsid w:val="00DE25A3"/>
    <w:rsid w:val="00DE26EF"/>
    <w:rsid w:val="00DE3BCC"/>
    <w:rsid w:val="00DE3F0B"/>
    <w:rsid w:val="00DE54E6"/>
    <w:rsid w:val="00DE77B3"/>
    <w:rsid w:val="00DF2648"/>
    <w:rsid w:val="00DF34E1"/>
    <w:rsid w:val="00DF5552"/>
    <w:rsid w:val="00DF6403"/>
    <w:rsid w:val="00DF7184"/>
    <w:rsid w:val="00DF7678"/>
    <w:rsid w:val="00E007E5"/>
    <w:rsid w:val="00E00AFB"/>
    <w:rsid w:val="00E01263"/>
    <w:rsid w:val="00E02028"/>
    <w:rsid w:val="00E021EC"/>
    <w:rsid w:val="00E04110"/>
    <w:rsid w:val="00E048B7"/>
    <w:rsid w:val="00E10ED7"/>
    <w:rsid w:val="00E13E11"/>
    <w:rsid w:val="00E13E26"/>
    <w:rsid w:val="00E151E0"/>
    <w:rsid w:val="00E161F7"/>
    <w:rsid w:val="00E16C7B"/>
    <w:rsid w:val="00E16C7D"/>
    <w:rsid w:val="00E17480"/>
    <w:rsid w:val="00E20DA2"/>
    <w:rsid w:val="00E224C4"/>
    <w:rsid w:val="00E2356D"/>
    <w:rsid w:val="00E23E2A"/>
    <w:rsid w:val="00E24FD8"/>
    <w:rsid w:val="00E25B47"/>
    <w:rsid w:val="00E32BE0"/>
    <w:rsid w:val="00E32BF5"/>
    <w:rsid w:val="00E34BBB"/>
    <w:rsid w:val="00E35DF3"/>
    <w:rsid w:val="00E36240"/>
    <w:rsid w:val="00E45454"/>
    <w:rsid w:val="00E45990"/>
    <w:rsid w:val="00E46DE0"/>
    <w:rsid w:val="00E47601"/>
    <w:rsid w:val="00E50A75"/>
    <w:rsid w:val="00E52639"/>
    <w:rsid w:val="00E5270B"/>
    <w:rsid w:val="00E52B0C"/>
    <w:rsid w:val="00E53231"/>
    <w:rsid w:val="00E548D7"/>
    <w:rsid w:val="00E556BF"/>
    <w:rsid w:val="00E57A8B"/>
    <w:rsid w:val="00E608BB"/>
    <w:rsid w:val="00E611F9"/>
    <w:rsid w:val="00E71876"/>
    <w:rsid w:val="00E7270A"/>
    <w:rsid w:val="00E72D85"/>
    <w:rsid w:val="00E7437C"/>
    <w:rsid w:val="00E74D5B"/>
    <w:rsid w:val="00E76C68"/>
    <w:rsid w:val="00E80B90"/>
    <w:rsid w:val="00E80D76"/>
    <w:rsid w:val="00E86C78"/>
    <w:rsid w:val="00E87D68"/>
    <w:rsid w:val="00E90F47"/>
    <w:rsid w:val="00E913DC"/>
    <w:rsid w:val="00E9296C"/>
    <w:rsid w:val="00E93291"/>
    <w:rsid w:val="00E935E1"/>
    <w:rsid w:val="00E93D78"/>
    <w:rsid w:val="00E94A0F"/>
    <w:rsid w:val="00E97A00"/>
    <w:rsid w:val="00E97E5E"/>
    <w:rsid w:val="00EA1569"/>
    <w:rsid w:val="00EA1D0B"/>
    <w:rsid w:val="00EA26DC"/>
    <w:rsid w:val="00EA2BEA"/>
    <w:rsid w:val="00EA3A5F"/>
    <w:rsid w:val="00EA3E50"/>
    <w:rsid w:val="00EA3FA2"/>
    <w:rsid w:val="00EA5853"/>
    <w:rsid w:val="00EA6C6B"/>
    <w:rsid w:val="00EA73AA"/>
    <w:rsid w:val="00EA7B77"/>
    <w:rsid w:val="00EA7C3B"/>
    <w:rsid w:val="00EB0963"/>
    <w:rsid w:val="00EB0E0D"/>
    <w:rsid w:val="00EB1CC7"/>
    <w:rsid w:val="00EB250A"/>
    <w:rsid w:val="00EB2813"/>
    <w:rsid w:val="00EB5794"/>
    <w:rsid w:val="00EC067C"/>
    <w:rsid w:val="00EC0B00"/>
    <w:rsid w:val="00EC1CFF"/>
    <w:rsid w:val="00EC3503"/>
    <w:rsid w:val="00EC7ACD"/>
    <w:rsid w:val="00ED09E1"/>
    <w:rsid w:val="00ED2A91"/>
    <w:rsid w:val="00ED4263"/>
    <w:rsid w:val="00ED6BDE"/>
    <w:rsid w:val="00EE03AD"/>
    <w:rsid w:val="00EE2FCC"/>
    <w:rsid w:val="00EE3DCB"/>
    <w:rsid w:val="00EE6FA7"/>
    <w:rsid w:val="00EF0C68"/>
    <w:rsid w:val="00EF1062"/>
    <w:rsid w:val="00EF13E6"/>
    <w:rsid w:val="00EF13EB"/>
    <w:rsid w:val="00EF3EE1"/>
    <w:rsid w:val="00EF4163"/>
    <w:rsid w:val="00EF7305"/>
    <w:rsid w:val="00EF7874"/>
    <w:rsid w:val="00EF7A84"/>
    <w:rsid w:val="00F0137C"/>
    <w:rsid w:val="00F01726"/>
    <w:rsid w:val="00F01ADC"/>
    <w:rsid w:val="00F0269C"/>
    <w:rsid w:val="00F032F2"/>
    <w:rsid w:val="00F04689"/>
    <w:rsid w:val="00F04F01"/>
    <w:rsid w:val="00F10041"/>
    <w:rsid w:val="00F1169E"/>
    <w:rsid w:val="00F1172F"/>
    <w:rsid w:val="00F1177A"/>
    <w:rsid w:val="00F11857"/>
    <w:rsid w:val="00F11D38"/>
    <w:rsid w:val="00F13F41"/>
    <w:rsid w:val="00F15B23"/>
    <w:rsid w:val="00F15BBC"/>
    <w:rsid w:val="00F16E5E"/>
    <w:rsid w:val="00F16EBD"/>
    <w:rsid w:val="00F1744C"/>
    <w:rsid w:val="00F20725"/>
    <w:rsid w:val="00F2265B"/>
    <w:rsid w:val="00F258DF"/>
    <w:rsid w:val="00F26F84"/>
    <w:rsid w:val="00F275F9"/>
    <w:rsid w:val="00F27B96"/>
    <w:rsid w:val="00F27C0E"/>
    <w:rsid w:val="00F27CB6"/>
    <w:rsid w:val="00F303B9"/>
    <w:rsid w:val="00F31ABF"/>
    <w:rsid w:val="00F33B5E"/>
    <w:rsid w:val="00F341F4"/>
    <w:rsid w:val="00F4151A"/>
    <w:rsid w:val="00F4344F"/>
    <w:rsid w:val="00F43456"/>
    <w:rsid w:val="00F45A1C"/>
    <w:rsid w:val="00F47884"/>
    <w:rsid w:val="00F5143E"/>
    <w:rsid w:val="00F53485"/>
    <w:rsid w:val="00F539A7"/>
    <w:rsid w:val="00F53FE4"/>
    <w:rsid w:val="00F555EA"/>
    <w:rsid w:val="00F55A98"/>
    <w:rsid w:val="00F57A07"/>
    <w:rsid w:val="00F60011"/>
    <w:rsid w:val="00F632B6"/>
    <w:rsid w:val="00F655DC"/>
    <w:rsid w:val="00F66C58"/>
    <w:rsid w:val="00F73B77"/>
    <w:rsid w:val="00F7482A"/>
    <w:rsid w:val="00F757FC"/>
    <w:rsid w:val="00F75A26"/>
    <w:rsid w:val="00F76784"/>
    <w:rsid w:val="00F81BBA"/>
    <w:rsid w:val="00F822A8"/>
    <w:rsid w:val="00F841CE"/>
    <w:rsid w:val="00F843FB"/>
    <w:rsid w:val="00F85387"/>
    <w:rsid w:val="00F91195"/>
    <w:rsid w:val="00F9264F"/>
    <w:rsid w:val="00F9277C"/>
    <w:rsid w:val="00F92B96"/>
    <w:rsid w:val="00F943FE"/>
    <w:rsid w:val="00F95579"/>
    <w:rsid w:val="00F958E2"/>
    <w:rsid w:val="00F9593F"/>
    <w:rsid w:val="00F97D28"/>
    <w:rsid w:val="00FA139E"/>
    <w:rsid w:val="00FA2256"/>
    <w:rsid w:val="00FA30F5"/>
    <w:rsid w:val="00FA347E"/>
    <w:rsid w:val="00FA34EE"/>
    <w:rsid w:val="00FA5D0C"/>
    <w:rsid w:val="00FA7CFB"/>
    <w:rsid w:val="00FB1E17"/>
    <w:rsid w:val="00FB3265"/>
    <w:rsid w:val="00FB71B2"/>
    <w:rsid w:val="00FB763C"/>
    <w:rsid w:val="00FB7B8B"/>
    <w:rsid w:val="00FC1AD5"/>
    <w:rsid w:val="00FC1F9D"/>
    <w:rsid w:val="00FC3C00"/>
    <w:rsid w:val="00FC427F"/>
    <w:rsid w:val="00FC67FE"/>
    <w:rsid w:val="00FD0A4D"/>
    <w:rsid w:val="00FD22C0"/>
    <w:rsid w:val="00FD2584"/>
    <w:rsid w:val="00FD66C3"/>
    <w:rsid w:val="00FD6D51"/>
    <w:rsid w:val="00FE0D1A"/>
    <w:rsid w:val="00FE218C"/>
    <w:rsid w:val="00FE59C6"/>
    <w:rsid w:val="00FF1513"/>
    <w:rsid w:val="00FF1F1D"/>
    <w:rsid w:val="00FF3452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319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ExecOffice">
    <w:name w:val="Exec Office"/>
    <w:basedOn w:val="Normal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34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27B96"/>
    <w:rPr>
      <w:color w:val="800080" w:themeColor="followedHyperlink"/>
      <w:u w:val="single"/>
    </w:rPr>
  </w:style>
  <w:style w:type="character" w:customStyle="1" w:styleId="hierarchydescription2">
    <w:name w:val="hierarchydescription2"/>
    <w:basedOn w:val="DefaultParagraphFont"/>
    <w:rsid w:val="00895475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ExecOffice">
    <w:name w:val="Exec Office"/>
    <w:basedOn w:val="Normal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34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27B96"/>
    <w:rPr>
      <w:color w:val="800080" w:themeColor="followedHyperlink"/>
      <w:u w:val="single"/>
    </w:rPr>
  </w:style>
  <w:style w:type="character" w:customStyle="1" w:styleId="hierarchydescription2">
    <w:name w:val="hierarchydescription2"/>
    <w:basedOn w:val="DefaultParagraphFont"/>
    <w:rsid w:val="0089547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57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7316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2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0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139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7469">
                                              <w:marLeft w:val="0"/>
                                              <w:marRight w:val="0"/>
                                              <w:marTop w:val="75"/>
                                              <w:marBottom w:val="30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05342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313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516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1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901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544306">
                                              <w:marLeft w:val="0"/>
                                              <w:marRight w:val="0"/>
                                              <w:marTop w:val="75"/>
                                              <w:marBottom w:val="30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61304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15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0642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0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1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0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137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064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0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0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190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0642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0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1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0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130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0642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0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1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0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14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0642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0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0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13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0642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0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1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0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196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064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0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1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0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s://malegislature.gov/Laws/GeneralLaws/PartI/TitleXV/Chapter94C"/>
  <Relationship Id="rId11" Type="http://schemas.openxmlformats.org/officeDocument/2006/relationships/hyperlink" TargetMode="External" Target="https://malegislature.gov/Laws/GeneralLaws/PartI/TitleXV/Chapter94C"/>
  <Relationship Id="rId12" Type="http://schemas.openxmlformats.org/officeDocument/2006/relationships/hyperlink" TargetMode="External" Target="http://www.mass.gov/eohhs/docs/dph/quality/hcq-circular-letters/2013/dhcq-1305586.pdf"/>
  <Relationship Id="rId13" Type="http://schemas.openxmlformats.org/officeDocument/2006/relationships/hyperlink" TargetMode="External" Target="http://www.mass.gov/eohhs/docs/dph/quality/hcq-circular-letters/2013/dhcq-1305586.pdf"/>
  <Relationship Id="rId14" Type="http://schemas.openxmlformats.org/officeDocument/2006/relationships/hyperlink" TargetMode="External" Target="mailto:katherine.fillo@state.ma.us"/>
  <Relationship Id="rId15" Type="http://schemas.openxmlformats.org/officeDocument/2006/relationships/header" Target="header1.xml"/>
  <Relationship Id="rId16" Type="http://schemas.openxmlformats.org/officeDocument/2006/relationships/header" Target="header2.xml"/>
  <Relationship Id="rId17" Type="http://schemas.openxmlformats.org/officeDocument/2006/relationships/footer" Target="footer1.xml"/>
  <Relationship Id="rId18" Type="http://schemas.openxmlformats.org/officeDocument/2006/relationships/footer" Target="footer2.xml"/>
  <Relationship Id="rId19" Type="http://schemas.openxmlformats.org/officeDocument/2006/relationships/header" Target="header3.xml"/>
  <Relationship Id="rId2" Type="http://schemas.openxmlformats.org/officeDocument/2006/relationships/styles" Target="styles.xml"/>
  <Relationship Id="rId20" Type="http://schemas.openxmlformats.org/officeDocument/2006/relationships/footer" Target="footer3.xml"/>
  <Relationship Id="rId21" Type="http://schemas.openxmlformats.org/officeDocument/2006/relationships/fontTable" Target="fontTable.xml"/>
  <Relationship Id="rId22" Type="http://schemas.openxmlformats.org/officeDocument/2006/relationships/theme" Target="theme/theme1.xml"/>
  <Relationship Id="rId23" Type="http://schemas.microsoft.com/office/2011/relationships/commentsExtended" Target="commentsExtended.xml"/>
  <Relationship Id="rId24" Type="http://schemas.microsoft.com/office/2011/relationships/people" Target="people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yperlink" TargetMode="External" Target="https://malegislature.gov/Laws/GeneralLaws/PartI/TitleXVII/Chapter118E/Section6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5580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2016-04-14T13:30:00Z</dcterms:created>
  <dc:creator>KFILLO</dc:creator>
  <lastModifiedBy>SCray</lastModifiedBy>
  <lastPrinted>2016-03-14T14:52:00Z</lastPrinted>
  <dcterms:modified xsi:type="dcterms:W3CDTF">2016-04-14T13:30:00Z</dcterms:modified>
  <revision>2</revision>
</coreProperties>
</file>