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ediumList1-Accent2"/>
        <w:tblW w:w="0" w:type="auto"/>
        <w:tblLook w:val="04A0" w:firstRow="1" w:lastRow="0" w:firstColumn="1" w:lastColumn="0" w:noHBand="0" w:noVBand="1"/>
      </w:tblPr>
      <w:tblGrid>
        <w:gridCol w:w="9576"/>
      </w:tblGrid>
      <w:tr w:rsidR="005B1BBE" w:rsidRPr="002C2079" w14:paraId="7EB2D1DC" w14:textId="77777777" w:rsidTr="001A55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28726060" w14:textId="77777777" w:rsidR="008C2341" w:rsidRDefault="005B1BBE" w:rsidP="008C2341">
            <w:pPr>
              <w:jc w:val="center"/>
              <w:rPr>
                <w:color w:val="150399"/>
                <w:sz w:val="28"/>
                <w:szCs w:val="28"/>
              </w:rPr>
            </w:pPr>
            <w:r w:rsidRPr="002C2079">
              <w:rPr>
                <w:rFonts w:cs="Times New Roman"/>
                <w:sz w:val="24"/>
              </w:rPr>
              <w:br w:type="page"/>
            </w:r>
            <w:r w:rsidR="008C2341" w:rsidRPr="008C2341">
              <w:rPr>
                <w:color w:val="150399"/>
                <w:sz w:val="28"/>
                <w:szCs w:val="28"/>
              </w:rPr>
              <w:t xml:space="preserve">PROPOSED MASSACHUSETTS TAX EXPENDITURES </w:t>
            </w:r>
          </w:p>
          <w:p w14:paraId="46E80D6E" w14:textId="77777777" w:rsidR="005B1BBE" w:rsidRPr="008C2341" w:rsidRDefault="008C2341" w:rsidP="008C2341">
            <w:pPr>
              <w:jc w:val="center"/>
              <w:rPr>
                <w:b w:val="0"/>
                <w:bCs w:val="0"/>
                <w:color w:val="150399"/>
                <w:sz w:val="28"/>
                <w:szCs w:val="28"/>
              </w:rPr>
            </w:pPr>
            <w:r w:rsidRPr="008C2341">
              <w:rPr>
                <w:color w:val="150399"/>
                <w:sz w:val="28"/>
                <w:szCs w:val="28"/>
              </w:rPr>
              <w:t>EVALUATION SUMMARY</w:t>
            </w:r>
            <w:r>
              <w:rPr>
                <w:color w:val="150399"/>
                <w:sz w:val="28"/>
                <w:szCs w:val="28"/>
              </w:rPr>
              <w:t xml:space="preserve"> </w:t>
            </w:r>
          </w:p>
          <w:p w14:paraId="4F580489" w14:textId="77777777" w:rsidR="004B14D0" w:rsidRPr="004B14D0" w:rsidRDefault="004B14D0" w:rsidP="00565D22">
            <w:pPr>
              <w:rPr>
                <w:color w:val="150399"/>
                <w:sz w:val="28"/>
                <w:szCs w:val="28"/>
              </w:rPr>
            </w:pPr>
          </w:p>
        </w:tc>
      </w:tr>
      <w:tr w:rsidR="005B1BBE" w:rsidRPr="002C2079" w14:paraId="3995C1D3" w14:textId="77777777" w:rsidTr="001A5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2D29D9D0" w14:textId="77777777" w:rsidR="005B1BBE" w:rsidRPr="002C2079" w:rsidRDefault="005B1BBE" w:rsidP="005B1BBE">
            <w:pPr>
              <w:jc w:val="center"/>
              <w:rPr>
                <w:rFonts w:asciiTheme="majorHAnsi" w:hAnsiTheme="majorHAnsi"/>
              </w:rPr>
            </w:pPr>
            <w:r w:rsidRPr="002C2079">
              <w:rPr>
                <w:rFonts w:asciiTheme="majorHAnsi" w:hAnsiTheme="majorHAnsi"/>
                <w:sz w:val="28"/>
                <w:szCs w:val="28"/>
              </w:rPr>
              <w:t>EVALUATION YEAR: 2020</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70"/>
      </w:tblGrid>
      <w:tr w:rsidR="005B1BBE" w:rsidRPr="002C2079" w14:paraId="25D9351B" w14:textId="77777777" w:rsidTr="008D7DF3">
        <w:trPr>
          <w:trHeight w:val="360"/>
        </w:trPr>
        <w:tc>
          <w:tcPr>
            <w:tcW w:w="4788" w:type="dxa"/>
          </w:tcPr>
          <w:p w14:paraId="41399D82" w14:textId="77777777" w:rsidR="005B1BBE" w:rsidRPr="002C2079" w:rsidRDefault="005B1BBE" w:rsidP="005B1BBE">
            <w:pPr>
              <w:tabs>
                <w:tab w:val="left" w:pos="7050"/>
              </w:tabs>
              <w:rPr>
                <w:rFonts w:asciiTheme="majorHAnsi" w:hAnsiTheme="majorHAnsi"/>
              </w:rPr>
            </w:pPr>
          </w:p>
        </w:tc>
        <w:tc>
          <w:tcPr>
            <w:tcW w:w="4770" w:type="dxa"/>
          </w:tcPr>
          <w:p w14:paraId="5A5C669B" w14:textId="77777777" w:rsidR="005B1BBE" w:rsidRPr="002C2079" w:rsidRDefault="005B1BBE" w:rsidP="005B1BBE">
            <w:pPr>
              <w:tabs>
                <w:tab w:val="left" w:pos="7050"/>
              </w:tabs>
              <w:rPr>
                <w:rFonts w:asciiTheme="majorHAnsi" w:hAnsiTheme="majorHAnsi"/>
              </w:rPr>
            </w:pPr>
          </w:p>
        </w:tc>
      </w:tr>
      <w:tr w:rsidR="005B1BBE" w:rsidRPr="002C2079" w14:paraId="45589984" w14:textId="77777777" w:rsidTr="008D7DF3">
        <w:tc>
          <w:tcPr>
            <w:tcW w:w="4788" w:type="dxa"/>
          </w:tcPr>
          <w:p w14:paraId="18D71CC3" w14:textId="77777777" w:rsidR="005B1BBE" w:rsidRPr="002C2079" w:rsidRDefault="005B1BBE" w:rsidP="005B1BBE">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TAX EXPENDITURE TITLE</w:t>
            </w:r>
          </w:p>
          <w:p w14:paraId="0F77110D" w14:textId="77777777" w:rsidR="005B1BBE" w:rsidRPr="002C2079" w:rsidRDefault="005B1BBE" w:rsidP="005B1BBE">
            <w:pPr>
              <w:tabs>
                <w:tab w:val="left" w:pos="7050"/>
              </w:tabs>
              <w:rPr>
                <w:rFonts w:asciiTheme="majorHAnsi" w:hAnsiTheme="majorHAnsi"/>
              </w:rPr>
            </w:pPr>
          </w:p>
        </w:tc>
        <w:tc>
          <w:tcPr>
            <w:tcW w:w="4770" w:type="dxa"/>
          </w:tcPr>
          <w:p w14:paraId="65D5D9A4" w14:textId="77777777" w:rsidR="0001358F" w:rsidRDefault="008D7DF3" w:rsidP="005B1BBE">
            <w:pPr>
              <w:tabs>
                <w:tab w:val="left" w:pos="7050"/>
              </w:tabs>
              <w:rPr>
                <w:rFonts w:asciiTheme="majorHAnsi" w:hAnsiTheme="majorHAnsi"/>
              </w:rPr>
            </w:pPr>
            <w:r w:rsidRPr="008D7DF3">
              <w:rPr>
                <w:rFonts w:asciiTheme="majorHAnsi" w:hAnsiTheme="majorHAnsi"/>
              </w:rPr>
              <w:t>Economic Development Incentive Program Credit (formerly referred to as Economic Opportunity Area Credit)</w:t>
            </w:r>
          </w:p>
          <w:p w14:paraId="580B5213" w14:textId="77777777" w:rsidR="008D7DF3" w:rsidRPr="002C2079" w:rsidRDefault="008D7DF3" w:rsidP="005B1BBE">
            <w:pPr>
              <w:tabs>
                <w:tab w:val="left" w:pos="7050"/>
              </w:tabs>
              <w:rPr>
                <w:rFonts w:asciiTheme="majorHAnsi" w:hAnsiTheme="majorHAnsi"/>
              </w:rPr>
            </w:pPr>
          </w:p>
        </w:tc>
      </w:tr>
      <w:tr w:rsidR="005B1BBE" w:rsidRPr="002C2079" w14:paraId="0FC88562" w14:textId="77777777" w:rsidTr="008D7DF3">
        <w:tc>
          <w:tcPr>
            <w:tcW w:w="4788" w:type="dxa"/>
          </w:tcPr>
          <w:p w14:paraId="73062508" w14:textId="77777777" w:rsidR="005B1BBE" w:rsidRPr="002C2079" w:rsidRDefault="005B1BBE" w:rsidP="005B1BBE">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TAX EXPENDITURE NUMBER</w:t>
            </w:r>
          </w:p>
          <w:p w14:paraId="4DC79A11" w14:textId="77777777" w:rsidR="005B1BBE" w:rsidRPr="002C2079" w:rsidRDefault="005B1BBE" w:rsidP="005B1BBE">
            <w:pPr>
              <w:tabs>
                <w:tab w:val="left" w:pos="7050"/>
              </w:tabs>
              <w:rPr>
                <w:rFonts w:asciiTheme="majorHAnsi" w:hAnsiTheme="majorHAnsi"/>
              </w:rPr>
            </w:pPr>
          </w:p>
        </w:tc>
        <w:tc>
          <w:tcPr>
            <w:tcW w:w="4770" w:type="dxa"/>
          </w:tcPr>
          <w:p w14:paraId="7D6E693F" w14:textId="77777777" w:rsidR="005B1BBE" w:rsidRPr="002C2079" w:rsidRDefault="005C32EC" w:rsidP="005B1BBE">
            <w:pPr>
              <w:tabs>
                <w:tab w:val="left" w:pos="7050"/>
              </w:tabs>
              <w:rPr>
                <w:rFonts w:asciiTheme="majorHAnsi" w:hAnsiTheme="majorHAnsi"/>
              </w:rPr>
            </w:pPr>
            <w:r>
              <w:rPr>
                <w:rFonts w:asciiTheme="majorHAnsi" w:hAnsiTheme="majorHAnsi"/>
              </w:rPr>
              <w:t xml:space="preserve">1.603 and </w:t>
            </w:r>
            <w:r w:rsidR="00BF0AF4">
              <w:rPr>
                <w:rFonts w:asciiTheme="majorHAnsi" w:hAnsiTheme="majorHAnsi"/>
              </w:rPr>
              <w:t>2.605</w:t>
            </w:r>
          </w:p>
        </w:tc>
      </w:tr>
      <w:tr w:rsidR="005B1BBE" w:rsidRPr="002C2079" w14:paraId="11D5842A" w14:textId="77777777" w:rsidTr="008D7DF3">
        <w:tc>
          <w:tcPr>
            <w:tcW w:w="4788" w:type="dxa"/>
          </w:tcPr>
          <w:p w14:paraId="1AB1BEDF" w14:textId="77777777" w:rsidR="005B1BBE" w:rsidRPr="002C2079" w:rsidRDefault="005B1BBE" w:rsidP="005B1BBE">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TAX EXPENDITURE CATEGORY</w:t>
            </w:r>
          </w:p>
          <w:p w14:paraId="2FF42251" w14:textId="77777777" w:rsidR="005B1BBE" w:rsidRPr="002C2079" w:rsidRDefault="005B1BBE" w:rsidP="005B1BBE">
            <w:pPr>
              <w:tabs>
                <w:tab w:val="left" w:pos="7050"/>
              </w:tabs>
              <w:rPr>
                <w:rFonts w:asciiTheme="majorHAnsi" w:hAnsiTheme="majorHAnsi"/>
              </w:rPr>
            </w:pPr>
          </w:p>
        </w:tc>
        <w:tc>
          <w:tcPr>
            <w:tcW w:w="4770" w:type="dxa"/>
          </w:tcPr>
          <w:p w14:paraId="43D544D5" w14:textId="77777777" w:rsidR="00C0671F" w:rsidRDefault="005B1BBE" w:rsidP="00C0671F">
            <w:pPr>
              <w:tabs>
                <w:tab w:val="left" w:pos="7050"/>
              </w:tabs>
              <w:rPr>
                <w:rFonts w:asciiTheme="majorHAnsi" w:hAnsiTheme="majorHAnsi"/>
              </w:rPr>
            </w:pPr>
            <w:r w:rsidRPr="002C2079">
              <w:rPr>
                <w:rFonts w:asciiTheme="majorHAnsi" w:hAnsiTheme="majorHAnsi"/>
              </w:rPr>
              <w:t xml:space="preserve">Credit against tax </w:t>
            </w:r>
            <w:r w:rsidRPr="002C2079">
              <w:rPr>
                <w:rFonts w:asciiTheme="majorHAnsi" w:hAnsiTheme="majorHAnsi"/>
                <w:i/>
              </w:rPr>
              <w:t>(p</w:t>
            </w:r>
            <w:r w:rsidR="008C2341">
              <w:rPr>
                <w:rFonts w:asciiTheme="majorHAnsi" w:hAnsiTheme="majorHAnsi"/>
                <w:i/>
              </w:rPr>
              <w:t xml:space="preserve">ersonal income tax, corporate </w:t>
            </w:r>
            <w:r w:rsidRPr="002C2079">
              <w:rPr>
                <w:rFonts w:asciiTheme="majorHAnsi" w:hAnsiTheme="majorHAnsi"/>
                <w:i/>
              </w:rPr>
              <w:t>and business tax)</w:t>
            </w:r>
          </w:p>
          <w:p w14:paraId="67BE7D30" w14:textId="77777777" w:rsidR="005B1BBE" w:rsidRPr="002C2079" w:rsidRDefault="00C0671F" w:rsidP="00C0671F">
            <w:pPr>
              <w:tabs>
                <w:tab w:val="left" w:pos="7050"/>
              </w:tabs>
              <w:rPr>
                <w:rFonts w:asciiTheme="majorHAnsi" w:hAnsiTheme="majorHAnsi"/>
              </w:rPr>
            </w:pPr>
            <w:r w:rsidRPr="002C2079">
              <w:rPr>
                <w:rFonts w:asciiTheme="majorHAnsi" w:hAnsiTheme="majorHAnsi"/>
              </w:rPr>
              <w:t xml:space="preserve"> </w:t>
            </w:r>
          </w:p>
        </w:tc>
      </w:tr>
      <w:tr w:rsidR="005B1BBE" w:rsidRPr="002C2079" w14:paraId="254E26E7" w14:textId="77777777" w:rsidTr="008D7DF3">
        <w:tc>
          <w:tcPr>
            <w:tcW w:w="4788" w:type="dxa"/>
          </w:tcPr>
          <w:p w14:paraId="473BFE0C" w14:textId="77777777" w:rsidR="005B1BBE" w:rsidRPr="002C2079" w:rsidRDefault="005B1BBE" w:rsidP="005B1BBE">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TAX TYPE</w:t>
            </w:r>
          </w:p>
          <w:p w14:paraId="638DF470" w14:textId="77777777" w:rsidR="005B1BBE" w:rsidRPr="002C2079" w:rsidRDefault="005B1BBE" w:rsidP="005B1BBE">
            <w:pPr>
              <w:tabs>
                <w:tab w:val="left" w:pos="7050"/>
              </w:tabs>
              <w:rPr>
                <w:rFonts w:asciiTheme="majorHAnsi" w:hAnsiTheme="majorHAnsi"/>
              </w:rPr>
            </w:pPr>
          </w:p>
        </w:tc>
        <w:tc>
          <w:tcPr>
            <w:tcW w:w="4770" w:type="dxa"/>
          </w:tcPr>
          <w:p w14:paraId="57E763F9" w14:textId="77777777" w:rsidR="00565D22" w:rsidRDefault="00025E21" w:rsidP="005B1BBE">
            <w:pPr>
              <w:tabs>
                <w:tab w:val="left" w:pos="7050"/>
              </w:tabs>
              <w:rPr>
                <w:rFonts w:asciiTheme="majorHAnsi" w:hAnsiTheme="majorHAnsi"/>
              </w:rPr>
            </w:pPr>
            <w:r w:rsidRPr="00025E21">
              <w:rPr>
                <w:rFonts w:asciiTheme="majorHAnsi" w:hAnsiTheme="majorHAnsi"/>
              </w:rPr>
              <w:t>Corporate</w:t>
            </w:r>
            <w:r w:rsidR="000769B1">
              <w:rPr>
                <w:rFonts w:asciiTheme="majorHAnsi" w:hAnsiTheme="majorHAnsi"/>
              </w:rPr>
              <w:t xml:space="preserve"> and business</w:t>
            </w:r>
            <w:r w:rsidRPr="00025E21">
              <w:rPr>
                <w:rFonts w:asciiTheme="majorHAnsi" w:hAnsiTheme="majorHAnsi"/>
              </w:rPr>
              <w:t xml:space="preserve"> excise</w:t>
            </w:r>
            <w:r w:rsidR="008D7DF3">
              <w:rPr>
                <w:rFonts w:asciiTheme="majorHAnsi" w:hAnsiTheme="majorHAnsi"/>
              </w:rPr>
              <w:t>, personal income tax</w:t>
            </w:r>
          </w:p>
          <w:p w14:paraId="62F327E3" w14:textId="77777777" w:rsidR="008D7DF3" w:rsidRPr="002C2079" w:rsidRDefault="008D7DF3" w:rsidP="005B1BBE">
            <w:pPr>
              <w:tabs>
                <w:tab w:val="left" w:pos="7050"/>
              </w:tabs>
              <w:rPr>
                <w:rFonts w:asciiTheme="majorHAnsi" w:hAnsiTheme="majorHAnsi"/>
              </w:rPr>
            </w:pPr>
          </w:p>
        </w:tc>
      </w:tr>
      <w:tr w:rsidR="005B1BBE" w:rsidRPr="002C2079" w14:paraId="55B49821" w14:textId="77777777" w:rsidTr="008D7DF3">
        <w:tc>
          <w:tcPr>
            <w:tcW w:w="4788" w:type="dxa"/>
          </w:tcPr>
          <w:p w14:paraId="423733ED" w14:textId="77777777" w:rsidR="005B1BBE" w:rsidRPr="002C2079" w:rsidRDefault="005B1BBE" w:rsidP="005B1BBE">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LEGAL REFERENCE</w:t>
            </w:r>
          </w:p>
          <w:p w14:paraId="5ACFD3ED" w14:textId="77777777" w:rsidR="005B1BBE" w:rsidRPr="002C2079" w:rsidRDefault="005B1BBE" w:rsidP="005B1BBE">
            <w:pPr>
              <w:tabs>
                <w:tab w:val="left" w:pos="7050"/>
              </w:tabs>
              <w:rPr>
                <w:rFonts w:asciiTheme="majorHAnsi" w:hAnsiTheme="majorHAnsi"/>
              </w:rPr>
            </w:pPr>
          </w:p>
        </w:tc>
        <w:tc>
          <w:tcPr>
            <w:tcW w:w="4770" w:type="dxa"/>
          </w:tcPr>
          <w:p w14:paraId="72021A37" w14:textId="77777777" w:rsidR="005B1BBE" w:rsidRPr="002C2079" w:rsidRDefault="00C5105D" w:rsidP="005B1BBE">
            <w:pPr>
              <w:tabs>
                <w:tab w:val="left" w:pos="7050"/>
              </w:tabs>
              <w:rPr>
                <w:rFonts w:asciiTheme="majorHAnsi" w:hAnsiTheme="majorHAnsi"/>
              </w:rPr>
            </w:pPr>
            <w:r w:rsidRPr="00C5105D">
              <w:rPr>
                <w:rFonts w:asciiTheme="majorHAnsi" w:hAnsiTheme="majorHAnsi"/>
              </w:rPr>
              <w:t>M.G.L. c. 63, § 38N</w:t>
            </w:r>
            <w:r w:rsidR="009A7DD6">
              <w:rPr>
                <w:rFonts w:asciiTheme="majorHAnsi" w:hAnsiTheme="majorHAnsi"/>
              </w:rPr>
              <w:t xml:space="preserve">; </w:t>
            </w:r>
            <w:r w:rsidR="009A7DD6" w:rsidRPr="009A7DD6">
              <w:rPr>
                <w:rFonts w:asciiTheme="majorHAnsi" w:hAnsiTheme="majorHAnsi"/>
              </w:rPr>
              <w:t>c. 62, § 6(g)</w:t>
            </w:r>
            <w:r w:rsidR="008D7DF3">
              <w:rPr>
                <w:rFonts w:asciiTheme="majorHAnsi" w:hAnsiTheme="majorHAnsi"/>
              </w:rPr>
              <w:t xml:space="preserve">  </w:t>
            </w:r>
          </w:p>
        </w:tc>
      </w:tr>
      <w:tr w:rsidR="005B1BBE" w:rsidRPr="002C2079" w14:paraId="0805A108" w14:textId="77777777" w:rsidTr="008D7DF3">
        <w:tc>
          <w:tcPr>
            <w:tcW w:w="4788" w:type="dxa"/>
          </w:tcPr>
          <w:p w14:paraId="0C3D166A" w14:textId="77777777" w:rsidR="005B1BBE" w:rsidRPr="002C2079" w:rsidRDefault="005B1BBE" w:rsidP="005B1BBE">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YEAR ENACTED</w:t>
            </w:r>
          </w:p>
          <w:p w14:paraId="1E918D9E" w14:textId="77777777" w:rsidR="005B1BBE" w:rsidRPr="002C2079" w:rsidRDefault="005B1BBE" w:rsidP="005B1BBE">
            <w:pPr>
              <w:tabs>
                <w:tab w:val="left" w:pos="7050"/>
              </w:tabs>
              <w:rPr>
                <w:rFonts w:asciiTheme="majorHAnsi" w:hAnsiTheme="majorHAnsi"/>
              </w:rPr>
            </w:pPr>
          </w:p>
        </w:tc>
        <w:tc>
          <w:tcPr>
            <w:tcW w:w="4770" w:type="dxa"/>
          </w:tcPr>
          <w:p w14:paraId="50F2A736" w14:textId="77777777" w:rsidR="005B1BBE" w:rsidRPr="002C2079" w:rsidRDefault="000E585A" w:rsidP="005B1BBE">
            <w:pPr>
              <w:tabs>
                <w:tab w:val="left" w:pos="7050"/>
              </w:tabs>
              <w:rPr>
                <w:rFonts w:asciiTheme="majorHAnsi" w:hAnsiTheme="majorHAnsi"/>
              </w:rPr>
            </w:pPr>
            <w:r>
              <w:rPr>
                <w:rFonts w:asciiTheme="majorHAnsi" w:hAnsiTheme="majorHAnsi"/>
              </w:rPr>
              <w:t>1993</w:t>
            </w:r>
          </w:p>
        </w:tc>
      </w:tr>
      <w:tr w:rsidR="005B1BBE" w:rsidRPr="002C2079" w14:paraId="444F6EBA" w14:textId="77777777" w:rsidTr="008D7DF3">
        <w:tc>
          <w:tcPr>
            <w:tcW w:w="4788" w:type="dxa"/>
          </w:tcPr>
          <w:p w14:paraId="5AFF5E49" w14:textId="77777777" w:rsidR="005B1BBE" w:rsidRPr="002C2079" w:rsidRDefault="005B1BBE" w:rsidP="005B1BBE">
            <w:pPr>
              <w:tabs>
                <w:tab w:val="left" w:pos="7050"/>
              </w:tabs>
              <w:rPr>
                <w:rFonts w:asciiTheme="majorHAnsi" w:hAnsiTheme="majorHAnsi"/>
              </w:rPr>
            </w:pPr>
            <w:r w:rsidRPr="002C2079">
              <w:rPr>
                <w:rFonts w:asciiTheme="majorHAnsi" w:eastAsiaTheme="majorEastAsia" w:hAnsiTheme="majorHAnsi" w:cstheme="majorBidi"/>
                <w:b/>
                <w:bCs/>
                <w:color w:val="000000" w:themeColor="text1"/>
              </w:rPr>
              <w:t>REPEAL/EXPIRATION DATE</w:t>
            </w:r>
          </w:p>
        </w:tc>
        <w:tc>
          <w:tcPr>
            <w:tcW w:w="4770" w:type="dxa"/>
          </w:tcPr>
          <w:p w14:paraId="11D10112" w14:textId="77777777" w:rsidR="005B1BBE" w:rsidRDefault="000E585A" w:rsidP="00C0671F">
            <w:pPr>
              <w:tabs>
                <w:tab w:val="left" w:pos="7050"/>
              </w:tabs>
              <w:rPr>
                <w:rFonts w:asciiTheme="majorHAnsi" w:hAnsiTheme="majorHAnsi"/>
              </w:rPr>
            </w:pPr>
            <w:r>
              <w:rPr>
                <w:rFonts w:asciiTheme="majorHAnsi" w:hAnsiTheme="majorHAnsi"/>
              </w:rPr>
              <w:t>None</w:t>
            </w:r>
          </w:p>
          <w:p w14:paraId="1A22CE42" w14:textId="77777777" w:rsidR="00C0671F" w:rsidRPr="002C2079" w:rsidRDefault="00C0671F" w:rsidP="00C0671F">
            <w:pPr>
              <w:tabs>
                <w:tab w:val="left" w:pos="7050"/>
              </w:tabs>
              <w:rPr>
                <w:rFonts w:asciiTheme="majorHAnsi" w:hAnsiTheme="majorHAnsi"/>
              </w:rPr>
            </w:pPr>
          </w:p>
        </w:tc>
      </w:tr>
      <w:tr w:rsidR="005B1BBE" w:rsidRPr="002C2079" w14:paraId="16E7EACF" w14:textId="77777777" w:rsidTr="008D7DF3">
        <w:tc>
          <w:tcPr>
            <w:tcW w:w="4788" w:type="dxa"/>
          </w:tcPr>
          <w:p w14:paraId="3657AA9D" w14:textId="77777777" w:rsidR="005B1BBE" w:rsidRPr="002C2079" w:rsidRDefault="005B1BBE" w:rsidP="005B1BBE">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ANNUAL REVENUE IMPACT</w:t>
            </w:r>
          </w:p>
          <w:p w14:paraId="5C392918" w14:textId="77777777" w:rsidR="005B1BBE" w:rsidRPr="002C2079" w:rsidRDefault="005B1BBE" w:rsidP="005B1BBE">
            <w:pPr>
              <w:tabs>
                <w:tab w:val="left" w:pos="7050"/>
              </w:tabs>
              <w:rPr>
                <w:rFonts w:asciiTheme="majorHAnsi" w:hAnsiTheme="majorHAnsi"/>
              </w:rPr>
            </w:pPr>
          </w:p>
        </w:tc>
        <w:tc>
          <w:tcPr>
            <w:tcW w:w="4770" w:type="dxa"/>
          </w:tcPr>
          <w:p w14:paraId="17EA5251" w14:textId="77777777" w:rsidR="005B1BBE" w:rsidRDefault="000D2885" w:rsidP="005B1BBE">
            <w:pPr>
              <w:tabs>
                <w:tab w:val="left" w:pos="7050"/>
              </w:tabs>
              <w:rPr>
                <w:rFonts w:asciiTheme="majorHAnsi" w:hAnsiTheme="majorHAnsi"/>
              </w:rPr>
            </w:pPr>
            <w:bookmarkStart w:id="0" w:name="_Hlk45384267"/>
            <w:r>
              <w:rPr>
                <w:rFonts w:asciiTheme="majorHAnsi" w:hAnsiTheme="majorHAnsi"/>
              </w:rPr>
              <w:t>Annual t</w:t>
            </w:r>
            <w:r w:rsidR="005B1BBE" w:rsidRPr="002C2079">
              <w:rPr>
                <w:rFonts w:asciiTheme="majorHAnsi" w:hAnsiTheme="majorHAnsi"/>
              </w:rPr>
              <w:t>ax loss of $</w:t>
            </w:r>
            <w:r w:rsidR="00EC0BEC">
              <w:rPr>
                <w:rFonts w:asciiTheme="majorHAnsi" w:hAnsiTheme="majorHAnsi"/>
              </w:rPr>
              <w:t>1</w:t>
            </w:r>
            <w:r w:rsidR="00521F90">
              <w:rPr>
                <w:rFonts w:asciiTheme="majorHAnsi" w:hAnsiTheme="majorHAnsi"/>
              </w:rPr>
              <w:t>5.8</w:t>
            </w:r>
            <w:r w:rsidR="004703D4">
              <w:rPr>
                <w:rFonts w:asciiTheme="majorHAnsi" w:hAnsiTheme="majorHAnsi"/>
              </w:rPr>
              <w:t xml:space="preserve"> - $1</w:t>
            </w:r>
            <w:r w:rsidR="00521F90">
              <w:rPr>
                <w:rFonts w:asciiTheme="majorHAnsi" w:hAnsiTheme="majorHAnsi"/>
              </w:rPr>
              <w:t>6.0</w:t>
            </w:r>
            <w:r w:rsidR="00C0671F">
              <w:rPr>
                <w:rFonts w:asciiTheme="majorHAnsi" w:hAnsiTheme="majorHAnsi"/>
              </w:rPr>
              <w:t xml:space="preserve"> </w:t>
            </w:r>
            <w:r w:rsidR="005B1BBE" w:rsidRPr="002C2079">
              <w:rPr>
                <w:rFonts w:asciiTheme="majorHAnsi" w:hAnsiTheme="majorHAnsi"/>
              </w:rPr>
              <w:t xml:space="preserve">million </w:t>
            </w:r>
            <w:r w:rsidR="00102C7F">
              <w:rPr>
                <w:rFonts w:asciiTheme="majorHAnsi" w:hAnsiTheme="majorHAnsi"/>
              </w:rPr>
              <w:t xml:space="preserve">from </w:t>
            </w:r>
            <w:r w:rsidR="005C32EC">
              <w:rPr>
                <w:rFonts w:asciiTheme="majorHAnsi" w:hAnsiTheme="majorHAnsi"/>
              </w:rPr>
              <w:t>corporate and business tax filers</w:t>
            </w:r>
            <w:r w:rsidR="00CD72B3">
              <w:rPr>
                <w:rFonts w:asciiTheme="majorHAnsi" w:hAnsiTheme="majorHAnsi"/>
              </w:rPr>
              <w:t xml:space="preserve"> </w:t>
            </w:r>
            <w:r>
              <w:rPr>
                <w:rFonts w:asciiTheme="majorHAnsi" w:hAnsiTheme="majorHAnsi"/>
              </w:rPr>
              <w:t>and</w:t>
            </w:r>
            <w:r w:rsidR="00102C7F">
              <w:rPr>
                <w:rFonts w:asciiTheme="majorHAnsi" w:hAnsiTheme="majorHAnsi"/>
              </w:rPr>
              <w:t xml:space="preserve"> $</w:t>
            </w:r>
            <w:r w:rsidR="00521F90">
              <w:rPr>
                <w:rFonts w:asciiTheme="majorHAnsi" w:hAnsiTheme="majorHAnsi"/>
              </w:rPr>
              <w:t>3.5</w:t>
            </w:r>
            <w:r w:rsidR="00102C7F">
              <w:rPr>
                <w:rFonts w:asciiTheme="majorHAnsi" w:hAnsiTheme="majorHAnsi"/>
              </w:rPr>
              <w:t xml:space="preserve"> - $3.</w:t>
            </w:r>
            <w:r w:rsidR="00521F90">
              <w:rPr>
                <w:rFonts w:asciiTheme="majorHAnsi" w:hAnsiTheme="majorHAnsi"/>
              </w:rPr>
              <w:t>7</w:t>
            </w:r>
            <w:r w:rsidR="00102C7F">
              <w:rPr>
                <w:rFonts w:asciiTheme="majorHAnsi" w:hAnsiTheme="majorHAnsi"/>
              </w:rPr>
              <w:t xml:space="preserve"> million from personal</w:t>
            </w:r>
            <w:r>
              <w:rPr>
                <w:rFonts w:asciiTheme="majorHAnsi" w:hAnsiTheme="majorHAnsi"/>
              </w:rPr>
              <w:t xml:space="preserve"> income</w:t>
            </w:r>
            <w:r w:rsidR="00102C7F">
              <w:rPr>
                <w:rFonts w:asciiTheme="majorHAnsi" w:hAnsiTheme="majorHAnsi"/>
              </w:rPr>
              <w:t xml:space="preserve"> tax filers</w:t>
            </w:r>
            <w:r w:rsidR="00807A9A">
              <w:rPr>
                <w:rFonts w:asciiTheme="majorHAnsi" w:hAnsiTheme="majorHAnsi"/>
              </w:rPr>
              <w:t xml:space="preserve"> during</w:t>
            </w:r>
            <w:r w:rsidR="00102C7F">
              <w:rPr>
                <w:rFonts w:asciiTheme="majorHAnsi" w:hAnsiTheme="majorHAnsi"/>
              </w:rPr>
              <w:t xml:space="preserve"> </w:t>
            </w:r>
            <w:r w:rsidR="005B1BBE" w:rsidRPr="002C2079">
              <w:rPr>
                <w:rFonts w:asciiTheme="majorHAnsi" w:hAnsiTheme="majorHAnsi"/>
              </w:rPr>
              <w:t>FY1</w:t>
            </w:r>
            <w:r w:rsidR="00C0671F">
              <w:rPr>
                <w:rFonts w:asciiTheme="majorHAnsi" w:hAnsiTheme="majorHAnsi"/>
              </w:rPr>
              <w:t>8</w:t>
            </w:r>
            <w:r w:rsidR="005B1BBE" w:rsidRPr="002C2079">
              <w:rPr>
                <w:rFonts w:asciiTheme="majorHAnsi" w:hAnsiTheme="majorHAnsi"/>
              </w:rPr>
              <w:t>-FY2</w:t>
            </w:r>
            <w:r w:rsidR="00C0671F">
              <w:rPr>
                <w:rFonts w:asciiTheme="majorHAnsi" w:hAnsiTheme="majorHAnsi"/>
              </w:rPr>
              <w:t>2</w:t>
            </w:r>
            <w:bookmarkEnd w:id="0"/>
            <w:r w:rsidR="00102C7F">
              <w:rPr>
                <w:rFonts w:asciiTheme="majorHAnsi" w:hAnsiTheme="majorHAnsi"/>
              </w:rPr>
              <w:t xml:space="preserve"> </w:t>
            </w:r>
          </w:p>
          <w:p w14:paraId="1364A3AD" w14:textId="77777777" w:rsidR="009F73B9" w:rsidRPr="002C2079" w:rsidRDefault="009F73B9" w:rsidP="005B1BBE">
            <w:pPr>
              <w:tabs>
                <w:tab w:val="left" w:pos="7050"/>
              </w:tabs>
              <w:rPr>
                <w:rFonts w:asciiTheme="majorHAnsi" w:hAnsiTheme="majorHAnsi"/>
              </w:rPr>
            </w:pPr>
          </w:p>
        </w:tc>
      </w:tr>
      <w:tr w:rsidR="005B1BBE" w:rsidRPr="002C2079" w14:paraId="32783A66" w14:textId="77777777" w:rsidTr="008D7DF3">
        <w:tc>
          <w:tcPr>
            <w:tcW w:w="4788" w:type="dxa"/>
          </w:tcPr>
          <w:p w14:paraId="5A27BB33" w14:textId="77777777" w:rsidR="005B1BBE" w:rsidRPr="002C2079" w:rsidRDefault="005B1BBE" w:rsidP="005B1BBE">
            <w:pPr>
              <w:tabs>
                <w:tab w:val="left" w:pos="7050"/>
              </w:tabs>
              <w:rPr>
                <w:rFonts w:asciiTheme="majorHAnsi" w:hAnsiTheme="majorHAnsi"/>
              </w:rPr>
            </w:pPr>
            <w:r w:rsidRPr="002C2079">
              <w:rPr>
                <w:rFonts w:asciiTheme="majorHAnsi" w:eastAsiaTheme="majorEastAsia" w:hAnsiTheme="majorHAnsi" w:cstheme="majorBidi"/>
                <w:b/>
                <w:bCs/>
                <w:color w:val="000000" w:themeColor="text1"/>
              </w:rPr>
              <w:t xml:space="preserve">NUMBER OF TAXPAYERS </w:t>
            </w:r>
          </w:p>
        </w:tc>
        <w:tc>
          <w:tcPr>
            <w:tcW w:w="4770" w:type="dxa"/>
          </w:tcPr>
          <w:p w14:paraId="41456F9D" w14:textId="77777777" w:rsidR="005B1BBE" w:rsidRPr="002C2079" w:rsidRDefault="00761B25" w:rsidP="005B1BBE">
            <w:pPr>
              <w:tabs>
                <w:tab w:val="left" w:pos="7050"/>
              </w:tabs>
              <w:rPr>
                <w:rFonts w:asciiTheme="majorHAnsi" w:eastAsiaTheme="majorEastAsia" w:hAnsiTheme="majorHAnsi" w:cstheme="majorBidi"/>
                <w:bCs/>
                <w:color w:val="000000" w:themeColor="text1"/>
              </w:rPr>
            </w:pPr>
            <w:r>
              <w:rPr>
                <w:rFonts w:asciiTheme="majorHAnsi" w:eastAsiaTheme="majorEastAsia" w:hAnsiTheme="majorHAnsi" w:cstheme="majorBidi"/>
                <w:bCs/>
                <w:color w:val="000000" w:themeColor="text1"/>
              </w:rPr>
              <w:t>1</w:t>
            </w:r>
            <w:r w:rsidR="00DF07BE">
              <w:rPr>
                <w:rFonts w:asciiTheme="majorHAnsi" w:eastAsiaTheme="majorEastAsia" w:hAnsiTheme="majorHAnsi" w:cstheme="majorBidi"/>
                <w:bCs/>
                <w:color w:val="000000" w:themeColor="text1"/>
              </w:rPr>
              <w:t>31 claims</w:t>
            </w:r>
            <w:r>
              <w:rPr>
                <w:rFonts w:asciiTheme="majorHAnsi" w:eastAsiaTheme="majorEastAsia" w:hAnsiTheme="majorHAnsi" w:cstheme="majorBidi"/>
                <w:bCs/>
                <w:color w:val="000000" w:themeColor="text1"/>
              </w:rPr>
              <w:t xml:space="preserve"> </w:t>
            </w:r>
            <w:r w:rsidR="00AB4F17">
              <w:rPr>
                <w:rFonts w:asciiTheme="majorHAnsi" w:eastAsiaTheme="majorEastAsia" w:hAnsiTheme="majorHAnsi" w:cstheme="majorBidi"/>
                <w:bCs/>
                <w:color w:val="000000" w:themeColor="text1"/>
              </w:rPr>
              <w:t xml:space="preserve">from corporate and business tax filers, and 30 </w:t>
            </w:r>
            <w:r w:rsidR="00DF07BE">
              <w:rPr>
                <w:rFonts w:asciiTheme="majorHAnsi" w:eastAsiaTheme="majorEastAsia" w:hAnsiTheme="majorHAnsi" w:cstheme="majorBidi"/>
                <w:bCs/>
                <w:color w:val="000000" w:themeColor="text1"/>
              </w:rPr>
              <w:t xml:space="preserve">claims </w:t>
            </w:r>
            <w:r w:rsidR="00AB4F17">
              <w:rPr>
                <w:rFonts w:asciiTheme="majorHAnsi" w:eastAsiaTheme="majorEastAsia" w:hAnsiTheme="majorHAnsi" w:cstheme="majorBidi"/>
                <w:bCs/>
                <w:color w:val="000000" w:themeColor="text1"/>
              </w:rPr>
              <w:t>from personal income tax filers (</w:t>
            </w:r>
            <w:r w:rsidR="00573E9C">
              <w:rPr>
                <w:rFonts w:asciiTheme="majorHAnsi" w:eastAsiaTheme="majorEastAsia" w:hAnsiTheme="majorHAnsi" w:cstheme="majorBidi"/>
                <w:bCs/>
                <w:color w:val="000000" w:themeColor="text1"/>
              </w:rPr>
              <w:t xml:space="preserve">tax year </w:t>
            </w:r>
            <w:r>
              <w:rPr>
                <w:rFonts w:asciiTheme="majorHAnsi" w:eastAsiaTheme="majorEastAsia" w:hAnsiTheme="majorHAnsi" w:cstheme="majorBidi"/>
                <w:bCs/>
                <w:color w:val="000000" w:themeColor="text1"/>
              </w:rPr>
              <w:t>2017</w:t>
            </w:r>
            <w:r w:rsidR="00AB4F17">
              <w:rPr>
                <w:rFonts w:asciiTheme="majorHAnsi" w:eastAsiaTheme="majorEastAsia" w:hAnsiTheme="majorHAnsi" w:cstheme="majorBidi"/>
                <w:bCs/>
                <w:color w:val="000000" w:themeColor="text1"/>
              </w:rPr>
              <w:t>)</w:t>
            </w:r>
          </w:p>
          <w:p w14:paraId="1FD7BCF1" w14:textId="77777777" w:rsidR="005B1BBE" w:rsidRPr="002C2079" w:rsidRDefault="005B1BBE" w:rsidP="005B1BBE">
            <w:pPr>
              <w:tabs>
                <w:tab w:val="left" w:pos="7050"/>
              </w:tabs>
              <w:rPr>
                <w:rFonts w:asciiTheme="majorHAnsi" w:hAnsiTheme="majorHAnsi"/>
              </w:rPr>
            </w:pPr>
          </w:p>
        </w:tc>
      </w:tr>
      <w:tr w:rsidR="005B1BBE" w:rsidRPr="002C2079" w14:paraId="76D31438" w14:textId="77777777" w:rsidTr="008D7DF3">
        <w:tc>
          <w:tcPr>
            <w:tcW w:w="4788" w:type="dxa"/>
          </w:tcPr>
          <w:p w14:paraId="49653485" w14:textId="77777777" w:rsidR="005B1BBE" w:rsidRPr="002C2079" w:rsidRDefault="005B1BBE" w:rsidP="00F7586D">
            <w:pPr>
              <w:tabs>
                <w:tab w:val="left" w:pos="7050"/>
              </w:tabs>
              <w:rPr>
                <w:rFonts w:asciiTheme="majorHAnsi" w:hAnsiTheme="majorHAnsi"/>
              </w:rPr>
            </w:pPr>
            <w:r w:rsidRPr="002C2079">
              <w:rPr>
                <w:rFonts w:asciiTheme="majorHAnsi" w:eastAsiaTheme="majorEastAsia" w:hAnsiTheme="majorHAnsi" w:cstheme="majorBidi"/>
                <w:b/>
                <w:bCs/>
                <w:color w:val="000000" w:themeColor="text1"/>
              </w:rPr>
              <w:t>AVERAGE TAXPAYER BENEFIT</w:t>
            </w:r>
          </w:p>
        </w:tc>
        <w:tc>
          <w:tcPr>
            <w:tcW w:w="4770" w:type="dxa"/>
          </w:tcPr>
          <w:p w14:paraId="4A9CA782" w14:textId="77777777" w:rsidR="005B1BBE" w:rsidRPr="002C2079" w:rsidRDefault="00761B25" w:rsidP="00565D22">
            <w:pPr>
              <w:tabs>
                <w:tab w:val="left" w:pos="7050"/>
              </w:tabs>
              <w:rPr>
                <w:rFonts w:asciiTheme="majorHAnsi" w:hAnsiTheme="majorHAnsi"/>
              </w:rPr>
            </w:pPr>
            <w:r>
              <w:rPr>
                <w:rFonts w:asciiTheme="majorHAnsi" w:eastAsiaTheme="majorEastAsia" w:hAnsiTheme="majorHAnsi" w:cstheme="majorBidi"/>
                <w:bCs/>
                <w:color w:val="000000" w:themeColor="text1"/>
              </w:rPr>
              <w:t xml:space="preserve">About </w:t>
            </w:r>
            <w:r w:rsidR="005B1BBE" w:rsidRPr="002C2079">
              <w:rPr>
                <w:rFonts w:asciiTheme="majorHAnsi" w:eastAsiaTheme="majorEastAsia" w:hAnsiTheme="majorHAnsi" w:cstheme="majorBidi"/>
                <w:bCs/>
                <w:color w:val="000000" w:themeColor="text1"/>
              </w:rPr>
              <w:t>$</w:t>
            </w:r>
            <w:r>
              <w:rPr>
                <w:rFonts w:asciiTheme="majorHAnsi" w:eastAsiaTheme="majorEastAsia" w:hAnsiTheme="majorHAnsi" w:cstheme="majorBidi"/>
                <w:bCs/>
                <w:color w:val="000000" w:themeColor="text1"/>
              </w:rPr>
              <w:t>1</w:t>
            </w:r>
            <w:r w:rsidR="00263F25">
              <w:rPr>
                <w:rFonts w:asciiTheme="majorHAnsi" w:eastAsiaTheme="majorEastAsia" w:hAnsiTheme="majorHAnsi" w:cstheme="majorBidi"/>
                <w:bCs/>
                <w:color w:val="000000" w:themeColor="text1"/>
              </w:rPr>
              <w:t>0</w:t>
            </w:r>
            <w:r w:rsidR="00346E78">
              <w:rPr>
                <w:rFonts w:asciiTheme="majorHAnsi" w:eastAsiaTheme="majorEastAsia" w:hAnsiTheme="majorHAnsi" w:cstheme="majorBidi"/>
                <w:bCs/>
                <w:color w:val="000000" w:themeColor="text1"/>
              </w:rPr>
              <w:t>3</w:t>
            </w:r>
            <w:r w:rsidR="00263F25">
              <w:rPr>
                <w:rFonts w:asciiTheme="majorHAnsi" w:eastAsiaTheme="majorEastAsia" w:hAnsiTheme="majorHAnsi" w:cstheme="majorBidi"/>
                <w:bCs/>
                <w:color w:val="000000" w:themeColor="text1"/>
              </w:rPr>
              <w:t>,</w:t>
            </w:r>
            <w:r w:rsidR="00346E78">
              <w:rPr>
                <w:rFonts w:asciiTheme="majorHAnsi" w:eastAsiaTheme="majorEastAsia" w:hAnsiTheme="majorHAnsi" w:cstheme="majorBidi"/>
                <w:bCs/>
                <w:color w:val="000000" w:themeColor="text1"/>
              </w:rPr>
              <w:t>9</w:t>
            </w:r>
            <w:r w:rsidR="00263F25">
              <w:rPr>
                <w:rFonts w:asciiTheme="majorHAnsi" w:eastAsiaTheme="majorEastAsia" w:hAnsiTheme="majorHAnsi" w:cstheme="majorBidi"/>
                <w:bCs/>
                <w:color w:val="000000" w:themeColor="text1"/>
              </w:rPr>
              <w:t>00</w:t>
            </w:r>
            <w:r w:rsidR="00C0671F">
              <w:rPr>
                <w:rFonts w:asciiTheme="majorHAnsi" w:eastAsiaTheme="majorEastAsia" w:hAnsiTheme="majorHAnsi" w:cstheme="majorBidi"/>
                <w:bCs/>
                <w:color w:val="000000" w:themeColor="text1"/>
              </w:rPr>
              <w:t xml:space="preserve"> </w:t>
            </w:r>
            <w:r w:rsidR="005B1BBE" w:rsidRPr="002C2079">
              <w:rPr>
                <w:rFonts w:asciiTheme="majorHAnsi" w:eastAsiaTheme="majorEastAsia" w:hAnsiTheme="majorHAnsi" w:cstheme="majorBidi"/>
                <w:bCs/>
                <w:color w:val="000000" w:themeColor="text1"/>
              </w:rPr>
              <w:t xml:space="preserve">per </w:t>
            </w:r>
            <w:r>
              <w:rPr>
                <w:rFonts w:asciiTheme="majorHAnsi" w:eastAsiaTheme="majorEastAsia" w:hAnsiTheme="majorHAnsi" w:cstheme="majorBidi"/>
                <w:bCs/>
                <w:color w:val="000000" w:themeColor="text1"/>
              </w:rPr>
              <w:t>claim</w:t>
            </w:r>
            <w:r w:rsidR="005B1BBE" w:rsidRPr="002C2079">
              <w:rPr>
                <w:rFonts w:asciiTheme="majorHAnsi" w:eastAsiaTheme="majorEastAsia" w:hAnsiTheme="majorHAnsi" w:cstheme="majorBidi"/>
                <w:bCs/>
                <w:color w:val="000000" w:themeColor="text1"/>
              </w:rPr>
              <w:t xml:space="preserve"> </w:t>
            </w:r>
            <w:r w:rsidR="00263F25">
              <w:rPr>
                <w:rFonts w:asciiTheme="majorHAnsi" w:eastAsiaTheme="majorEastAsia" w:hAnsiTheme="majorHAnsi" w:cstheme="majorBidi"/>
                <w:bCs/>
                <w:color w:val="000000" w:themeColor="text1"/>
              </w:rPr>
              <w:t>(</w:t>
            </w:r>
            <w:r w:rsidR="00573E9C">
              <w:rPr>
                <w:rFonts w:asciiTheme="majorHAnsi" w:eastAsiaTheme="majorEastAsia" w:hAnsiTheme="majorHAnsi" w:cstheme="majorBidi"/>
                <w:bCs/>
                <w:color w:val="000000" w:themeColor="text1"/>
              </w:rPr>
              <w:t xml:space="preserve">tax year </w:t>
            </w:r>
            <w:r w:rsidR="00AB4F17">
              <w:rPr>
                <w:rFonts w:asciiTheme="majorHAnsi" w:eastAsiaTheme="majorEastAsia" w:hAnsiTheme="majorHAnsi" w:cstheme="majorBidi"/>
                <w:bCs/>
                <w:color w:val="000000" w:themeColor="text1"/>
              </w:rPr>
              <w:t>2017</w:t>
            </w:r>
            <w:r w:rsidR="00263F25">
              <w:rPr>
                <w:rFonts w:asciiTheme="majorHAnsi" w:eastAsiaTheme="majorEastAsia" w:hAnsiTheme="majorHAnsi" w:cstheme="majorBidi"/>
                <w:bCs/>
                <w:color w:val="000000" w:themeColor="text1"/>
              </w:rPr>
              <w:t>)</w:t>
            </w:r>
          </w:p>
        </w:tc>
      </w:tr>
    </w:tbl>
    <w:p w14:paraId="1ABB9B10" w14:textId="77777777" w:rsidR="00565D22" w:rsidRDefault="00565D22">
      <w:pPr>
        <w:rPr>
          <w:b/>
          <w:bCs/>
        </w:rPr>
      </w:pPr>
    </w:p>
    <w:tbl>
      <w:tblPr>
        <w:tblStyle w:val="TableGrid"/>
        <w:tblW w:w="0" w:type="auto"/>
        <w:tblLook w:val="04A0" w:firstRow="1" w:lastRow="0" w:firstColumn="1" w:lastColumn="0" w:noHBand="0" w:noVBand="1"/>
      </w:tblPr>
      <w:tblGrid>
        <w:gridCol w:w="4788"/>
        <w:gridCol w:w="4788"/>
      </w:tblGrid>
      <w:tr w:rsidR="00565D22" w:rsidRPr="00D75057" w14:paraId="1FA36506" w14:textId="77777777" w:rsidTr="008D7DF3">
        <w:tc>
          <w:tcPr>
            <w:tcW w:w="4788" w:type="dxa"/>
          </w:tcPr>
          <w:p w14:paraId="2A386BE3" w14:textId="77777777" w:rsidR="00565D22" w:rsidRPr="00D75057" w:rsidRDefault="00565D22" w:rsidP="00565D22">
            <w:pPr>
              <w:tabs>
                <w:tab w:val="left" w:pos="7050"/>
              </w:tabs>
              <w:rPr>
                <w:rFonts w:asciiTheme="majorHAnsi" w:eastAsiaTheme="majorEastAsia" w:hAnsiTheme="majorHAnsi" w:cstheme="majorBidi"/>
                <w:b/>
                <w:bCs/>
                <w:color w:val="000000" w:themeColor="text1"/>
              </w:rPr>
            </w:pPr>
            <w:r w:rsidRPr="00D75057">
              <w:rPr>
                <w:rFonts w:asciiTheme="majorHAnsi" w:eastAsiaTheme="majorEastAsia" w:hAnsiTheme="majorHAnsi" w:cstheme="majorBidi"/>
                <w:b/>
                <w:bCs/>
                <w:color w:val="000000" w:themeColor="text1"/>
              </w:rPr>
              <w:t>Description of the Tax Expenditure:</w:t>
            </w:r>
          </w:p>
          <w:p w14:paraId="518FAA59" w14:textId="63803155" w:rsidR="00565D22" w:rsidRDefault="008D7DF3" w:rsidP="00565D22">
            <w:pPr>
              <w:tabs>
                <w:tab w:val="left" w:pos="7050"/>
              </w:tabs>
              <w:rPr>
                <w:rFonts w:asciiTheme="majorHAnsi" w:eastAsiaTheme="majorEastAsia" w:hAnsiTheme="majorHAnsi" w:cstheme="majorBidi"/>
                <w:bCs/>
                <w:color w:val="000000" w:themeColor="text1"/>
              </w:rPr>
            </w:pPr>
            <w:r w:rsidRPr="00D75057">
              <w:rPr>
                <w:rFonts w:asciiTheme="majorHAnsi" w:eastAsiaTheme="majorEastAsia" w:hAnsiTheme="majorHAnsi" w:cstheme="majorBidi"/>
                <w:bCs/>
                <w:color w:val="000000" w:themeColor="text1"/>
              </w:rPr>
              <w:t xml:space="preserve">Under the provisions of the Economic Development Incentive Program (EDIP), the Economic Assistance </w:t>
            </w:r>
            <w:r w:rsidR="008D160C">
              <w:rPr>
                <w:rFonts w:asciiTheme="majorHAnsi" w:hAnsiTheme="majorHAnsi"/>
                <w:sz w:val="24"/>
                <w:szCs w:val="24"/>
              </w:rPr>
              <w:t>Coordinating</w:t>
            </w:r>
            <w:r w:rsidRPr="00D75057">
              <w:rPr>
                <w:rFonts w:asciiTheme="majorHAnsi" w:eastAsiaTheme="majorEastAsia" w:hAnsiTheme="majorHAnsi" w:cstheme="majorBidi"/>
                <w:bCs/>
                <w:color w:val="000000" w:themeColor="text1"/>
              </w:rPr>
              <w:t xml:space="preserve"> Council (EACC) may authorize taxpayers participating in certified projects to claim tax credits. To be eligible, a project must be certified by the EACC. The total dollar amount of the EDIP credit that may be authorized in a calendar year is $30 million.</w:t>
            </w:r>
          </w:p>
          <w:p w14:paraId="0F86EBBB" w14:textId="77777777" w:rsidR="007A3763" w:rsidRPr="00D75057" w:rsidRDefault="007A3763" w:rsidP="00565D22">
            <w:pPr>
              <w:tabs>
                <w:tab w:val="left" w:pos="7050"/>
              </w:tabs>
              <w:rPr>
                <w:rFonts w:asciiTheme="majorHAnsi" w:eastAsiaTheme="majorEastAsia" w:hAnsiTheme="majorHAnsi" w:cstheme="majorBidi"/>
                <w:b/>
                <w:bCs/>
                <w:color w:val="000000" w:themeColor="text1"/>
              </w:rPr>
            </w:pPr>
          </w:p>
        </w:tc>
        <w:tc>
          <w:tcPr>
            <w:tcW w:w="4788" w:type="dxa"/>
          </w:tcPr>
          <w:p w14:paraId="460E1EC7" w14:textId="77777777" w:rsidR="00565D22" w:rsidRPr="00D75057" w:rsidRDefault="00565D22" w:rsidP="00565D22">
            <w:pPr>
              <w:tabs>
                <w:tab w:val="left" w:pos="7050"/>
              </w:tabs>
              <w:rPr>
                <w:rFonts w:asciiTheme="majorHAnsi" w:eastAsiaTheme="majorEastAsia" w:hAnsiTheme="majorHAnsi" w:cstheme="majorBidi"/>
                <w:b/>
                <w:bCs/>
                <w:color w:val="000000" w:themeColor="text1"/>
              </w:rPr>
            </w:pPr>
            <w:r w:rsidRPr="00D75057">
              <w:rPr>
                <w:rFonts w:asciiTheme="majorHAnsi" w:eastAsiaTheme="majorEastAsia" w:hAnsiTheme="majorHAnsi" w:cstheme="majorBidi"/>
                <w:b/>
                <w:bCs/>
                <w:color w:val="000000" w:themeColor="text1"/>
              </w:rPr>
              <w:t>Is the purpose defined in the statute?</w:t>
            </w:r>
          </w:p>
          <w:p w14:paraId="26BF9AD3" w14:textId="77777777" w:rsidR="00565D22" w:rsidRPr="00D75057" w:rsidRDefault="00565D22" w:rsidP="00565D22">
            <w:pPr>
              <w:rPr>
                <w:b/>
                <w:bCs/>
              </w:rPr>
            </w:pPr>
            <w:r w:rsidRPr="00D75057">
              <w:rPr>
                <w:rFonts w:asciiTheme="majorHAnsi" w:eastAsiaTheme="majorEastAsia" w:hAnsiTheme="majorHAnsi" w:cstheme="majorBidi"/>
                <w:bCs/>
                <w:color w:val="000000" w:themeColor="text1"/>
              </w:rPr>
              <w:t xml:space="preserve">The statute does not explicitly state the purpose of this tax expenditure. </w:t>
            </w:r>
          </w:p>
        </w:tc>
      </w:tr>
      <w:tr w:rsidR="00565D22" w:rsidRPr="00D75057" w14:paraId="6454FF7B" w14:textId="77777777" w:rsidTr="008D7DF3">
        <w:tc>
          <w:tcPr>
            <w:tcW w:w="4788" w:type="dxa"/>
          </w:tcPr>
          <w:p w14:paraId="5A675EE3" w14:textId="77777777" w:rsidR="007A3763" w:rsidRPr="00003921" w:rsidRDefault="007A3763" w:rsidP="007A3763">
            <w:pPr>
              <w:tabs>
                <w:tab w:val="left" w:pos="7050"/>
              </w:tabs>
              <w:rPr>
                <w:rFonts w:asciiTheme="majorHAnsi" w:eastAsiaTheme="majorEastAsia" w:hAnsiTheme="majorHAnsi" w:cstheme="majorBidi"/>
                <w:b/>
                <w:bCs/>
                <w:color w:val="000000" w:themeColor="text1"/>
                <w:sz w:val="24"/>
              </w:rPr>
            </w:pPr>
            <w:r>
              <w:rPr>
                <w:rFonts w:asciiTheme="majorHAnsi" w:eastAsiaTheme="majorEastAsia" w:hAnsiTheme="majorHAnsi" w:cstheme="majorBidi"/>
                <w:b/>
                <w:bCs/>
                <w:color w:val="000000" w:themeColor="text1"/>
                <w:sz w:val="24"/>
              </w:rPr>
              <w:t>What are the policy goals of the expenditure?</w:t>
            </w:r>
          </w:p>
          <w:p w14:paraId="1CE911D4" w14:textId="5B76C78B" w:rsidR="00565D22" w:rsidRDefault="00347CCC" w:rsidP="00565D22">
            <w:pPr>
              <w:rPr>
                <w:rFonts w:asciiTheme="majorHAnsi" w:eastAsiaTheme="majorEastAsia" w:hAnsiTheme="majorHAnsi" w:cstheme="majorBidi"/>
                <w:bCs/>
                <w:color w:val="000000" w:themeColor="text1"/>
              </w:rPr>
            </w:pPr>
            <w:bookmarkStart w:id="1" w:name="_Hlk62565717"/>
            <w:r>
              <w:rPr>
                <w:rFonts w:asciiTheme="majorHAnsi" w:eastAsiaTheme="majorEastAsia" w:hAnsiTheme="majorHAnsi" w:cstheme="majorBidi"/>
                <w:bCs/>
                <w:color w:val="000000" w:themeColor="text1"/>
              </w:rPr>
              <w:lastRenderedPageBreak/>
              <w:t>To provide incentives to invest in new or expanded business ventures in Massachusetts by awarding tax credits for such investments</w:t>
            </w:r>
            <w:r w:rsidR="00E97F6F">
              <w:rPr>
                <w:rFonts w:asciiTheme="majorHAnsi" w:eastAsiaTheme="majorEastAsia" w:hAnsiTheme="majorHAnsi" w:cstheme="majorBidi"/>
                <w:bCs/>
                <w:color w:val="000000" w:themeColor="text1"/>
              </w:rPr>
              <w:t>,</w:t>
            </w:r>
            <w:r>
              <w:rPr>
                <w:rFonts w:asciiTheme="majorHAnsi" w:eastAsiaTheme="majorEastAsia" w:hAnsiTheme="majorHAnsi" w:cstheme="majorBidi"/>
                <w:bCs/>
                <w:color w:val="000000" w:themeColor="text1"/>
              </w:rPr>
              <w:t xml:space="preserve"> thereby reducing the cost of capital and spurring economic growth. </w:t>
            </w:r>
            <w:bookmarkEnd w:id="1"/>
          </w:p>
          <w:p w14:paraId="4AAFFDC9" w14:textId="3B7BF169" w:rsidR="0006569E" w:rsidRPr="00D75057" w:rsidRDefault="0006569E" w:rsidP="00565D22">
            <w:pPr>
              <w:rPr>
                <w:b/>
                <w:bCs/>
              </w:rPr>
            </w:pPr>
          </w:p>
        </w:tc>
        <w:tc>
          <w:tcPr>
            <w:tcW w:w="4788" w:type="dxa"/>
          </w:tcPr>
          <w:p w14:paraId="5CA7E142" w14:textId="77777777" w:rsidR="00565D22" w:rsidRPr="00D75057" w:rsidRDefault="00565D22" w:rsidP="00565D22">
            <w:pPr>
              <w:tabs>
                <w:tab w:val="left" w:pos="7050"/>
              </w:tabs>
              <w:rPr>
                <w:rFonts w:asciiTheme="majorHAnsi" w:eastAsiaTheme="majorEastAsia" w:hAnsiTheme="majorHAnsi" w:cstheme="majorBidi"/>
                <w:b/>
                <w:bCs/>
                <w:color w:val="000000" w:themeColor="text1"/>
              </w:rPr>
            </w:pPr>
            <w:r w:rsidRPr="00D75057">
              <w:rPr>
                <w:rFonts w:asciiTheme="majorHAnsi" w:eastAsiaTheme="majorEastAsia" w:hAnsiTheme="majorHAnsi" w:cstheme="majorBidi"/>
                <w:b/>
                <w:bCs/>
                <w:color w:val="000000" w:themeColor="text1"/>
              </w:rPr>
              <w:lastRenderedPageBreak/>
              <w:t>Are there other states with a similar Tax Expenditure?</w:t>
            </w:r>
          </w:p>
          <w:p w14:paraId="2F7987A1" w14:textId="77777777" w:rsidR="00565D22" w:rsidRPr="00D75057" w:rsidRDefault="00565D22" w:rsidP="00565D22">
            <w:pPr>
              <w:rPr>
                <w:b/>
                <w:bCs/>
              </w:rPr>
            </w:pPr>
          </w:p>
        </w:tc>
      </w:tr>
    </w:tbl>
    <w:tbl>
      <w:tblPr>
        <w:tblStyle w:val="MediumList1-Accent2"/>
        <w:tblW w:w="0" w:type="auto"/>
        <w:tblLook w:val="04A0" w:firstRow="1" w:lastRow="0" w:firstColumn="1" w:lastColumn="0" w:noHBand="0" w:noVBand="1"/>
      </w:tblPr>
      <w:tblGrid>
        <w:gridCol w:w="9576"/>
      </w:tblGrid>
      <w:tr w:rsidR="00F065BC" w:rsidRPr="00A67BCA" w14:paraId="65BC7C5A" w14:textId="77777777" w:rsidTr="00515E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2BDA0347" w14:textId="77777777" w:rsidR="00F065BC" w:rsidRPr="00A67BCA" w:rsidRDefault="00F065BC" w:rsidP="00F065BC">
            <w:pPr>
              <w:rPr>
                <w:sz w:val="18"/>
                <w:szCs w:val="18"/>
              </w:rPr>
            </w:pPr>
          </w:p>
        </w:tc>
      </w:tr>
      <w:tr w:rsidR="004B14D0" w:rsidRPr="00D75057" w14:paraId="6E60D57E" w14:textId="77777777" w:rsidTr="00515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single" w:sz="8" w:space="0" w:color="C0504D" w:themeColor="accent2"/>
              <w:bottom w:val="single" w:sz="8" w:space="0" w:color="C0504D" w:themeColor="accent2"/>
            </w:tcBorders>
            <w:shd w:val="clear" w:color="auto" w:fill="B6DDE8" w:themeFill="accent5" w:themeFillTint="66"/>
          </w:tcPr>
          <w:p w14:paraId="0AFB866E" w14:textId="77777777" w:rsidR="004B14D0" w:rsidRPr="00D75057" w:rsidRDefault="004B14D0" w:rsidP="00F065BC">
            <w:pPr>
              <w:rPr>
                <w:rFonts w:asciiTheme="majorHAnsi" w:hAnsiTheme="majorHAnsi"/>
              </w:rPr>
            </w:pPr>
            <w:r w:rsidRPr="00D75057">
              <w:rPr>
                <w:highlight w:val="cyan"/>
              </w:rPr>
              <w:t>Conclusion/Recommendations: [To be</w:t>
            </w:r>
            <w:r w:rsidR="00F065BC" w:rsidRPr="00D75057">
              <w:rPr>
                <w:highlight w:val="cyan"/>
              </w:rPr>
              <w:t xml:space="preserve"> Entered by TERC]</w:t>
            </w:r>
          </w:p>
        </w:tc>
      </w:tr>
    </w:tbl>
    <w:p w14:paraId="13EB3112" w14:textId="77777777" w:rsidR="005B1BBE" w:rsidRPr="00B22F40" w:rsidRDefault="005B1BBE" w:rsidP="001A55D9"/>
    <w:p w14:paraId="40C64167" w14:textId="77777777" w:rsidR="00F4684C" w:rsidRDefault="00F4684C">
      <w:r>
        <w:br w:type="page"/>
      </w:r>
    </w:p>
    <w:p w14:paraId="10C7D94C" w14:textId="77777777" w:rsidR="005B1BBE" w:rsidRPr="00B22F40" w:rsidRDefault="005B1BBE" w:rsidP="005B1BBE">
      <w:pPr>
        <w:sectPr w:rsidR="005B1BBE" w:rsidRPr="00B22F40" w:rsidSect="00565D22">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267" w:left="1440" w:header="720" w:footer="720" w:gutter="0"/>
          <w:cols w:space="720"/>
          <w:docGrid w:linePitch="360"/>
        </w:sectPr>
      </w:pPr>
    </w:p>
    <w:p w14:paraId="5DE7FA05" w14:textId="77777777" w:rsidR="00291074" w:rsidRPr="00A07439" w:rsidRDefault="00291074" w:rsidP="00291074">
      <w:pPr>
        <w:tabs>
          <w:tab w:val="left" w:pos="7050"/>
        </w:tabs>
        <w:spacing w:after="0"/>
        <w:rPr>
          <w:rFonts w:asciiTheme="majorHAnsi" w:hAnsiTheme="majorHAnsi"/>
          <w:b/>
          <w:color w:val="E36C0A" w:themeColor="accent6" w:themeShade="BF"/>
          <w:sz w:val="28"/>
          <w:szCs w:val="28"/>
        </w:rPr>
      </w:pPr>
      <w:r w:rsidRPr="00A07439">
        <w:rPr>
          <w:rFonts w:asciiTheme="majorHAnsi" w:hAnsiTheme="majorHAnsi"/>
          <w:b/>
          <w:color w:val="E36C0A" w:themeColor="accent6" w:themeShade="BF"/>
          <w:sz w:val="28"/>
          <w:szCs w:val="28"/>
        </w:rPr>
        <w:lastRenderedPageBreak/>
        <w:t>INTRODUCTION</w:t>
      </w:r>
    </w:p>
    <w:p w14:paraId="276F819C" w14:textId="67FEF9FE" w:rsidR="008D7DF3" w:rsidRPr="008D7DF3" w:rsidRDefault="008D7DF3" w:rsidP="008D7DF3">
      <w:pPr>
        <w:tabs>
          <w:tab w:val="left" w:pos="7050"/>
        </w:tabs>
        <w:spacing w:after="0"/>
        <w:rPr>
          <w:rFonts w:asciiTheme="majorHAnsi" w:hAnsiTheme="majorHAnsi"/>
          <w:sz w:val="24"/>
          <w:szCs w:val="24"/>
        </w:rPr>
      </w:pPr>
      <w:r w:rsidRPr="008D7DF3">
        <w:rPr>
          <w:rFonts w:asciiTheme="majorHAnsi" w:hAnsiTheme="majorHAnsi"/>
          <w:sz w:val="24"/>
          <w:szCs w:val="24"/>
        </w:rPr>
        <w:t xml:space="preserve">Under the Economic Development Incentive Program (EDIP), the Economic Assistance </w:t>
      </w:r>
      <w:r w:rsidR="00577CEC">
        <w:rPr>
          <w:rFonts w:asciiTheme="majorHAnsi" w:hAnsiTheme="majorHAnsi"/>
          <w:sz w:val="24"/>
          <w:szCs w:val="24"/>
        </w:rPr>
        <w:t>Coordinating</w:t>
      </w:r>
      <w:r w:rsidR="00577CEC" w:rsidRPr="008D7DF3">
        <w:rPr>
          <w:rFonts w:asciiTheme="majorHAnsi" w:hAnsiTheme="majorHAnsi"/>
          <w:sz w:val="24"/>
          <w:szCs w:val="24"/>
        </w:rPr>
        <w:t xml:space="preserve"> </w:t>
      </w:r>
      <w:r w:rsidRPr="008D7DF3">
        <w:rPr>
          <w:rFonts w:asciiTheme="majorHAnsi" w:hAnsiTheme="majorHAnsi"/>
          <w:sz w:val="24"/>
          <w:szCs w:val="24"/>
        </w:rPr>
        <w:t xml:space="preserve">Council (EACC) may award tax credits to taxpayers that participate in a “certified project” (as defined in G.L. c. 23A, §§ 3A and 3F). The amount of credit allowed in each case is determined by the EACC based on numerous factors set forth in G.L. c. 23A, § 3D, including the number of jobs expected to be created, the amount of capital to be invested, and the net new economic benefit expected to be created.  The EACC may designate the credit as refundable for any certified project, subject to a limitation that the EACC may not award more than $5 million in refundable credits per year. </w:t>
      </w:r>
    </w:p>
    <w:p w14:paraId="7BCC17CF" w14:textId="77777777" w:rsidR="008D7DF3" w:rsidRPr="008D7DF3" w:rsidRDefault="008D7DF3" w:rsidP="008D7DF3">
      <w:pPr>
        <w:tabs>
          <w:tab w:val="left" w:pos="7050"/>
        </w:tabs>
        <w:spacing w:after="0"/>
        <w:rPr>
          <w:rFonts w:asciiTheme="majorHAnsi" w:hAnsiTheme="majorHAnsi"/>
          <w:sz w:val="24"/>
          <w:szCs w:val="24"/>
        </w:rPr>
      </w:pPr>
    </w:p>
    <w:p w14:paraId="5FBA4DBE" w14:textId="2625B2A6" w:rsidR="008D7DF3" w:rsidRPr="008D7DF3" w:rsidRDefault="008D5935" w:rsidP="008D7DF3">
      <w:pPr>
        <w:tabs>
          <w:tab w:val="left" w:pos="7050"/>
        </w:tabs>
        <w:spacing w:after="0"/>
        <w:rPr>
          <w:rFonts w:asciiTheme="majorHAnsi" w:hAnsiTheme="majorHAnsi"/>
          <w:sz w:val="24"/>
          <w:szCs w:val="24"/>
        </w:rPr>
      </w:pPr>
      <w:r>
        <w:rPr>
          <w:rFonts w:asciiTheme="majorHAnsi" w:hAnsiTheme="majorHAnsi"/>
          <w:sz w:val="24"/>
          <w:szCs w:val="24"/>
        </w:rPr>
        <w:t xml:space="preserve">Unless designated </w:t>
      </w:r>
      <w:r w:rsidR="00577CEC">
        <w:rPr>
          <w:rFonts w:asciiTheme="majorHAnsi" w:hAnsiTheme="majorHAnsi"/>
          <w:sz w:val="24"/>
          <w:szCs w:val="24"/>
        </w:rPr>
        <w:t>as</w:t>
      </w:r>
      <w:r>
        <w:rPr>
          <w:rFonts w:asciiTheme="majorHAnsi" w:hAnsiTheme="majorHAnsi"/>
          <w:sz w:val="24"/>
          <w:szCs w:val="24"/>
        </w:rPr>
        <w:t xml:space="preserve"> refundable, t</w:t>
      </w:r>
      <w:r>
        <w:rPr>
          <w:rFonts w:asciiTheme="majorHAnsi" w:hAnsiTheme="majorHAnsi" w:cs="Arial"/>
          <w:sz w:val="24"/>
          <w:szCs w:val="24"/>
        </w:rPr>
        <w:t xml:space="preserve">he maximum amount of credit allowed in any one taxable year cannot exceed fifty percent of the excise due for the taxable year.  </w:t>
      </w:r>
      <w:r>
        <w:rPr>
          <w:rFonts w:asciiTheme="majorHAnsi" w:hAnsiTheme="majorHAnsi"/>
          <w:sz w:val="24"/>
          <w:szCs w:val="24"/>
        </w:rPr>
        <w:t xml:space="preserve"> The </w:t>
      </w:r>
      <w:r w:rsidR="00D86C75">
        <w:rPr>
          <w:rFonts w:asciiTheme="majorHAnsi" w:hAnsiTheme="majorHAnsi"/>
          <w:sz w:val="24"/>
          <w:szCs w:val="24"/>
        </w:rPr>
        <w:t xml:space="preserve">amount of </w:t>
      </w:r>
      <w:r>
        <w:rPr>
          <w:rFonts w:asciiTheme="majorHAnsi" w:hAnsiTheme="majorHAnsi"/>
          <w:sz w:val="24"/>
          <w:szCs w:val="24"/>
        </w:rPr>
        <w:t xml:space="preserve">credit </w:t>
      </w:r>
      <w:r w:rsidR="00D86C75">
        <w:rPr>
          <w:rFonts w:asciiTheme="majorHAnsi" w:hAnsiTheme="majorHAnsi"/>
          <w:sz w:val="24"/>
          <w:szCs w:val="24"/>
        </w:rPr>
        <w:t xml:space="preserve">allowed cannot reduce the excise below the minimum excise.  </w:t>
      </w:r>
      <w:r w:rsidR="008D7DF3" w:rsidRPr="008D7DF3">
        <w:rPr>
          <w:rFonts w:asciiTheme="majorHAnsi" w:hAnsiTheme="majorHAnsi"/>
          <w:sz w:val="24"/>
          <w:szCs w:val="24"/>
        </w:rPr>
        <w:t>The EACC is authorized to eliminate or limit carry-over of the credit. The EDIP credits used in a calendar year are subject to an annual cap of $30 million. Recapture is required if the EACC revokes a business project certification.</w:t>
      </w:r>
    </w:p>
    <w:p w14:paraId="09456172" w14:textId="77777777" w:rsidR="008D7DF3" w:rsidRPr="008D7DF3" w:rsidRDefault="008D7DF3" w:rsidP="008D7DF3">
      <w:pPr>
        <w:tabs>
          <w:tab w:val="left" w:pos="7050"/>
        </w:tabs>
        <w:spacing w:after="0"/>
        <w:rPr>
          <w:rFonts w:asciiTheme="majorHAnsi" w:hAnsiTheme="majorHAnsi"/>
          <w:sz w:val="24"/>
          <w:szCs w:val="24"/>
        </w:rPr>
      </w:pPr>
    </w:p>
    <w:p w14:paraId="45B809B6" w14:textId="77777777" w:rsidR="008D7DF3" w:rsidRPr="008D7DF3" w:rsidRDefault="008D7DF3" w:rsidP="008D7DF3">
      <w:pPr>
        <w:tabs>
          <w:tab w:val="left" w:pos="7050"/>
        </w:tabs>
        <w:spacing w:after="0"/>
        <w:rPr>
          <w:rFonts w:asciiTheme="majorHAnsi" w:hAnsiTheme="majorHAnsi"/>
          <w:sz w:val="24"/>
          <w:szCs w:val="24"/>
        </w:rPr>
      </w:pPr>
      <w:r w:rsidRPr="008D7DF3">
        <w:rPr>
          <w:rFonts w:asciiTheme="majorHAnsi" w:hAnsiTheme="majorHAnsi"/>
          <w:sz w:val="24"/>
          <w:szCs w:val="24"/>
        </w:rPr>
        <w:t xml:space="preserve">The credit is not transferable; however, if a certified project is sold or otherwise disposed of, the credit allowed may be transferred to the purchaser of the certified project, provided that the EDIP contract is assigned to and assumed by the purchaser and approved in writing by the EACC.  </w:t>
      </w:r>
    </w:p>
    <w:p w14:paraId="405966E8" w14:textId="77777777" w:rsidR="008D7DF3" w:rsidRPr="008D7DF3" w:rsidRDefault="008D7DF3" w:rsidP="008D7DF3">
      <w:pPr>
        <w:tabs>
          <w:tab w:val="left" w:pos="7050"/>
        </w:tabs>
        <w:spacing w:after="0"/>
        <w:rPr>
          <w:rFonts w:asciiTheme="majorHAnsi" w:hAnsiTheme="majorHAnsi"/>
          <w:sz w:val="24"/>
          <w:szCs w:val="24"/>
        </w:rPr>
      </w:pPr>
    </w:p>
    <w:p w14:paraId="40CD9950" w14:textId="77777777" w:rsidR="008547F9" w:rsidRDefault="008D7DF3" w:rsidP="008D7DF3">
      <w:pPr>
        <w:tabs>
          <w:tab w:val="left" w:pos="7050"/>
        </w:tabs>
        <w:spacing w:after="0"/>
        <w:rPr>
          <w:rFonts w:asciiTheme="majorHAnsi" w:hAnsiTheme="majorHAnsi"/>
          <w:sz w:val="24"/>
          <w:szCs w:val="24"/>
        </w:rPr>
      </w:pPr>
      <w:r w:rsidRPr="008D7DF3">
        <w:rPr>
          <w:rFonts w:asciiTheme="majorHAnsi" w:hAnsiTheme="majorHAnsi"/>
          <w:sz w:val="24"/>
          <w:szCs w:val="24"/>
        </w:rPr>
        <w:t>When it was first enacted in 1993, the credit was for a fixed 5 percent of the costs of qualifying tangible property, and the project had to be located in a designated “economic opportunity area”. In 2010, the statute was amended to increase the percentage to “up to 10 percent” and “up to a refundable forty percent” in some cases, eliminate the “economic opportunity area” requirement and impose an annual cap of $25 million.  As of 2017, the credit is whatever amount is awarded by the EACC as part of the certification process.</w:t>
      </w:r>
    </w:p>
    <w:p w14:paraId="2A7F7365" w14:textId="77777777" w:rsidR="00A67BCA" w:rsidRDefault="00A67BCA" w:rsidP="008D7DF3">
      <w:pPr>
        <w:tabs>
          <w:tab w:val="left" w:pos="7050"/>
        </w:tabs>
        <w:spacing w:after="0"/>
        <w:rPr>
          <w:rFonts w:asciiTheme="majorHAnsi" w:hAnsiTheme="majorHAnsi"/>
          <w:sz w:val="24"/>
          <w:szCs w:val="24"/>
        </w:rPr>
      </w:pPr>
    </w:p>
    <w:p w14:paraId="767AC1A7" w14:textId="77777777" w:rsidR="00F327EC" w:rsidRDefault="00F327EC" w:rsidP="00291074">
      <w:pPr>
        <w:tabs>
          <w:tab w:val="left" w:pos="7050"/>
        </w:tabs>
        <w:spacing w:after="0"/>
        <w:rPr>
          <w:rFonts w:asciiTheme="majorHAnsi" w:hAnsiTheme="majorHAnsi"/>
          <w:sz w:val="24"/>
          <w:szCs w:val="24"/>
        </w:rPr>
      </w:pPr>
    </w:p>
    <w:p w14:paraId="5E642D4F" w14:textId="77777777" w:rsidR="00291074" w:rsidRDefault="00494DA0" w:rsidP="00291074">
      <w:pPr>
        <w:tabs>
          <w:tab w:val="left" w:pos="7050"/>
        </w:tabs>
        <w:spacing w:after="0"/>
        <w:rPr>
          <w:rFonts w:asciiTheme="majorHAnsi" w:hAnsiTheme="majorHAnsi"/>
          <w:b/>
          <w:color w:val="E36C0A" w:themeColor="accent6" w:themeShade="BF"/>
          <w:sz w:val="28"/>
          <w:szCs w:val="28"/>
        </w:rPr>
      </w:pPr>
      <w:r>
        <w:rPr>
          <w:rFonts w:asciiTheme="majorHAnsi" w:hAnsiTheme="majorHAnsi"/>
          <w:b/>
          <w:color w:val="E36C0A" w:themeColor="accent6" w:themeShade="BF"/>
          <w:sz w:val="28"/>
          <w:szCs w:val="28"/>
        </w:rPr>
        <w:t>POLICY GOAL</w:t>
      </w:r>
      <w:r w:rsidR="007D19CE">
        <w:rPr>
          <w:rFonts w:asciiTheme="majorHAnsi" w:hAnsiTheme="majorHAnsi"/>
          <w:b/>
          <w:color w:val="E36C0A" w:themeColor="accent6" w:themeShade="BF"/>
          <w:sz w:val="28"/>
          <w:szCs w:val="28"/>
        </w:rPr>
        <w:t>S</w:t>
      </w:r>
    </w:p>
    <w:p w14:paraId="442B2377" w14:textId="1BA5E867" w:rsidR="008D7DF3" w:rsidRDefault="008D7DF3" w:rsidP="00812F0B">
      <w:pPr>
        <w:tabs>
          <w:tab w:val="left" w:pos="7050"/>
        </w:tabs>
        <w:spacing w:after="0"/>
        <w:rPr>
          <w:rFonts w:asciiTheme="majorHAnsi" w:eastAsiaTheme="majorEastAsia" w:hAnsiTheme="majorHAnsi" w:cstheme="majorBidi"/>
          <w:bCs/>
          <w:color w:val="000000" w:themeColor="text1"/>
          <w:sz w:val="24"/>
          <w:szCs w:val="24"/>
        </w:rPr>
      </w:pPr>
      <w:r w:rsidRPr="00812F0B">
        <w:rPr>
          <w:rFonts w:asciiTheme="majorHAnsi" w:hAnsiTheme="majorHAnsi"/>
          <w:sz w:val="24"/>
          <w:szCs w:val="24"/>
        </w:rPr>
        <w:t>The statute does not explicitly state the purpose of this tax expenditure.</w:t>
      </w:r>
      <w:r w:rsidR="00347CCC">
        <w:rPr>
          <w:rFonts w:asciiTheme="majorHAnsi" w:hAnsiTheme="majorHAnsi"/>
          <w:sz w:val="24"/>
          <w:szCs w:val="24"/>
        </w:rPr>
        <w:t xml:space="preserve">  However, the credit is designed to provide incentives to i</w:t>
      </w:r>
      <w:r w:rsidR="00347CCC" w:rsidRPr="00347CCC">
        <w:rPr>
          <w:rFonts w:asciiTheme="majorHAnsi" w:hAnsiTheme="majorHAnsi"/>
          <w:sz w:val="24"/>
          <w:szCs w:val="24"/>
        </w:rPr>
        <w:t>nvest in new or expanded business ventures in Massachusetts</w:t>
      </w:r>
      <w:r w:rsidR="00347CCC">
        <w:rPr>
          <w:rFonts w:asciiTheme="majorHAnsi" w:hAnsiTheme="majorHAnsi"/>
          <w:sz w:val="24"/>
          <w:szCs w:val="24"/>
        </w:rPr>
        <w:t xml:space="preserve">.  Credits for </w:t>
      </w:r>
      <w:r w:rsidR="00347CCC" w:rsidRPr="00347CCC">
        <w:rPr>
          <w:rFonts w:asciiTheme="majorHAnsi" w:hAnsiTheme="majorHAnsi"/>
          <w:sz w:val="24"/>
          <w:szCs w:val="24"/>
        </w:rPr>
        <w:t xml:space="preserve">such investments </w:t>
      </w:r>
      <w:r w:rsidR="00347CCC">
        <w:rPr>
          <w:rFonts w:asciiTheme="majorHAnsi" w:hAnsiTheme="majorHAnsi"/>
          <w:sz w:val="24"/>
          <w:szCs w:val="24"/>
        </w:rPr>
        <w:t>r</w:t>
      </w:r>
      <w:r w:rsidR="00347CCC" w:rsidRPr="00347CCC">
        <w:rPr>
          <w:rFonts w:asciiTheme="majorHAnsi" w:hAnsiTheme="majorHAnsi"/>
          <w:sz w:val="24"/>
          <w:szCs w:val="24"/>
        </w:rPr>
        <w:t>educ</w:t>
      </w:r>
      <w:r w:rsidR="00347CCC">
        <w:rPr>
          <w:rFonts w:asciiTheme="majorHAnsi" w:hAnsiTheme="majorHAnsi"/>
          <w:sz w:val="24"/>
          <w:szCs w:val="24"/>
        </w:rPr>
        <w:t xml:space="preserve">e </w:t>
      </w:r>
      <w:r w:rsidR="00347CCC" w:rsidRPr="00347CCC">
        <w:rPr>
          <w:rFonts w:asciiTheme="majorHAnsi" w:hAnsiTheme="majorHAnsi"/>
          <w:sz w:val="24"/>
          <w:szCs w:val="24"/>
        </w:rPr>
        <w:t>the cost of capital</w:t>
      </w:r>
      <w:r w:rsidR="00347CCC">
        <w:rPr>
          <w:rFonts w:asciiTheme="majorHAnsi" w:hAnsiTheme="majorHAnsi"/>
          <w:sz w:val="24"/>
          <w:szCs w:val="24"/>
        </w:rPr>
        <w:t xml:space="preserve">, thus </w:t>
      </w:r>
      <w:r w:rsidR="00347CCC" w:rsidRPr="00347CCC">
        <w:rPr>
          <w:rFonts w:asciiTheme="majorHAnsi" w:hAnsiTheme="majorHAnsi"/>
          <w:sz w:val="24"/>
          <w:szCs w:val="24"/>
        </w:rPr>
        <w:t xml:space="preserve">spurring economic growth. </w:t>
      </w:r>
      <w:r w:rsidRPr="00812F0B">
        <w:rPr>
          <w:rFonts w:asciiTheme="majorHAnsi" w:hAnsiTheme="majorHAnsi"/>
          <w:sz w:val="24"/>
          <w:szCs w:val="24"/>
        </w:rPr>
        <w:t xml:space="preserve"> The credit is a key component of the Economic Development Incentive Program created under G.L. c. 23A and administered by the Massachusetts Office of </w:t>
      </w:r>
      <w:r w:rsidRPr="00812F0B">
        <w:rPr>
          <w:rFonts w:asciiTheme="majorHAnsi" w:hAnsiTheme="majorHAnsi"/>
          <w:sz w:val="24"/>
          <w:szCs w:val="24"/>
        </w:rPr>
        <w:lastRenderedPageBreak/>
        <w:t xml:space="preserve">Business Development(“MOBD”).  In its </w:t>
      </w:r>
      <w:r w:rsidR="00812F0B" w:rsidRPr="00812F0B">
        <w:rPr>
          <w:rFonts w:asciiTheme="majorHAnsi" w:hAnsiTheme="majorHAnsi"/>
          <w:sz w:val="24"/>
          <w:szCs w:val="24"/>
        </w:rPr>
        <w:t>fiscal year</w:t>
      </w:r>
      <w:r w:rsidR="006463C1">
        <w:rPr>
          <w:rFonts w:asciiTheme="majorHAnsi" w:hAnsiTheme="majorHAnsi"/>
          <w:sz w:val="24"/>
          <w:szCs w:val="24"/>
        </w:rPr>
        <w:t xml:space="preserve"> </w:t>
      </w:r>
      <w:r w:rsidRPr="00812F0B">
        <w:rPr>
          <w:rFonts w:asciiTheme="majorHAnsi" w:hAnsiTheme="majorHAnsi"/>
          <w:sz w:val="24"/>
          <w:szCs w:val="24"/>
        </w:rPr>
        <w:t>20</w:t>
      </w:r>
      <w:r w:rsidR="006463C1">
        <w:rPr>
          <w:rFonts w:asciiTheme="majorHAnsi" w:hAnsiTheme="majorHAnsi"/>
          <w:sz w:val="24"/>
          <w:szCs w:val="24"/>
        </w:rPr>
        <w:t>20</w:t>
      </w:r>
      <w:r w:rsidRPr="00812F0B">
        <w:rPr>
          <w:rFonts w:asciiTheme="majorHAnsi" w:hAnsiTheme="majorHAnsi"/>
          <w:sz w:val="24"/>
          <w:szCs w:val="24"/>
        </w:rPr>
        <w:t xml:space="preserve"> annual report</w:t>
      </w:r>
      <w:r w:rsidR="006463C1">
        <w:rPr>
          <w:rStyle w:val="FootnoteReference"/>
          <w:rFonts w:asciiTheme="majorHAnsi" w:eastAsiaTheme="majorEastAsia" w:hAnsiTheme="majorHAnsi"/>
          <w:noProof/>
          <w:color w:val="000000" w:themeColor="text1"/>
          <w:sz w:val="24"/>
          <w:szCs w:val="24"/>
        </w:rPr>
        <w:footnoteReference w:id="2"/>
      </w:r>
      <w:r w:rsidRPr="00812F0B">
        <w:rPr>
          <w:rFonts w:asciiTheme="majorHAnsi" w:hAnsiTheme="majorHAnsi"/>
          <w:sz w:val="24"/>
          <w:szCs w:val="24"/>
        </w:rPr>
        <w:t xml:space="preserve">, MOBD states that </w:t>
      </w:r>
      <w:r w:rsidR="00812F0B" w:rsidRPr="00812F0B">
        <w:rPr>
          <w:rFonts w:asciiTheme="majorHAnsi" w:hAnsiTheme="majorHAnsi"/>
          <w:sz w:val="24"/>
          <w:szCs w:val="24"/>
        </w:rPr>
        <w:t>it has</w:t>
      </w:r>
      <w:r w:rsidRPr="00812F0B">
        <w:rPr>
          <w:rFonts w:asciiTheme="majorHAnsi" w:hAnsiTheme="majorHAnsi"/>
          <w:sz w:val="24"/>
          <w:szCs w:val="24"/>
        </w:rPr>
        <w:t xml:space="preserve"> </w:t>
      </w:r>
      <w:r w:rsidR="00812F0B" w:rsidRPr="00812F0B">
        <w:rPr>
          <w:rFonts w:asciiTheme="majorHAnsi" w:hAnsiTheme="majorHAnsi"/>
          <w:sz w:val="24"/>
          <w:szCs w:val="24"/>
        </w:rPr>
        <w:t>4</w:t>
      </w:r>
      <w:r w:rsidRPr="00812F0B">
        <w:rPr>
          <w:rFonts w:asciiTheme="majorHAnsi" w:hAnsiTheme="majorHAnsi"/>
          <w:sz w:val="24"/>
          <w:szCs w:val="24"/>
        </w:rPr>
        <w:t xml:space="preserve"> mission</w:t>
      </w:r>
      <w:r w:rsidR="00812F0B" w:rsidRPr="00812F0B">
        <w:rPr>
          <w:rFonts w:asciiTheme="majorHAnsi" w:hAnsiTheme="majorHAnsi"/>
          <w:sz w:val="24"/>
          <w:szCs w:val="24"/>
        </w:rPr>
        <w:t>s</w:t>
      </w:r>
      <w:r w:rsidRPr="00812F0B">
        <w:rPr>
          <w:rFonts w:asciiTheme="majorHAnsi" w:hAnsiTheme="majorHAnsi"/>
          <w:sz w:val="24"/>
          <w:szCs w:val="24"/>
        </w:rPr>
        <w:t xml:space="preserve">, which are </w:t>
      </w:r>
      <w:r w:rsidR="00577CEC">
        <w:rPr>
          <w:rFonts w:asciiTheme="majorHAnsi" w:hAnsiTheme="majorHAnsi"/>
          <w:sz w:val="24"/>
          <w:szCs w:val="24"/>
        </w:rPr>
        <w:t xml:space="preserve">to </w:t>
      </w:r>
      <w:r w:rsidRPr="00812F0B">
        <w:rPr>
          <w:rFonts w:asciiTheme="majorHAnsi" w:hAnsiTheme="majorHAnsi"/>
          <w:sz w:val="24"/>
          <w:szCs w:val="24"/>
        </w:rPr>
        <w:t>“facilitate access to resources”, “promote job growth and job retention”, “stimulate private investments”, and “help businesses thrive in Massachusetts”.</w:t>
      </w:r>
      <w:r w:rsidRPr="008D7DF3">
        <w:rPr>
          <w:rFonts w:asciiTheme="majorHAnsi" w:eastAsiaTheme="majorEastAsia" w:hAnsiTheme="majorHAnsi" w:cstheme="majorBidi"/>
          <w:bCs/>
          <w:color w:val="000000" w:themeColor="text1"/>
          <w:sz w:val="24"/>
          <w:szCs w:val="24"/>
        </w:rPr>
        <w:t xml:space="preserve">  </w:t>
      </w:r>
    </w:p>
    <w:p w14:paraId="45FC580F" w14:textId="77777777" w:rsidR="00DC380E" w:rsidRDefault="00DC380E" w:rsidP="00291074">
      <w:pPr>
        <w:tabs>
          <w:tab w:val="left" w:pos="7050"/>
        </w:tabs>
        <w:spacing w:after="0" w:line="240" w:lineRule="auto"/>
        <w:rPr>
          <w:rFonts w:asciiTheme="majorHAnsi" w:eastAsiaTheme="majorEastAsia" w:hAnsiTheme="majorHAnsi" w:cstheme="majorBidi"/>
          <w:bCs/>
          <w:color w:val="000000" w:themeColor="text1"/>
          <w:sz w:val="24"/>
          <w:szCs w:val="24"/>
        </w:rPr>
      </w:pPr>
    </w:p>
    <w:p w14:paraId="7CCB0A64" w14:textId="77777777" w:rsidR="00812F0B" w:rsidRPr="00BB467B" w:rsidRDefault="00812F0B" w:rsidP="00291074">
      <w:pPr>
        <w:tabs>
          <w:tab w:val="left" w:pos="7050"/>
        </w:tabs>
        <w:spacing w:after="0" w:line="240" w:lineRule="auto"/>
        <w:rPr>
          <w:rFonts w:asciiTheme="majorHAnsi" w:eastAsiaTheme="majorEastAsia" w:hAnsiTheme="majorHAnsi" w:cstheme="majorBidi"/>
          <w:bCs/>
          <w:color w:val="000000" w:themeColor="text1"/>
          <w:sz w:val="24"/>
          <w:szCs w:val="24"/>
        </w:rPr>
      </w:pPr>
    </w:p>
    <w:p w14:paraId="145AA175" w14:textId="77777777" w:rsidR="00372558" w:rsidRPr="00A07439" w:rsidRDefault="00812F0B" w:rsidP="00372558">
      <w:pPr>
        <w:tabs>
          <w:tab w:val="left" w:pos="7050"/>
        </w:tabs>
        <w:spacing w:after="0"/>
        <w:rPr>
          <w:rFonts w:asciiTheme="majorHAnsi" w:hAnsiTheme="majorHAnsi"/>
          <w:b/>
          <w:color w:val="E36C0A" w:themeColor="accent6" w:themeShade="BF"/>
          <w:sz w:val="28"/>
          <w:szCs w:val="28"/>
        </w:rPr>
      </w:pPr>
      <w:r>
        <w:rPr>
          <w:rFonts w:asciiTheme="majorHAnsi" w:hAnsiTheme="majorHAnsi"/>
          <w:b/>
          <w:color w:val="E36C0A" w:themeColor="accent6" w:themeShade="BF"/>
          <w:sz w:val="28"/>
          <w:szCs w:val="28"/>
        </w:rPr>
        <w:t>DIRECT</w:t>
      </w:r>
      <w:r w:rsidRPr="00A07439">
        <w:rPr>
          <w:rFonts w:asciiTheme="majorHAnsi" w:hAnsiTheme="majorHAnsi"/>
          <w:b/>
          <w:color w:val="E36C0A" w:themeColor="accent6" w:themeShade="BF"/>
          <w:sz w:val="28"/>
          <w:szCs w:val="28"/>
        </w:rPr>
        <w:t xml:space="preserve"> </w:t>
      </w:r>
      <w:r w:rsidR="00372558" w:rsidRPr="00A07439">
        <w:rPr>
          <w:rFonts w:asciiTheme="majorHAnsi" w:hAnsiTheme="majorHAnsi"/>
          <w:b/>
          <w:color w:val="E36C0A" w:themeColor="accent6" w:themeShade="BF"/>
          <w:sz w:val="28"/>
          <w:szCs w:val="28"/>
        </w:rPr>
        <w:t>COSTS</w:t>
      </w:r>
      <w:r w:rsidR="00C25344">
        <w:rPr>
          <w:rFonts w:asciiTheme="majorHAnsi" w:hAnsiTheme="majorHAnsi"/>
          <w:b/>
          <w:color w:val="E36C0A" w:themeColor="accent6" w:themeShade="BF"/>
          <w:sz w:val="28"/>
          <w:szCs w:val="28"/>
        </w:rPr>
        <w:t xml:space="preserve"> </w:t>
      </w:r>
    </w:p>
    <w:p w14:paraId="73F0B42E" w14:textId="77777777" w:rsidR="00812F0B" w:rsidRDefault="00812F0B" w:rsidP="00812F0B">
      <w:pPr>
        <w:spacing w:after="0"/>
        <w:rPr>
          <w:rFonts w:asciiTheme="majorHAnsi" w:eastAsiaTheme="majorEastAsia" w:hAnsiTheme="majorHAnsi" w:cstheme="majorBidi"/>
          <w:bCs/>
          <w:color w:val="000000" w:themeColor="text1"/>
          <w:sz w:val="24"/>
          <w:szCs w:val="24"/>
        </w:rPr>
      </w:pPr>
      <w:r w:rsidRPr="00476C5D">
        <w:rPr>
          <w:rFonts w:asciiTheme="majorHAnsi" w:eastAsiaTheme="majorEastAsia" w:hAnsiTheme="majorHAnsi" w:cstheme="majorBidi"/>
          <w:bCs/>
          <w:color w:val="000000" w:themeColor="text1"/>
          <w:sz w:val="24"/>
          <w:szCs w:val="24"/>
        </w:rPr>
        <w:t>The revenue loss</w:t>
      </w:r>
      <w:r>
        <w:rPr>
          <w:rFonts w:asciiTheme="majorHAnsi" w:eastAsiaTheme="majorEastAsia" w:hAnsiTheme="majorHAnsi" w:cstheme="majorBidi"/>
          <w:bCs/>
          <w:color w:val="000000" w:themeColor="text1"/>
          <w:sz w:val="24"/>
          <w:szCs w:val="24"/>
        </w:rPr>
        <w:t xml:space="preserve"> resulting from this tax expenditure</w:t>
      </w:r>
      <w:r w:rsidRPr="00EB1DDD">
        <w:rPr>
          <w:rFonts w:asciiTheme="majorHAnsi" w:hAnsiTheme="majorHAnsi"/>
          <w:sz w:val="24"/>
          <w:szCs w:val="24"/>
        </w:rPr>
        <w:t xml:space="preserve"> </w:t>
      </w:r>
      <w:r w:rsidRPr="00476C5D">
        <w:rPr>
          <w:rFonts w:asciiTheme="majorHAnsi" w:eastAsiaTheme="majorEastAsia" w:hAnsiTheme="majorHAnsi" w:cstheme="majorBidi"/>
          <w:bCs/>
          <w:color w:val="000000" w:themeColor="text1"/>
          <w:sz w:val="24"/>
          <w:szCs w:val="24"/>
        </w:rPr>
        <w:t>is e</w:t>
      </w:r>
      <w:r>
        <w:rPr>
          <w:rFonts w:asciiTheme="majorHAnsi" w:eastAsiaTheme="majorEastAsia" w:hAnsiTheme="majorHAnsi" w:cstheme="majorBidi"/>
          <w:bCs/>
          <w:color w:val="000000" w:themeColor="text1"/>
          <w:sz w:val="24"/>
          <w:szCs w:val="24"/>
        </w:rPr>
        <w:t>stimated</w:t>
      </w:r>
      <w:r w:rsidRPr="00476C5D">
        <w:rPr>
          <w:rFonts w:asciiTheme="majorHAnsi" w:eastAsiaTheme="majorEastAsia" w:hAnsiTheme="majorHAnsi" w:cstheme="majorBidi"/>
          <w:bCs/>
          <w:color w:val="000000" w:themeColor="text1"/>
          <w:sz w:val="24"/>
          <w:szCs w:val="24"/>
        </w:rPr>
        <w:t xml:space="preserve"> to be </w:t>
      </w:r>
      <w:r w:rsidRPr="004E45E7">
        <w:rPr>
          <w:rFonts w:asciiTheme="majorHAnsi" w:eastAsiaTheme="majorEastAsia" w:hAnsiTheme="majorHAnsi" w:cstheme="majorBidi"/>
          <w:bCs/>
          <w:color w:val="000000" w:themeColor="text1"/>
          <w:sz w:val="24"/>
          <w:szCs w:val="24"/>
        </w:rPr>
        <w:t>$15.8 - $16.0 million per year from corporate and business tax filers and $3.5 - $3.7 million</w:t>
      </w:r>
      <w:r>
        <w:rPr>
          <w:rFonts w:asciiTheme="majorHAnsi" w:eastAsiaTheme="majorEastAsia" w:hAnsiTheme="majorHAnsi" w:cstheme="majorBidi"/>
          <w:bCs/>
          <w:color w:val="000000" w:themeColor="text1"/>
          <w:sz w:val="24"/>
          <w:szCs w:val="24"/>
        </w:rPr>
        <w:t xml:space="preserve"> per year</w:t>
      </w:r>
      <w:r w:rsidRPr="004E45E7">
        <w:rPr>
          <w:rFonts w:asciiTheme="majorHAnsi" w:eastAsiaTheme="majorEastAsia" w:hAnsiTheme="majorHAnsi" w:cstheme="majorBidi"/>
          <w:bCs/>
          <w:color w:val="000000" w:themeColor="text1"/>
          <w:sz w:val="24"/>
          <w:szCs w:val="24"/>
        </w:rPr>
        <w:t xml:space="preserve"> from personal income tax filers during FY18-FY22</w:t>
      </w:r>
      <w:r w:rsidRPr="00476C5D">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See Table 1. The estimates are based on several factors, including historical claims, economic forecasts, and related law changes.</w:t>
      </w:r>
    </w:p>
    <w:p w14:paraId="743D4F21" w14:textId="77777777" w:rsidR="00DC380E" w:rsidRDefault="00DC380E" w:rsidP="005C7BF0">
      <w:pPr>
        <w:spacing w:after="0"/>
        <w:rPr>
          <w:rFonts w:asciiTheme="majorHAnsi" w:eastAsiaTheme="majorEastAsia" w:hAnsiTheme="majorHAnsi" w:cstheme="majorBidi"/>
          <w:bCs/>
          <w:color w:val="000000" w:themeColor="text1"/>
          <w:sz w:val="24"/>
          <w:szCs w:val="24"/>
        </w:rPr>
      </w:pPr>
    </w:p>
    <w:p w14:paraId="6F11A018" w14:textId="77777777" w:rsidR="003C2141" w:rsidRDefault="003C2141" w:rsidP="003C2141">
      <w:pPr>
        <w:spacing w:after="0"/>
        <w:jc w:val="center"/>
        <w:rPr>
          <w:rFonts w:asciiTheme="majorHAnsi" w:eastAsiaTheme="majorEastAsia" w:hAnsiTheme="majorHAnsi" w:cstheme="majorBidi"/>
          <w:bCs/>
          <w:color w:val="000000" w:themeColor="text1"/>
          <w:sz w:val="24"/>
          <w:szCs w:val="24"/>
        </w:rPr>
      </w:pPr>
      <w:r w:rsidRPr="006C3121">
        <w:rPr>
          <w:rFonts w:asciiTheme="majorHAnsi" w:eastAsiaTheme="majorEastAsia" w:hAnsiTheme="majorHAnsi" w:cstheme="majorBidi"/>
          <w:b/>
          <w:color w:val="000000" w:themeColor="text1"/>
          <w:sz w:val="24"/>
          <w:szCs w:val="24"/>
        </w:rPr>
        <w:t xml:space="preserve">Table </w:t>
      </w:r>
      <w:r>
        <w:rPr>
          <w:rFonts w:asciiTheme="majorHAnsi" w:eastAsiaTheme="majorEastAsia" w:hAnsiTheme="majorHAnsi" w:cstheme="majorBidi"/>
          <w:b/>
          <w:color w:val="000000" w:themeColor="text1"/>
          <w:sz w:val="24"/>
          <w:szCs w:val="24"/>
        </w:rPr>
        <w:t>1</w:t>
      </w:r>
      <w:r w:rsidRPr="006C3121">
        <w:rPr>
          <w:rFonts w:asciiTheme="majorHAnsi" w:eastAsiaTheme="majorEastAsia" w:hAnsiTheme="majorHAnsi" w:cstheme="majorBidi"/>
          <w:b/>
          <w:color w:val="000000" w:themeColor="text1"/>
          <w:sz w:val="24"/>
          <w:szCs w:val="24"/>
        </w:rPr>
        <w:t xml:space="preserve">. Tax Revenue Loss Estimates for </w:t>
      </w:r>
      <w:r>
        <w:rPr>
          <w:rFonts w:asciiTheme="majorHAnsi" w:eastAsiaTheme="majorEastAsia" w:hAnsiTheme="majorHAnsi" w:cstheme="majorBidi"/>
          <w:b/>
          <w:color w:val="000000" w:themeColor="text1"/>
          <w:sz w:val="24"/>
          <w:szCs w:val="24"/>
        </w:rPr>
        <w:t>EDIP</w:t>
      </w:r>
      <w:r w:rsidR="00EB4838">
        <w:rPr>
          <w:rFonts w:asciiTheme="majorHAnsi" w:eastAsiaTheme="majorEastAsia" w:hAnsiTheme="majorHAnsi" w:cstheme="majorBidi"/>
          <w:b/>
          <w:color w:val="000000" w:themeColor="text1"/>
          <w:sz w:val="24"/>
          <w:szCs w:val="24"/>
        </w:rPr>
        <w:t xml:space="preserve"> </w:t>
      </w:r>
      <w:r>
        <w:rPr>
          <w:rFonts w:asciiTheme="majorHAnsi" w:eastAsiaTheme="majorEastAsia" w:hAnsiTheme="majorHAnsi" w:cstheme="majorBidi"/>
          <w:b/>
          <w:color w:val="000000" w:themeColor="text1"/>
          <w:sz w:val="24"/>
          <w:szCs w:val="24"/>
        </w:rPr>
        <w:t>C</w:t>
      </w:r>
      <w:r w:rsidR="00EB4838">
        <w:rPr>
          <w:rFonts w:asciiTheme="majorHAnsi" w:eastAsiaTheme="majorEastAsia" w:hAnsiTheme="majorHAnsi" w:cstheme="majorBidi"/>
          <w:b/>
          <w:color w:val="000000" w:themeColor="text1"/>
          <w:sz w:val="24"/>
          <w:szCs w:val="24"/>
        </w:rPr>
        <w:t>redit</w:t>
      </w:r>
    </w:p>
    <w:tbl>
      <w:tblPr>
        <w:tblW w:w="9085" w:type="dxa"/>
        <w:jc w:val="center"/>
        <w:tblLook w:val="04A0" w:firstRow="1" w:lastRow="0" w:firstColumn="1" w:lastColumn="0" w:noHBand="0" w:noVBand="1"/>
      </w:tblPr>
      <w:tblGrid>
        <w:gridCol w:w="2335"/>
        <w:gridCol w:w="2035"/>
        <w:gridCol w:w="943"/>
        <w:gridCol w:w="943"/>
        <w:gridCol w:w="943"/>
        <w:gridCol w:w="943"/>
        <w:gridCol w:w="943"/>
      </w:tblGrid>
      <w:tr w:rsidR="00843782" w:rsidRPr="00843782" w14:paraId="33CC4DDD" w14:textId="77777777" w:rsidTr="00824B2A">
        <w:trPr>
          <w:trHeight w:val="440"/>
          <w:jc w:val="center"/>
        </w:trPr>
        <w:tc>
          <w:tcPr>
            <w:tcW w:w="4370" w:type="dxa"/>
            <w:gridSpan w:val="2"/>
            <w:tcBorders>
              <w:top w:val="single" w:sz="4" w:space="0" w:color="auto"/>
              <w:left w:val="single" w:sz="4" w:space="0" w:color="auto"/>
              <w:bottom w:val="single" w:sz="4" w:space="0" w:color="auto"/>
              <w:right w:val="single" w:sz="4" w:space="0" w:color="000000"/>
            </w:tcBorders>
            <w:shd w:val="clear" w:color="000000" w:fill="B6DDE8" w:themeFill="accent5" w:themeFillTint="66"/>
            <w:vAlign w:val="center"/>
            <w:hideMark/>
          </w:tcPr>
          <w:p w14:paraId="1237A358" w14:textId="77777777" w:rsidR="00843782" w:rsidRPr="00843782" w:rsidRDefault="00843782" w:rsidP="003C2141">
            <w:pPr>
              <w:spacing w:after="0" w:line="240" w:lineRule="auto"/>
              <w:jc w:val="center"/>
              <w:rPr>
                <w:rFonts w:ascii="Cambria" w:eastAsia="Times New Roman" w:hAnsi="Cambria" w:cs="Helvetica"/>
                <w:sz w:val="20"/>
                <w:szCs w:val="20"/>
                <w:lang w:eastAsia="ko-KR"/>
              </w:rPr>
            </w:pPr>
            <w:r w:rsidRPr="00843782">
              <w:rPr>
                <w:rFonts w:ascii="Cambria" w:eastAsia="Times New Roman" w:hAnsi="Cambria" w:cs="Helvetica"/>
                <w:sz w:val="20"/>
                <w:szCs w:val="20"/>
                <w:lang w:eastAsia="ko-KR"/>
              </w:rPr>
              <w:t>Fiscal Year</w:t>
            </w:r>
          </w:p>
        </w:tc>
        <w:tc>
          <w:tcPr>
            <w:tcW w:w="943"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7B822CB9" w14:textId="77777777" w:rsidR="00843782" w:rsidRPr="00843782" w:rsidRDefault="00843782" w:rsidP="003C2141">
            <w:pPr>
              <w:spacing w:after="0" w:line="240" w:lineRule="auto"/>
              <w:jc w:val="center"/>
              <w:rPr>
                <w:rFonts w:ascii="Cambria" w:eastAsia="Times New Roman" w:hAnsi="Cambria" w:cs="Helvetica"/>
                <w:sz w:val="20"/>
                <w:szCs w:val="20"/>
                <w:lang w:eastAsia="ko-KR"/>
              </w:rPr>
            </w:pPr>
            <w:r w:rsidRPr="00843782">
              <w:rPr>
                <w:rFonts w:ascii="Cambria" w:eastAsia="Times New Roman" w:hAnsi="Cambria" w:cs="Helvetica"/>
                <w:sz w:val="20"/>
                <w:szCs w:val="20"/>
                <w:lang w:eastAsia="ko-KR"/>
              </w:rPr>
              <w:t>2018</w:t>
            </w:r>
          </w:p>
        </w:tc>
        <w:tc>
          <w:tcPr>
            <w:tcW w:w="943"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4BFAB988" w14:textId="77777777" w:rsidR="00843782" w:rsidRPr="00843782" w:rsidRDefault="00843782" w:rsidP="003C2141">
            <w:pPr>
              <w:spacing w:after="0" w:line="240" w:lineRule="auto"/>
              <w:jc w:val="center"/>
              <w:rPr>
                <w:rFonts w:ascii="Cambria" w:eastAsia="Times New Roman" w:hAnsi="Cambria" w:cs="Helvetica"/>
                <w:sz w:val="20"/>
                <w:szCs w:val="20"/>
                <w:lang w:eastAsia="ko-KR"/>
              </w:rPr>
            </w:pPr>
            <w:r w:rsidRPr="00843782">
              <w:rPr>
                <w:rFonts w:ascii="Cambria" w:eastAsia="Times New Roman" w:hAnsi="Cambria" w:cs="Helvetica"/>
                <w:sz w:val="20"/>
                <w:szCs w:val="20"/>
                <w:lang w:eastAsia="ko-KR"/>
              </w:rPr>
              <w:t>2019</w:t>
            </w:r>
          </w:p>
        </w:tc>
        <w:tc>
          <w:tcPr>
            <w:tcW w:w="943"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6CAC67DA" w14:textId="77777777" w:rsidR="00843782" w:rsidRPr="00843782" w:rsidRDefault="00843782" w:rsidP="003C2141">
            <w:pPr>
              <w:spacing w:after="0" w:line="240" w:lineRule="auto"/>
              <w:jc w:val="center"/>
              <w:rPr>
                <w:rFonts w:ascii="Cambria" w:eastAsia="Times New Roman" w:hAnsi="Cambria" w:cs="Helvetica"/>
                <w:sz w:val="20"/>
                <w:szCs w:val="20"/>
                <w:lang w:eastAsia="ko-KR"/>
              </w:rPr>
            </w:pPr>
            <w:r w:rsidRPr="00843782">
              <w:rPr>
                <w:rFonts w:ascii="Cambria" w:eastAsia="Times New Roman" w:hAnsi="Cambria" w:cs="Helvetica"/>
                <w:sz w:val="20"/>
                <w:szCs w:val="20"/>
                <w:lang w:eastAsia="ko-KR"/>
              </w:rPr>
              <w:t>2020</w:t>
            </w:r>
          </w:p>
        </w:tc>
        <w:tc>
          <w:tcPr>
            <w:tcW w:w="943"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2D19010B" w14:textId="77777777" w:rsidR="00843782" w:rsidRPr="00843782" w:rsidRDefault="00843782" w:rsidP="003C2141">
            <w:pPr>
              <w:spacing w:after="0" w:line="240" w:lineRule="auto"/>
              <w:jc w:val="center"/>
              <w:rPr>
                <w:rFonts w:ascii="Cambria" w:eastAsia="Times New Roman" w:hAnsi="Cambria" w:cs="Helvetica"/>
                <w:sz w:val="20"/>
                <w:szCs w:val="20"/>
                <w:lang w:eastAsia="ko-KR"/>
              </w:rPr>
            </w:pPr>
            <w:r w:rsidRPr="00843782">
              <w:rPr>
                <w:rFonts w:ascii="Cambria" w:eastAsia="Times New Roman" w:hAnsi="Cambria" w:cs="Helvetica"/>
                <w:sz w:val="20"/>
                <w:szCs w:val="20"/>
                <w:lang w:eastAsia="ko-KR"/>
              </w:rPr>
              <w:t>2021</w:t>
            </w:r>
          </w:p>
        </w:tc>
        <w:tc>
          <w:tcPr>
            <w:tcW w:w="943"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3349DDBC" w14:textId="77777777" w:rsidR="00843782" w:rsidRPr="00843782" w:rsidRDefault="00843782" w:rsidP="003C2141">
            <w:pPr>
              <w:spacing w:after="0" w:line="240" w:lineRule="auto"/>
              <w:jc w:val="center"/>
              <w:rPr>
                <w:rFonts w:ascii="Cambria" w:eastAsia="Times New Roman" w:hAnsi="Cambria" w:cs="Helvetica"/>
                <w:sz w:val="20"/>
                <w:szCs w:val="20"/>
                <w:lang w:eastAsia="ko-KR"/>
              </w:rPr>
            </w:pPr>
            <w:r w:rsidRPr="00843782">
              <w:rPr>
                <w:rFonts w:ascii="Cambria" w:eastAsia="Times New Roman" w:hAnsi="Cambria" w:cs="Helvetica"/>
                <w:sz w:val="20"/>
                <w:szCs w:val="20"/>
                <w:lang w:eastAsia="ko-KR"/>
              </w:rPr>
              <w:t>2022</w:t>
            </w:r>
          </w:p>
        </w:tc>
      </w:tr>
      <w:tr w:rsidR="00843782" w:rsidRPr="00843782" w14:paraId="749438C3" w14:textId="77777777" w:rsidTr="00824B2A">
        <w:trPr>
          <w:trHeight w:val="432"/>
          <w:jc w:val="center"/>
        </w:trPr>
        <w:tc>
          <w:tcPr>
            <w:tcW w:w="23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FD3E596" w14:textId="77777777" w:rsidR="00843782" w:rsidRPr="00843782" w:rsidRDefault="003C2141" w:rsidP="003C2141">
            <w:pPr>
              <w:spacing w:after="0" w:line="240" w:lineRule="auto"/>
              <w:jc w:val="center"/>
              <w:rPr>
                <w:rFonts w:ascii="Cambria" w:eastAsia="Times New Roman" w:hAnsi="Cambria" w:cs="Helvetica"/>
                <w:sz w:val="20"/>
                <w:szCs w:val="20"/>
                <w:lang w:eastAsia="ko-KR"/>
              </w:rPr>
            </w:pPr>
            <w:r w:rsidRPr="00CD3A6C">
              <w:rPr>
                <w:rFonts w:ascii="Cambria" w:eastAsia="Times New Roman" w:hAnsi="Cambria" w:cs="Arial"/>
                <w:sz w:val="20"/>
                <w:szCs w:val="20"/>
                <w:lang w:eastAsia="ko-KR"/>
              </w:rPr>
              <w:t>Estimate</w:t>
            </w:r>
            <w:r>
              <w:rPr>
                <w:rFonts w:ascii="Cambria" w:eastAsia="Times New Roman" w:hAnsi="Cambria" w:cs="Arial"/>
                <w:sz w:val="20"/>
                <w:szCs w:val="20"/>
                <w:lang w:eastAsia="ko-KR"/>
              </w:rPr>
              <w:t>d Revenue Loss</w:t>
            </w:r>
            <w:r w:rsidRPr="00CD3A6C">
              <w:rPr>
                <w:rFonts w:ascii="Cambria" w:eastAsia="Times New Roman" w:hAnsi="Cambria" w:cs="Arial"/>
                <w:sz w:val="20"/>
                <w:szCs w:val="20"/>
                <w:lang w:eastAsia="ko-KR"/>
              </w:rPr>
              <w:t xml:space="preserve"> ($Million)</w:t>
            </w:r>
          </w:p>
        </w:tc>
        <w:tc>
          <w:tcPr>
            <w:tcW w:w="2035" w:type="dxa"/>
            <w:tcBorders>
              <w:top w:val="nil"/>
              <w:left w:val="nil"/>
              <w:bottom w:val="single" w:sz="4" w:space="0" w:color="auto"/>
              <w:right w:val="single" w:sz="4" w:space="0" w:color="auto"/>
            </w:tcBorders>
            <w:shd w:val="clear" w:color="000000" w:fill="FFFFFF"/>
            <w:vAlign w:val="center"/>
            <w:hideMark/>
          </w:tcPr>
          <w:p w14:paraId="3F1B7E37" w14:textId="77777777" w:rsidR="00843782" w:rsidRPr="00843782" w:rsidRDefault="00843782" w:rsidP="003C2141">
            <w:pPr>
              <w:spacing w:after="0" w:line="240" w:lineRule="auto"/>
              <w:jc w:val="center"/>
              <w:rPr>
                <w:rFonts w:ascii="Cambria" w:eastAsia="Times New Roman" w:hAnsi="Cambria" w:cs="Helvetica"/>
                <w:sz w:val="20"/>
                <w:szCs w:val="20"/>
                <w:lang w:eastAsia="ko-KR"/>
              </w:rPr>
            </w:pPr>
            <w:r w:rsidRPr="00843782">
              <w:rPr>
                <w:rFonts w:ascii="Cambria" w:eastAsia="Times New Roman" w:hAnsi="Cambria" w:cs="Helvetica"/>
                <w:sz w:val="20"/>
                <w:szCs w:val="20"/>
                <w:lang w:eastAsia="ko-KR"/>
              </w:rPr>
              <w:t>Corporate excise</w:t>
            </w:r>
          </w:p>
        </w:tc>
        <w:tc>
          <w:tcPr>
            <w:tcW w:w="943" w:type="dxa"/>
            <w:tcBorders>
              <w:top w:val="nil"/>
              <w:left w:val="nil"/>
              <w:bottom w:val="single" w:sz="4" w:space="0" w:color="auto"/>
              <w:right w:val="single" w:sz="4" w:space="0" w:color="auto"/>
            </w:tcBorders>
            <w:shd w:val="clear" w:color="auto" w:fill="auto"/>
            <w:noWrap/>
            <w:vAlign w:val="center"/>
            <w:hideMark/>
          </w:tcPr>
          <w:p w14:paraId="1CC5CBD7" w14:textId="77777777" w:rsidR="00843782" w:rsidRPr="00843782" w:rsidRDefault="00843782" w:rsidP="003C2141">
            <w:pPr>
              <w:spacing w:after="0" w:line="240" w:lineRule="auto"/>
              <w:jc w:val="center"/>
              <w:rPr>
                <w:rFonts w:ascii="Cambria" w:eastAsia="Times New Roman" w:hAnsi="Cambria" w:cs="Helvetica"/>
                <w:sz w:val="20"/>
                <w:szCs w:val="20"/>
                <w:lang w:eastAsia="ko-KR"/>
              </w:rPr>
            </w:pPr>
            <w:r w:rsidRPr="00843782">
              <w:rPr>
                <w:rFonts w:ascii="Cambria" w:eastAsia="Times New Roman" w:hAnsi="Cambria" w:cs="Helvetica"/>
                <w:sz w:val="20"/>
                <w:szCs w:val="20"/>
                <w:lang w:eastAsia="ko-KR"/>
              </w:rPr>
              <w:t>$15.8</w:t>
            </w:r>
          </w:p>
        </w:tc>
        <w:tc>
          <w:tcPr>
            <w:tcW w:w="943" w:type="dxa"/>
            <w:tcBorders>
              <w:top w:val="nil"/>
              <w:left w:val="nil"/>
              <w:bottom w:val="single" w:sz="4" w:space="0" w:color="auto"/>
              <w:right w:val="single" w:sz="4" w:space="0" w:color="auto"/>
            </w:tcBorders>
            <w:shd w:val="clear" w:color="auto" w:fill="auto"/>
            <w:noWrap/>
            <w:vAlign w:val="center"/>
            <w:hideMark/>
          </w:tcPr>
          <w:p w14:paraId="6B29B1FF" w14:textId="77777777" w:rsidR="00843782" w:rsidRPr="00843782" w:rsidRDefault="00843782" w:rsidP="003C2141">
            <w:pPr>
              <w:spacing w:after="0" w:line="240" w:lineRule="auto"/>
              <w:jc w:val="center"/>
              <w:rPr>
                <w:rFonts w:ascii="Cambria" w:eastAsia="Times New Roman" w:hAnsi="Cambria" w:cs="Helvetica"/>
                <w:sz w:val="20"/>
                <w:szCs w:val="20"/>
                <w:lang w:eastAsia="ko-KR"/>
              </w:rPr>
            </w:pPr>
            <w:r w:rsidRPr="00843782">
              <w:rPr>
                <w:rFonts w:ascii="Cambria" w:eastAsia="Times New Roman" w:hAnsi="Cambria" w:cs="Helvetica"/>
                <w:sz w:val="20"/>
                <w:szCs w:val="20"/>
                <w:lang w:eastAsia="ko-KR"/>
              </w:rPr>
              <w:t>$15.9</w:t>
            </w:r>
          </w:p>
        </w:tc>
        <w:tc>
          <w:tcPr>
            <w:tcW w:w="943" w:type="dxa"/>
            <w:tcBorders>
              <w:top w:val="nil"/>
              <w:left w:val="nil"/>
              <w:bottom w:val="single" w:sz="4" w:space="0" w:color="auto"/>
              <w:right w:val="single" w:sz="4" w:space="0" w:color="auto"/>
            </w:tcBorders>
            <w:shd w:val="clear" w:color="auto" w:fill="auto"/>
            <w:noWrap/>
            <w:vAlign w:val="center"/>
            <w:hideMark/>
          </w:tcPr>
          <w:p w14:paraId="399E7B00" w14:textId="77777777" w:rsidR="00843782" w:rsidRPr="00843782" w:rsidRDefault="00843782" w:rsidP="003C2141">
            <w:pPr>
              <w:spacing w:after="0" w:line="240" w:lineRule="auto"/>
              <w:jc w:val="center"/>
              <w:rPr>
                <w:rFonts w:ascii="Cambria" w:eastAsia="Times New Roman" w:hAnsi="Cambria" w:cs="Helvetica"/>
                <w:sz w:val="20"/>
                <w:szCs w:val="20"/>
                <w:lang w:eastAsia="ko-KR"/>
              </w:rPr>
            </w:pPr>
            <w:r w:rsidRPr="00843782">
              <w:rPr>
                <w:rFonts w:ascii="Cambria" w:eastAsia="Times New Roman" w:hAnsi="Cambria" w:cs="Helvetica"/>
                <w:sz w:val="20"/>
                <w:szCs w:val="20"/>
                <w:lang w:eastAsia="ko-KR"/>
              </w:rPr>
              <w:t>$15.9</w:t>
            </w:r>
          </w:p>
        </w:tc>
        <w:tc>
          <w:tcPr>
            <w:tcW w:w="943" w:type="dxa"/>
            <w:tcBorders>
              <w:top w:val="nil"/>
              <w:left w:val="nil"/>
              <w:bottom w:val="single" w:sz="4" w:space="0" w:color="auto"/>
              <w:right w:val="single" w:sz="4" w:space="0" w:color="auto"/>
            </w:tcBorders>
            <w:shd w:val="clear" w:color="auto" w:fill="auto"/>
            <w:noWrap/>
            <w:vAlign w:val="center"/>
            <w:hideMark/>
          </w:tcPr>
          <w:p w14:paraId="0FE1701E" w14:textId="77777777" w:rsidR="00843782" w:rsidRPr="00843782" w:rsidRDefault="00843782" w:rsidP="003C2141">
            <w:pPr>
              <w:spacing w:after="0" w:line="240" w:lineRule="auto"/>
              <w:jc w:val="center"/>
              <w:rPr>
                <w:rFonts w:ascii="Cambria" w:eastAsia="Times New Roman" w:hAnsi="Cambria" w:cs="Helvetica"/>
                <w:sz w:val="20"/>
                <w:szCs w:val="20"/>
                <w:lang w:eastAsia="ko-KR"/>
              </w:rPr>
            </w:pPr>
            <w:r w:rsidRPr="00843782">
              <w:rPr>
                <w:rFonts w:ascii="Cambria" w:eastAsia="Times New Roman" w:hAnsi="Cambria" w:cs="Helvetica"/>
                <w:sz w:val="20"/>
                <w:szCs w:val="20"/>
                <w:lang w:eastAsia="ko-KR"/>
              </w:rPr>
              <w:t>$16.0</w:t>
            </w:r>
          </w:p>
        </w:tc>
        <w:tc>
          <w:tcPr>
            <w:tcW w:w="943" w:type="dxa"/>
            <w:tcBorders>
              <w:top w:val="nil"/>
              <w:left w:val="nil"/>
              <w:bottom w:val="single" w:sz="4" w:space="0" w:color="auto"/>
              <w:right w:val="single" w:sz="4" w:space="0" w:color="auto"/>
            </w:tcBorders>
            <w:shd w:val="clear" w:color="auto" w:fill="auto"/>
            <w:noWrap/>
            <w:vAlign w:val="center"/>
            <w:hideMark/>
          </w:tcPr>
          <w:p w14:paraId="5696DC74" w14:textId="77777777" w:rsidR="00843782" w:rsidRPr="00843782" w:rsidRDefault="00843782" w:rsidP="003C2141">
            <w:pPr>
              <w:spacing w:after="0" w:line="240" w:lineRule="auto"/>
              <w:jc w:val="center"/>
              <w:rPr>
                <w:rFonts w:ascii="Cambria" w:eastAsia="Times New Roman" w:hAnsi="Cambria" w:cs="Helvetica"/>
                <w:sz w:val="20"/>
                <w:szCs w:val="20"/>
                <w:lang w:eastAsia="ko-KR"/>
              </w:rPr>
            </w:pPr>
            <w:r w:rsidRPr="00843782">
              <w:rPr>
                <w:rFonts w:ascii="Cambria" w:eastAsia="Times New Roman" w:hAnsi="Cambria" w:cs="Helvetica"/>
                <w:sz w:val="20"/>
                <w:szCs w:val="20"/>
                <w:lang w:eastAsia="ko-KR"/>
              </w:rPr>
              <w:t>$16.0</w:t>
            </w:r>
          </w:p>
        </w:tc>
      </w:tr>
      <w:tr w:rsidR="00843782" w:rsidRPr="00843782" w14:paraId="25FCAEC8" w14:textId="77777777" w:rsidTr="00824B2A">
        <w:trPr>
          <w:trHeight w:val="432"/>
          <w:jc w:val="center"/>
        </w:trPr>
        <w:tc>
          <w:tcPr>
            <w:tcW w:w="2335" w:type="dxa"/>
            <w:vMerge/>
            <w:tcBorders>
              <w:top w:val="nil"/>
              <w:left w:val="single" w:sz="4" w:space="0" w:color="auto"/>
              <w:bottom w:val="single" w:sz="4" w:space="0" w:color="000000"/>
              <w:right w:val="single" w:sz="4" w:space="0" w:color="auto"/>
            </w:tcBorders>
            <w:vAlign w:val="center"/>
            <w:hideMark/>
          </w:tcPr>
          <w:p w14:paraId="75527CE2" w14:textId="77777777" w:rsidR="00843782" w:rsidRPr="00843782" w:rsidRDefault="00843782" w:rsidP="003C2141">
            <w:pPr>
              <w:spacing w:after="0" w:line="240" w:lineRule="auto"/>
              <w:jc w:val="center"/>
              <w:rPr>
                <w:rFonts w:ascii="Cambria" w:eastAsia="Times New Roman" w:hAnsi="Cambria" w:cs="Helvetica"/>
                <w:sz w:val="20"/>
                <w:szCs w:val="20"/>
                <w:lang w:eastAsia="ko-KR"/>
              </w:rPr>
            </w:pPr>
          </w:p>
        </w:tc>
        <w:tc>
          <w:tcPr>
            <w:tcW w:w="2035" w:type="dxa"/>
            <w:tcBorders>
              <w:top w:val="nil"/>
              <w:left w:val="nil"/>
              <w:bottom w:val="single" w:sz="4" w:space="0" w:color="auto"/>
              <w:right w:val="single" w:sz="4" w:space="0" w:color="auto"/>
            </w:tcBorders>
            <w:shd w:val="clear" w:color="000000" w:fill="FFFFFF"/>
            <w:vAlign w:val="center"/>
            <w:hideMark/>
          </w:tcPr>
          <w:p w14:paraId="788DE79A" w14:textId="77777777" w:rsidR="00843782" w:rsidRPr="00843782" w:rsidRDefault="00843782" w:rsidP="003C2141">
            <w:pPr>
              <w:spacing w:after="0" w:line="240" w:lineRule="auto"/>
              <w:jc w:val="center"/>
              <w:rPr>
                <w:rFonts w:ascii="Cambria" w:eastAsia="Times New Roman" w:hAnsi="Cambria" w:cs="Helvetica"/>
                <w:sz w:val="20"/>
                <w:szCs w:val="20"/>
                <w:lang w:eastAsia="ko-KR"/>
              </w:rPr>
            </w:pPr>
            <w:r w:rsidRPr="00843782">
              <w:rPr>
                <w:rFonts w:ascii="Cambria" w:eastAsia="Times New Roman" w:hAnsi="Cambria" w:cs="Helvetica"/>
                <w:sz w:val="20"/>
                <w:szCs w:val="20"/>
                <w:lang w:eastAsia="ko-KR"/>
              </w:rPr>
              <w:t>Personal Income tax</w:t>
            </w:r>
          </w:p>
        </w:tc>
        <w:tc>
          <w:tcPr>
            <w:tcW w:w="943" w:type="dxa"/>
            <w:tcBorders>
              <w:top w:val="nil"/>
              <w:left w:val="nil"/>
              <w:bottom w:val="single" w:sz="4" w:space="0" w:color="auto"/>
              <w:right w:val="single" w:sz="4" w:space="0" w:color="auto"/>
            </w:tcBorders>
            <w:shd w:val="clear" w:color="auto" w:fill="auto"/>
            <w:noWrap/>
            <w:vAlign w:val="center"/>
            <w:hideMark/>
          </w:tcPr>
          <w:p w14:paraId="76FB08BC" w14:textId="77777777" w:rsidR="00843782" w:rsidRPr="00843782" w:rsidRDefault="00843782" w:rsidP="003C2141">
            <w:pPr>
              <w:spacing w:after="0" w:line="240" w:lineRule="auto"/>
              <w:jc w:val="center"/>
              <w:rPr>
                <w:rFonts w:ascii="Cambria" w:eastAsia="Times New Roman" w:hAnsi="Cambria" w:cs="Helvetica"/>
                <w:sz w:val="20"/>
                <w:szCs w:val="20"/>
                <w:lang w:eastAsia="ko-KR"/>
              </w:rPr>
            </w:pPr>
            <w:r w:rsidRPr="00843782">
              <w:rPr>
                <w:rFonts w:ascii="Cambria" w:eastAsia="Times New Roman" w:hAnsi="Cambria" w:cs="Helvetica"/>
                <w:sz w:val="20"/>
                <w:szCs w:val="20"/>
                <w:lang w:eastAsia="ko-KR"/>
              </w:rPr>
              <w:t>$3.5</w:t>
            </w:r>
          </w:p>
        </w:tc>
        <w:tc>
          <w:tcPr>
            <w:tcW w:w="943" w:type="dxa"/>
            <w:tcBorders>
              <w:top w:val="nil"/>
              <w:left w:val="nil"/>
              <w:bottom w:val="single" w:sz="4" w:space="0" w:color="auto"/>
              <w:right w:val="single" w:sz="4" w:space="0" w:color="auto"/>
            </w:tcBorders>
            <w:shd w:val="clear" w:color="auto" w:fill="auto"/>
            <w:noWrap/>
            <w:vAlign w:val="center"/>
            <w:hideMark/>
          </w:tcPr>
          <w:p w14:paraId="178B1600" w14:textId="77777777" w:rsidR="00843782" w:rsidRPr="00843782" w:rsidRDefault="00843782" w:rsidP="003C2141">
            <w:pPr>
              <w:spacing w:after="0" w:line="240" w:lineRule="auto"/>
              <w:jc w:val="center"/>
              <w:rPr>
                <w:rFonts w:ascii="Cambria" w:eastAsia="Times New Roman" w:hAnsi="Cambria" w:cs="Helvetica"/>
                <w:sz w:val="20"/>
                <w:szCs w:val="20"/>
                <w:lang w:eastAsia="ko-KR"/>
              </w:rPr>
            </w:pPr>
            <w:r w:rsidRPr="00843782">
              <w:rPr>
                <w:rFonts w:ascii="Cambria" w:eastAsia="Times New Roman" w:hAnsi="Cambria" w:cs="Helvetica"/>
                <w:sz w:val="20"/>
                <w:szCs w:val="20"/>
                <w:lang w:eastAsia="ko-KR"/>
              </w:rPr>
              <w:t>$3.6</w:t>
            </w:r>
          </w:p>
        </w:tc>
        <w:tc>
          <w:tcPr>
            <w:tcW w:w="943" w:type="dxa"/>
            <w:tcBorders>
              <w:top w:val="nil"/>
              <w:left w:val="nil"/>
              <w:bottom w:val="single" w:sz="4" w:space="0" w:color="auto"/>
              <w:right w:val="single" w:sz="4" w:space="0" w:color="auto"/>
            </w:tcBorders>
            <w:shd w:val="clear" w:color="auto" w:fill="auto"/>
            <w:noWrap/>
            <w:vAlign w:val="center"/>
            <w:hideMark/>
          </w:tcPr>
          <w:p w14:paraId="4DD7C1A9" w14:textId="77777777" w:rsidR="00843782" w:rsidRPr="00843782" w:rsidRDefault="00843782" w:rsidP="003C2141">
            <w:pPr>
              <w:spacing w:after="0" w:line="240" w:lineRule="auto"/>
              <w:jc w:val="center"/>
              <w:rPr>
                <w:rFonts w:ascii="Cambria" w:eastAsia="Times New Roman" w:hAnsi="Cambria" w:cs="Helvetica"/>
                <w:sz w:val="20"/>
                <w:szCs w:val="20"/>
                <w:lang w:eastAsia="ko-KR"/>
              </w:rPr>
            </w:pPr>
            <w:r w:rsidRPr="00843782">
              <w:rPr>
                <w:rFonts w:ascii="Cambria" w:eastAsia="Times New Roman" w:hAnsi="Cambria" w:cs="Helvetica"/>
                <w:sz w:val="20"/>
                <w:szCs w:val="20"/>
                <w:lang w:eastAsia="ko-KR"/>
              </w:rPr>
              <w:t>$3.6</w:t>
            </w:r>
          </w:p>
        </w:tc>
        <w:tc>
          <w:tcPr>
            <w:tcW w:w="943" w:type="dxa"/>
            <w:tcBorders>
              <w:top w:val="nil"/>
              <w:left w:val="nil"/>
              <w:bottom w:val="single" w:sz="4" w:space="0" w:color="auto"/>
              <w:right w:val="single" w:sz="4" w:space="0" w:color="auto"/>
            </w:tcBorders>
            <w:shd w:val="clear" w:color="auto" w:fill="auto"/>
            <w:noWrap/>
            <w:vAlign w:val="center"/>
            <w:hideMark/>
          </w:tcPr>
          <w:p w14:paraId="692D4B0E" w14:textId="77777777" w:rsidR="00843782" w:rsidRPr="00843782" w:rsidRDefault="00843782" w:rsidP="003C2141">
            <w:pPr>
              <w:spacing w:after="0" w:line="240" w:lineRule="auto"/>
              <w:jc w:val="center"/>
              <w:rPr>
                <w:rFonts w:ascii="Cambria" w:eastAsia="Times New Roman" w:hAnsi="Cambria" w:cs="Helvetica"/>
                <w:sz w:val="20"/>
                <w:szCs w:val="20"/>
                <w:lang w:eastAsia="ko-KR"/>
              </w:rPr>
            </w:pPr>
            <w:r w:rsidRPr="00843782">
              <w:rPr>
                <w:rFonts w:ascii="Cambria" w:eastAsia="Times New Roman" w:hAnsi="Cambria" w:cs="Helvetica"/>
                <w:sz w:val="20"/>
                <w:szCs w:val="20"/>
                <w:lang w:eastAsia="ko-KR"/>
              </w:rPr>
              <w:t>$3.7</w:t>
            </w:r>
          </w:p>
        </w:tc>
        <w:tc>
          <w:tcPr>
            <w:tcW w:w="943" w:type="dxa"/>
            <w:tcBorders>
              <w:top w:val="nil"/>
              <w:left w:val="nil"/>
              <w:bottom w:val="single" w:sz="4" w:space="0" w:color="auto"/>
              <w:right w:val="single" w:sz="4" w:space="0" w:color="auto"/>
            </w:tcBorders>
            <w:shd w:val="clear" w:color="auto" w:fill="auto"/>
            <w:noWrap/>
            <w:vAlign w:val="center"/>
            <w:hideMark/>
          </w:tcPr>
          <w:p w14:paraId="09A5500D" w14:textId="77777777" w:rsidR="00843782" w:rsidRPr="00843782" w:rsidRDefault="00843782" w:rsidP="003C2141">
            <w:pPr>
              <w:spacing w:after="0" w:line="240" w:lineRule="auto"/>
              <w:jc w:val="center"/>
              <w:rPr>
                <w:rFonts w:ascii="Cambria" w:eastAsia="Times New Roman" w:hAnsi="Cambria" w:cs="Helvetica"/>
                <w:sz w:val="20"/>
                <w:szCs w:val="20"/>
                <w:lang w:eastAsia="ko-KR"/>
              </w:rPr>
            </w:pPr>
            <w:r w:rsidRPr="00843782">
              <w:rPr>
                <w:rFonts w:ascii="Cambria" w:eastAsia="Times New Roman" w:hAnsi="Cambria" w:cs="Helvetica"/>
                <w:sz w:val="20"/>
                <w:szCs w:val="20"/>
                <w:lang w:eastAsia="ko-KR"/>
              </w:rPr>
              <w:t>$3.7</w:t>
            </w:r>
          </w:p>
        </w:tc>
      </w:tr>
      <w:tr w:rsidR="00843782" w:rsidRPr="00843782" w14:paraId="24828484" w14:textId="77777777" w:rsidTr="00824B2A">
        <w:trPr>
          <w:trHeight w:val="432"/>
          <w:jc w:val="center"/>
        </w:trPr>
        <w:tc>
          <w:tcPr>
            <w:tcW w:w="2335" w:type="dxa"/>
            <w:vMerge/>
            <w:tcBorders>
              <w:top w:val="nil"/>
              <w:left w:val="single" w:sz="4" w:space="0" w:color="auto"/>
              <w:bottom w:val="single" w:sz="4" w:space="0" w:color="000000"/>
              <w:right w:val="single" w:sz="4" w:space="0" w:color="auto"/>
            </w:tcBorders>
            <w:vAlign w:val="center"/>
            <w:hideMark/>
          </w:tcPr>
          <w:p w14:paraId="69CA0100" w14:textId="77777777" w:rsidR="00843782" w:rsidRPr="00843782" w:rsidRDefault="00843782" w:rsidP="003C2141">
            <w:pPr>
              <w:spacing w:after="0" w:line="240" w:lineRule="auto"/>
              <w:jc w:val="center"/>
              <w:rPr>
                <w:rFonts w:ascii="Cambria" w:eastAsia="Times New Roman" w:hAnsi="Cambria" w:cs="Helvetica"/>
                <w:sz w:val="20"/>
                <w:szCs w:val="20"/>
                <w:lang w:eastAsia="ko-KR"/>
              </w:rPr>
            </w:pPr>
          </w:p>
        </w:tc>
        <w:tc>
          <w:tcPr>
            <w:tcW w:w="2035" w:type="dxa"/>
            <w:tcBorders>
              <w:top w:val="nil"/>
              <w:left w:val="nil"/>
              <w:bottom w:val="single" w:sz="4" w:space="0" w:color="auto"/>
              <w:right w:val="single" w:sz="4" w:space="0" w:color="auto"/>
            </w:tcBorders>
            <w:shd w:val="clear" w:color="000000" w:fill="FFFFFF"/>
            <w:vAlign w:val="center"/>
            <w:hideMark/>
          </w:tcPr>
          <w:p w14:paraId="05954EBF" w14:textId="77777777" w:rsidR="00843782" w:rsidRPr="00843782" w:rsidRDefault="00843782" w:rsidP="003C2141">
            <w:pPr>
              <w:spacing w:after="0" w:line="240" w:lineRule="auto"/>
              <w:jc w:val="center"/>
              <w:rPr>
                <w:rFonts w:ascii="Cambria" w:eastAsia="Times New Roman" w:hAnsi="Cambria" w:cs="Helvetica"/>
                <w:sz w:val="20"/>
                <w:szCs w:val="20"/>
                <w:lang w:eastAsia="ko-KR"/>
              </w:rPr>
            </w:pPr>
            <w:r w:rsidRPr="00843782">
              <w:rPr>
                <w:rFonts w:ascii="Cambria" w:eastAsia="Times New Roman" w:hAnsi="Cambria" w:cs="Helvetica"/>
                <w:sz w:val="20"/>
                <w:szCs w:val="20"/>
                <w:lang w:eastAsia="ko-KR"/>
              </w:rPr>
              <w:t>Total</w:t>
            </w:r>
          </w:p>
        </w:tc>
        <w:tc>
          <w:tcPr>
            <w:tcW w:w="943" w:type="dxa"/>
            <w:tcBorders>
              <w:top w:val="nil"/>
              <w:left w:val="nil"/>
              <w:bottom w:val="single" w:sz="4" w:space="0" w:color="auto"/>
              <w:right w:val="single" w:sz="4" w:space="0" w:color="auto"/>
            </w:tcBorders>
            <w:shd w:val="clear" w:color="auto" w:fill="auto"/>
            <w:noWrap/>
            <w:vAlign w:val="center"/>
            <w:hideMark/>
          </w:tcPr>
          <w:p w14:paraId="4BFA9E86" w14:textId="77777777" w:rsidR="00843782" w:rsidRPr="00843782" w:rsidRDefault="00843782" w:rsidP="003C2141">
            <w:pPr>
              <w:spacing w:after="0" w:line="240" w:lineRule="auto"/>
              <w:jc w:val="center"/>
              <w:rPr>
                <w:rFonts w:ascii="Cambria" w:eastAsia="Times New Roman" w:hAnsi="Cambria" w:cs="Helvetica"/>
                <w:sz w:val="20"/>
                <w:szCs w:val="20"/>
                <w:lang w:eastAsia="ko-KR"/>
              </w:rPr>
            </w:pPr>
            <w:r w:rsidRPr="00843782">
              <w:rPr>
                <w:rFonts w:ascii="Cambria" w:eastAsia="Times New Roman" w:hAnsi="Cambria" w:cs="Helvetica"/>
                <w:sz w:val="20"/>
                <w:szCs w:val="20"/>
                <w:lang w:eastAsia="ko-KR"/>
              </w:rPr>
              <w:t>$19.3</w:t>
            </w:r>
          </w:p>
        </w:tc>
        <w:tc>
          <w:tcPr>
            <w:tcW w:w="943" w:type="dxa"/>
            <w:tcBorders>
              <w:top w:val="nil"/>
              <w:left w:val="nil"/>
              <w:bottom w:val="single" w:sz="4" w:space="0" w:color="auto"/>
              <w:right w:val="single" w:sz="4" w:space="0" w:color="auto"/>
            </w:tcBorders>
            <w:shd w:val="clear" w:color="auto" w:fill="auto"/>
            <w:noWrap/>
            <w:vAlign w:val="center"/>
            <w:hideMark/>
          </w:tcPr>
          <w:p w14:paraId="68A049CD" w14:textId="77777777" w:rsidR="00843782" w:rsidRPr="00843782" w:rsidRDefault="00843782" w:rsidP="003C2141">
            <w:pPr>
              <w:spacing w:after="0" w:line="240" w:lineRule="auto"/>
              <w:jc w:val="center"/>
              <w:rPr>
                <w:rFonts w:ascii="Cambria" w:eastAsia="Times New Roman" w:hAnsi="Cambria" w:cs="Helvetica"/>
                <w:sz w:val="20"/>
                <w:szCs w:val="20"/>
                <w:lang w:eastAsia="ko-KR"/>
              </w:rPr>
            </w:pPr>
            <w:r w:rsidRPr="00843782">
              <w:rPr>
                <w:rFonts w:ascii="Cambria" w:eastAsia="Times New Roman" w:hAnsi="Cambria" w:cs="Helvetica"/>
                <w:sz w:val="20"/>
                <w:szCs w:val="20"/>
                <w:lang w:eastAsia="ko-KR"/>
              </w:rPr>
              <w:t>$19.4</w:t>
            </w:r>
          </w:p>
        </w:tc>
        <w:tc>
          <w:tcPr>
            <w:tcW w:w="943" w:type="dxa"/>
            <w:tcBorders>
              <w:top w:val="nil"/>
              <w:left w:val="nil"/>
              <w:bottom w:val="single" w:sz="4" w:space="0" w:color="auto"/>
              <w:right w:val="single" w:sz="4" w:space="0" w:color="auto"/>
            </w:tcBorders>
            <w:shd w:val="clear" w:color="auto" w:fill="auto"/>
            <w:noWrap/>
            <w:vAlign w:val="center"/>
            <w:hideMark/>
          </w:tcPr>
          <w:p w14:paraId="683C367B" w14:textId="77777777" w:rsidR="00843782" w:rsidRPr="00843782" w:rsidRDefault="00843782" w:rsidP="003C2141">
            <w:pPr>
              <w:spacing w:after="0" w:line="240" w:lineRule="auto"/>
              <w:jc w:val="center"/>
              <w:rPr>
                <w:rFonts w:ascii="Cambria" w:eastAsia="Times New Roman" w:hAnsi="Cambria" w:cs="Helvetica"/>
                <w:sz w:val="20"/>
                <w:szCs w:val="20"/>
                <w:lang w:eastAsia="ko-KR"/>
              </w:rPr>
            </w:pPr>
            <w:r w:rsidRPr="00843782">
              <w:rPr>
                <w:rFonts w:ascii="Cambria" w:eastAsia="Times New Roman" w:hAnsi="Cambria" w:cs="Helvetica"/>
                <w:sz w:val="20"/>
                <w:szCs w:val="20"/>
                <w:lang w:eastAsia="ko-KR"/>
              </w:rPr>
              <w:t>$19.5</w:t>
            </w:r>
          </w:p>
        </w:tc>
        <w:tc>
          <w:tcPr>
            <w:tcW w:w="943" w:type="dxa"/>
            <w:tcBorders>
              <w:top w:val="nil"/>
              <w:left w:val="nil"/>
              <w:bottom w:val="single" w:sz="4" w:space="0" w:color="auto"/>
              <w:right w:val="single" w:sz="4" w:space="0" w:color="auto"/>
            </w:tcBorders>
            <w:shd w:val="clear" w:color="auto" w:fill="auto"/>
            <w:noWrap/>
            <w:vAlign w:val="center"/>
            <w:hideMark/>
          </w:tcPr>
          <w:p w14:paraId="6902F3EF" w14:textId="77777777" w:rsidR="00843782" w:rsidRPr="00843782" w:rsidRDefault="00843782" w:rsidP="003C2141">
            <w:pPr>
              <w:spacing w:after="0" w:line="240" w:lineRule="auto"/>
              <w:jc w:val="center"/>
              <w:rPr>
                <w:rFonts w:ascii="Cambria" w:eastAsia="Times New Roman" w:hAnsi="Cambria" w:cs="Helvetica"/>
                <w:sz w:val="20"/>
                <w:szCs w:val="20"/>
                <w:lang w:eastAsia="ko-KR"/>
              </w:rPr>
            </w:pPr>
            <w:r w:rsidRPr="00843782">
              <w:rPr>
                <w:rFonts w:ascii="Cambria" w:eastAsia="Times New Roman" w:hAnsi="Cambria" w:cs="Helvetica"/>
                <w:sz w:val="20"/>
                <w:szCs w:val="20"/>
                <w:lang w:eastAsia="ko-KR"/>
              </w:rPr>
              <w:t>$19.6</w:t>
            </w:r>
          </w:p>
        </w:tc>
        <w:tc>
          <w:tcPr>
            <w:tcW w:w="943" w:type="dxa"/>
            <w:tcBorders>
              <w:top w:val="nil"/>
              <w:left w:val="nil"/>
              <w:bottom w:val="single" w:sz="4" w:space="0" w:color="auto"/>
              <w:right w:val="single" w:sz="4" w:space="0" w:color="auto"/>
            </w:tcBorders>
            <w:shd w:val="clear" w:color="auto" w:fill="auto"/>
            <w:noWrap/>
            <w:vAlign w:val="center"/>
            <w:hideMark/>
          </w:tcPr>
          <w:p w14:paraId="3154FD34" w14:textId="77777777" w:rsidR="00843782" w:rsidRPr="00843782" w:rsidRDefault="00843782" w:rsidP="003C2141">
            <w:pPr>
              <w:spacing w:after="0" w:line="240" w:lineRule="auto"/>
              <w:jc w:val="center"/>
              <w:rPr>
                <w:rFonts w:ascii="Cambria" w:eastAsia="Times New Roman" w:hAnsi="Cambria" w:cs="Helvetica"/>
                <w:sz w:val="20"/>
                <w:szCs w:val="20"/>
                <w:lang w:eastAsia="ko-KR"/>
              </w:rPr>
            </w:pPr>
            <w:r w:rsidRPr="00843782">
              <w:rPr>
                <w:rFonts w:ascii="Cambria" w:eastAsia="Times New Roman" w:hAnsi="Cambria" w:cs="Helvetica"/>
                <w:sz w:val="20"/>
                <w:szCs w:val="20"/>
                <w:lang w:eastAsia="ko-KR"/>
              </w:rPr>
              <w:t>$19.8</w:t>
            </w:r>
          </w:p>
        </w:tc>
      </w:tr>
    </w:tbl>
    <w:p w14:paraId="3E228083" w14:textId="77777777" w:rsidR="000E5727" w:rsidRDefault="000E5727" w:rsidP="005C7BF0">
      <w:pPr>
        <w:spacing w:after="0"/>
        <w:rPr>
          <w:rFonts w:asciiTheme="majorHAnsi" w:eastAsiaTheme="majorEastAsia" w:hAnsiTheme="majorHAnsi" w:cstheme="majorBidi"/>
          <w:bCs/>
          <w:color w:val="000000" w:themeColor="text1"/>
          <w:sz w:val="24"/>
          <w:szCs w:val="24"/>
        </w:rPr>
      </w:pPr>
    </w:p>
    <w:p w14:paraId="4CA90325" w14:textId="77777777" w:rsidR="000C325E" w:rsidRDefault="000C325E" w:rsidP="000C325E">
      <w:pPr>
        <w:spacing w:after="0"/>
        <w:rPr>
          <w:rFonts w:asciiTheme="majorHAnsi" w:eastAsiaTheme="majorEastAsia" w:hAnsiTheme="majorHAnsi" w:cstheme="majorBidi"/>
          <w:bCs/>
          <w:color w:val="000000" w:themeColor="text1"/>
          <w:sz w:val="24"/>
          <w:szCs w:val="24"/>
        </w:rPr>
      </w:pPr>
      <w:r w:rsidRPr="00215F2E">
        <w:rPr>
          <w:rFonts w:asciiTheme="majorHAnsi" w:eastAsiaTheme="majorEastAsia" w:hAnsiTheme="majorHAnsi" w:cstheme="majorBidi"/>
          <w:bCs/>
          <w:color w:val="000000" w:themeColor="text1"/>
          <w:sz w:val="24"/>
          <w:szCs w:val="24"/>
        </w:rPr>
        <w:t xml:space="preserve">Table </w:t>
      </w:r>
      <w:r>
        <w:rPr>
          <w:rFonts w:asciiTheme="majorHAnsi" w:eastAsiaTheme="majorEastAsia" w:hAnsiTheme="majorHAnsi" w:cstheme="majorBidi"/>
          <w:bCs/>
          <w:color w:val="000000" w:themeColor="text1"/>
          <w:sz w:val="24"/>
          <w:szCs w:val="24"/>
        </w:rPr>
        <w:t>2</w:t>
      </w:r>
      <w:r w:rsidRPr="00215F2E">
        <w:rPr>
          <w:rFonts w:asciiTheme="majorHAnsi" w:eastAsiaTheme="majorEastAsia" w:hAnsiTheme="majorHAnsi" w:cstheme="majorBidi"/>
          <w:bCs/>
          <w:color w:val="000000" w:themeColor="text1"/>
          <w:sz w:val="24"/>
          <w:szCs w:val="24"/>
        </w:rPr>
        <w:t xml:space="preserve"> below shows </w:t>
      </w:r>
      <w:r>
        <w:rPr>
          <w:rFonts w:asciiTheme="majorHAnsi" w:eastAsiaTheme="majorEastAsia" w:hAnsiTheme="majorHAnsi" w:cstheme="majorBidi"/>
          <w:bCs/>
          <w:color w:val="000000" w:themeColor="text1"/>
          <w:sz w:val="24"/>
          <w:szCs w:val="24"/>
        </w:rPr>
        <w:t xml:space="preserve">the amount and number of </w:t>
      </w:r>
      <w:r w:rsidRPr="00215F2E">
        <w:rPr>
          <w:rFonts w:asciiTheme="majorHAnsi" w:eastAsiaTheme="majorEastAsia" w:hAnsiTheme="majorHAnsi" w:cstheme="majorBidi"/>
          <w:bCs/>
          <w:color w:val="000000" w:themeColor="text1"/>
          <w:sz w:val="24"/>
          <w:szCs w:val="24"/>
        </w:rPr>
        <w:t>available, claimed, and shared credit</w:t>
      </w:r>
      <w:r>
        <w:rPr>
          <w:rFonts w:asciiTheme="majorHAnsi" w:eastAsiaTheme="majorEastAsia" w:hAnsiTheme="majorHAnsi" w:cstheme="majorBidi"/>
          <w:bCs/>
          <w:color w:val="000000" w:themeColor="text1"/>
          <w:sz w:val="24"/>
          <w:szCs w:val="24"/>
        </w:rPr>
        <w:t>s</w:t>
      </w:r>
      <w:r w:rsidRPr="00215F2E">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in</w:t>
      </w:r>
      <w:r w:rsidRPr="00A17F9F">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each year during the period 2015 through 2018</w:t>
      </w:r>
      <w:r w:rsidRPr="00215F2E">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 xml:space="preserve">“Available credit” refers to the maximum amount of credit that a taxpayer can claim based on tax liability, provided there are no other restrictions. “Claimed credit” is the amount a taxpayer actually claimed. “Shared credit” is the amount of a taxpayer’s credit that was used by other members of the </w:t>
      </w:r>
      <w:r w:rsidRPr="00D4544F">
        <w:rPr>
          <w:rFonts w:asciiTheme="majorHAnsi" w:eastAsiaTheme="majorEastAsia" w:hAnsiTheme="majorHAnsi" w:cstheme="majorBidi"/>
          <w:bCs/>
          <w:color w:val="000000" w:themeColor="text1"/>
          <w:sz w:val="24"/>
          <w:szCs w:val="24"/>
        </w:rPr>
        <w:t>taxpayer</w:t>
      </w:r>
      <w:r>
        <w:rPr>
          <w:rFonts w:asciiTheme="majorHAnsi" w:eastAsiaTheme="majorEastAsia" w:hAnsiTheme="majorHAnsi" w:cstheme="majorBidi"/>
          <w:bCs/>
          <w:color w:val="000000" w:themeColor="text1"/>
          <w:sz w:val="24"/>
          <w:szCs w:val="24"/>
        </w:rPr>
        <w:t xml:space="preserve">’s combined </w:t>
      </w:r>
      <w:r w:rsidRPr="00D4544F">
        <w:rPr>
          <w:rFonts w:asciiTheme="majorHAnsi" w:eastAsiaTheme="majorEastAsia" w:hAnsiTheme="majorHAnsi" w:cstheme="majorBidi"/>
          <w:bCs/>
          <w:color w:val="000000" w:themeColor="text1"/>
          <w:sz w:val="24"/>
          <w:szCs w:val="24"/>
        </w:rPr>
        <w:t>group</w:t>
      </w:r>
      <w:r w:rsidRPr="008C7788">
        <w:rPr>
          <w:rFonts w:asciiTheme="majorHAnsi" w:eastAsiaTheme="majorEastAsia" w:hAnsiTheme="majorHAnsi" w:cstheme="majorBidi"/>
          <w:bCs/>
          <w:color w:val="000000" w:themeColor="text1"/>
          <w:sz w:val="24"/>
          <w:szCs w:val="24"/>
        </w:rPr>
        <w:t>.</w:t>
      </w:r>
      <w:r>
        <w:rPr>
          <w:rFonts w:asciiTheme="majorHAnsi" w:eastAsiaTheme="majorEastAsia" w:hAnsiTheme="majorHAnsi" w:cstheme="majorBidi"/>
          <w:bCs/>
          <w:color w:val="000000" w:themeColor="text1"/>
          <w:sz w:val="24"/>
          <w:szCs w:val="24"/>
        </w:rPr>
        <w:t xml:space="preserve"> “Count” refers to the number of credit claims.</w:t>
      </w:r>
    </w:p>
    <w:p w14:paraId="0AEA8F51" w14:textId="77777777" w:rsidR="000C325E" w:rsidRDefault="000C325E" w:rsidP="005C7BF0">
      <w:pPr>
        <w:spacing w:after="0"/>
        <w:rPr>
          <w:rFonts w:asciiTheme="majorHAnsi" w:eastAsiaTheme="majorEastAsia" w:hAnsiTheme="majorHAnsi" w:cstheme="majorBidi"/>
          <w:bCs/>
          <w:color w:val="000000" w:themeColor="text1"/>
          <w:sz w:val="24"/>
          <w:szCs w:val="24"/>
        </w:rPr>
      </w:pPr>
    </w:p>
    <w:p w14:paraId="6388C6FA" w14:textId="5C43BCA8" w:rsidR="005C7BF0" w:rsidRDefault="005C7BF0" w:rsidP="005C7BF0">
      <w:pPr>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There</w:t>
      </w:r>
      <w:r w:rsidRPr="00476C5D">
        <w:rPr>
          <w:rFonts w:asciiTheme="majorHAnsi" w:eastAsiaTheme="majorEastAsia" w:hAnsiTheme="majorHAnsi" w:cstheme="majorBidi"/>
          <w:bCs/>
          <w:color w:val="000000" w:themeColor="text1"/>
          <w:sz w:val="24"/>
          <w:szCs w:val="24"/>
        </w:rPr>
        <w:t xml:space="preserve"> were </w:t>
      </w:r>
      <w:r>
        <w:rPr>
          <w:rFonts w:asciiTheme="majorHAnsi" w:eastAsiaTheme="majorEastAsia" w:hAnsiTheme="majorHAnsi" w:cstheme="majorBidi"/>
          <w:bCs/>
          <w:color w:val="000000" w:themeColor="text1"/>
          <w:sz w:val="24"/>
          <w:szCs w:val="24"/>
        </w:rPr>
        <w:t xml:space="preserve">96 -173 </w:t>
      </w:r>
      <w:r w:rsidRPr="00476C5D">
        <w:rPr>
          <w:rFonts w:asciiTheme="majorHAnsi" w:eastAsiaTheme="majorEastAsia" w:hAnsiTheme="majorHAnsi" w:cstheme="majorBidi"/>
          <w:bCs/>
          <w:color w:val="000000" w:themeColor="text1"/>
          <w:sz w:val="24"/>
          <w:szCs w:val="24"/>
        </w:rPr>
        <w:t xml:space="preserve">claims </w:t>
      </w:r>
      <w:r>
        <w:rPr>
          <w:rFonts w:asciiTheme="majorHAnsi" w:eastAsiaTheme="majorEastAsia" w:hAnsiTheme="majorHAnsi" w:cstheme="majorBidi"/>
          <w:bCs/>
          <w:color w:val="000000" w:themeColor="text1"/>
          <w:sz w:val="24"/>
          <w:szCs w:val="24"/>
        </w:rPr>
        <w:t xml:space="preserve">per year </w:t>
      </w:r>
      <w:r w:rsidRPr="00476C5D">
        <w:rPr>
          <w:rFonts w:asciiTheme="majorHAnsi" w:eastAsiaTheme="majorEastAsia" w:hAnsiTheme="majorHAnsi" w:cstheme="majorBidi"/>
          <w:bCs/>
          <w:color w:val="000000" w:themeColor="text1"/>
          <w:sz w:val="24"/>
          <w:szCs w:val="24"/>
        </w:rPr>
        <w:t>from corporate and business tax filers</w:t>
      </w:r>
      <w:r>
        <w:rPr>
          <w:rFonts w:asciiTheme="majorHAnsi" w:eastAsiaTheme="majorEastAsia" w:hAnsiTheme="majorHAnsi" w:cstheme="majorBidi"/>
          <w:bCs/>
          <w:color w:val="000000" w:themeColor="text1"/>
          <w:sz w:val="24"/>
          <w:szCs w:val="24"/>
        </w:rPr>
        <w:t xml:space="preserve">, and 6 – 156 claims per year from the personal income tax filers during the </w:t>
      </w:r>
      <w:r w:rsidR="006463C1">
        <w:rPr>
          <w:rFonts w:asciiTheme="majorHAnsi" w:eastAsiaTheme="majorEastAsia" w:hAnsiTheme="majorHAnsi" w:cstheme="majorBidi"/>
          <w:bCs/>
          <w:color w:val="000000" w:themeColor="text1"/>
          <w:sz w:val="24"/>
          <w:szCs w:val="24"/>
        </w:rPr>
        <w:t xml:space="preserve">tax </w:t>
      </w:r>
      <w:r>
        <w:rPr>
          <w:rFonts w:asciiTheme="majorHAnsi" w:eastAsiaTheme="majorEastAsia" w:hAnsiTheme="majorHAnsi" w:cstheme="majorBidi"/>
          <w:bCs/>
          <w:color w:val="000000" w:themeColor="text1"/>
          <w:sz w:val="24"/>
          <w:szCs w:val="24"/>
        </w:rPr>
        <w:t>years 2015 through 2018</w:t>
      </w:r>
      <w:r w:rsidRPr="00476C5D">
        <w:rPr>
          <w:rFonts w:asciiTheme="majorHAnsi" w:eastAsiaTheme="majorEastAsia" w:hAnsiTheme="majorHAnsi" w:cstheme="majorBidi"/>
          <w:bCs/>
          <w:color w:val="000000" w:themeColor="text1"/>
          <w:sz w:val="24"/>
          <w:szCs w:val="24"/>
        </w:rPr>
        <w:t>.</w:t>
      </w:r>
      <w:r>
        <w:rPr>
          <w:rFonts w:asciiTheme="majorHAnsi" w:eastAsiaTheme="majorEastAsia" w:hAnsiTheme="majorHAnsi" w:cstheme="majorBidi"/>
          <w:bCs/>
          <w:color w:val="000000" w:themeColor="text1"/>
          <w:sz w:val="24"/>
          <w:szCs w:val="24"/>
        </w:rPr>
        <w:t xml:space="preserve"> </w:t>
      </w:r>
      <w:r w:rsidRPr="0052032B">
        <w:rPr>
          <w:rFonts w:asciiTheme="majorHAnsi" w:eastAsiaTheme="majorEastAsia" w:hAnsiTheme="majorHAnsi" w:cstheme="majorBidi"/>
          <w:bCs/>
          <w:color w:val="000000" w:themeColor="text1"/>
          <w:sz w:val="24"/>
          <w:szCs w:val="24"/>
        </w:rPr>
        <w:t xml:space="preserve">The </w:t>
      </w:r>
      <w:r w:rsidR="00DD1DA4">
        <w:rPr>
          <w:rFonts w:asciiTheme="majorHAnsi" w:eastAsiaTheme="majorEastAsia" w:hAnsiTheme="majorHAnsi" w:cstheme="majorBidi"/>
          <w:bCs/>
          <w:color w:val="000000" w:themeColor="text1"/>
          <w:sz w:val="24"/>
          <w:szCs w:val="24"/>
        </w:rPr>
        <w:t xml:space="preserve">average claimed </w:t>
      </w:r>
      <w:r w:rsidR="00285CCE">
        <w:rPr>
          <w:rFonts w:asciiTheme="majorHAnsi" w:eastAsiaTheme="majorEastAsia" w:hAnsiTheme="majorHAnsi" w:cstheme="majorBidi"/>
          <w:bCs/>
          <w:color w:val="000000" w:themeColor="text1"/>
          <w:sz w:val="24"/>
          <w:szCs w:val="24"/>
        </w:rPr>
        <w:t>or</w:t>
      </w:r>
      <w:r w:rsidR="00DD1DA4">
        <w:rPr>
          <w:rFonts w:asciiTheme="majorHAnsi" w:eastAsiaTheme="majorEastAsia" w:hAnsiTheme="majorHAnsi" w:cstheme="majorBidi"/>
          <w:bCs/>
          <w:color w:val="000000" w:themeColor="text1"/>
          <w:sz w:val="24"/>
          <w:szCs w:val="24"/>
        </w:rPr>
        <w:t xml:space="preserve"> shared amount</w:t>
      </w:r>
      <w:r w:rsidRPr="0052032B">
        <w:rPr>
          <w:rFonts w:asciiTheme="majorHAnsi" w:eastAsiaTheme="majorEastAsia" w:hAnsiTheme="majorHAnsi" w:cstheme="majorBidi"/>
          <w:bCs/>
          <w:color w:val="000000" w:themeColor="text1"/>
          <w:sz w:val="24"/>
          <w:szCs w:val="24"/>
        </w:rPr>
        <w:t xml:space="preserve"> </w:t>
      </w:r>
      <w:r w:rsidR="006463C1">
        <w:rPr>
          <w:rFonts w:asciiTheme="majorHAnsi" w:eastAsiaTheme="majorEastAsia" w:hAnsiTheme="majorHAnsi" w:cstheme="majorBidi"/>
          <w:bCs/>
          <w:color w:val="000000" w:themeColor="text1"/>
          <w:sz w:val="24"/>
          <w:szCs w:val="24"/>
        </w:rPr>
        <w:t>varied from $85,600 in 2015 to</w:t>
      </w:r>
      <w:r w:rsidRPr="0052032B">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120,</w:t>
      </w:r>
      <w:r w:rsidR="006463C1">
        <w:rPr>
          <w:rFonts w:asciiTheme="majorHAnsi" w:eastAsiaTheme="majorEastAsia" w:hAnsiTheme="majorHAnsi" w:cstheme="majorBidi"/>
          <w:bCs/>
          <w:color w:val="000000" w:themeColor="text1"/>
          <w:sz w:val="24"/>
          <w:szCs w:val="24"/>
        </w:rPr>
        <w:t>2</w:t>
      </w:r>
      <w:r>
        <w:rPr>
          <w:rFonts w:asciiTheme="majorHAnsi" w:eastAsiaTheme="majorEastAsia" w:hAnsiTheme="majorHAnsi" w:cstheme="majorBidi"/>
          <w:bCs/>
          <w:color w:val="000000" w:themeColor="text1"/>
          <w:sz w:val="24"/>
          <w:szCs w:val="24"/>
        </w:rPr>
        <w:t xml:space="preserve">00 </w:t>
      </w:r>
      <w:r w:rsidRPr="0052032B">
        <w:rPr>
          <w:rFonts w:asciiTheme="majorHAnsi" w:eastAsiaTheme="majorEastAsia" w:hAnsiTheme="majorHAnsi" w:cstheme="majorBidi"/>
          <w:bCs/>
          <w:color w:val="000000" w:themeColor="text1"/>
          <w:sz w:val="24"/>
          <w:szCs w:val="24"/>
        </w:rPr>
        <w:t>in 2018</w:t>
      </w:r>
      <w:r>
        <w:rPr>
          <w:rFonts w:asciiTheme="majorHAnsi" w:eastAsiaTheme="majorEastAsia" w:hAnsiTheme="majorHAnsi" w:cstheme="majorBidi"/>
          <w:bCs/>
          <w:color w:val="000000" w:themeColor="text1"/>
          <w:sz w:val="24"/>
          <w:szCs w:val="24"/>
        </w:rPr>
        <w:t>. It is unknown why the number of clai</w:t>
      </w:r>
      <w:r w:rsidR="007005A4">
        <w:rPr>
          <w:rFonts w:asciiTheme="majorHAnsi" w:eastAsiaTheme="majorEastAsia" w:hAnsiTheme="majorHAnsi" w:cstheme="majorBidi"/>
          <w:bCs/>
          <w:color w:val="000000" w:themeColor="text1"/>
          <w:sz w:val="24"/>
          <w:szCs w:val="24"/>
        </w:rPr>
        <w:t>m</w:t>
      </w:r>
      <w:r>
        <w:rPr>
          <w:rFonts w:asciiTheme="majorHAnsi" w:eastAsiaTheme="majorEastAsia" w:hAnsiTheme="majorHAnsi" w:cstheme="majorBidi"/>
          <w:bCs/>
          <w:color w:val="000000" w:themeColor="text1"/>
          <w:sz w:val="24"/>
          <w:szCs w:val="24"/>
        </w:rPr>
        <w:t>s from personal income tax filers decreased from 156 in 2015 to 30 in 2017</w:t>
      </w:r>
      <w:r w:rsidR="00262300">
        <w:rPr>
          <w:rFonts w:asciiTheme="majorHAnsi" w:eastAsiaTheme="majorEastAsia" w:hAnsiTheme="majorHAnsi" w:cstheme="majorBidi"/>
          <w:bCs/>
          <w:color w:val="000000" w:themeColor="text1"/>
          <w:sz w:val="24"/>
          <w:szCs w:val="24"/>
        </w:rPr>
        <w:t>,</w:t>
      </w:r>
      <w:r>
        <w:rPr>
          <w:rFonts w:asciiTheme="majorHAnsi" w:eastAsiaTheme="majorEastAsia" w:hAnsiTheme="majorHAnsi" w:cstheme="majorBidi"/>
          <w:bCs/>
          <w:color w:val="000000" w:themeColor="text1"/>
          <w:sz w:val="24"/>
          <w:szCs w:val="24"/>
        </w:rPr>
        <w:t xml:space="preserve"> and 6 in 2018. </w:t>
      </w:r>
      <w:r w:rsidR="00686643">
        <w:rPr>
          <w:rFonts w:asciiTheme="majorHAnsi" w:eastAsiaTheme="majorEastAsia" w:hAnsiTheme="majorHAnsi" w:cstheme="majorBidi"/>
          <w:bCs/>
          <w:color w:val="000000" w:themeColor="text1"/>
          <w:sz w:val="24"/>
          <w:szCs w:val="24"/>
        </w:rPr>
        <w:t>Please also n</w:t>
      </w:r>
      <w:r w:rsidR="007005A4">
        <w:rPr>
          <w:rFonts w:asciiTheme="majorHAnsi" w:eastAsiaTheme="majorEastAsia" w:hAnsiTheme="majorHAnsi" w:cstheme="majorBidi"/>
          <w:bCs/>
          <w:color w:val="000000" w:themeColor="text1"/>
          <w:sz w:val="24"/>
          <w:szCs w:val="24"/>
        </w:rPr>
        <w:t xml:space="preserve">ote that </w:t>
      </w:r>
      <w:r w:rsidR="00686643">
        <w:rPr>
          <w:rFonts w:asciiTheme="majorHAnsi" w:eastAsiaTheme="majorEastAsia" w:hAnsiTheme="majorHAnsi" w:cstheme="majorBidi"/>
          <w:bCs/>
          <w:color w:val="000000" w:themeColor="text1"/>
          <w:sz w:val="24"/>
          <w:szCs w:val="24"/>
        </w:rPr>
        <w:t xml:space="preserve">the </w:t>
      </w:r>
      <w:r w:rsidR="007005A4">
        <w:rPr>
          <w:rFonts w:asciiTheme="majorHAnsi" w:eastAsiaTheme="majorEastAsia" w:hAnsiTheme="majorHAnsi" w:cstheme="majorBidi"/>
          <w:bCs/>
          <w:color w:val="000000" w:themeColor="text1"/>
          <w:sz w:val="24"/>
          <w:szCs w:val="24"/>
        </w:rPr>
        <w:t xml:space="preserve">actual claimed </w:t>
      </w:r>
      <w:r w:rsidR="00285CCE">
        <w:rPr>
          <w:rFonts w:asciiTheme="majorHAnsi" w:eastAsiaTheme="majorEastAsia" w:hAnsiTheme="majorHAnsi" w:cstheme="majorBidi"/>
          <w:bCs/>
          <w:color w:val="000000" w:themeColor="text1"/>
          <w:sz w:val="24"/>
          <w:szCs w:val="24"/>
        </w:rPr>
        <w:t xml:space="preserve">or </w:t>
      </w:r>
      <w:r w:rsidR="007005A4">
        <w:rPr>
          <w:rFonts w:asciiTheme="majorHAnsi" w:eastAsiaTheme="majorEastAsia" w:hAnsiTheme="majorHAnsi" w:cstheme="majorBidi"/>
          <w:bCs/>
          <w:color w:val="000000" w:themeColor="text1"/>
          <w:sz w:val="24"/>
          <w:szCs w:val="24"/>
        </w:rPr>
        <w:t>shared amount</w:t>
      </w:r>
      <w:r w:rsidR="00EE1C7B">
        <w:rPr>
          <w:rFonts w:asciiTheme="majorHAnsi" w:eastAsiaTheme="majorEastAsia" w:hAnsiTheme="majorHAnsi" w:cstheme="majorBidi"/>
          <w:bCs/>
          <w:color w:val="000000" w:themeColor="text1"/>
          <w:sz w:val="24"/>
          <w:szCs w:val="24"/>
        </w:rPr>
        <w:t>s</w:t>
      </w:r>
      <w:r w:rsidR="007005A4">
        <w:rPr>
          <w:rFonts w:asciiTheme="majorHAnsi" w:eastAsiaTheme="majorEastAsia" w:hAnsiTheme="majorHAnsi" w:cstheme="majorBidi"/>
          <w:bCs/>
          <w:color w:val="000000" w:themeColor="text1"/>
          <w:sz w:val="24"/>
          <w:szCs w:val="24"/>
        </w:rPr>
        <w:t xml:space="preserve"> of the credit </w:t>
      </w:r>
      <w:r w:rsidR="00EE1C7B">
        <w:rPr>
          <w:rFonts w:asciiTheme="majorHAnsi" w:eastAsiaTheme="majorEastAsia" w:hAnsiTheme="majorHAnsi" w:cstheme="majorBidi"/>
          <w:bCs/>
          <w:color w:val="000000" w:themeColor="text1"/>
          <w:sz w:val="24"/>
          <w:szCs w:val="24"/>
        </w:rPr>
        <w:t xml:space="preserve">were </w:t>
      </w:r>
      <w:r w:rsidR="007005A4">
        <w:rPr>
          <w:rFonts w:asciiTheme="majorHAnsi" w:eastAsiaTheme="majorEastAsia" w:hAnsiTheme="majorHAnsi" w:cstheme="majorBidi"/>
          <w:bCs/>
          <w:color w:val="000000" w:themeColor="text1"/>
          <w:sz w:val="24"/>
          <w:szCs w:val="24"/>
        </w:rPr>
        <w:t>close to or significantly under 50%</w:t>
      </w:r>
      <w:r w:rsidR="003363F2">
        <w:rPr>
          <w:rFonts w:asciiTheme="majorHAnsi" w:eastAsiaTheme="majorEastAsia" w:hAnsiTheme="majorHAnsi" w:cstheme="majorBidi"/>
          <w:bCs/>
          <w:color w:val="000000" w:themeColor="text1"/>
          <w:sz w:val="24"/>
          <w:szCs w:val="24"/>
        </w:rPr>
        <w:t xml:space="preserve"> of the amount</w:t>
      </w:r>
      <w:r w:rsidR="006158C6">
        <w:rPr>
          <w:rFonts w:asciiTheme="majorHAnsi" w:eastAsiaTheme="majorEastAsia" w:hAnsiTheme="majorHAnsi" w:cstheme="majorBidi"/>
          <w:bCs/>
          <w:color w:val="000000" w:themeColor="text1"/>
          <w:sz w:val="24"/>
          <w:szCs w:val="24"/>
        </w:rPr>
        <w:t>s</w:t>
      </w:r>
      <w:r w:rsidR="003363F2">
        <w:rPr>
          <w:rFonts w:asciiTheme="majorHAnsi" w:eastAsiaTheme="majorEastAsia" w:hAnsiTheme="majorHAnsi" w:cstheme="majorBidi"/>
          <w:bCs/>
          <w:color w:val="000000" w:themeColor="text1"/>
          <w:sz w:val="24"/>
          <w:szCs w:val="24"/>
        </w:rPr>
        <w:t xml:space="preserve"> of credits</w:t>
      </w:r>
      <w:r w:rsidR="00686643">
        <w:rPr>
          <w:rFonts w:asciiTheme="majorHAnsi" w:eastAsiaTheme="majorEastAsia" w:hAnsiTheme="majorHAnsi" w:cstheme="majorBidi"/>
          <w:bCs/>
          <w:color w:val="000000" w:themeColor="text1"/>
          <w:sz w:val="24"/>
          <w:szCs w:val="24"/>
        </w:rPr>
        <w:t xml:space="preserve"> available</w:t>
      </w:r>
      <w:r w:rsidR="007005A4">
        <w:rPr>
          <w:rFonts w:asciiTheme="majorHAnsi" w:eastAsiaTheme="majorEastAsia" w:hAnsiTheme="majorHAnsi" w:cstheme="majorBidi"/>
          <w:bCs/>
          <w:color w:val="000000" w:themeColor="text1"/>
          <w:sz w:val="24"/>
          <w:szCs w:val="24"/>
        </w:rPr>
        <w:t xml:space="preserve">. </w:t>
      </w:r>
      <w:r w:rsidR="00262300">
        <w:rPr>
          <w:rFonts w:asciiTheme="majorHAnsi" w:eastAsiaTheme="majorEastAsia" w:hAnsiTheme="majorHAnsi" w:cstheme="majorBidi"/>
          <w:bCs/>
          <w:color w:val="000000" w:themeColor="text1"/>
          <w:sz w:val="24"/>
          <w:szCs w:val="24"/>
        </w:rPr>
        <w:t>That</w:t>
      </w:r>
      <w:r w:rsidR="007005A4">
        <w:rPr>
          <w:rFonts w:asciiTheme="majorHAnsi" w:eastAsiaTheme="majorEastAsia" w:hAnsiTheme="majorHAnsi" w:cstheme="majorBidi"/>
          <w:bCs/>
          <w:color w:val="000000" w:themeColor="text1"/>
          <w:sz w:val="24"/>
          <w:szCs w:val="24"/>
        </w:rPr>
        <w:t xml:space="preserve"> means that </w:t>
      </w:r>
      <w:r w:rsidR="00EB4838">
        <w:rPr>
          <w:rFonts w:asciiTheme="majorHAnsi" w:eastAsiaTheme="majorEastAsia" w:hAnsiTheme="majorHAnsi" w:cstheme="majorBidi"/>
          <w:bCs/>
          <w:color w:val="000000" w:themeColor="text1"/>
          <w:sz w:val="24"/>
          <w:szCs w:val="24"/>
        </w:rPr>
        <w:t xml:space="preserve">tax </w:t>
      </w:r>
      <w:r w:rsidR="007005A4">
        <w:rPr>
          <w:rFonts w:asciiTheme="majorHAnsi" w:eastAsiaTheme="majorEastAsia" w:hAnsiTheme="majorHAnsi" w:cstheme="majorBidi"/>
          <w:bCs/>
          <w:color w:val="000000" w:themeColor="text1"/>
          <w:sz w:val="24"/>
          <w:szCs w:val="24"/>
        </w:rPr>
        <w:t xml:space="preserve">filers </w:t>
      </w:r>
      <w:r w:rsidR="00EB4838">
        <w:rPr>
          <w:rFonts w:asciiTheme="majorHAnsi" w:eastAsiaTheme="majorEastAsia" w:hAnsiTheme="majorHAnsi" w:cstheme="majorBidi"/>
          <w:bCs/>
          <w:color w:val="000000" w:themeColor="text1"/>
          <w:sz w:val="24"/>
          <w:szCs w:val="24"/>
        </w:rPr>
        <w:t>di</w:t>
      </w:r>
      <w:r w:rsidR="007005A4">
        <w:rPr>
          <w:rFonts w:asciiTheme="majorHAnsi" w:eastAsiaTheme="majorEastAsia" w:hAnsiTheme="majorHAnsi" w:cstheme="majorBidi"/>
          <w:bCs/>
          <w:color w:val="000000" w:themeColor="text1"/>
          <w:sz w:val="24"/>
          <w:szCs w:val="24"/>
        </w:rPr>
        <w:t>d not</w:t>
      </w:r>
      <w:r w:rsidR="00EB4838">
        <w:rPr>
          <w:rFonts w:asciiTheme="majorHAnsi" w:eastAsiaTheme="majorEastAsia" w:hAnsiTheme="majorHAnsi" w:cstheme="majorBidi"/>
          <w:bCs/>
          <w:color w:val="000000" w:themeColor="text1"/>
          <w:sz w:val="24"/>
          <w:szCs w:val="24"/>
        </w:rPr>
        <w:t xml:space="preserve"> have</w:t>
      </w:r>
      <w:r w:rsidR="007005A4">
        <w:rPr>
          <w:rFonts w:asciiTheme="majorHAnsi" w:eastAsiaTheme="majorEastAsia" w:hAnsiTheme="majorHAnsi" w:cstheme="majorBidi"/>
          <w:bCs/>
          <w:color w:val="000000" w:themeColor="text1"/>
          <w:sz w:val="24"/>
          <w:szCs w:val="24"/>
        </w:rPr>
        <w:t xml:space="preserve"> enough tax liabilities to take </w:t>
      </w:r>
      <w:r w:rsidR="00EB4838">
        <w:rPr>
          <w:rFonts w:asciiTheme="majorHAnsi" w:eastAsiaTheme="majorEastAsia" w:hAnsiTheme="majorHAnsi" w:cstheme="majorBidi"/>
          <w:bCs/>
          <w:color w:val="000000" w:themeColor="text1"/>
          <w:sz w:val="24"/>
          <w:szCs w:val="24"/>
        </w:rPr>
        <w:t xml:space="preserve">full </w:t>
      </w:r>
      <w:r w:rsidR="007005A4">
        <w:rPr>
          <w:rFonts w:asciiTheme="majorHAnsi" w:eastAsiaTheme="majorEastAsia" w:hAnsiTheme="majorHAnsi" w:cstheme="majorBidi"/>
          <w:bCs/>
          <w:color w:val="000000" w:themeColor="text1"/>
          <w:sz w:val="24"/>
          <w:szCs w:val="24"/>
        </w:rPr>
        <w:t>advantage of the credit or certain</w:t>
      </w:r>
      <w:r w:rsidR="00EB4838" w:rsidRPr="00EB4838">
        <w:rPr>
          <w:rFonts w:asciiTheme="majorHAnsi" w:eastAsiaTheme="majorEastAsia" w:hAnsiTheme="majorHAnsi" w:cstheme="majorBidi"/>
          <w:bCs/>
          <w:color w:val="000000" w:themeColor="text1"/>
          <w:sz w:val="24"/>
          <w:szCs w:val="24"/>
        </w:rPr>
        <w:t xml:space="preserve"> </w:t>
      </w:r>
      <w:r w:rsidR="00EB4838">
        <w:rPr>
          <w:rFonts w:asciiTheme="majorHAnsi" w:eastAsiaTheme="majorEastAsia" w:hAnsiTheme="majorHAnsi" w:cstheme="majorBidi"/>
          <w:bCs/>
          <w:color w:val="000000" w:themeColor="text1"/>
          <w:sz w:val="24"/>
          <w:szCs w:val="24"/>
        </w:rPr>
        <w:t>statutory limitations</w:t>
      </w:r>
      <w:r w:rsidR="002D0038">
        <w:rPr>
          <w:rStyle w:val="FootnoteReference"/>
          <w:rFonts w:asciiTheme="majorHAnsi" w:eastAsiaTheme="majorEastAsia" w:hAnsiTheme="majorHAnsi"/>
          <w:bCs/>
          <w:color w:val="000000" w:themeColor="text1"/>
          <w:sz w:val="24"/>
          <w:szCs w:val="24"/>
        </w:rPr>
        <w:footnoteReference w:id="3"/>
      </w:r>
      <w:r w:rsidR="007005A4">
        <w:rPr>
          <w:rFonts w:asciiTheme="majorHAnsi" w:eastAsiaTheme="majorEastAsia" w:hAnsiTheme="majorHAnsi" w:cstheme="majorBidi"/>
          <w:bCs/>
          <w:color w:val="000000" w:themeColor="text1"/>
          <w:sz w:val="24"/>
          <w:szCs w:val="24"/>
        </w:rPr>
        <w:t xml:space="preserve"> prevented them from </w:t>
      </w:r>
      <w:r w:rsidR="00EB4838">
        <w:rPr>
          <w:rFonts w:asciiTheme="majorHAnsi" w:eastAsiaTheme="majorEastAsia" w:hAnsiTheme="majorHAnsi" w:cstheme="majorBidi"/>
          <w:bCs/>
          <w:color w:val="000000" w:themeColor="text1"/>
          <w:sz w:val="24"/>
          <w:szCs w:val="24"/>
        </w:rPr>
        <w:t>doing so</w:t>
      </w:r>
      <w:r w:rsidR="007005A4">
        <w:rPr>
          <w:rFonts w:asciiTheme="majorHAnsi" w:eastAsiaTheme="majorEastAsia" w:hAnsiTheme="majorHAnsi" w:cstheme="majorBidi"/>
          <w:bCs/>
          <w:color w:val="000000" w:themeColor="text1"/>
          <w:sz w:val="24"/>
          <w:szCs w:val="24"/>
        </w:rPr>
        <w:t xml:space="preserve">. </w:t>
      </w:r>
      <w:r w:rsidR="009757C8">
        <w:rPr>
          <w:rFonts w:asciiTheme="majorHAnsi" w:eastAsiaTheme="majorEastAsia" w:hAnsiTheme="majorHAnsi" w:cstheme="majorBidi"/>
          <w:bCs/>
          <w:color w:val="000000" w:themeColor="text1"/>
          <w:sz w:val="24"/>
          <w:szCs w:val="24"/>
        </w:rPr>
        <w:t xml:space="preserve"> </w:t>
      </w:r>
    </w:p>
    <w:p w14:paraId="114659A3" w14:textId="2DA95A5D" w:rsidR="00CD6275" w:rsidRDefault="00CD6275" w:rsidP="005C7BF0">
      <w:pPr>
        <w:spacing w:after="0"/>
        <w:rPr>
          <w:rFonts w:asciiTheme="majorHAnsi" w:eastAsiaTheme="majorEastAsia" w:hAnsiTheme="majorHAnsi" w:cstheme="majorBidi"/>
          <w:bCs/>
          <w:color w:val="000000" w:themeColor="text1"/>
          <w:sz w:val="24"/>
          <w:szCs w:val="24"/>
        </w:rPr>
      </w:pPr>
    </w:p>
    <w:p w14:paraId="54FC79C0" w14:textId="77777777" w:rsidR="006A7767" w:rsidRDefault="006A7767" w:rsidP="005C7BF0">
      <w:pPr>
        <w:spacing w:after="0"/>
        <w:rPr>
          <w:rFonts w:asciiTheme="majorHAnsi" w:eastAsiaTheme="majorEastAsia" w:hAnsiTheme="majorHAnsi" w:cstheme="majorBidi"/>
          <w:bCs/>
          <w:color w:val="000000" w:themeColor="text1"/>
          <w:sz w:val="24"/>
          <w:szCs w:val="24"/>
        </w:rPr>
      </w:pPr>
    </w:p>
    <w:p w14:paraId="52E97C82" w14:textId="77777777" w:rsidR="00824B2A" w:rsidRDefault="00824B2A" w:rsidP="00502C64">
      <w:pPr>
        <w:spacing w:after="0"/>
        <w:jc w:val="center"/>
        <w:rPr>
          <w:rFonts w:asciiTheme="majorHAnsi" w:hAnsiTheme="majorHAnsi"/>
          <w:b/>
          <w:sz w:val="24"/>
          <w:szCs w:val="24"/>
        </w:rPr>
      </w:pPr>
      <w:r w:rsidRPr="00CA0391">
        <w:rPr>
          <w:rFonts w:asciiTheme="majorHAnsi" w:hAnsiTheme="majorHAnsi"/>
          <w:b/>
          <w:sz w:val="24"/>
          <w:szCs w:val="24"/>
        </w:rPr>
        <w:lastRenderedPageBreak/>
        <w:t xml:space="preserve">Table </w:t>
      </w:r>
      <w:r>
        <w:rPr>
          <w:rFonts w:asciiTheme="majorHAnsi" w:hAnsiTheme="majorHAnsi"/>
          <w:b/>
          <w:sz w:val="24"/>
          <w:szCs w:val="24"/>
        </w:rPr>
        <w:t>2</w:t>
      </w:r>
      <w:r w:rsidRPr="00CA0391">
        <w:rPr>
          <w:rFonts w:asciiTheme="majorHAnsi" w:hAnsiTheme="majorHAnsi"/>
          <w:b/>
          <w:sz w:val="24"/>
          <w:szCs w:val="24"/>
        </w:rPr>
        <w:t xml:space="preserve">. </w:t>
      </w:r>
      <w:r w:rsidR="00502C64">
        <w:rPr>
          <w:rFonts w:asciiTheme="majorHAnsi" w:hAnsiTheme="majorHAnsi"/>
          <w:b/>
          <w:sz w:val="24"/>
          <w:szCs w:val="24"/>
        </w:rPr>
        <w:t>Amount and Count of EDIP Credit by Tax Year</w:t>
      </w:r>
    </w:p>
    <w:tbl>
      <w:tblPr>
        <w:tblW w:w="9132" w:type="dxa"/>
        <w:tblInd w:w="108" w:type="dxa"/>
        <w:tblLook w:val="04A0" w:firstRow="1" w:lastRow="0" w:firstColumn="1" w:lastColumn="0" w:noHBand="0" w:noVBand="1"/>
      </w:tblPr>
      <w:tblGrid>
        <w:gridCol w:w="994"/>
        <w:gridCol w:w="1071"/>
        <w:gridCol w:w="1080"/>
        <w:gridCol w:w="713"/>
        <w:gridCol w:w="1087"/>
        <w:gridCol w:w="713"/>
        <w:gridCol w:w="1087"/>
        <w:gridCol w:w="713"/>
        <w:gridCol w:w="997"/>
        <w:gridCol w:w="785"/>
      </w:tblGrid>
      <w:tr w:rsidR="00824B2A" w:rsidRPr="00346E78" w14:paraId="6594A496" w14:textId="77777777" w:rsidTr="008D160C">
        <w:trPr>
          <w:trHeight w:val="280"/>
        </w:trPr>
        <w:tc>
          <w:tcPr>
            <w:tcW w:w="1957" w:type="dxa"/>
            <w:gridSpan w:val="2"/>
            <w:vMerge w:val="restart"/>
            <w:tcBorders>
              <w:top w:val="single" w:sz="4" w:space="0" w:color="auto"/>
              <w:left w:val="single" w:sz="4" w:space="0" w:color="auto"/>
              <w:bottom w:val="single" w:sz="4" w:space="0" w:color="000000"/>
              <w:right w:val="single" w:sz="4" w:space="0" w:color="000000"/>
            </w:tcBorders>
            <w:shd w:val="clear" w:color="auto" w:fill="B6DDE8" w:themeFill="accent5" w:themeFillTint="66"/>
            <w:noWrap/>
            <w:vAlign w:val="center"/>
            <w:hideMark/>
          </w:tcPr>
          <w:p w14:paraId="625A6D34" w14:textId="77777777" w:rsidR="00824B2A" w:rsidRPr="00346E78" w:rsidRDefault="00824B2A" w:rsidP="00464D5E">
            <w:pPr>
              <w:spacing w:after="0" w:line="240" w:lineRule="auto"/>
              <w:jc w:val="center"/>
              <w:rPr>
                <w:rFonts w:ascii="Cambria" w:eastAsia="Times New Roman" w:hAnsi="Cambria" w:cs="Helvetica"/>
                <w:sz w:val="18"/>
                <w:szCs w:val="18"/>
                <w:lang w:eastAsia="ko-KR"/>
              </w:rPr>
            </w:pPr>
            <w:r w:rsidRPr="00346E78">
              <w:rPr>
                <w:rFonts w:ascii="Cambria" w:eastAsia="Times New Roman" w:hAnsi="Cambria" w:cs="Helvetica"/>
                <w:sz w:val="18"/>
                <w:szCs w:val="18"/>
                <w:lang w:eastAsia="ko-KR"/>
              </w:rPr>
              <w:t>Calendar Year</w:t>
            </w:r>
          </w:p>
        </w:tc>
        <w:tc>
          <w:tcPr>
            <w:tcW w:w="1793" w:type="dxa"/>
            <w:gridSpan w:val="2"/>
            <w:tcBorders>
              <w:top w:val="single" w:sz="4" w:space="0" w:color="auto"/>
              <w:left w:val="nil"/>
              <w:bottom w:val="single" w:sz="4" w:space="0" w:color="auto"/>
              <w:right w:val="single" w:sz="4" w:space="0" w:color="000000"/>
            </w:tcBorders>
            <w:shd w:val="clear" w:color="auto" w:fill="B6DDE8" w:themeFill="accent5" w:themeFillTint="66"/>
            <w:noWrap/>
            <w:vAlign w:val="bottom"/>
            <w:hideMark/>
          </w:tcPr>
          <w:p w14:paraId="421C45E6" w14:textId="77777777" w:rsidR="00824B2A" w:rsidRPr="00346E78" w:rsidRDefault="00824B2A" w:rsidP="00464D5E">
            <w:pPr>
              <w:spacing w:after="0" w:line="240" w:lineRule="auto"/>
              <w:jc w:val="center"/>
              <w:rPr>
                <w:rFonts w:ascii="Cambria" w:eastAsia="Times New Roman" w:hAnsi="Cambria" w:cs="Helvetica"/>
                <w:color w:val="000000"/>
                <w:sz w:val="18"/>
                <w:szCs w:val="18"/>
                <w:lang w:eastAsia="ko-KR"/>
              </w:rPr>
            </w:pPr>
            <w:r w:rsidRPr="00346E78">
              <w:rPr>
                <w:rFonts w:ascii="Cambria" w:eastAsia="Times New Roman" w:hAnsi="Cambria" w:cs="Helvetica"/>
                <w:color w:val="000000"/>
                <w:sz w:val="18"/>
                <w:szCs w:val="18"/>
                <w:lang w:eastAsia="ko-KR"/>
              </w:rPr>
              <w:t>201</w:t>
            </w:r>
            <w:r w:rsidR="004D090E">
              <w:rPr>
                <w:rFonts w:ascii="Cambria" w:eastAsia="Times New Roman" w:hAnsi="Cambria" w:cs="Helvetica"/>
                <w:color w:val="000000"/>
                <w:sz w:val="18"/>
                <w:szCs w:val="18"/>
                <w:lang w:eastAsia="ko-KR"/>
              </w:rPr>
              <w:t>5</w:t>
            </w:r>
          </w:p>
        </w:tc>
        <w:tc>
          <w:tcPr>
            <w:tcW w:w="1800" w:type="dxa"/>
            <w:gridSpan w:val="2"/>
            <w:tcBorders>
              <w:top w:val="single" w:sz="4" w:space="0" w:color="auto"/>
              <w:left w:val="nil"/>
              <w:bottom w:val="single" w:sz="4" w:space="0" w:color="auto"/>
              <w:right w:val="single" w:sz="4" w:space="0" w:color="000000"/>
            </w:tcBorders>
            <w:shd w:val="clear" w:color="auto" w:fill="B6DDE8" w:themeFill="accent5" w:themeFillTint="66"/>
            <w:noWrap/>
            <w:vAlign w:val="bottom"/>
            <w:hideMark/>
          </w:tcPr>
          <w:p w14:paraId="51B25282" w14:textId="77777777" w:rsidR="00824B2A" w:rsidRPr="00346E78" w:rsidRDefault="00824B2A" w:rsidP="00464D5E">
            <w:pPr>
              <w:spacing w:after="0" w:line="240" w:lineRule="auto"/>
              <w:jc w:val="center"/>
              <w:rPr>
                <w:rFonts w:ascii="Cambria" w:eastAsia="Times New Roman" w:hAnsi="Cambria" w:cs="Helvetica"/>
                <w:color w:val="000000"/>
                <w:sz w:val="18"/>
                <w:szCs w:val="18"/>
                <w:lang w:eastAsia="ko-KR"/>
              </w:rPr>
            </w:pPr>
            <w:r w:rsidRPr="00346E78">
              <w:rPr>
                <w:rFonts w:ascii="Cambria" w:eastAsia="Times New Roman" w:hAnsi="Cambria" w:cs="Helvetica"/>
                <w:color w:val="000000"/>
                <w:sz w:val="18"/>
                <w:szCs w:val="18"/>
                <w:lang w:eastAsia="ko-KR"/>
              </w:rPr>
              <w:t>201</w:t>
            </w:r>
            <w:r w:rsidR="004D090E">
              <w:rPr>
                <w:rFonts w:ascii="Cambria" w:eastAsia="Times New Roman" w:hAnsi="Cambria" w:cs="Helvetica"/>
                <w:color w:val="000000"/>
                <w:sz w:val="18"/>
                <w:szCs w:val="18"/>
                <w:lang w:eastAsia="ko-KR"/>
              </w:rPr>
              <w:t>6</w:t>
            </w:r>
          </w:p>
        </w:tc>
        <w:tc>
          <w:tcPr>
            <w:tcW w:w="1800" w:type="dxa"/>
            <w:gridSpan w:val="2"/>
            <w:tcBorders>
              <w:top w:val="single" w:sz="4" w:space="0" w:color="auto"/>
              <w:left w:val="nil"/>
              <w:bottom w:val="single" w:sz="4" w:space="0" w:color="auto"/>
              <w:right w:val="single" w:sz="4" w:space="0" w:color="000000"/>
            </w:tcBorders>
            <w:shd w:val="clear" w:color="auto" w:fill="B6DDE8" w:themeFill="accent5" w:themeFillTint="66"/>
            <w:noWrap/>
            <w:vAlign w:val="bottom"/>
            <w:hideMark/>
          </w:tcPr>
          <w:p w14:paraId="411429C8" w14:textId="77777777" w:rsidR="00824B2A" w:rsidRPr="00346E78" w:rsidRDefault="00824B2A" w:rsidP="00464D5E">
            <w:pPr>
              <w:spacing w:after="0" w:line="240" w:lineRule="auto"/>
              <w:jc w:val="center"/>
              <w:rPr>
                <w:rFonts w:ascii="Cambria" w:eastAsia="Times New Roman" w:hAnsi="Cambria" w:cs="Helvetica"/>
                <w:color w:val="000000"/>
                <w:sz w:val="18"/>
                <w:szCs w:val="18"/>
                <w:lang w:eastAsia="ko-KR"/>
              </w:rPr>
            </w:pPr>
            <w:r w:rsidRPr="00346E78">
              <w:rPr>
                <w:rFonts w:ascii="Cambria" w:eastAsia="Times New Roman" w:hAnsi="Cambria" w:cs="Helvetica"/>
                <w:color w:val="000000"/>
                <w:sz w:val="18"/>
                <w:szCs w:val="18"/>
                <w:lang w:eastAsia="ko-KR"/>
              </w:rPr>
              <w:t>201</w:t>
            </w:r>
            <w:r w:rsidR="004D090E">
              <w:rPr>
                <w:rFonts w:ascii="Cambria" w:eastAsia="Times New Roman" w:hAnsi="Cambria" w:cs="Helvetica"/>
                <w:color w:val="000000"/>
                <w:sz w:val="18"/>
                <w:szCs w:val="18"/>
                <w:lang w:eastAsia="ko-KR"/>
              </w:rPr>
              <w:t>7</w:t>
            </w:r>
          </w:p>
        </w:tc>
        <w:tc>
          <w:tcPr>
            <w:tcW w:w="1782" w:type="dxa"/>
            <w:gridSpan w:val="2"/>
            <w:tcBorders>
              <w:top w:val="single" w:sz="4" w:space="0" w:color="auto"/>
              <w:left w:val="nil"/>
              <w:bottom w:val="single" w:sz="4" w:space="0" w:color="auto"/>
              <w:right w:val="single" w:sz="4" w:space="0" w:color="000000"/>
            </w:tcBorders>
            <w:shd w:val="clear" w:color="auto" w:fill="B6DDE8" w:themeFill="accent5" w:themeFillTint="66"/>
            <w:noWrap/>
            <w:vAlign w:val="bottom"/>
            <w:hideMark/>
          </w:tcPr>
          <w:p w14:paraId="3D93AE5B" w14:textId="77777777" w:rsidR="00824B2A" w:rsidRPr="00346E78" w:rsidRDefault="00824B2A" w:rsidP="00464D5E">
            <w:pPr>
              <w:spacing w:after="0" w:line="240" w:lineRule="auto"/>
              <w:jc w:val="center"/>
              <w:rPr>
                <w:rFonts w:ascii="Cambria" w:eastAsia="Times New Roman" w:hAnsi="Cambria" w:cs="Helvetica"/>
                <w:color w:val="000000"/>
                <w:sz w:val="18"/>
                <w:szCs w:val="18"/>
                <w:lang w:eastAsia="ko-KR"/>
              </w:rPr>
            </w:pPr>
            <w:r w:rsidRPr="00346E78">
              <w:rPr>
                <w:rFonts w:ascii="Cambria" w:eastAsia="Times New Roman" w:hAnsi="Cambria" w:cs="Helvetica"/>
                <w:color w:val="000000"/>
                <w:sz w:val="18"/>
                <w:szCs w:val="18"/>
                <w:lang w:eastAsia="ko-KR"/>
              </w:rPr>
              <w:t>201</w:t>
            </w:r>
            <w:r w:rsidR="004D090E">
              <w:rPr>
                <w:rFonts w:ascii="Cambria" w:eastAsia="Times New Roman" w:hAnsi="Cambria" w:cs="Helvetica"/>
                <w:color w:val="000000"/>
                <w:sz w:val="18"/>
                <w:szCs w:val="18"/>
                <w:lang w:eastAsia="ko-KR"/>
              </w:rPr>
              <w:t>8</w:t>
            </w:r>
          </w:p>
        </w:tc>
      </w:tr>
      <w:tr w:rsidR="00824B2A" w:rsidRPr="00346E78" w14:paraId="0FB19501" w14:textId="77777777" w:rsidTr="008D160C">
        <w:trPr>
          <w:trHeight w:val="280"/>
        </w:trPr>
        <w:tc>
          <w:tcPr>
            <w:tcW w:w="1957" w:type="dxa"/>
            <w:gridSpan w:val="2"/>
            <w:vMerge/>
            <w:tcBorders>
              <w:top w:val="single" w:sz="4" w:space="0" w:color="auto"/>
              <w:left w:val="single" w:sz="4" w:space="0" w:color="auto"/>
              <w:bottom w:val="single" w:sz="4" w:space="0" w:color="000000"/>
              <w:right w:val="single" w:sz="4" w:space="0" w:color="000000"/>
            </w:tcBorders>
            <w:shd w:val="clear" w:color="auto" w:fill="B6DDE8" w:themeFill="accent5" w:themeFillTint="66"/>
            <w:vAlign w:val="center"/>
            <w:hideMark/>
          </w:tcPr>
          <w:p w14:paraId="127AEBEE" w14:textId="77777777" w:rsidR="00824B2A" w:rsidRPr="00346E78" w:rsidRDefault="00824B2A" w:rsidP="00464D5E">
            <w:pPr>
              <w:spacing w:after="0" w:line="240" w:lineRule="auto"/>
              <w:rPr>
                <w:rFonts w:ascii="Cambria" w:eastAsia="Times New Roman" w:hAnsi="Cambria" w:cs="Helvetica"/>
                <w:sz w:val="18"/>
                <w:szCs w:val="18"/>
                <w:lang w:eastAsia="ko-KR"/>
              </w:rPr>
            </w:pPr>
          </w:p>
        </w:tc>
        <w:tc>
          <w:tcPr>
            <w:tcW w:w="1080" w:type="dxa"/>
            <w:tcBorders>
              <w:top w:val="nil"/>
              <w:left w:val="nil"/>
              <w:bottom w:val="single" w:sz="4" w:space="0" w:color="auto"/>
              <w:right w:val="single" w:sz="4" w:space="0" w:color="auto"/>
            </w:tcBorders>
            <w:shd w:val="clear" w:color="auto" w:fill="B6DDE8" w:themeFill="accent5" w:themeFillTint="66"/>
            <w:noWrap/>
            <w:vAlign w:val="center"/>
            <w:hideMark/>
          </w:tcPr>
          <w:p w14:paraId="10B9D059" w14:textId="77777777" w:rsidR="00824B2A" w:rsidRPr="00346E78" w:rsidRDefault="00824B2A" w:rsidP="00464D5E">
            <w:pPr>
              <w:spacing w:after="0" w:line="240" w:lineRule="auto"/>
              <w:jc w:val="center"/>
              <w:rPr>
                <w:rFonts w:ascii="Cambria" w:eastAsia="Times New Roman" w:hAnsi="Cambria" w:cs="Helvetica"/>
                <w:sz w:val="18"/>
                <w:szCs w:val="18"/>
                <w:lang w:eastAsia="ko-KR"/>
              </w:rPr>
            </w:pPr>
            <w:r>
              <w:rPr>
                <w:rFonts w:ascii="Cambria" w:eastAsia="Times New Roman" w:hAnsi="Cambria" w:cs="Helvetica"/>
                <w:sz w:val="18"/>
                <w:szCs w:val="18"/>
                <w:lang w:eastAsia="ko-KR"/>
              </w:rPr>
              <w:t>Amount ($000)</w:t>
            </w:r>
          </w:p>
        </w:tc>
        <w:tc>
          <w:tcPr>
            <w:tcW w:w="713" w:type="dxa"/>
            <w:tcBorders>
              <w:top w:val="nil"/>
              <w:left w:val="nil"/>
              <w:bottom w:val="single" w:sz="4" w:space="0" w:color="auto"/>
              <w:right w:val="single" w:sz="4" w:space="0" w:color="auto"/>
            </w:tcBorders>
            <w:shd w:val="clear" w:color="auto" w:fill="B6DDE8" w:themeFill="accent5" w:themeFillTint="66"/>
            <w:noWrap/>
            <w:vAlign w:val="center"/>
            <w:hideMark/>
          </w:tcPr>
          <w:p w14:paraId="437A935D" w14:textId="77777777" w:rsidR="00824B2A" w:rsidRPr="00346E78" w:rsidRDefault="00824B2A" w:rsidP="00464D5E">
            <w:pPr>
              <w:spacing w:after="0" w:line="240" w:lineRule="auto"/>
              <w:jc w:val="center"/>
              <w:rPr>
                <w:rFonts w:ascii="Cambria" w:eastAsia="Times New Roman" w:hAnsi="Cambria" w:cs="Helvetica"/>
                <w:sz w:val="18"/>
                <w:szCs w:val="18"/>
                <w:lang w:eastAsia="ko-KR"/>
              </w:rPr>
            </w:pPr>
            <w:r w:rsidRPr="00346E78">
              <w:rPr>
                <w:rFonts w:ascii="Cambria" w:eastAsia="Times New Roman" w:hAnsi="Cambria" w:cs="Helvetica"/>
                <w:sz w:val="18"/>
                <w:szCs w:val="18"/>
                <w:lang w:eastAsia="ko-KR"/>
              </w:rPr>
              <w:t>Count</w:t>
            </w:r>
          </w:p>
        </w:tc>
        <w:tc>
          <w:tcPr>
            <w:tcW w:w="1087" w:type="dxa"/>
            <w:tcBorders>
              <w:top w:val="nil"/>
              <w:left w:val="nil"/>
              <w:bottom w:val="single" w:sz="4" w:space="0" w:color="auto"/>
              <w:right w:val="single" w:sz="4" w:space="0" w:color="auto"/>
            </w:tcBorders>
            <w:shd w:val="clear" w:color="auto" w:fill="B6DDE8" w:themeFill="accent5" w:themeFillTint="66"/>
            <w:noWrap/>
            <w:vAlign w:val="center"/>
            <w:hideMark/>
          </w:tcPr>
          <w:p w14:paraId="507436FE" w14:textId="77777777" w:rsidR="00824B2A" w:rsidRPr="00346E78" w:rsidRDefault="00824B2A" w:rsidP="00464D5E">
            <w:pPr>
              <w:spacing w:after="0" w:line="240" w:lineRule="auto"/>
              <w:jc w:val="center"/>
              <w:rPr>
                <w:rFonts w:ascii="Cambria" w:eastAsia="Times New Roman" w:hAnsi="Cambria" w:cs="Helvetica"/>
                <w:sz w:val="18"/>
                <w:szCs w:val="18"/>
                <w:lang w:eastAsia="ko-KR"/>
              </w:rPr>
            </w:pPr>
            <w:r>
              <w:rPr>
                <w:rFonts w:ascii="Cambria" w:eastAsia="Times New Roman" w:hAnsi="Cambria" w:cs="Helvetica"/>
                <w:sz w:val="18"/>
                <w:szCs w:val="18"/>
                <w:lang w:eastAsia="ko-KR"/>
              </w:rPr>
              <w:t>Amount ($000)</w:t>
            </w:r>
          </w:p>
        </w:tc>
        <w:tc>
          <w:tcPr>
            <w:tcW w:w="713" w:type="dxa"/>
            <w:tcBorders>
              <w:top w:val="nil"/>
              <w:left w:val="nil"/>
              <w:bottom w:val="single" w:sz="4" w:space="0" w:color="auto"/>
              <w:right w:val="single" w:sz="4" w:space="0" w:color="auto"/>
            </w:tcBorders>
            <w:shd w:val="clear" w:color="auto" w:fill="B6DDE8" w:themeFill="accent5" w:themeFillTint="66"/>
            <w:noWrap/>
            <w:vAlign w:val="center"/>
            <w:hideMark/>
          </w:tcPr>
          <w:p w14:paraId="156E90CF" w14:textId="77777777" w:rsidR="00824B2A" w:rsidRPr="00346E78" w:rsidRDefault="00824B2A" w:rsidP="00464D5E">
            <w:pPr>
              <w:spacing w:after="0" w:line="240" w:lineRule="auto"/>
              <w:jc w:val="center"/>
              <w:rPr>
                <w:rFonts w:ascii="Cambria" w:eastAsia="Times New Roman" w:hAnsi="Cambria" w:cs="Helvetica"/>
                <w:sz w:val="18"/>
                <w:szCs w:val="18"/>
                <w:lang w:eastAsia="ko-KR"/>
              </w:rPr>
            </w:pPr>
            <w:r w:rsidRPr="00346E78">
              <w:rPr>
                <w:rFonts w:ascii="Cambria" w:eastAsia="Times New Roman" w:hAnsi="Cambria" w:cs="Helvetica"/>
                <w:sz w:val="18"/>
                <w:szCs w:val="18"/>
                <w:lang w:eastAsia="ko-KR"/>
              </w:rPr>
              <w:t>Count</w:t>
            </w:r>
          </w:p>
        </w:tc>
        <w:tc>
          <w:tcPr>
            <w:tcW w:w="1087" w:type="dxa"/>
            <w:tcBorders>
              <w:top w:val="nil"/>
              <w:left w:val="nil"/>
              <w:bottom w:val="single" w:sz="4" w:space="0" w:color="auto"/>
              <w:right w:val="single" w:sz="4" w:space="0" w:color="auto"/>
            </w:tcBorders>
            <w:shd w:val="clear" w:color="auto" w:fill="B6DDE8" w:themeFill="accent5" w:themeFillTint="66"/>
            <w:noWrap/>
            <w:vAlign w:val="center"/>
            <w:hideMark/>
          </w:tcPr>
          <w:p w14:paraId="4DB60334" w14:textId="77777777" w:rsidR="00824B2A" w:rsidRPr="00346E78" w:rsidRDefault="00824B2A" w:rsidP="00464D5E">
            <w:pPr>
              <w:spacing w:after="0" w:line="240" w:lineRule="auto"/>
              <w:jc w:val="center"/>
              <w:rPr>
                <w:rFonts w:ascii="Cambria" w:eastAsia="Times New Roman" w:hAnsi="Cambria" w:cs="Helvetica"/>
                <w:sz w:val="18"/>
                <w:szCs w:val="18"/>
                <w:lang w:eastAsia="ko-KR"/>
              </w:rPr>
            </w:pPr>
            <w:r>
              <w:rPr>
                <w:rFonts w:ascii="Cambria" w:eastAsia="Times New Roman" w:hAnsi="Cambria" w:cs="Helvetica"/>
                <w:sz w:val="18"/>
                <w:szCs w:val="18"/>
                <w:lang w:eastAsia="ko-KR"/>
              </w:rPr>
              <w:t>Amount ($000)</w:t>
            </w:r>
          </w:p>
        </w:tc>
        <w:tc>
          <w:tcPr>
            <w:tcW w:w="713" w:type="dxa"/>
            <w:tcBorders>
              <w:top w:val="nil"/>
              <w:left w:val="nil"/>
              <w:bottom w:val="single" w:sz="4" w:space="0" w:color="auto"/>
              <w:right w:val="single" w:sz="4" w:space="0" w:color="auto"/>
            </w:tcBorders>
            <w:shd w:val="clear" w:color="auto" w:fill="B6DDE8" w:themeFill="accent5" w:themeFillTint="66"/>
            <w:noWrap/>
            <w:vAlign w:val="center"/>
            <w:hideMark/>
          </w:tcPr>
          <w:p w14:paraId="5AA5CFF5" w14:textId="77777777" w:rsidR="00824B2A" w:rsidRPr="00346E78" w:rsidRDefault="00824B2A" w:rsidP="00464D5E">
            <w:pPr>
              <w:spacing w:after="0" w:line="240" w:lineRule="auto"/>
              <w:jc w:val="center"/>
              <w:rPr>
                <w:rFonts w:ascii="Cambria" w:eastAsia="Times New Roman" w:hAnsi="Cambria" w:cs="Helvetica"/>
                <w:sz w:val="18"/>
                <w:szCs w:val="18"/>
                <w:lang w:eastAsia="ko-KR"/>
              </w:rPr>
            </w:pPr>
            <w:r w:rsidRPr="00346E78">
              <w:rPr>
                <w:rFonts w:ascii="Cambria" w:eastAsia="Times New Roman" w:hAnsi="Cambria" w:cs="Helvetica"/>
                <w:sz w:val="18"/>
                <w:szCs w:val="18"/>
                <w:lang w:eastAsia="ko-KR"/>
              </w:rPr>
              <w:t>Count</w:t>
            </w:r>
          </w:p>
        </w:tc>
        <w:tc>
          <w:tcPr>
            <w:tcW w:w="997" w:type="dxa"/>
            <w:tcBorders>
              <w:top w:val="nil"/>
              <w:left w:val="nil"/>
              <w:bottom w:val="single" w:sz="4" w:space="0" w:color="auto"/>
              <w:right w:val="single" w:sz="4" w:space="0" w:color="auto"/>
            </w:tcBorders>
            <w:shd w:val="clear" w:color="auto" w:fill="B6DDE8" w:themeFill="accent5" w:themeFillTint="66"/>
            <w:noWrap/>
            <w:vAlign w:val="center"/>
            <w:hideMark/>
          </w:tcPr>
          <w:p w14:paraId="2627E3B0" w14:textId="77777777" w:rsidR="00824B2A" w:rsidRPr="00346E78" w:rsidRDefault="00824B2A" w:rsidP="00464D5E">
            <w:pPr>
              <w:spacing w:after="0" w:line="240" w:lineRule="auto"/>
              <w:jc w:val="center"/>
              <w:rPr>
                <w:rFonts w:ascii="Cambria" w:eastAsia="Times New Roman" w:hAnsi="Cambria" w:cs="Helvetica"/>
                <w:sz w:val="18"/>
                <w:szCs w:val="18"/>
                <w:lang w:eastAsia="ko-KR"/>
              </w:rPr>
            </w:pPr>
            <w:r>
              <w:rPr>
                <w:rFonts w:ascii="Cambria" w:eastAsia="Times New Roman" w:hAnsi="Cambria" w:cs="Helvetica"/>
                <w:sz w:val="18"/>
                <w:szCs w:val="18"/>
                <w:lang w:eastAsia="ko-KR"/>
              </w:rPr>
              <w:t>Amount ($000)</w:t>
            </w:r>
          </w:p>
        </w:tc>
        <w:tc>
          <w:tcPr>
            <w:tcW w:w="785" w:type="dxa"/>
            <w:tcBorders>
              <w:top w:val="nil"/>
              <w:left w:val="nil"/>
              <w:bottom w:val="single" w:sz="4" w:space="0" w:color="auto"/>
              <w:right w:val="single" w:sz="4" w:space="0" w:color="auto"/>
            </w:tcBorders>
            <w:shd w:val="clear" w:color="auto" w:fill="B6DDE8" w:themeFill="accent5" w:themeFillTint="66"/>
            <w:noWrap/>
            <w:vAlign w:val="center"/>
            <w:hideMark/>
          </w:tcPr>
          <w:p w14:paraId="6356B02D" w14:textId="77777777" w:rsidR="00824B2A" w:rsidRPr="00346E78" w:rsidRDefault="00824B2A" w:rsidP="00464D5E">
            <w:pPr>
              <w:spacing w:after="0" w:line="240" w:lineRule="auto"/>
              <w:jc w:val="center"/>
              <w:rPr>
                <w:rFonts w:ascii="Cambria" w:eastAsia="Times New Roman" w:hAnsi="Cambria" w:cs="Helvetica"/>
                <w:sz w:val="18"/>
                <w:szCs w:val="18"/>
                <w:lang w:eastAsia="ko-KR"/>
              </w:rPr>
            </w:pPr>
            <w:r w:rsidRPr="00346E78">
              <w:rPr>
                <w:rFonts w:ascii="Cambria" w:eastAsia="Times New Roman" w:hAnsi="Cambria" w:cs="Helvetica"/>
                <w:sz w:val="18"/>
                <w:szCs w:val="18"/>
                <w:lang w:eastAsia="ko-KR"/>
              </w:rPr>
              <w:t>Count</w:t>
            </w:r>
          </w:p>
        </w:tc>
      </w:tr>
      <w:tr w:rsidR="004D090E" w:rsidRPr="00346E78" w14:paraId="7D2BD076" w14:textId="77777777" w:rsidTr="008D160C">
        <w:trPr>
          <w:trHeight w:val="570"/>
        </w:trPr>
        <w:tc>
          <w:tcPr>
            <w:tcW w:w="886" w:type="dxa"/>
            <w:vMerge w:val="restart"/>
            <w:tcBorders>
              <w:top w:val="nil"/>
              <w:left w:val="single" w:sz="4" w:space="0" w:color="auto"/>
              <w:bottom w:val="single" w:sz="4" w:space="0" w:color="000000"/>
              <w:right w:val="single" w:sz="4" w:space="0" w:color="auto"/>
            </w:tcBorders>
            <w:shd w:val="clear" w:color="auto" w:fill="auto"/>
            <w:vAlign w:val="center"/>
            <w:hideMark/>
          </w:tcPr>
          <w:p w14:paraId="2AADF4FF" w14:textId="77777777" w:rsidR="004D090E" w:rsidRPr="00346E78" w:rsidRDefault="004D090E" w:rsidP="004D090E">
            <w:pPr>
              <w:spacing w:after="0" w:line="240" w:lineRule="auto"/>
              <w:jc w:val="center"/>
              <w:rPr>
                <w:rFonts w:ascii="Cambria" w:eastAsia="Times New Roman" w:hAnsi="Cambria" w:cs="Helvetica"/>
                <w:sz w:val="18"/>
                <w:szCs w:val="18"/>
                <w:lang w:eastAsia="ko-KR"/>
              </w:rPr>
            </w:pPr>
            <w:r w:rsidRPr="00346E78">
              <w:rPr>
                <w:rFonts w:ascii="Cambria" w:eastAsia="Times New Roman" w:hAnsi="Cambria" w:cs="Helvetica"/>
                <w:sz w:val="18"/>
                <w:szCs w:val="18"/>
                <w:lang w:eastAsia="ko-KR"/>
              </w:rPr>
              <w:t>Corporate Business Tax</w:t>
            </w:r>
          </w:p>
        </w:tc>
        <w:tc>
          <w:tcPr>
            <w:tcW w:w="1071" w:type="dxa"/>
            <w:tcBorders>
              <w:top w:val="nil"/>
              <w:left w:val="nil"/>
              <w:bottom w:val="single" w:sz="4" w:space="0" w:color="auto"/>
              <w:right w:val="single" w:sz="4" w:space="0" w:color="auto"/>
            </w:tcBorders>
            <w:shd w:val="clear" w:color="auto" w:fill="auto"/>
            <w:vAlign w:val="center"/>
            <w:hideMark/>
          </w:tcPr>
          <w:p w14:paraId="6E9CA5DD" w14:textId="77777777" w:rsidR="004D090E" w:rsidRPr="00346E78" w:rsidRDefault="004D090E" w:rsidP="004D090E">
            <w:pPr>
              <w:spacing w:after="0" w:line="240" w:lineRule="auto"/>
              <w:jc w:val="center"/>
              <w:rPr>
                <w:rFonts w:ascii="Cambria" w:eastAsia="Times New Roman" w:hAnsi="Cambria" w:cs="Helvetica"/>
                <w:sz w:val="18"/>
                <w:szCs w:val="18"/>
                <w:lang w:eastAsia="ko-KR"/>
              </w:rPr>
            </w:pPr>
            <w:r w:rsidRPr="00346E78">
              <w:rPr>
                <w:rFonts w:ascii="Cambria" w:eastAsia="Times New Roman" w:hAnsi="Cambria" w:cs="Helvetica"/>
                <w:sz w:val="18"/>
                <w:szCs w:val="18"/>
                <w:lang w:eastAsia="ko-KR"/>
              </w:rPr>
              <w:t xml:space="preserve">Available </w:t>
            </w:r>
            <w:r w:rsidR="00502C64">
              <w:rPr>
                <w:rFonts w:ascii="Cambria" w:eastAsia="Times New Roman" w:hAnsi="Cambria" w:cs="Helvetica"/>
                <w:sz w:val="18"/>
                <w:szCs w:val="18"/>
                <w:lang w:eastAsia="ko-KR"/>
              </w:rPr>
              <w:t>C</w:t>
            </w:r>
            <w:r>
              <w:rPr>
                <w:rFonts w:ascii="Cambria" w:eastAsia="Times New Roman" w:hAnsi="Cambria" w:cs="Helvetica"/>
                <w:sz w:val="18"/>
                <w:szCs w:val="18"/>
                <w:lang w:eastAsia="ko-KR"/>
              </w:rPr>
              <w:t>redit</w:t>
            </w:r>
            <w:r w:rsidR="00502C64">
              <w:rPr>
                <w:rFonts w:ascii="Cambria" w:eastAsia="Times New Roman" w:hAnsi="Cambria" w:cs="Helvetica"/>
                <w:sz w:val="18"/>
                <w:szCs w:val="18"/>
                <w:lang w:eastAsia="ko-KR"/>
              </w:rPr>
              <w:t xml:space="preserve"> </w:t>
            </w:r>
            <w:r w:rsidRPr="00346E78">
              <w:rPr>
                <w:rFonts w:ascii="Cambria" w:eastAsia="Times New Roman" w:hAnsi="Cambria" w:cs="Helvetica"/>
                <w:sz w:val="18"/>
                <w:szCs w:val="18"/>
                <w:lang w:eastAsia="ko-KR"/>
              </w:rPr>
              <w:t>-</w:t>
            </w:r>
            <w:r w:rsidR="00502C64">
              <w:rPr>
                <w:rFonts w:ascii="Cambria" w:eastAsia="Times New Roman" w:hAnsi="Cambria" w:cs="Helvetica"/>
                <w:sz w:val="18"/>
                <w:szCs w:val="18"/>
                <w:lang w:eastAsia="ko-KR"/>
              </w:rPr>
              <w:t xml:space="preserve"> </w:t>
            </w:r>
            <w:r w:rsidRPr="00346E78">
              <w:rPr>
                <w:rFonts w:ascii="Cambria" w:eastAsia="Times New Roman" w:hAnsi="Cambria" w:cs="Helvetica"/>
                <w:sz w:val="18"/>
                <w:szCs w:val="18"/>
                <w:lang w:eastAsia="ko-KR"/>
              </w:rPr>
              <w:t>A</w:t>
            </w:r>
          </w:p>
        </w:tc>
        <w:tc>
          <w:tcPr>
            <w:tcW w:w="1080" w:type="dxa"/>
            <w:tcBorders>
              <w:top w:val="nil"/>
              <w:left w:val="nil"/>
              <w:bottom w:val="single" w:sz="4" w:space="0" w:color="auto"/>
              <w:right w:val="single" w:sz="4" w:space="0" w:color="auto"/>
            </w:tcBorders>
            <w:shd w:val="clear" w:color="auto" w:fill="auto"/>
            <w:noWrap/>
            <w:vAlign w:val="center"/>
            <w:hideMark/>
          </w:tcPr>
          <w:p w14:paraId="0A93F737" w14:textId="77777777" w:rsidR="004D090E" w:rsidRPr="00346E78" w:rsidRDefault="004D090E" w:rsidP="004D090E">
            <w:pPr>
              <w:spacing w:after="0" w:line="240" w:lineRule="auto"/>
              <w:jc w:val="center"/>
              <w:rPr>
                <w:rFonts w:ascii="Cambria" w:eastAsia="Times New Roman" w:hAnsi="Cambria" w:cs="Helvetica"/>
                <w:sz w:val="18"/>
                <w:szCs w:val="18"/>
                <w:lang w:eastAsia="ko-KR"/>
              </w:rPr>
            </w:pPr>
            <w:r>
              <w:rPr>
                <w:rFonts w:ascii="Cambria" w:eastAsia="Times New Roman" w:hAnsi="Cambria" w:cs="Helvetica"/>
                <w:sz w:val="18"/>
                <w:szCs w:val="18"/>
                <w:lang w:eastAsia="ko-KR"/>
              </w:rPr>
              <w:t>$</w:t>
            </w:r>
            <w:r w:rsidRPr="00346E78">
              <w:rPr>
                <w:rFonts w:ascii="Cambria" w:eastAsia="Times New Roman" w:hAnsi="Cambria" w:cs="Helvetica"/>
                <w:sz w:val="18"/>
                <w:szCs w:val="18"/>
                <w:lang w:eastAsia="ko-KR"/>
              </w:rPr>
              <w:t>114,070</w:t>
            </w:r>
          </w:p>
        </w:tc>
        <w:tc>
          <w:tcPr>
            <w:tcW w:w="713" w:type="dxa"/>
            <w:tcBorders>
              <w:top w:val="nil"/>
              <w:left w:val="nil"/>
              <w:bottom w:val="single" w:sz="4" w:space="0" w:color="auto"/>
              <w:right w:val="single" w:sz="4" w:space="0" w:color="auto"/>
            </w:tcBorders>
            <w:shd w:val="clear" w:color="auto" w:fill="auto"/>
            <w:noWrap/>
            <w:vAlign w:val="center"/>
            <w:hideMark/>
          </w:tcPr>
          <w:p w14:paraId="697FAA0E" w14:textId="77777777" w:rsidR="004D090E" w:rsidRPr="00346E78" w:rsidRDefault="004D090E" w:rsidP="004D090E">
            <w:pPr>
              <w:spacing w:after="0" w:line="240" w:lineRule="auto"/>
              <w:jc w:val="center"/>
              <w:rPr>
                <w:rFonts w:ascii="Cambria" w:eastAsia="Times New Roman" w:hAnsi="Cambria" w:cs="Helvetica"/>
                <w:sz w:val="18"/>
                <w:szCs w:val="18"/>
                <w:lang w:eastAsia="ko-KR"/>
              </w:rPr>
            </w:pPr>
            <w:r w:rsidRPr="00346E78">
              <w:rPr>
                <w:rFonts w:ascii="Cambria" w:eastAsia="Times New Roman" w:hAnsi="Cambria" w:cs="Helvetica"/>
                <w:sz w:val="18"/>
                <w:szCs w:val="18"/>
                <w:lang w:eastAsia="ko-KR"/>
              </w:rPr>
              <w:t>369</w:t>
            </w:r>
          </w:p>
        </w:tc>
        <w:tc>
          <w:tcPr>
            <w:tcW w:w="1087" w:type="dxa"/>
            <w:tcBorders>
              <w:top w:val="nil"/>
              <w:left w:val="nil"/>
              <w:bottom w:val="single" w:sz="4" w:space="0" w:color="auto"/>
              <w:right w:val="single" w:sz="4" w:space="0" w:color="auto"/>
            </w:tcBorders>
            <w:shd w:val="clear" w:color="auto" w:fill="auto"/>
            <w:noWrap/>
            <w:vAlign w:val="center"/>
            <w:hideMark/>
          </w:tcPr>
          <w:p w14:paraId="61ABDA50" w14:textId="77777777" w:rsidR="004D090E" w:rsidRPr="00346E78" w:rsidRDefault="004D090E" w:rsidP="004D090E">
            <w:pPr>
              <w:spacing w:after="0" w:line="240" w:lineRule="auto"/>
              <w:jc w:val="center"/>
              <w:rPr>
                <w:rFonts w:ascii="Cambria" w:eastAsia="Times New Roman" w:hAnsi="Cambria" w:cs="Helvetica"/>
                <w:sz w:val="18"/>
                <w:szCs w:val="18"/>
                <w:lang w:eastAsia="ko-KR"/>
              </w:rPr>
            </w:pPr>
            <w:r>
              <w:rPr>
                <w:rFonts w:ascii="Cambria" w:eastAsia="Times New Roman" w:hAnsi="Cambria" w:cs="Helvetica"/>
                <w:sz w:val="18"/>
                <w:szCs w:val="18"/>
                <w:lang w:eastAsia="ko-KR"/>
              </w:rPr>
              <w:t>$</w:t>
            </w:r>
            <w:r w:rsidRPr="00346E78">
              <w:rPr>
                <w:rFonts w:ascii="Cambria" w:eastAsia="Times New Roman" w:hAnsi="Cambria" w:cs="Helvetica"/>
                <w:sz w:val="18"/>
                <w:szCs w:val="18"/>
                <w:lang w:eastAsia="ko-KR"/>
              </w:rPr>
              <w:t>107,463</w:t>
            </w:r>
          </w:p>
        </w:tc>
        <w:tc>
          <w:tcPr>
            <w:tcW w:w="713" w:type="dxa"/>
            <w:tcBorders>
              <w:top w:val="nil"/>
              <w:left w:val="nil"/>
              <w:bottom w:val="single" w:sz="4" w:space="0" w:color="auto"/>
              <w:right w:val="single" w:sz="4" w:space="0" w:color="auto"/>
            </w:tcBorders>
            <w:shd w:val="clear" w:color="auto" w:fill="auto"/>
            <w:noWrap/>
            <w:vAlign w:val="center"/>
            <w:hideMark/>
          </w:tcPr>
          <w:p w14:paraId="18E3193D" w14:textId="77777777" w:rsidR="004D090E" w:rsidRPr="00346E78" w:rsidRDefault="004D090E" w:rsidP="004D090E">
            <w:pPr>
              <w:spacing w:after="0" w:line="240" w:lineRule="auto"/>
              <w:jc w:val="center"/>
              <w:rPr>
                <w:rFonts w:ascii="Cambria" w:eastAsia="Times New Roman" w:hAnsi="Cambria" w:cs="Helvetica"/>
                <w:sz w:val="18"/>
                <w:szCs w:val="18"/>
                <w:lang w:eastAsia="ko-KR"/>
              </w:rPr>
            </w:pPr>
            <w:r w:rsidRPr="00346E78">
              <w:rPr>
                <w:rFonts w:ascii="Cambria" w:eastAsia="Times New Roman" w:hAnsi="Cambria" w:cs="Helvetica"/>
                <w:sz w:val="18"/>
                <w:szCs w:val="18"/>
                <w:lang w:eastAsia="ko-KR"/>
              </w:rPr>
              <w:t>322</w:t>
            </w:r>
          </w:p>
        </w:tc>
        <w:tc>
          <w:tcPr>
            <w:tcW w:w="1087" w:type="dxa"/>
            <w:tcBorders>
              <w:top w:val="nil"/>
              <w:left w:val="nil"/>
              <w:bottom w:val="single" w:sz="4" w:space="0" w:color="auto"/>
              <w:right w:val="single" w:sz="4" w:space="0" w:color="auto"/>
            </w:tcBorders>
            <w:shd w:val="clear" w:color="auto" w:fill="auto"/>
            <w:noWrap/>
            <w:vAlign w:val="center"/>
            <w:hideMark/>
          </w:tcPr>
          <w:p w14:paraId="5B4BFB65" w14:textId="77777777" w:rsidR="004D090E" w:rsidRPr="00346E78" w:rsidRDefault="004D090E" w:rsidP="004D090E">
            <w:pPr>
              <w:spacing w:after="0" w:line="240" w:lineRule="auto"/>
              <w:jc w:val="center"/>
              <w:rPr>
                <w:rFonts w:ascii="Cambria" w:eastAsia="Times New Roman" w:hAnsi="Cambria" w:cs="Helvetica"/>
                <w:sz w:val="18"/>
                <w:szCs w:val="18"/>
                <w:lang w:eastAsia="ko-KR"/>
              </w:rPr>
            </w:pPr>
            <w:r>
              <w:rPr>
                <w:rFonts w:ascii="Cambria" w:eastAsia="Times New Roman" w:hAnsi="Cambria" w:cs="Helvetica"/>
                <w:sz w:val="18"/>
                <w:szCs w:val="18"/>
                <w:lang w:eastAsia="ko-KR"/>
              </w:rPr>
              <w:t>$</w:t>
            </w:r>
            <w:r w:rsidRPr="00346E78">
              <w:rPr>
                <w:rFonts w:ascii="Cambria" w:eastAsia="Times New Roman" w:hAnsi="Cambria" w:cs="Helvetica"/>
                <w:sz w:val="18"/>
                <w:szCs w:val="18"/>
                <w:lang w:eastAsia="ko-KR"/>
              </w:rPr>
              <w:t>62,063</w:t>
            </w:r>
          </w:p>
        </w:tc>
        <w:tc>
          <w:tcPr>
            <w:tcW w:w="713" w:type="dxa"/>
            <w:tcBorders>
              <w:top w:val="nil"/>
              <w:left w:val="nil"/>
              <w:bottom w:val="single" w:sz="4" w:space="0" w:color="auto"/>
              <w:right w:val="single" w:sz="4" w:space="0" w:color="auto"/>
            </w:tcBorders>
            <w:shd w:val="clear" w:color="auto" w:fill="auto"/>
            <w:noWrap/>
            <w:vAlign w:val="center"/>
            <w:hideMark/>
          </w:tcPr>
          <w:p w14:paraId="0CF8416A" w14:textId="77777777" w:rsidR="004D090E" w:rsidRPr="00346E78" w:rsidRDefault="004D090E" w:rsidP="004D090E">
            <w:pPr>
              <w:spacing w:after="0" w:line="240" w:lineRule="auto"/>
              <w:jc w:val="center"/>
              <w:rPr>
                <w:rFonts w:ascii="Cambria" w:eastAsia="Times New Roman" w:hAnsi="Cambria" w:cs="Helvetica"/>
                <w:sz w:val="18"/>
                <w:szCs w:val="18"/>
                <w:lang w:eastAsia="ko-KR"/>
              </w:rPr>
            </w:pPr>
            <w:r w:rsidRPr="00346E78">
              <w:rPr>
                <w:rFonts w:ascii="Cambria" w:eastAsia="Times New Roman" w:hAnsi="Cambria" w:cs="Helvetica"/>
                <w:sz w:val="18"/>
                <w:szCs w:val="18"/>
                <w:lang w:eastAsia="ko-KR"/>
              </w:rPr>
              <w:t>289</w:t>
            </w:r>
          </w:p>
        </w:tc>
        <w:tc>
          <w:tcPr>
            <w:tcW w:w="997" w:type="dxa"/>
            <w:tcBorders>
              <w:top w:val="nil"/>
              <w:left w:val="nil"/>
              <w:bottom w:val="single" w:sz="4" w:space="0" w:color="auto"/>
              <w:right w:val="single" w:sz="4" w:space="0" w:color="auto"/>
            </w:tcBorders>
            <w:shd w:val="clear" w:color="auto" w:fill="auto"/>
            <w:noWrap/>
            <w:vAlign w:val="center"/>
            <w:hideMark/>
          </w:tcPr>
          <w:p w14:paraId="2AF22C51" w14:textId="77777777" w:rsidR="004D090E" w:rsidRPr="00346E78" w:rsidRDefault="004D090E" w:rsidP="004D090E">
            <w:pPr>
              <w:spacing w:after="0" w:line="240" w:lineRule="auto"/>
              <w:jc w:val="center"/>
              <w:rPr>
                <w:rFonts w:ascii="Cambria" w:eastAsia="Times New Roman" w:hAnsi="Cambria" w:cs="Helvetica"/>
                <w:sz w:val="18"/>
                <w:szCs w:val="18"/>
                <w:lang w:eastAsia="ko-KR"/>
              </w:rPr>
            </w:pPr>
            <w:r>
              <w:rPr>
                <w:rFonts w:ascii="Cambria" w:eastAsia="Times New Roman" w:hAnsi="Cambria" w:cs="Helvetica"/>
                <w:sz w:val="18"/>
                <w:szCs w:val="18"/>
                <w:lang w:eastAsia="ko-KR"/>
              </w:rPr>
              <w:t>$</w:t>
            </w:r>
            <w:r w:rsidRPr="00346E78">
              <w:rPr>
                <w:rFonts w:ascii="Cambria" w:eastAsia="Times New Roman" w:hAnsi="Cambria" w:cs="Helvetica"/>
                <w:sz w:val="18"/>
                <w:szCs w:val="18"/>
                <w:lang w:eastAsia="ko-KR"/>
              </w:rPr>
              <w:t>23,191</w:t>
            </w:r>
          </w:p>
        </w:tc>
        <w:tc>
          <w:tcPr>
            <w:tcW w:w="785" w:type="dxa"/>
            <w:tcBorders>
              <w:top w:val="nil"/>
              <w:left w:val="nil"/>
              <w:bottom w:val="single" w:sz="4" w:space="0" w:color="auto"/>
              <w:right w:val="single" w:sz="4" w:space="0" w:color="auto"/>
            </w:tcBorders>
            <w:shd w:val="clear" w:color="auto" w:fill="auto"/>
            <w:noWrap/>
            <w:vAlign w:val="center"/>
            <w:hideMark/>
          </w:tcPr>
          <w:p w14:paraId="279AEABB" w14:textId="77777777" w:rsidR="004D090E" w:rsidRPr="00346E78" w:rsidRDefault="004D090E" w:rsidP="004D090E">
            <w:pPr>
              <w:spacing w:after="0" w:line="240" w:lineRule="auto"/>
              <w:jc w:val="center"/>
              <w:rPr>
                <w:rFonts w:ascii="Cambria" w:eastAsia="Times New Roman" w:hAnsi="Cambria" w:cs="Helvetica"/>
                <w:sz w:val="18"/>
                <w:szCs w:val="18"/>
                <w:lang w:eastAsia="ko-KR"/>
              </w:rPr>
            </w:pPr>
            <w:r w:rsidRPr="00346E78">
              <w:rPr>
                <w:rFonts w:ascii="Cambria" w:eastAsia="Times New Roman" w:hAnsi="Cambria" w:cs="Helvetica"/>
                <w:sz w:val="18"/>
                <w:szCs w:val="18"/>
                <w:lang w:eastAsia="ko-KR"/>
              </w:rPr>
              <w:t>202</w:t>
            </w:r>
          </w:p>
        </w:tc>
      </w:tr>
      <w:tr w:rsidR="004D090E" w:rsidRPr="00346E78" w14:paraId="4D26334F" w14:textId="77777777" w:rsidTr="008D160C">
        <w:trPr>
          <w:trHeight w:val="480"/>
        </w:trPr>
        <w:tc>
          <w:tcPr>
            <w:tcW w:w="886" w:type="dxa"/>
            <w:vMerge/>
            <w:tcBorders>
              <w:top w:val="nil"/>
              <w:left w:val="single" w:sz="4" w:space="0" w:color="auto"/>
              <w:bottom w:val="single" w:sz="4" w:space="0" w:color="000000"/>
              <w:right w:val="single" w:sz="4" w:space="0" w:color="auto"/>
            </w:tcBorders>
            <w:vAlign w:val="center"/>
            <w:hideMark/>
          </w:tcPr>
          <w:p w14:paraId="14E9387B" w14:textId="77777777" w:rsidR="004D090E" w:rsidRPr="00346E78" w:rsidRDefault="004D090E" w:rsidP="004D090E">
            <w:pPr>
              <w:spacing w:after="0" w:line="240" w:lineRule="auto"/>
              <w:rPr>
                <w:rFonts w:ascii="Cambria" w:eastAsia="Times New Roman" w:hAnsi="Cambria" w:cs="Helvetica"/>
                <w:sz w:val="18"/>
                <w:szCs w:val="18"/>
                <w:lang w:eastAsia="ko-KR"/>
              </w:rPr>
            </w:pPr>
          </w:p>
        </w:tc>
        <w:tc>
          <w:tcPr>
            <w:tcW w:w="1071" w:type="dxa"/>
            <w:tcBorders>
              <w:top w:val="single" w:sz="4" w:space="0" w:color="auto"/>
              <w:left w:val="nil"/>
              <w:bottom w:val="single" w:sz="4" w:space="0" w:color="auto"/>
              <w:right w:val="single" w:sz="4" w:space="0" w:color="auto"/>
            </w:tcBorders>
            <w:shd w:val="clear" w:color="000000" w:fill="auto"/>
            <w:vAlign w:val="center"/>
            <w:hideMark/>
          </w:tcPr>
          <w:p w14:paraId="522872AA" w14:textId="77777777" w:rsidR="004D090E" w:rsidRPr="004A28EA" w:rsidRDefault="004D090E" w:rsidP="004D090E">
            <w:pPr>
              <w:spacing w:after="0" w:line="240" w:lineRule="auto"/>
              <w:jc w:val="center"/>
              <w:rPr>
                <w:rFonts w:ascii="Cambria" w:eastAsia="Times New Roman" w:hAnsi="Cambria" w:cs="Helvetica"/>
                <w:color w:val="000000"/>
                <w:sz w:val="18"/>
                <w:szCs w:val="18"/>
                <w:lang w:eastAsia="ko-KR"/>
              </w:rPr>
            </w:pPr>
            <w:r w:rsidRPr="004A28EA">
              <w:rPr>
                <w:rFonts w:ascii="Cambria" w:eastAsia="Times New Roman" w:hAnsi="Cambria" w:cs="Helvetica"/>
                <w:color w:val="000000"/>
                <w:sz w:val="18"/>
                <w:szCs w:val="18"/>
                <w:lang w:eastAsia="ko-KR"/>
              </w:rPr>
              <w:t xml:space="preserve"> Claimed </w:t>
            </w:r>
            <w:r w:rsidR="00502C64">
              <w:rPr>
                <w:rFonts w:ascii="Cambria" w:eastAsia="Times New Roman" w:hAnsi="Cambria" w:cs="Helvetica"/>
                <w:color w:val="000000"/>
                <w:sz w:val="18"/>
                <w:szCs w:val="18"/>
                <w:lang w:eastAsia="ko-KR"/>
              </w:rPr>
              <w:t>C</w:t>
            </w:r>
            <w:r w:rsidRPr="004A28EA">
              <w:rPr>
                <w:rFonts w:ascii="Cambria" w:eastAsia="Times New Roman" w:hAnsi="Cambria" w:cs="Helvetica"/>
                <w:color w:val="000000"/>
                <w:sz w:val="18"/>
                <w:szCs w:val="18"/>
                <w:lang w:eastAsia="ko-KR"/>
              </w:rPr>
              <w:t>redit</w:t>
            </w:r>
          </w:p>
        </w:tc>
        <w:tc>
          <w:tcPr>
            <w:tcW w:w="1080" w:type="dxa"/>
            <w:tcBorders>
              <w:top w:val="single" w:sz="4" w:space="0" w:color="auto"/>
              <w:left w:val="nil"/>
              <w:bottom w:val="single" w:sz="4" w:space="0" w:color="auto"/>
              <w:right w:val="single" w:sz="4" w:space="0" w:color="auto"/>
            </w:tcBorders>
            <w:shd w:val="clear" w:color="000000" w:fill="auto"/>
            <w:noWrap/>
            <w:vAlign w:val="center"/>
            <w:hideMark/>
          </w:tcPr>
          <w:p w14:paraId="74C3D57F" w14:textId="77777777" w:rsidR="004D090E" w:rsidRPr="00D15CEE" w:rsidRDefault="004D090E" w:rsidP="004D090E">
            <w:pPr>
              <w:spacing w:after="0" w:line="240" w:lineRule="auto"/>
              <w:jc w:val="center"/>
              <w:rPr>
                <w:rFonts w:ascii="Cambria" w:eastAsia="Times New Roman" w:hAnsi="Cambria" w:cs="Helvetica"/>
                <w:sz w:val="18"/>
                <w:szCs w:val="18"/>
                <w:lang w:eastAsia="ko-KR"/>
              </w:rPr>
            </w:pPr>
            <w:r w:rsidRPr="00D15CEE">
              <w:rPr>
                <w:rFonts w:ascii="Cambria" w:eastAsia="Times New Roman" w:hAnsi="Cambria" w:cs="Helvetica"/>
                <w:sz w:val="18"/>
                <w:szCs w:val="18"/>
                <w:lang w:eastAsia="ko-KR"/>
              </w:rPr>
              <w:t>$22,025</w:t>
            </w:r>
          </w:p>
        </w:tc>
        <w:tc>
          <w:tcPr>
            <w:tcW w:w="713" w:type="dxa"/>
            <w:tcBorders>
              <w:top w:val="single" w:sz="4" w:space="0" w:color="auto"/>
              <w:left w:val="nil"/>
              <w:bottom w:val="single" w:sz="4" w:space="0" w:color="auto"/>
              <w:right w:val="single" w:sz="4" w:space="0" w:color="auto"/>
            </w:tcBorders>
            <w:shd w:val="clear" w:color="000000" w:fill="auto"/>
            <w:noWrap/>
            <w:vAlign w:val="center"/>
            <w:hideMark/>
          </w:tcPr>
          <w:p w14:paraId="17E25F00" w14:textId="77777777" w:rsidR="004D090E" w:rsidRPr="00D15CEE" w:rsidRDefault="004D090E" w:rsidP="004D090E">
            <w:pPr>
              <w:spacing w:after="0" w:line="240" w:lineRule="auto"/>
              <w:jc w:val="center"/>
              <w:rPr>
                <w:rFonts w:ascii="Cambria" w:eastAsia="Times New Roman" w:hAnsi="Cambria" w:cs="Helvetica"/>
                <w:sz w:val="18"/>
                <w:szCs w:val="18"/>
                <w:lang w:eastAsia="ko-KR"/>
              </w:rPr>
            </w:pPr>
            <w:r w:rsidRPr="00D15CEE">
              <w:rPr>
                <w:rFonts w:ascii="Cambria" w:eastAsia="Times New Roman" w:hAnsi="Cambria" w:cs="Helvetica"/>
                <w:sz w:val="18"/>
                <w:szCs w:val="18"/>
                <w:lang w:eastAsia="ko-KR"/>
              </w:rPr>
              <w:t>157</w:t>
            </w:r>
          </w:p>
        </w:tc>
        <w:tc>
          <w:tcPr>
            <w:tcW w:w="1087" w:type="dxa"/>
            <w:tcBorders>
              <w:top w:val="single" w:sz="4" w:space="0" w:color="auto"/>
              <w:left w:val="nil"/>
              <w:bottom w:val="single" w:sz="4" w:space="0" w:color="auto"/>
              <w:right w:val="single" w:sz="4" w:space="0" w:color="auto"/>
            </w:tcBorders>
            <w:shd w:val="clear" w:color="000000" w:fill="auto"/>
            <w:noWrap/>
            <w:vAlign w:val="center"/>
            <w:hideMark/>
          </w:tcPr>
          <w:p w14:paraId="62635233" w14:textId="77777777" w:rsidR="004D090E" w:rsidRPr="00D15CEE" w:rsidRDefault="004D090E" w:rsidP="004D090E">
            <w:pPr>
              <w:spacing w:after="0" w:line="240" w:lineRule="auto"/>
              <w:jc w:val="center"/>
              <w:rPr>
                <w:rFonts w:ascii="Cambria" w:eastAsia="Times New Roman" w:hAnsi="Cambria" w:cs="Helvetica"/>
                <w:sz w:val="18"/>
                <w:szCs w:val="18"/>
                <w:lang w:eastAsia="ko-KR"/>
              </w:rPr>
            </w:pPr>
            <w:r w:rsidRPr="00D15CEE">
              <w:rPr>
                <w:rFonts w:ascii="Cambria" w:eastAsia="Times New Roman" w:hAnsi="Cambria" w:cs="Helvetica"/>
                <w:sz w:val="18"/>
                <w:szCs w:val="18"/>
                <w:lang w:eastAsia="ko-KR"/>
              </w:rPr>
              <w:t>$20,716</w:t>
            </w:r>
          </w:p>
        </w:tc>
        <w:tc>
          <w:tcPr>
            <w:tcW w:w="713" w:type="dxa"/>
            <w:tcBorders>
              <w:top w:val="single" w:sz="4" w:space="0" w:color="auto"/>
              <w:left w:val="nil"/>
              <w:bottom w:val="single" w:sz="4" w:space="0" w:color="auto"/>
              <w:right w:val="single" w:sz="4" w:space="0" w:color="auto"/>
            </w:tcBorders>
            <w:shd w:val="clear" w:color="000000" w:fill="auto"/>
            <w:noWrap/>
            <w:vAlign w:val="center"/>
            <w:hideMark/>
          </w:tcPr>
          <w:p w14:paraId="17554825" w14:textId="77777777" w:rsidR="004D090E" w:rsidRPr="00D15CEE" w:rsidRDefault="004D090E" w:rsidP="004D090E">
            <w:pPr>
              <w:spacing w:after="0" w:line="240" w:lineRule="auto"/>
              <w:jc w:val="center"/>
              <w:rPr>
                <w:rFonts w:ascii="Cambria" w:eastAsia="Times New Roman" w:hAnsi="Cambria" w:cs="Helvetica"/>
                <w:sz w:val="18"/>
                <w:szCs w:val="18"/>
                <w:lang w:eastAsia="ko-KR"/>
              </w:rPr>
            </w:pPr>
            <w:r w:rsidRPr="00D15CEE">
              <w:rPr>
                <w:rFonts w:ascii="Cambria" w:eastAsia="Times New Roman" w:hAnsi="Cambria" w:cs="Helvetica"/>
                <w:sz w:val="18"/>
                <w:szCs w:val="18"/>
                <w:lang w:eastAsia="ko-KR"/>
              </w:rPr>
              <w:t>113</w:t>
            </w:r>
          </w:p>
        </w:tc>
        <w:tc>
          <w:tcPr>
            <w:tcW w:w="1087" w:type="dxa"/>
            <w:tcBorders>
              <w:top w:val="single" w:sz="4" w:space="0" w:color="auto"/>
              <w:left w:val="nil"/>
              <w:bottom w:val="single" w:sz="4" w:space="0" w:color="auto"/>
              <w:right w:val="single" w:sz="4" w:space="0" w:color="auto"/>
            </w:tcBorders>
            <w:shd w:val="clear" w:color="000000" w:fill="auto"/>
            <w:noWrap/>
            <w:vAlign w:val="center"/>
            <w:hideMark/>
          </w:tcPr>
          <w:p w14:paraId="3DBD7035" w14:textId="77777777" w:rsidR="004D090E" w:rsidRPr="00D15CEE" w:rsidRDefault="004D090E" w:rsidP="004D090E">
            <w:pPr>
              <w:spacing w:after="0" w:line="240" w:lineRule="auto"/>
              <w:jc w:val="center"/>
              <w:rPr>
                <w:rFonts w:ascii="Cambria" w:eastAsia="Times New Roman" w:hAnsi="Cambria" w:cs="Helvetica"/>
                <w:sz w:val="18"/>
                <w:szCs w:val="18"/>
                <w:lang w:eastAsia="ko-KR"/>
              </w:rPr>
            </w:pPr>
            <w:r w:rsidRPr="00D15CEE">
              <w:rPr>
                <w:rFonts w:ascii="Cambria" w:eastAsia="Times New Roman" w:hAnsi="Cambria" w:cs="Helvetica"/>
                <w:sz w:val="18"/>
                <w:szCs w:val="18"/>
                <w:lang w:eastAsia="ko-KR"/>
              </w:rPr>
              <w:t>$11,921</w:t>
            </w:r>
          </w:p>
        </w:tc>
        <w:tc>
          <w:tcPr>
            <w:tcW w:w="713" w:type="dxa"/>
            <w:tcBorders>
              <w:top w:val="single" w:sz="4" w:space="0" w:color="auto"/>
              <w:left w:val="nil"/>
              <w:bottom w:val="single" w:sz="4" w:space="0" w:color="auto"/>
              <w:right w:val="single" w:sz="4" w:space="0" w:color="auto"/>
            </w:tcBorders>
            <w:shd w:val="clear" w:color="000000" w:fill="auto"/>
            <w:noWrap/>
            <w:vAlign w:val="center"/>
            <w:hideMark/>
          </w:tcPr>
          <w:p w14:paraId="27868702" w14:textId="77777777" w:rsidR="004D090E" w:rsidRPr="00D15CEE" w:rsidRDefault="004D090E" w:rsidP="004D090E">
            <w:pPr>
              <w:spacing w:after="0" w:line="240" w:lineRule="auto"/>
              <w:jc w:val="center"/>
              <w:rPr>
                <w:rFonts w:ascii="Cambria" w:eastAsia="Times New Roman" w:hAnsi="Cambria" w:cs="Helvetica"/>
                <w:sz w:val="18"/>
                <w:szCs w:val="18"/>
                <w:lang w:eastAsia="ko-KR"/>
              </w:rPr>
            </w:pPr>
            <w:r w:rsidRPr="00D15CEE">
              <w:rPr>
                <w:rFonts w:ascii="Cambria" w:eastAsia="Times New Roman" w:hAnsi="Cambria" w:cs="Helvetica"/>
                <w:sz w:val="18"/>
                <w:szCs w:val="18"/>
                <w:lang w:eastAsia="ko-KR"/>
              </w:rPr>
              <w:t>111</w:t>
            </w:r>
          </w:p>
        </w:tc>
        <w:tc>
          <w:tcPr>
            <w:tcW w:w="997" w:type="dxa"/>
            <w:tcBorders>
              <w:top w:val="single" w:sz="4" w:space="0" w:color="auto"/>
              <w:left w:val="nil"/>
              <w:bottom w:val="single" w:sz="4" w:space="0" w:color="auto"/>
              <w:right w:val="single" w:sz="4" w:space="0" w:color="auto"/>
            </w:tcBorders>
            <w:shd w:val="clear" w:color="000000" w:fill="auto"/>
            <w:noWrap/>
            <w:vAlign w:val="center"/>
            <w:hideMark/>
          </w:tcPr>
          <w:p w14:paraId="6EF624D3" w14:textId="77777777" w:rsidR="004D090E" w:rsidRPr="00D15CEE" w:rsidRDefault="004D090E" w:rsidP="004D090E">
            <w:pPr>
              <w:spacing w:after="0" w:line="240" w:lineRule="auto"/>
              <w:jc w:val="center"/>
              <w:rPr>
                <w:rFonts w:ascii="Cambria" w:eastAsia="Times New Roman" w:hAnsi="Cambria" w:cs="Helvetica"/>
                <w:sz w:val="18"/>
                <w:szCs w:val="18"/>
                <w:lang w:eastAsia="ko-KR"/>
              </w:rPr>
            </w:pPr>
            <w:r w:rsidRPr="00D15CEE">
              <w:rPr>
                <w:rFonts w:ascii="Cambria" w:eastAsia="Times New Roman" w:hAnsi="Cambria" w:cs="Helvetica"/>
                <w:sz w:val="18"/>
                <w:szCs w:val="18"/>
                <w:lang w:eastAsia="ko-KR"/>
              </w:rPr>
              <w:t>$10,050</w:t>
            </w:r>
          </w:p>
        </w:tc>
        <w:tc>
          <w:tcPr>
            <w:tcW w:w="785" w:type="dxa"/>
            <w:tcBorders>
              <w:top w:val="single" w:sz="4" w:space="0" w:color="auto"/>
              <w:left w:val="nil"/>
              <w:bottom w:val="single" w:sz="4" w:space="0" w:color="auto"/>
              <w:right w:val="single" w:sz="4" w:space="0" w:color="auto"/>
            </w:tcBorders>
            <w:shd w:val="clear" w:color="000000" w:fill="auto"/>
            <w:noWrap/>
            <w:vAlign w:val="center"/>
            <w:hideMark/>
          </w:tcPr>
          <w:p w14:paraId="73EFAF55" w14:textId="77777777" w:rsidR="004D090E" w:rsidRPr="00D15CEE" w:rsidRDefault="004D090E" w:rsidP="004D090E">
            <w:pPr>
              <w:spacing w:after="0" w:line="240" w:lineRule="auto"/>
              <w:jc w:val="center"/>
              <w:rPr>
                <w:rFonts w:ascii="Cambria" w:eastAsia="Times New Roman" w:hAnsi="Cambria" w:cs="Helvetica"/>
                <w:sz w:val="18"/>
                <w:szCs w:val="18"/>
                <w:lang w:eastAsia="ko-KR"/>
              </w:rPr>
            </w:pPr>
            <w:r w:rsidRPr="00D15CEE">
              <w:rPr>
                <w:rFonts w:ascii="Cambria" w:eastAsia="Times New Roman" w:hAnsi="Cambria" w:cs="Helvetica"/>
                <w:sz w:val="18"/>
                <w:szCs w:val="18"/>
                <w:lang w:eastAsia="ko-KR"/>
              </w:rPr>
              <w:t>85</w:t>
            </w:r>
          </w:p>
        </w:tc>
      </w:tr>
      <w:tr w:rsidR="004D090E" w:rsidRPr="00346E78" w14:paraId="4B77B17C" w14:textId="77777777" w:rsidTr="008D160C">
        <w:trPr>
          <w:trHeight w:val="560"/>
        </w:trPr>
        <w:tc>
          <w:tcPr>
            <w:tcW w:w="886" w:type="dxa"/>
            <w:vMerge/>
            <w:tcBorders>
              <w:top w:val="nil"/>
              <w:left w:val="single" w:sz="4" w:space="0" w:color="auto"/>
              <w:bottom w:val="single" w:sz="4" w:space="0" w:color="000000"/>
              <w:right w:val="single" w:sz="4" w:space="0" w:color="auto"/>
            </w:tcBorders>
            <w:vAlign w:val="center"/>
            <w:hideMark/>
          </w:tcPr>
          <w:p w14:paraId="4D8B3909" w14:textId="77777777" w:rsidR="004D090E" w:rsidRPr="00346E78" w:rsidRDefault="004D090E" w:rsidP="004D090E">
            <w:pPr>
              <w:spacing w:after="0" w:line="240" w:lineRule="auto"/>
              <w:rPr>
                <w:rFonts w:ascii="Cambria" w:eastAsia="Times New Roman" w:hAnsi="Cambria" w:cs="Helvetica"/>
                <w:sz w:val="18"/>
                <w:szCs w:val="18"/>
                <w:lang w:eastAsia="ko-KR"/>
              </w:rPr>
            </w:pPr>
          </w:p>
        </w:tc>
        <w:tc>
          <w:tcPr>
            <w:tcW w:w="1071" w:type="dxa"/>
            <w:tcBorders>
              <w:top w:val="single" w:sz="4" w:space="0" w:color="auto"/>
              <w:left w:val="nil"/>
              <w:bottom w:val="single" w:sz="4" w:space="0" w:color="auto"/>
              <w:right w:val="single" w:sz="4" w:space="0" w:color="auto"/>
            </w:tcBorders>
            <w:shd w:val="clear" w:color="000000" w:fill="auto"/>
            <w:vAlign w:val="center"/>
            <w:hideMark/>
          </w:tcPr>
          <w:p w14:paraId="7117F837" w14:textId="77777777" w:rsidR="004D090E" w:rsidRPr="00346E78" w:rsidRDefault="004D090E" w:rsidP="004D090E">
            <w:pPr>
              <w:spacing w:after="0" w:line="240" w:lineRule="auto"/>
              <w:jc w:val="center"/>
              <w:rPr>
                <w:rFonts w:ascii="Cambria" w:eastAsia="Times New Roman" w:hAnsi="Cambria" w:cs="Helvetica"/>
                <w:sz w:val="18"/>
                <w:szCs w:val="18"/>
                <w:lang w:eastAsia="ko-KR"/>
              </w:rPr>
            </w:pPr>
            <w:r w:rsidRPr="00346E78">
              <w:rPr>
                <w:rFonts w:ascii="Cambria" w:eastAsia="Times New Roman" w:hAnsi="Cambria" w:cs="Helvetica"/>
                <w:sz w:val="18"/>
                <w:szCs w:val="18"/>
                <w:lang w:eastAsia="ko-KR"/>
              </w:rPr>
              <w:t>Shared</w:t>
            </w:r>
            <w:r>
              <w:rPr>
                <w:rFonts w:ascii="Cambria" w:eastAsia="Times New Roman" w:hAnsi="Cambria" w:cs="Helvetica"/>
                <w:sz w:val="18"/>
                <w:szCs w:val="18"/>
                <w:lang w:eastAsia="ko-KR"/>
              </w:rPr>
              <w:t xml:space="preserve"> </w:t>
            </w:r>
            <w:r w:rsidR="00502C64">
              <w:rPr>
                <w:rFonts w:ascii="Cambria" w:eastAsia="Times New Roman" w:hAnsi="Cambria" w:cs="Helvetica"/>
                <w:sz w:val="18"/>
                <w:szCs w:val="18"/>
                <w:lang w:eastAsia="ko-KR"/>
              </w:rPr>
              <w:t>C</w:t>
            </w:r>
            <w:r>
              <w:rPr>
                <w:rFonts w:ascii="Cambria" w:eastAsia="Times New Roman" w:hAnsi="Cambria" w:cs="Helvetica"/>
                <w:sz w:val="18"/>
                <w:szCs w:val="18"/>
                <w:lang w:eastAsia="ko-KR"/>
              </w:rPr>
              <w:t>redit</w:t>
            </w:r>
            <w:r w:rsidRPr="00346E78">
              <w:rPr>
                <w:rFonts w:ascii="Cambria" w:eastAsia="Times New Roman" w:hAnsi="Cambria" w:cs="Helvetica"/>
                <w:sz w:val="18"/>
                <w:szCs w:val="18"/>
                <w:lang w:eastAsia="ko-KR"/>
              </w:rPr>
              <w:t xml:space="preserve"> </w:t>
            </w:r>
          </w:p>
        </w:tc>
        <w:tc>
          <w:tcPr>
            <w:tcW w:w="1080" w:type="dxa"/>
            <w:tcBorders>
              <w:top w:val="single" w:sz="4" w:space="0" w:color="auto"/>
              <w:left w:val="nil"/>
              <w:bottom w:val="single" w:sz="4" w:space="0" w:color="auto"/>
              <w:right w:val="single" w:sz="4" w:space="0" w:color="auto"/>
            </w:tcBorders>
            <w:shd w:val="clear" w:color="000000" w:fill="auto"/>
            <w:noWrap/>
            <w:vAlign w:val="center"/>
            <w:hideMark/>
          </w:tcPr>
          <w:p w14:paraId="3F9A500A" w14:textId="77777777" w:rsidR="004D090E" w:rsidRPr="00D15CEE" w:rsidRDefault="004D090E" w:rsidP="004D090E">
            <w:pPr>
              <w:spacing w:after="0" w:line="240" w:lineRule="auto"/>
              <w:jc w:val="center"/>
              <w:rPr>
                <w:rFonts w:ascii="Cambria" w:eastAsia="Times New Roman" w:hAnsi="Cambria" w:cs="Helvetica"/>
                <w:sz w:val="18"/>
                <w:szCs w:val="18"/>
                <w:lang w:eastAsia="ko-KR"/>
              </w:rPr>
            </w:pPr>
            <w:r w:rsidRPr="00D15CEE">
              <w:rPr>
                <w:rFonts w:ascii="Cambria" w:eastAsia="Times New Roman" w:hAnsi="Cambria" w:cs="Helvetica"/>
                <w:sz w:val="18"/>
                <w:szCs w:val="18"/>
                <w:lang w:eastAsia="ko-KR"/>
              </w:rPr>
              <w:t>$2,709</w:t>
            </w:r>
          </w:p>
        </w:tc>
        <w:tc>
          <w:tcPr>
            <w:tcW w:w="713" w:type="dxa"/>
            <w:tcBorders>
              <w:top w:val="single" w:sz="4" w:space="0" w:color="auto"/>
              <w:left w:val="nil"/>
              <w:bottom w:val="single" w:sz="4" w:space="0" w:color="auto"/>
              <w:right w:val="single" w:sz="4" w:space="0" w:color="auto"/>
            </w:tcBorders>
            <w:shd w:val="clear" w:color="000000" w:fill="auto"/>
            <w:noWrap/>
            <w:vAlign w:val="center"/>
            <w:hideMark/>
          </w:tcPr>
          <w:p w14:paraId="1DFD656E" w14:textId="77777777" w:rsidR="004D090E" w:rsidRPr="00D15CEE" w:rsidRDefault="004D090E" w:rsidP="004D090E">
            <w:pPr>
              <w:spacing w:after="0" w:line="240" w:lineRule="auto"/>
              <w:jc w:val="center"/>
              <w:rPr>
                <w:rFonts w:ascii="Cambria" w:eastAsia="Times New Roman" w:hAnsi="Cambria" w:cs="Helvetica"/>
                <w:sz w:val="18"/>
                <w:szCs w:val="18"/>
                <w:lang w:eastAsia="ko-KR"/>
              </w:rPr>
            </w:pPr>
            <w:r w:rsidRPr="00D15CEE">
              <w:rPr>
                <w:rFonts w:ascii="Cambria" w:eastAsia="Times New Roman" w:hAnsi="Cambria" w:cs="Helvetica"/>
                <w:sz w:val="18"/>
                <w:szCs w:val="18"/>
                <w:lang w:eastAsia="ko-KR"/>
              </w:rPr>
              <w:t>16</w:t>
            </w:r>
          </w:p>
        </w:tc>
        <w:tc>
          <w:tcPr>
            <w:tcW w:w="1087" w:type="dxa"/>
            <w:tcBorders>
              <w:top w:val="single" w:sz="4" w:space="0" w:color="auto"/>
              <w:left w:val="nil"/>
              <w:bottom w:val="single" w:sz="4" w:space="0" w:color="auto"/>
              <w:right w:val="single" w:sz="4" w:space="0" w:color="auto"/>
            </w:tcBorders>
            <w:shd w:val="clear" w:color="000000" w:fill="auto"/>
            <w:noWrap/>
            <w:vAlign w:val="center"/>
            <w:hideMark/>
          </w:tcPr>
          <w:p w14:paraId="1D28DF9D" w14:textId="77777777" w:rsidR="004D090E" w:rsidRPr="00D15CEE" w:rsidRDefault="004D090E" w:rsidP="004D090E">
            <w:pPr>
              <w:spacing w:after="0" w:line="240" w:lineRule="auto"/>
              <w:jc w:val="center"/>
              <w:rPr>
                <w:rFonts w:ascii="Cambria" w:eastAsia="Times New Roman" w:hAnsi="Cambria" w:cs="Helvetica"/>
                <w:sz w:val="18"/>
                <w:szCs w:val="18"/>
                <w:lang w:eastAsia="ko-KR"/>
              </w:rPr>
            </w:pPr>
            <w:r w:rsidRPr="00D15CEE">
              <w:rPr>
                <w:rFonts w:ascii="Cambria" w:eastAsia="Times New Roman" w:hAnsi="Cambria" w:cs="Helvetica"/>
                <w:sz w:val="18"/>
                <w:szCs w:val="18"/>
                <w:lang w:eastAsia="ko-KR"/>
              </w:rPr>
              <w:t>$3,515</w:t>
            </w:r>
          </w:p>
        </w:tc>
        <w:tc>
          <w:tcPr>
            <w:tcW w:w="713" w:type="dxa"/>
            <w:tcBorders>
              <w:top w:val="single" w:sz="4" w:space="0" w:color="auto"/>
              <w:left w:val="nil"/>
              <w:bottom w:val="single" w:sz="4" w:space="0" w:color="auto"/>
              <w:right w:val="single" w:sz="4" w:space="0" w:color="auto"/>
            </w:tcBorders>
            <w:shd w:val="clear" w:color="000000" w:fill="auto"/>
            <w:noWrap/>
            <w:vAlign w:val="center"/>
            <w:hideMark/>
          </w:tcPr>
          <w:p w14:paraId="44175BC8" w14:textId="77777777" w:rsidR="004D090E" w:rsidRPr="00D15CEE" w:rsidRDefault="004D090E" w:rsidP="004D090E">
            <w:pPr>
              <w:spacing w:after="0" w:line="240" w:lineRule="auto"/>
              <w:jc w:val="center"/>
              <w:rPr>
                <w:rFonts w:ascii="Cambria" w:eastAsia="Times New Roman" w:hAnsi="Cambria" w:cs="Helvetica"/>
                <w:sz w:val="18"/>
                <w:szCs w:val="18"/>
                <w:lang w:eastAsia="ko-KR"/>
              </w:rPr>
            </w:pPr>
            <w:r w:rsidRPr="00D15CEE">
              <w:rPr>
                <w:rFonts w:ascii="Cambria" w:eastAsia="Times New Roman" w:hAnsi="Cambria" w:cs="Helvetica"/>
                <w:sz w:val="18"/>
                <w:szCs w:val="18"/>
                <w:lang w:eastAsia="ko-KR"/>
              </w:rPr>
              <w:t>14</w:t>
            </w:r>
          </w:p>
        </w:tc>
        <w:tc>
          <w:tcPr>
            <w:tcW w:w="1087" w:type="dxa"/>
            <w:tcBorders>
              <w:top w:val="single" w:sz="4" w:space="0" w:color="auto"/>
              <w:left w:val="nil"/>
              <w:bottom w:val="single" w:sz="4" w:space="0" w:color="auto"/>
              <w:right w:val="single" w:sz="4" w:space="0" w:color="auto"/>
            </w:tcBorders>
            <w:shd w:val="clear" w:color="000000" w:fill="auto"/>
            <w:noWrap/>
            <w:vAlign w:val="center"/>
            <w:hideMark/>
          </w:tcPr>
          <w:p w14:paraId="4F28E803" w14:textId="77777777" w:rsidR="004D090E" w:rsidRPr="00D15CEE" w:rsidRDefault="004D090E" w:rsidP="004D090E">
            <w:pPr>
              <w:spacing w:after="0" w:line="240" w:lineRule="auto"/>
              <w:jc w:val="center"/>
              <w:rPr>
                <w:rFonts w:ascii="Cambria" w:eastAsia="Times New Roman" w:hAnsi="Cambria" w:cs="Helvetica"/>
                <w:sz w:val="18"/>
                <w:szCs w:val="18"/>
                <w:lang w:eastAsia="ko-KR"/>
              </w:rPr>
            </w:pPr>
            <w:r w:rsidRPr="00D15CEE">
              <w:rPr>
                <w:rFonts w:ascii="Cambria" w:eastAsia="Times New Roman" w:hAnsi="Cambria" w:cs="Helvetica"/>
                <w:sz w:val="18"/>
                <w:szCs w:val="18"/>
                <w:lang w:eastAsia="ko-KR"/>
              </w:rPr>
              <w:t>$2,793</w:t>
            </w:r>
          </w:p>
        </w:tc>
        <w:tc>
          <w:tcPr>
            <w:tcW w:w="713" w:type="dxa"/>
            <w:tcBorders>
              <w:top w:val="single" w:sz="4" w:space="0" w:color="auto"/>
              <w:left w:val="nil"/>
              <w:bottom w:val="single" w:sz="4" w:space="0" w:color="auto"/>
              <w:right w:val="single" w:sz="4" w:space="0" w:color="auto"/>
            </w:tcBorders>
            <w:shd w:val="clear" w:color="000000" w:fill="auto"/>
            <w:noWrap/>
            <w:vAlign w:val="center"/>
            <w:hideMark/>
          </w:tcPr>
          <w:p w14:paraId="6F59AB8E" w14:textId="77777777" w:rsidR="004D090E" w:rsidRPr="00D15CEE" w:rsidRDefault="004D090E" w:rsidP="004D090E">
            <w:pPr>
              <w:spacing w:after="0" w:line="240" w:lineRule="auto"/>
              <w:jc w:val="center"/>
              <w:rPr>
                <w:rFonts w:ascii="Cambria" w:eastAsia="Times New Roman" w:hAnsi="Cambria" w:cs="Helvetica"/>
                <w:sz w:val="18"/>
                <w:szCs w:val="18"/>
                <w:lang w:eastAsia="ko-KR"/>
              </w:rPr>
            </w:pPr>
            <w:r w:rsidRPr="00D15CEE">
              <w:rPr>
                <w:rFonts w:ascii="Cambria" w:eastAsia="Times New Roman" w:hAnsi="Cambria" w:cs="Helvetica"/>
                <w:sz w:val="18"/>
                <w:szCs w:val="18"/>
                <w:lang w:eastAsia="ko-KR"/>
              </w:rPr>
              <w:t>20</w:t>
            </w:r>
          </w:p>
        </w:tc>
        <w:tc>
          <w:tcPr>
            <w:tcW w:w="997" w:type="dxa"/>
            <w:tcBorders>
              <w:top w:val="single" w:sz="4" w:space="0" w:color="auto"/>
              <w:left w:val="nil"/>
              <w:bottom w:val="single" w:sz="4" w:space="0" w:color="auto"/>
              <w:right w:val="single" w:sz="4" w:space="0" w:color="auto"/>
            </w:tcBorders>
            <w:shd w:val="clear" w:color="000000" w:fill="auto"/>
            <w:noWrap/>
            <w:vAlign w:val="center"/>
            <w:hideMark/>
          </w:tcPr>
          <w:p w14:paraId="5E175913" w14:textId="77777777" w:rsidR="004D090E" w:rsidRPr="00D15CEE" w:rsidRDefault="004D090E" w:rsidP="004D090E">
            <w:pPr>
              <w:spacing w:after="0" w:line="240" w:lineRule="auto"/>
              <w:jc w:val="center"/>
              <w:rPr>
                <w:rFonts w:ascii="Cambria" w:eastAsia="Times New Roman" w:hAnsi="Cambria" w:cs="Helvetica"/>
                <w:sz w:val="18"/>
                <w:szCs w:val="18"/>
                <w:lang w:eastAsia="ko-KR"/>
              </w:rPr>
            </w:pPr>
            <w:r w:rsidRPr="00D15CEE">
              <w:rPr>
                <w:rFonts w:ascii="Cambria" w:eastAsia="Times New Roman" w:hAnsi="Cambria" w:cs="Helvetica"/>
                <w:sz w:val="18"/>
                <w:szCs w:val="18"/>
                <w:lang w:eastAsia="ko-KR"/>
              </w:rPr>
              <w:t>$1,384</w:t>
            </w:r>
          </w:p>
        </w:tc>
        <w:tc>
          <w:tcPr>
            <w:tcW w:w="785" w:type="dxa"/>
            <w:tcBorders>
              <w:top w:val="single" w:sz="4" w:space="0" w:color="auto"/>
              <w:left w:val="nil"/>
              <w:bottom w:val="single" w:sz="4" w:space="0" w:color="auto"/>
              <w:right w:val="single" w:sz="4" w:space="0" w:color="auto"/>
            </w:tcBorders>
            <w:shd w:val="clear" w:color="000000" w:fill="auto"/>
            <w:noWrap/>
            <w:vAlign w:val="center"/>
            <w:hideMark/>
          </w:tcPr>
          <w:p w14:paraId="40C11CB9" w14:textId="77777777" w:rsidR="004D090E" w:rsidRPr="00D15CEE" w:rsidRDefault="004D090E" w:rsidP="004D090E">
            <w:pPr>
              <w:spacing w:after="0" w:line="240" w:lineRule="auto"/>
              <w:jc w:val="center"/>
              <w:rPr>
                <w:rFonts w:ascii="Cambria" w:eastAsia="Times New Roman" w:hAnsi="Cambria" w:cs="Helvetica"/>
                <w:sz w:val="18"/>
                <w:szCs w:val="18"/>
                <w:lang w:eastAsia="ko-KR"/>
              </w:rPr>
            </w:pPr>
            <w:r w:rsidRPr="00D15CEE">
              <w:rPr>
                <w:rFonts w:ascii="Cambria" w:eastAsia="Times New Roman" w:hAnsi="Cambria" w:cs="Helvetica"/>
                <w:sz w:val="18"/>
                <w:szCs w:val="18"/>
                <w:lang w:eastAsia="ko-KR"/>
              </w:rPr>
              <w:t>11</w:t>
            </w:r>
          </w:p>
        </w:tc>
      </w:tr>
      <w:tr w:rsidR="004D090E" w:rsidRPr="00346E78" w14:paraId="44B6D5A9" w14:textId="77777777" w:rsidTr="008D160C">
        <w:trPr>
          <w:trHeight w:val="500"/>
        </w:trPr>
        <w:tc>
          <w:tcPr>
            <w:tcW w:w="886" w:type="dxa"/>
            <w:vMerge/>
            <w:tcBorders>
              <w:top w:val="nil"/>
              <w:left w:val="single" w:sz="4" w:space="0" w:color="auto"/>
              <w:bottom w:val="single" w:sz="4" w:space="0" w:color="000000"/>
              <w:right w:val="single" w:sz="4" w:space="0" w:color="auto"/>
            </w:tcBorders>
            <w:vAlign w:val="center"/>
            <w:hideMark/>
          </w:tcPr>
          <w:p w14:paraId="49E0B870" w14:textId="77777777" w:rsidR="004D090E" w:rsidRPr="00346E78" w:rsidRDefault="004D090E" w:rsidP="004D090E">
            <w:pPr>
              <w:spacing w:after="0" w:line="240" w:lineRule="auto"/>
              <w:rPr>
                <w:rFonts w:ascii="Cambria" w:eastAsia="Times New Roman" w:hAnsi="Cambria" w:cs="Helvetica"/>
                <w:sz w:val="18"/>
                <w:szCs w:val="18"/>
                <w:lang w:eastAsia="ko-KR"/>
              </w:rPr>
            </w:pPr>
          </w:p>
        </w:tc>
        <w:tc>
          <w:tcPr>
            <w:tcW w:w="1071" w:type="dxa"/>
            <w:tcBorders>
              <w:top w:val="single" w:sz="4" w:space="0" w:color="auto"/>
              <w:left w:val="nil"/>
              <w:bottom w:val="single" w:sz="4" w:space="0" w:color="auto"/>
              <w:right w:val="single" w:sz="4" w:space="0" w:color="auto"/>
            </w:tcBorders>
            <w:shd w:val="clear" w:color="000000" w:fill="auto"/>
            <w:vAlign w:val="center"/>
            <w:hideMark/>
          </w:tcPr>
          <w:p w14:paraId="4D108B16" w14:textId="77777777" w:rsidR="004D090E" w:rsidRPr="00346E78" w:rsidRDefault="004D090E" w:rsidP="004D090E">
            <w:pPr>
              <w:spacing w:after="0" w:line="240" w:lineRule="auto"/>
              <w:jc w:val="center"/>
              <w:rPr>
                <w:rFonts w:ascii="Cambria" w:eastAsia="Times New Roman" w:hAnsi="Cambria" w:cs="Helvetica"/>
                <w:sz w:val="18"/>
                <w:szCs w:val="18"/>
                <w:lang w:eastAsia="ko-KR"/>
              </w:rPr>
            </w:pPr>
            <w:r w:rsidRPr="00346E78">
              <w:rPr>
                <w:rFonts w:ascii="Cambria" w:eastAsia="Times New Roman" w:hAnsi="Cambria" w:cs="Helvetica"/>
                <w:sz w:val="18"/>
                <w:szCs w:val="18"/>
                <w:lang w:eastAsia="ko-KR"/>
              </w:rPr>
              <w:t xml:space="preserve">Claimed plus </w:t>
            </w:r>
            <w:r w:rsidR="00502C64">
              <w:rPr>
                <w:rFonts w:ascii="Cambria" w:eastAsia="Times New Roman" w:hAnsi="Cambria" w:cs="Helvetica"/>
                <w:sz w:val="18"/>
                <w:szCs w:val="18"/>
                <w:lang w:eastAsia="ko-KR"/>
              </w:rPr>
              <w:t>S</w:t>
            </w:r>
            <w:r w:rsidRPr="00346E78">
              <w:rPr>
                <w:rFonts w:ascii="Cambria" w:eastAsia="Times New Roman" w:hAnsi="Cambria" w:cs="Helvetica"/>
                <w:sz w:val="18"/>
                <w:szCs w:val="18"/>
                <w:lang w:eastAsia="ko-KR"/>
              </w:rPr>
              <w:t xml:space="preserve">hared </w:t>
            </w:r>
            <w:r w:rsidR="00502C64">
              <w:rPr>
                <w:rFonts w:ascii="Cambria" w:eastAsia="Times New Roman" w:hAnsi="Cambria" w:cs="Helvetica"/>
                <w:sz w:val="18"/>
                <w:szCs w:val="18"/>
                <w:lang w:eastAsia="ko-KR"/>
              </w:rPr>
              <w:t>C</w:t>
            </w:r>
            <w:r>
              <w:rPr>
                <w:rFonts w:ascii="Cambria" w:eastAsia="Times New Roman" w:hAnsi="Cambria" w:cs="Helvetica"/>
                <w:sz w:val="18"/>
                <w:szCs w:val="18"/>
                <w:lang w:eastAsia="ko-KR"/>
              </w:rPr>
              <w:t>redit</w:t>
            </w:r>
            <w:r w:rsidR="00502C64">
              <w:rPr>
                <w:rFonts w:ascii="Cambria" w:eastAsia="Times New Roman" w:hAnsi="Cambria" w:cs="Helvetica"/>
                <w:sz w:val="18"/>
                <w:szCs w:val="18"/>
                <w:lang w:eastAsia="ko-KR"/>
              </w:rPr>
              <w:t xml:space="preserve"> </w:t>
            </w:r>
            <w:r w:rsidRPr="00346E78">
              <w:rPr>
                <w:rFonts w:ascii="Cambria" w:eastAsia="Times New Roman" w:hAnsi="Cambria" w:cs="Helvetica"/>
                <w:sz w:val="18"/>
                <w:szCs w:val="18"/>
                <w:lang w:eastAsia="ko-KR"/>
              </w:rPr>
              <w:t>- B</w:t>
            </w:r>
          </w:p>
        </w:tc>
        <w:tc>
          <w:tcPr>
            <w:tcW w:w="1080" w:type="dxa"/>
            <w:tcBorders>
              <w:top w:val="single" w:sz="4" w:space="0" w:color="auto"/>
              <w:left w:val="nil"/>
              <w:bottom w:val="single" w:sz="4" w:space="0" w:color="auto"/>
              <w:right w:val="single" w:sz="4" w:space="0" w:color="auto"/>
            </w:tcBorders>
            <w:shd w:val="clear" w:color="000000" w:fill="auto"/>
            <w:noWrap/>
            <w:vAlign w:val="center"/>
            <w:hideMark/>
          </w:tcPr>
          <w:p w14:paraId="0EB4A223" w14:textId="77777777" w:rsidR="004D090E" w:rsidRPr="00D15CEE" w:rsidRDefault="004D090E" w:rsidP="004D090E">
            <w:pPr>
              <w:spacing w:after="0" w:line="240" w:lineRule="auto"/>
              <w:jc w:val="center"/>
              <w:rPr>
                <w:rFonts w:ascii="Cambria" w:eastAsia="Times New Roman" w:hAnsi="Cambria" w:cs="Helvetica"/>
                <w:sz w:val="18"/>
                <w:szCs w:val="18"/>
                <w:lang w:eastAsia="ko-KR"/>
              </w:rPr>
            </w:pPr>
            <w:r w:rsidRPr="00D15CEE">
              <w:rPr>
                <w:rFonts w:ascii="Cambria" w:eastAsia="Times New Roman" w:hAnsi="Cambria" w:cs="Helvetica"/>
                <w:sz w:val="18"/>
                <w:szCs w:val="18"/>
                <w:lang w:eastAsia="ko-KR"/>
              </w:rPr>
              <w:t>$24,734</w:t>
            </w:r>
          </w:p>
        </w:tc>
        <w:tc>
          <w:tcPr>
            <w:tcW w:w="713" w:type="dxa"/>
            <w:tcBorders>
              <w:top w:val="single" w:sz="4" w:space="0" w:color="auto"/>
              <w:left w:val="nil"/>
              <w:bottom w:val="single" w:sz="4" w:space="0" w:color="auto"/>
              <w:right w:val="single" w:sz="4" w:space="0" w:color="auto"/>
            </w:tcBorders>
            <w:shd w:val="clear" w:color="000000" w:fill="auto"/>
            <w:noWrap/>
            <w:vAlign w:val="center"/>
            <w:hideMark/>
          </w:tcPr>
          <w:p w14:paraId="42BCD5B5" w14:textId="77777777" w:rsidR="004D090E" w:rsidRPr="00D15CEE" w:rsidRDefault="004D090E" w:rsidP="004D090E">
            <w:pPr>
              <w:spacing w:after="0" w:line="240" w:lineRule="auto"/>
              <w:jc w:val="center"/>
              <w:rPr>
                <w:rFonts w:ascii="Cambria" w:eastAsia="Times New Roman" w:hAnsi="Cambria" w:cs="Helvetica"/>
                <w:sz w:val="18"/>
                <w:szCs w:val="18"/>
                <w:lang w:eastAsia="ko-KR"/>
              </w:rPr>
            </w:pPr>
            <w:r w:rsidRPr="00D15CEE">
              <w:rPr>
                <w:rFonts w:ascii="Cambria" w:eastAsia="Times New Roman" w:hAnsi="Cambria" w:cs="Helvetica"/>
                <w:sz w:val="18"/>
                <w:szCs w:val="18"/>
                <w:lang w:eastAsia="ko-KR"/>
              </w:rPr>
              <w:t>173</w:t>
            </w:r>
          </w:p>
        </w:tc>
        <w:tc>
          <w:tcPr>
            <w:tcW w:w="1087" w:type="dxa"/>
            <w:tcBorders>
              <w:top w:val="single" w:sz="4" w:space="0" w:color="auto"/>
              <w:left w:val="nil"/>
              <w:bottom w:val="single" w:sz="4" w:space="0" w:color="auto"/>
              <w:right w:val="single" w:sz="4" w:space="0" w:color="auto"/>
            </w:tcBorders>
            <w:shd w:val="clear" w:color="000000" w:fill="auto"/>
            <w:noWrap/>
            <w:vAlign w:val="center"/>
            <w:hideMark/>
          </w:tcPr>
          <w:p w14:paraId="615F550C" w14:textId="77777777" w:rsidR="004D090E" w:rsidRPr="00D15CEE" w:rsidRDefault="004D090E" w:rsidP="004D090E">
            <w:pPr>
              <w:spacing w:after="0" w:line="240" w:lineRule="auto"/>
              <w:jc w:val="center"/>
              <w:rPr>
                <w:rFonts w:ascii="Cambria" w:eastAsia="Times New Roman" w:hAnsi="Cambria" w:cs="Helvetica"/>
                <w:sz w:val="18"/>
                <w:szCs w:val="18"/>
                <w:lang w:eastAsia="ko-KR"/>
              </w:rPr>
            </w:pPr>
            <w:r w:rsidRPr="00D15CEE">
              <w:rPr>
                <w:rFonts w:ascii="Cambria" w:eastAsia="Times New Roman" w:hAnsi="Cambria" w:cs="Helvetica"/>
                <w:sz w:val="18"/>
                <w:szCs w:val="18"/>
                <w:lang w:eastAsia="ko-KR"/>
              </w:rPr>
              <w:t>$24,230</w:t>
            </w:r>
          </w:p>
        </w:tc>
        <w:tc>
          <w:tcPr>
            <w:tcW w:w="713" w:type="dxa"/>
            <w:tcBorders>
              <w:top w:val="single" w:sz="4" w:space="0" w:color="auto"/>
              <w:left w:val="nil"/>
              <w:bottom w:val="single" w:sz="4" w:space="0" w:color="auto"/>
              <w:right w:val="single" w:sz="4" w:space="0" w:color="auto"/>
            </w:tcBorders>
            <w:shd w:val="clear" w:color="000000" w:fill="auto"/>
            <w:noWrap/>
            <w:vAlign w:val="center"/>
            <w:hideMark/>
          </w:tcPr>
          <w:p w14:paraId="214E9477" w14:textId="77777777" w:rsidR="004D090E" w:rsidRPr="00D15CEE" w:rsidRDefault="004D090E" w:rsidP="004D090E">
            <w:pPr>
              <w:spacing w:after="0" w:line="240" w:lineRule="auto"/>
              <w:jc w:val="center"/>
              <w:rPr>
                <w:rFonts w:ascii="Cambria" w:eastAsia="Times New Roman" w:hAnsi="Cambria" w:cs="Helvetica"/>
                <w:sz w:val="18"/>
                <w:szCs w:val="18"/>
                <w:lang w:eastAsia="ko-KR"/>
              </w:rPr>
            </w:pPr>
            <w:r w:rsidRPr="00D15CEE">
              <w:rPr>
                <w:rFonts w:ascii="Cambria" w:eastAsia="Times New Roman" w:hAnsi="Cambria" w:cs="Helvetica"/>
                <w:sz w:val="18"/>
                <w:szCs w:val="18"/>
                <w:lang w:eastAsia="ko-KR"/>
              </w:rPr>
              <w:t>127</w:t>
            </w:r>
          </w:p>
        </w:tc>
        <w:tc>
          <w:tcPr>
            <w:tcW w:w="1087" w:type="dxa"/>
            <w:tcBorders>
              <w:top w:val="single" w:sz="4" w:space="0" w:color="auto"/>
              <w:left w:val="nil"/>
              <w:bottom w:val="single" w:sz="4" w:space="0" w:color="auto"/>
              <w:right w:val="single" w:sz="4" w:space="0" w:color="auto"/>
            </w:tcBorders>
            <w:shd w:val="clear" w:color="000000" w:fill="auto"/>
            <w:noWrap/>
            <w:vAlign w:val="center"/>
            <w:hideMark/>
          </w:tcPr>
          <w:p w14:paraId="5EA24A4F" w14:textId="77777777" w:rsidR="004D090E" w:rsidRPr="00D15CEE" w:rsidRDefault="004D090E" w:rsidP="004D090E">
            <w:pPr>
              <w:spacing w:after="0" w:line="240" w:lineRule="auto"/>
              <w:jc w:val="center"/>
              <w:rPr>
                <w:rFonts w:ascii="Cambria" w:eastAsia="Times New Roman" w:hAnsi="Cambria" w:cs="Helvetica"/>
                <w:sz w:val="18"/>
                <w:szCs w:val="18"/>
                <w:lang w:eastAsia="ko-KR"/>
              </w:rPr>
            </w:pPr>
            <w:r w:rsidRPr="00D15CEE">
              <w:rPr>
                <w:rFonts w:ascii="Cambria" w:eastAsia="Times New Roman" w:hAnsi="Cambria" w:cs="Helvetica"/>
                <w:sz w:val="18"/>
                <w:szCs w:val="18"/>
                <w:lang w:eastAsia="ko-KR"/>
              </w:rPr>
              <w:t>$14,714</w:t>
            </w:r>
          </w:p>
        </w:tc>
        <w:tc>
          <w:tcPr>
            <w:tcW w:w="713" w:type="dxa"/>
            <w:tcBorders>
              <w:top w:val="single" w:sz="4" w:space="0" w:color="auto"/>
              <w:left w:val="nil"/>
              <w:bottom w:val="single" w:sz="4" w:space="0" w:color="auto"/>
              <w:right w:val="single" w:sz="4" w:space="0" w:color="auto"/>
            </w:tcBorders>
            <w:shd w:val="clear" w:color="000000" w:fill="auto"/>
            <w:noWrap/>
            <w:vAlign w:val="center"/>
            <w:hideMark/>
          </w:tcPr>
          <w:p w14:paraId="13099191" w14:textId="77777777" w:rsidR="004D090E" w:rsidRPr="00D15CEE" w:rsidRDefault="004D090E" w:rsidP="004D090E">
            <w:pPr>
              <w:spacing w:after="0" w:line="240" w:lineRule="auto"/>
              <w:jc w:val="center"/>
              <w:rPr>
                <w:rFonts w:ascii="Cambria" w:eastAsia="Times New Roman" w:hAnsi="Cambria" w:cs="Helvetica"/>
                <w:sz w:val="18"/>
                <w:szCs w:val="18"/>
                <w:lang w:eastAsia="ko-KR"/>
              </w:rPr>
            </w:pPr>
            <w:r w:rsidRPr="00D15CEE">
              <w:rPr>
                <w:rFonts w:ascii="Cambria" w:eastAsia="Times New Roman" w:hAnsi="Cambria" w:cs="Helvetica"/>
                <w:sz w:val="18"/>
                <w:szCs w:val="18"/>
                <w:lang w:eastAsia="ko-KR"/>
              </w:rPr>
              <w:t>131</w:t>
            </w:r>
          </w:p>
        </w:tc>
        <w:tc>
          <w:tcPr>
            <w:tcW w:w="997" w:type="dxa"/>
            <w:tcBorders>
              <w:top w:val="single" w:sz="4" w:space="0" w:color="auto"/>
              <w:left w:val="nil"/>
              <w:bottom w:val="single" w:sz="4" w:space="0" w:color="auto"/>
              <w:right w:val="single" w:sz="4" w:space="0" w:color="auto"/>
            </w:tcBorders>
            <w:shd w:val="clear" w:color="000000" w:fill="auto"/>
            <w:noWrap/>
            <w:vAlign w:val="center"/>
            <w:hideMark/>
          </w:tcPr>
          <w:p w14:paraId="71222B7C" w14:textId="77777777" w:rsidR="004D090E" w:rsidRPr="00D15CEE" w:rsidRDefault="004D090E" w:rsidP="004D090E">
            <w:pPr>
              <w:spacing w:after="0" w:line="240" w:lineRule="auto"/>
              <w:jc w:val="center"/>
              <w:rPr>
                <w:rFonts w:ascii="Cambria" w:eastAsia="Times New Roman" w:hAnsi="Cambria" w:cs="Helvetica"/>
                <w:sz w:val="18"/>
                <w:szCs w:val="18"/>
                <w:lang w:eastAsia="ko-KR"/>
              </w:rPr>
            </w:pPr>
            <w:r w:rsidRPr="00D15CEE">
              <w:rPr>
                <w:rFonts w:ascii="Cambria" w:eastAsia="Times New Roman" w:hAnsi="Cambria" w:cs="Helvetica"/>
                <w:sz w:val="18"/>
                <w:szCs w:val="18"/>
                <w:lang w:eastAsia="ko-KR"/>
              </w:rPr>
              <w:t>$11,434</w:t>
            </w:r>
          </w:p>
        </w:tc>
        <w:tc>
          <w:tcPr>
            <w:tcW w:w="785" w:type="dxa"/>
            <w:tcBorders>
              <w:top w:val="single" w:sz="4" w:space="0" w:color="auto"/>
              <w:left w:val="nil"/>
              <w:bottom w:val="single" w:sz="4" w:space="0" w:color="auto"/>
              <w:right w:val="single" w:sz="4" w:space="0" w:color="auto"/>
            </w:tcBorders>
            <w:shd w:val="clear" w:color="000000" w:fill="auto"/>
            <w:noWrap/>
            <w:vAlign w:val="center"/>
            <w:hideMark/>
          </w:tcPr>
          <w:p w14:paraId="46EB1CA6" w14:textId="77777777" w:rsidR="004D090E" w:rsidRPr="00D15CEE" w:rsidRDefault="004D090E" w:rsidP="004D090E">
            <w:pPr>
              <w:spacing w:after="0" w:line="240" w:lineRule="auto"/>
              <w:jc w:val="center"/>
              <w:rPr>
                <w:rFonts w:ascii="Cambria" w:eastAsia="Times New Roman" w:hAnsi="Cambria" w:cs="Helvetica"/>
                <w:sz w:val="18"/>
                <w:szCs w:val="18"/>
                <w:lang w:eastAsia="ko-KR"/>
              </w:rPr>
            </w:pPr>
            <w:r w:rsidRPr="00D15CEE">
              <w:rPr>
                <w:rFonts w:ascii="Cambria" w:eastAsia="Times New Roman" w:hAnsi="Cambria" w:cs="Helvetica"/>
                <w:sz w:val="18"/>
                <w:szCs w:val="18"/>
                <w:lang w:eastAsia="ko-KR"/>
              </w:rPr>
              <w:t>96</w:t>
            </w:r>
          </w:p>
        </w:tc>
      </w:tr>
      <w:tr w:rsidR="004D090E" w:rsidRPr="00346E78" w14:paraId="0700939B" w14:textId="77777777" w:rsidTr="008D160C">
        <w:trPr>
          <w:trHeight w:val="280"/>
        </w:trPr>
        <w:tc>
          <w:tcPr>
            <w:tcW w:w="886" w:type="dxa"/>
            <w:vMerge/>
            <w:tcBorders>
              <w:top w:val="nil"/>
              <w:left w:val="single" w:sz="4" w:space="0" w:color="auto"/>
              <w:bottom w:val="single" w:sz="4" w:space="0" w:color="000000"/>
              <w:right w:val="single" w:sz="4" w:space="0" w:color="auto"/>
            </w:tcBorders>
            <w:vAlign w:val="center"/>
            <w:hideMark/>
          </w:tcPr>
          <w:p w14:paraId="352F8791" w14:textId="77777777" w:rsidR="004D090E" w:rsidRPr="00346E78" w:rsidRDefault="004D090E" w:rsidP="004D090E">
            <w:pPr>
              <w:spacing w:after="0" w:line="240" w:lineRule="auto"/>
              <w:rPr>
                <w:rFonts w:ascii="Cambria" w:eastAsia="Times New Roman" w:hAnsi="Cambria" w:cs="Helvetica"/>
                <w:sz w:val="18"/>
                <w:szCs w:val="18"/>
                <w:lang w:eastAsia="ko-KR"/>
              </w:rPr>
            </w:pPr>
          </w:p>
        </w:tc>
        <w:tc>
          <w:tcPr>
            <w:tcW w:w="1071" w:type="dxa"/>
            <w:tcBorders>
              <w:top w:val="single" w:sz="4" w:space="0" w:color="auto"/>
              <w:left w:val="nil"/>
              <w:bottom w:val="single" w:sz="4" w:space="0" w:color="auto"/>
              <w:right w:val="single" w:sz="4" w:space="0" w:color="auto"/>
            </w:tcBorders>
            <w:shd w:val="clear" w:color="000000" w:fill="auto"/>
            <w:noWrap/>
            <w:vAlign w:val="center"/>
            <w:hideMark/>
          </w:tcPr>
          <w:p w14:paraId="7B7090FA" w14:textId="77777777" w:rsidR="004D090E" w:rsidRPr="00346E78" w:rsidRDefault="004D090E" w:rsidP="004D090E">
            <w:pPr>
              <w:spacing w:after="0" w:line="240" w:lineRule="auto"/>
              <w:jc w:val="center"/>
              <w:rPr>
                <w:rFonts w:ascii="Cambria" w:eastAsia="Times New Roman" w:hAnsi="Cambria" w:cs="Helvetica"/>
                <w:sz w:val="18"/>
                <w:szCs w:val="18"/>
                <w:lang w:eastAsia="ko-KR"/>
              </w:rPr>
            </w:pPr>
            <w:r w:rsidRPr="00346E78">
              <w:rPr>
                <w:rFonts w:ascii="Cambria" w:eastAsia="Times New Roman" w:hAnsi="Cambria" w:cs="Helvetica"/>
                <w:sz w:val="18"/>
                <w:szCs w:val="18"/>
                <w:lang w:eastAsia="ko-KR"/>
              </w:rPr>
              <w:t>B/A</w:t>
            </w:r>
          </w:p>
        </w:tc>
        <w:tc>
          <w:tcPr>
            <w:tcW w:w="1080" w:type="dxa"/>
            <w:tcBorders>
              <w:top w:val="single" w:sz="4" w:space="0" w:color="auto"/>
              <w:left w:val="nil"/>
              <w:bottom w:val="single" w:sz="4" w:space="0" w:color="auto"/>
              <w:right w:val="single" w:sz="4" w:space="0" w:color="auto"/>
            </w:tcBorders>
            <w:shd w:val="clear" w:color="000000" w:fill="auto"/>
            <w:noWrap/>
            <w:vAlign w:val="center"/>
            <w:hideMark/>
          </w:tcPr>
          <w:p w14:paraId="2876B5B7" w14:textId="77777777" w:rsidR="004D090E" w:rsidRPr="00D15CEE" w:rsidRDefault="004D090E" w:rsidP="004D090E">
            <w:pPr>
              <w:spacing w:after="0" w:line="240" w:lineRule="auto"/>
              <w:jc w:val="center"/>
              <w:rPr>
                <w:rFonts w:ascii="Cambria" w:eastAsia="Times New Roman" w:hAnsi="Cambria" w:cs="Helvetica"/>
                <w:sz w:val="18"/>
                <w:szCs w:val="18"/>
                <w:lang w:eastAsia="ko-KR"/>
              </w:rPr>
            </w:pPr>
            <w:r w:rsidRPr="00D15CEE">
              <w:rPr>
                <w:rFonts w:ascii="Cambria" w:eastAsia="Times New Roman" w:hAnsi="Cambria" w:cs="Helvetica"/>
                <w:sz w:val="18"/>
                <w:szCs w:val="18"/>
                <w:lang w:eastAsia="ko-KR"/>
              </w:rPr>
              <w:t>21.7%</w:t>
            </w:r>
          </w:p>
        </w:tc>
        <w:tc>
          <w:tcPr>
            <w:tcW w:w="713" w:type="dxa"/>
            <w:tcBorders>
              <w:top w:val="single" w:sz="4" w:space="0" w:color="auto"/>
              <w:left w:val="nil"/>
              <w:bottom w:val="single" w:sz="4" w:space="0" w:color="auto"/>
              <w:right w:val="single" w:sz="4" w:space="0" w:color="auto"/>
            </w:tcBorders>
            <w:shd w:val="clear" w:color="000000" w:fill="auto"/>
            <w:noWrap/>
            <w:vAlign w:val="center"/>
            <w:hideMark/>
          </w:tcPr>
          <w:p w14:paraId="6D2600B9" w14:textId="77777777" w:rsidR="004D090E" w:rsidRPr="00D15CEE" w:rsidRDefault="004D090E" w:rsidP="004D090E">
            <w:pPr>
              <w:spacing w:after="0" w:line="240" w:lineRule="auto"/>
              <w:jc w:val="center"/>
              <w:rPr>
                <w:rFonts w:ascii="Cambria" w:eastAsia="Times New Roman" w:hAnsi="Cambria" w:cs="Helvetica"/>
                <w:sz w:val="18"/>
                <w:szCs w:val="18"/>
                <w:lang w:eastAsia="ko-KR"/>
              </w:rPr>
            </w:pPr>
            <w:r w:rsidRPr="00D15CEE">
              <w:rPr>
                <w:rFonts w:ascii="Cambria" w:eastAsia="Times New Roman" w:hAnsi="Cambria" w:cs="Helvetica"/>
                <w:sz w:val="18"/>
                <w:szCs w:val="18"/>
                <w:lang w:eastAsia="ko-KR"/>
              </w:rPr>
              <w:t>46.9%</w:t>
            </w:r>
          </w:p>
        </w:tc>
        <w:tc>
          <w:tcPr>
            <w:tcW w:w="1087" w:type="dxa"/>
            <w:tcBorders>
              <w:top w:val="single" w:sz="4" w:space="0" w:color="auto"/>
              <w:left w:val="nil"/>
              <w:bottom w:val="single" w:sz="4" w:space="0" w:color="auto"/>
              <w:right w:val="single" w:sz="4" w:space="0" w:color="auto"/>
            </w:tcBorders>
            <w:shd w:val="clear" w:color="000000" w:fill="auto"/>
            <w:noWrap/>
            <w:vAlign w:val="center"/>
            <w:hideMark/>
          </w:tcPr>
          <w:p w14:paraId="65F6B1D7" w14:textId="77777777" w:rsidR="004D090E" w:rsidRPr="00D15CEE" w:rsidRDefault="004D090E" w:rsidP="004D090E">
            <w:pPr>
              <w:spacing w:after="0" w:line="240" w:lineRule="auto"/>
              <w:jc w:val="center"/>
              <w:rPr>
                <w:rFonts w:ascii="Cambria" w:eastAsia="Times New Roman" w:hAnsi="Cambria" w:cs="Helvetica"/>
                <w:sz w:val="18"/>
                <w:szCs w:val="18"/>
                <w:lang w:eastAsia="ko-KR"/>
              </w:rPr>
            </w:pPr>
            <w:r w:rsidRPr="00D15CEE">
              <w:rPr>
                <w:rFonts w:ascii="Cambria" w:eastAsia="Times New Roman" w:hAnsi="Cambria" w:cs="Helvetica"/>
                <w:sz w:val="18"/>
                <w:szCs w:val="18"/>
                <w:lang w:eastAsia="ko-KR"/>
              </w:rPr>
              <w:t>22.5%</w:t>
            </w:r>
          </w:p>
        </w:tc>
        <w:tc>
          <w:tcPr>
            <w:tcW w:w="713" w:type="dxa"/>
            <w:tcBorders>
              <w:top w:val="single" w:sz="4" w:space="0" w:color="auto"/>
              <w:left w:val="nil"/>
              <w:bottom w:val="single" w:sz="4" w:space="0" w:color="auto"/>
              <w:right w:val="single" w:sz="4" w:space="0" w:color="auto"/>
            </w:tcBorders>
            <w:shd w:val="clear" w:color="000000" w:fill="auto"/>
            <w:noWrap/>
            <w:vAlign w:val="center"/>
            <w:hideMark/>
          </w:tcPr>
          <w:p w14:paraId="44117007" w14:textId="77777777" w:rsidR="004D090E" w:rsidRPr="00D15CEE" w:rsidRDefault="004D090E" w:rsidP="004D090E">
            <w:pPr>
              <w:spacing w:after="0" w:line="240" w:lineRule="auto"/>
              <w:jc w:val="center"/>
              <w:rPr>
                <w:rFonts w:ascii="Cambria" w:eastAsia="Times New Roman" w:hAnsi="Cambria" w:cs="Helvetica"/>
                <w:sz w:val="18"/>
                <w:szCs w:val="18"/>
                <w:lang w:eastAsia="ko-KR"/>
              </w:rPr>
            </w:pPr>
            <w:r w:rsidRPr="00D15CEE">
              <w:rPr>
                <w:rFonts w:ascii="Cambria" w:eastAsia="Times New Roman" w:hAnsi="Cambria" w:cs="Helvetica"/>
                <w:sz w:val="18"/>
                <w:szCs w:val="18"/>
                <w:lang w:eastAsia="ko-KR"/>
              </w:rPr>
              <w:t>39.4%</w:t>
            </w:r>
          </w:p>
        </w:tc>
        <w:tc>
          <w:tcPr>
            <w:tcW w:w="1087" w:type="dxa"/>
            <w:tcBorders>
              <w:top w:val="single" w:sz="4" w:space="0" w:color="auto"/>
              <w:left w:val="nil"/>
              <w:bottom w:val="single" w:sz="4" w:space="0" w:color="auto"/>
              <w:right w:val="single" w:sz="4" w:space="0" w:color="auto"/>
            </w:tcBorders>
            <w:shd w:val="clear" w:color="000000" w:fill="auto"/>
            <w:noWrap/>
            <w:vAlign w:val="center"/>
            <w:hideMark/>
          </w:tcPr>
          <w:p w14:paraId="6C039E19" w14:textId="77777777" w:rsidR="004D090E" w:rsidRPr="00D15CEE" w:rsidRDefault="004D090E" w:rsidP="004D090E">
            <w:pPr>
              <w:spacing w:after="0" w:line="240" w:lineRule="auto"/>
              <w:jc w:val="center"/>
              <w:rPr>
                <w:rFonts w:ascii="Cambria" w:eastAsia="Times New Roman" w:hAnsi="Cambria" w:cs="Helvetica"/>
                <w:sz w:val="18"/>
                <w:szCs w:val="18"/>
                <w:lang w:eastAsia="ko-KR"/>
              </w:rPr>
            </w:pPr>
            <w:r w:rsidRPr="00D15CEE">
              <w:rPr>
                <w:rFonts w:ascii="Cambria" w:eastAsia="Times New Roman" w:hAnsi="Cambria" w:cs="Helvetica"/>
                <w:sz w:val="18"/>
                <w:szCs w:val="18"/>
                <w:lang w:eastAsia="ko-KR"/>
              </w:rPr>
              <w:t>$23.7%</w:t>
            </w:r>
          </w:p>
        </w:tc>
        <w:tc>
          <w:tcPr>
            <w:tcW w:w="713" w:type="dxa"/>
            <w:tcBorders>
              <w:top w:val="single" w:sz="4" w:space="0" w:color="auto"/>
              <w:left w:val="nil"/>
              <w:bottom w:val="single" w:sz="4" w:space="0" w:color="auto"/>
              <w:right w:val="single" w:sz="4" w:space="0" w:color="auto"/>
            </w:tcBorders>
            <w:shd w:val="clear" w:color="000000" w:fill="auto"/>
            <w:noWrap/>
            <w:vAlign w:val="center"/>
            <w:hideMark/>
          </w:tcPr>
          <w:p w14:paraId="61D511F3" w14:textId="77777777" w:rsidR="004D090E" w:rsidRPr="00D15CEE" w:rsidRDefault="004D090E" w:rsidP="004D090E">
            <w:pPr>
              <w:spacing w:after="0" w:line="240" w:lineRule="auto"/>
              <w:jc w:val="center"/>
              <w:rPr>
                <w:rFonts w:ascii="Cambria" w:eastAsia="Times New Roman" w:hAnsi="Cambria" w:cs="Helvetica"/>
                <w:sz w:val="18"/>
                <w:szCs w:val="18"/>
                <w:lang w:eastAsia="ko-KR"/>
              </w:rPr>
            </w:pPr>
            <w:r w:rsidRPr="00D15CEE">
              <w:rPr>
                <w:rFonts w:ascii="Cambria" w:eastAsia="Times New Roman" w:hAnsi="Cambria" w:cs="Helvetica"/>
                <w:sz w:val="18"/>
                <w:szCs w:val="18"/>
                <w:lang w:eastAsia="ko-KR"/>
              </w:rPr>
              <w:t>45.3%</w:t>
            </w:r>
          </w:p>
        </w:tc>
        <w:tc>
          <w:tcPr>
            <w:tcW w:w="997" w:type="dxa"/>
            <w:tcBorders>
              <w:top w:val="single" w:sz="4" w:space="0" w:color="auto"/>
              <w:left w:val="nil"/>
              <w:bottom w:val="single" w:sz="4" w:space="0" w:color="auto"/>
              <w:right w:val="single" w:sz="4" w:space="0" w:color="auto"/>
            </w:tcBorders>
            <w:shd w:val="clear" w:color="000000" w:fill="auto"/>
            <w:noWrap/>
            <w:vAlign w:val="center"/>
            <w:hideMark/>
          </w:tcPr>
          <w:p w14:paraId="461E94A2" w14:textId="77777777" w:rsidR="004D090E" w:rsidRPr="00D15CEE" w:rsidRDefault="004D090E" w:rsidP="004D090E">
            <w:pPr>
              <w:spacing w:after="0" w:line="240" w:lineRule="auto"/>
              <w:jc w:val="center"/>
              <w:rPr>
                <w:rFonts w:ascii="Cambria" w:eastAsia="Times New Roman" w:hAnsi="Cambria" w:cs="Helvetica"/>
                <w:sz w:val="18"/>
                <w:szCs w:val="18"/>
                <w:lang w:eastAsia="ko-KR"/>
              </w:rPr>
            </w:pPr>
            <w:r w:rsidRPr="00D15CEE">
              <w:rPr>
                <w:rFonts w:ascii="Cambria" w:eastAsia="Times New Roman" w:hAnsi="Cambria" w:cs="Helvetica"/>
                <w:sz w:val="18"/>
                <w:szCs w:val="18"/>
                <w:lang w:eastAsia="ko-KR"/>
              </w:rPr>
              <w:t>49.3%</w:t>
            </w:r>
          </w:p>
        </w:tc>
        <w:tc>
          <w:tcPr>
            <w:tcW w:w="785" w:type="dxa"/>
            <w:tcBorders>
              <w:top w:val="single" w:sz="4" w:space="0" w:color="auto"/>
              <w:left w:val="nil"/>
              <w:bottom w:val="single" w:sz="4" w:space="0" w:color="auto"/>
              <w:right w:val="single" w:sz="4" w:space="0" w:color="auto"/>
            </w:tcBorders>
            <w:shd w:val="clear" w:color="000000" w:fill="auto"/>
            <w:noWrap/>
            <w:vAlign w:val="center"/>
            <w:hideMark/>
          </w:tcPr>
          <w:p w14:paraId="1E38E046" w14:textId="77777777" w:rsidR="004D090E" w:rsidRPr="00D15CEE" w:rsidRDefault="004D090E" w:rsidP="004D090E">
            <w:pPr>
              <w:spacing w:after="0" w:line="240" w:lineRule="auto"/>
              <w:jc w:val="center"/>
              <w:rPr>
                <w:rFonts w:ascii="Cambria" w:eastAsia="Times New Roman" w:hAnsi="Cambria" w:cs="Helvetica"/>
                <w:sz w:val="18"/>
                <w:szCs w:val="18"/>
                <w:lang w:eastAsia="ko-KR"/>
              </w:rPr>
            </w:pPr>
            <w:r w:rsidRPr="00D15CEE">
              <w:rPr>
                <w:rFonts w:ascii="Cambria" w:eastAsia="Times New Roman" w:hAnsi="Cambria" w:cs="Helvetica"/>
                <w:sz w:val="18"/>
                <w:szCs w:val="18"/>
                <w:lang w:eastAsia="ko-KR"/>
              </w:rPr>
              <w:t>47.5%</w:t>
            </w:r>
          </w:p>
        </w:tc>
      </w:tr>
      <w:tr w:rsidR="004D090E" w:rsidRPr="00346E78" w14:paraId="44BAEC4E" w14:textId="77777777" w:rsidTr="008D160C">
        <w:trPr>
          <w:trHeight w:val="810"/>
        </w:trPr>
        <w:tc>
          <w:tcPr>
            <w:tcW w:w="886" w:type="dxa"/>
            <w:tcBorders>
              <w:top w:val="nil"/>
              <w:left w:val="single" w:sz="4" w:space="0" w:color="auto"/>
              <w:bottom w:val="single" w:sz="4" w:space="0" w:color="auto"/>
              <w:right w:val="single" w:sz="4" w:space="0" w:color="auto"/>
            </w:tcBorders>
            <w:shd w:val="clear" w:color="auto" w:fill="auto"/>
            <w:vAlign w:val="center"/>
            <w:hideMark/>
          </w:tcPr>
          <w:p w14:paraId="3C2B614C" w14:textId="77777777" w:rsidR="004D090E" w:rsidRPr="00346E78" w:rsidRDefault="004D090E" w:rsidP="004D090E">
            <w:pPr>
              <w:spacing w:after="0" w:line="240" w:lineRule="auto"/>
              <w:jc w:val="center"/>
              <w:rPr>
                <w:rFonts w:ascii="Cambria" w:eastAsia="Times New Roman" w:hAnsi="Cambria" w:cs="Helvetica"/>
                <w:sz w:val="18"/>
                <w:szCs w:val="18"/>
                <w:lang w:eastAsia="ko-KR"/>
              </w:rPr>
            </w:pPr>
            <w:r w:rsidRPr="00346E78">
              <w:rPr>
                <w:rFonts w:ascii="Cambria" w:eastAsia="Times New Roman" w:hAnsi="Cambria" w:cs="Helvetica"/>
                <w:sz w:val="18"/>
                <w:szCs w:val="18"/>
                <w:lang w:eastAsia="ko-KR"/>
              </w:rPr>
              <w:t>Personal Income Tax</w:t>
            </w:r>
          </w:p>
        </w:tc>
        <w:tc>
          <w:tcPr>
            <w:tcW w:w="1071" w:type="dxa"/>
            <w:tcBorders>
              <w:top w:val="single" w:sz="4" w:space="0" w:color="auto"/>
              <w:left w:val="nil"/>
              <w:bottom w:val="single" w:sz="4" w:space="0" w:color="auto"/>
              <w:right w:val="single" w:sz="4" w:space="0" w:color="auto"/>
            </w:tcBorders>
            <w:shd w:val="clear" w:color="000000" w:fill="auto"/>
            <w:vAlign w:val="center"/>
            <w:hideMark/>
          </w:tcPr>
          <w:p w14:paraId="67407F18" w14:textId="77777777" w:rsidR="004D090E" w:rsidRPr="00346E78" w:rsidRDefault="004D090E" w:rsidP="004D090E">
            <w:pPr>
              <w:spacing w:after="0" w:line="240" w:lineRule="auto"/>
              <w:jc w:val="center"/>
              <w:rPr>
                <w:rFonts w:ascii="Cambria" w:eastAsia="Times New Roman" w:hAnsi="Cambria" w:cs="Helvetica"/>
                <w:sz w:val="18"/>
                <w:szCs w:val="18"/>
                <w:lang w:eastAsia="ko-KR"/>
              </w:rPr>
            </w:pPr>
            <w:r w:rsidRPr="00346E78">
              <w:rPr>
                <w:rFonts w:ascii="Cambria" w:eastAsia="Times New Roman" w:hAnsi="Cambria" w:cs="Helvetica"/>
                <w:sz w:val="18"/>
                <w:szCs w:val="18"/>
                <w:lang w:eastAsia="ko-KR"/>
              </w:rPr>
              <w:t>Claimed</w:t>
            </w:r>
            <w:r>
              <w:rPr>
                <w:rFonts w:ascii="Cambria" w:eastAsia="Times New Roman" w:hAnsi="Cambria" w:cs="Helvetica"/>
                <w:sz w:val="18"/>
                <w:szCs w:val="18"/>
                <w:lang w:eastAsia="ko-KR"/>
              </w:rPr>
              <w:t xml:space="preserve"> </w:t>
            </w:r>
            <w:r w:rsidR="001076D7">
              <w:rPr>
                <w:rFonts w:ascii="Cambria" w:eastAsia="Times New Roman" w:hAnsi="Cambria" w:cs="Helvetica"/>
                <w:sz w:val="18"/>
                <w:szCs w:val="18"/>
                <w:lang w:eastAsia="ko-KR"/>
              </w:rPr>
              <w:t>C</w:t>
            </w:r>
            <w:r>
              <w:rPr>
                <w:rFonts w:ascii="Cambria" w:eastAsia="Times New Roman" w:hAnsi="Cambria" w:cs="Helvetica"/>
                <w:sz w:val="18"/>
                <w:szCs w:val="18"/>
                <w:lang w:eastAsia="ko-KR"/>
              </w:rPr>
              <w:t>redit</w:t>
            </w:r>
            <w:r w:rsidRPr="00346E78">
              <w:rPr>
                <w:rFonts w:ascii="Cambria" w:eastAsia="Times New Roman" w:hAnsi="Cambria" w:cs="Helvetica"/>
                <w:sz w:val="18"/>
                <w:szCs w:val="18"/>
                <w:lang w:eastAsia="ko-KR"/>
              </w:rPr>
              <w:t xml:space="preserve"> </w:t>
            </w:r>
          </w:p>
        </w:tc>
        <w:tc>
          <w:tcPr>
            <w:tcW w:w="1080" w:type="dxa"/>
            <w:tcBorders>
              <w:top w:val="single" w:sz="4" w:space="0" w:color="auto"/>
              <w:left w:val="nil"/>
              <w:bottom w:val="single" w:sz="4" w:space="0" w:color="auto"/>
              <w:right w:val="single" w:sz="4" w:space="0" w:color="auto"/>
            </w:tcBorders>
            <w:shd w:val="clear" w:color="000000" w:fill="auto"/>
            <w:noWrap/>
            <w:vAlign w:val="center"/>
            <w:hideMark/>
          </w:tcPr>
          <w:p w14:paraId="3058976F" w14:textId="77777777" w:rsidR="004D090E" w:rsidRPr="00D15CEE" w:rsidRDefault="004D090E" w:rsidP="004D090E">
            <w:pPr>
              <w:spacing w:after="0" w:line="240" w:lineRule="auto"/>
              <w:jc w:val="center"/>
              <w:rPr>
                <w:rFonts w:ascii="Cambria" w:eastAsia="Times New Roman" w:hAnsi="Cambria" w:cs="Helvetica"/>
                <w:sz w:val="18"/>
                <w:szCs w:val="18"/>
                <w:lang w:eastAsia="ko-KR"/>
              </w:rPr>
            </w:pPr>
            <w:r w:rsidRPr="00D15CEE">
              <w:rPr>
                <w:rFonts w:ascii="Cambria" w:eastAsia="Times New Roman" w:hAnsi="Cambria" w:cs="Helvetica"/>
                <w:sz w:val="18"/>
                <w:szCs w:val="18"/>
                <w:lang w:eastAsia="ko-KR"/>
              </w:rPr>
              <w:t>$3,438</w:t>
            </w:r>
          </w:p>
        </w:tc>
        <w:tc>
          <w:tcPr>
            <w:tcW w:w="713" w:type="dxa"/>
            <w:tcBorders>
              <w:top w:val="single" w:sz="4" w:space="0" w:color="auto"/>
              <w:left w:val="nil"/>
              <w:bottom w:val="single" w:sz="4" w:space="0" w:color="auto"/>
              <w:right w:val="single" w:sz="4" w:space="0" w:color="auto"/>
            </w:tcBorders>
            <w:shd w:val="clear" w:color="000000" w:fill="auto"/>
            <w:noWrap/>
            <w:vAlign w:val="center"/>
            <w:hideMark/>
          </w:tcPr>
          <w:p w14:paraId="51B63D63" w14:textId="77777777" w:rsidR="004D090E" w:rsidRPr="00D15CEE" w:rsidRDefault="004D090E" w:rsidP="004D090E">
            <w:pPr>
              <w:spacing w:after="0" w:line="240" w:lineRule="auto"/>
              <w:jc w:val="center"/>
              <w:rPr>
                <w:rFonts w:ascii="Cambria" w:eastAsia="Times New Roman" w:hAnsi="Cambria" w:cs="Helvetica"/>
                <w:sz w:val="18"/>
                <w:szCs w:val="18"/>
                <w:lang w:eastAsia="ko-KR"/>
              </w:rPr>
            </w:pPr>
            <w:r w:rsidRPr="00D15CEE">
              <w:rPr>
                <w:rFonts w:ascii="Cambria" w:eastAsia="Times New Roman" w:hAnsi="Cambria" w:cs="Helvetica"/>
                <w:sz w:val="18"/>
                <w:szCs w:val="18"/>
                <w:lang w:eastAsia="ko-KR"/>
              </w:rPr>
              <w:t>156</w:t>
            </w:r>
          </w:p>
        </w:tc>
        <w:tc>
          <w:tcPr>
            <w:tcW w:w="1087" w:type="dxa"/>
            <w:tcBorders>
              <w:top w:val="single" w:sz="4" w:space="0" w:color="auto"/>
              <w:left w:val="nil"/>
              <w:bottom w:val="single" w:sz="4" w:space="0" w:color="auto"/>
              <w:right w:val="single" w:sz="4" w:space="0" w:color="auto"/>
            </w:tcBorders>
            <w:shd w:val="clear" w:color="000000" w:fill="auto"/>
            <w:noWrap/>
            <w:vAlign w:val="center"/>
            <w:hideMark/>
          </w:tcPr>
          <w:p w14:paraId="575DE46B" w14:textId="77777777" w:rsidR="004D090E" w:rsidRPr="00D15CEE" w:rsidRDefault="004D090E" w:rsidP="004D090E">
            <w:pPr>
              <w:spacing w:after="0" w:line="240" w:lineRule="auto"/>
              <w:jc w:val="center"/>
              <w:rPr>
                <w:rFonts w:ascii="Cambria" w:eastAsia="Times New Roman" w:hAnsi="Cambria" w:cs="Helvetica"/>
                <w:sz w:val="18"/>
                <w:szCs w:val="18"/>
                <w:lang w:eastAsia="ko-KR"/>
              </w:rPr>
            </w:pPr>
            <w:r w:rsidRPr="00D15CEE">
              <w:rPr>
                <w:rFonts w:ascii="Cambria" w:eastAsia="Times New Roman" w:hAnsi="Cambria" w:cs="Helvetica"/>
                <w:sz w:val="18"/>
                <w:szCs w:val="18"/>
                <w:lang w:eastAsia="ko-KR"/>
              </w:rPr>
              <w:t>$1,357</w:t>
            </w:r>
          </w:p>
        </w:tc>
        <w:tc>
          <w:tcPr>
            <w:tcW w:w="713" w:type="dxa"/>
            <w:tcBorders>
              <w:top w:val="single" w:sz="4" w:space="0" w:color="auto"/>
              <w:left w:val="nil"/>
              <w:bottom w:val="single" w:sz="4" w:space="0" w:color="auto"/>
              <w:right w:val="single" w:sz="4" w:space="0" w:color="auto"/>
            </w:tcBorders>
            <w:shd w:val="clear" w:color="000000" w:fill="auto"/>
            <w:noWrap/>
            <w:vAlign w:val="center"/>
            <w:hideMark/>
          </w:tcPr>
          <w:p w14:paraId="4810B476" w14:textId="77777777" w:rsidR="004D090E" w:rsidRPr="00D15CEE" w:rsidRDefault="004D090E" w:rsidP="004D090E">
            <w:pPr>
              <w:spacing w:after="0" w:line="240" w:lineRule="auto"/>
              <w:jc w:val="center"/>
              <w:rPr>
                <w:rFonts w:ascii="Cambria" w:eastAsia="Times New Roman" w:hAnsi="Cambria" w:cs="Helvetica"/>
                <w:sz w:val="18"/>
                <w:szCs w:val="18"/>
                <w:lang w:eastAsia="ko-KR"/>
              </w:rPr>
            </w:pPr>
            <w:r w:rsidRPr="00D15CEE">
              <w:rPr>
                <w:rFonts w:ascii="Cambria" w:eastAsia="Times New Roman" w:hAnsi="Cambria" w:cs="Helvetica"/>
                <w:sz w:val="18"/>
                <w:szCs w:val="18"/>
                <w:lang w:eastAsia="ko-KR"/>
              </w:rPr>
              <w:t>90</w:t>
            </w:r>
          </w:p>
        </w:tc>
        <w:tc>
          <w:tcPr>
            <w:tcW w:w="1087" w:type="dxa"/>
            <w:tcBorders>
              <w:top w:val="single" w:sz="4" w:space="0" w:color="auto"/>
              <w:left w:val="nil"/>
              <w:bottom w:val="single" w:sz="4" w:space="0" w:color="auto"/>
              <w:right w:val="single" w:sz="4" w:space="0" w:color="auto"/>
            </w:tcBorders>
            <w:shd w:val="clear" w:color="000000" w:fill="auto"/>
            <w:noWrap/>
            <w:vAlign w:val="center"/>
            <w:hideMark/>
          </w:tcPr>
          <w:p w14:paraId="43E7F9AB" w14:textId="77777777" w:rsidR="004D090E" w:rsidRPr="00D15CEE" w:rsidRDefault="004D090E" w:rsidP="004D090E">
            <w:pPr>
              <w:spacing w:after="0" w:line="240" w:lineRule="auto"/>
              <w:jc w:val="center"/>
              <w:rPr>
                <w:rFonts w:ascii="Cambria" w:eastAsia="Times New Roman" w:hAnsi="Cambria" w:cs="Helvetica"/>
                <w:sz w:val="18"/>
                <w:szCs w:val="18"/>
                <w:lang w:eastAsia="ko-KR"/>
              </w:rPr>
            </w:pPr>
            <w:r w:rsidRPr="00D15CEE">
              <w:rPr>
                <w:rFonts w:ascii="Cambria" w:eastAsia="Times New Roman" w:hAnsi="Cambria" w:cs="Helvetica"/>
                <w:sz w:val="18"/>
                <w:szCs w:val="18"/>
                <w:lang w:eastAsia="ko-KR"/>
              </w:rPr>
              <w:t>$2,019</w:t>
            </w:r>
          </w:p>
        </w:tc>
        <w:tc>
          <w:tcPr>
            <w:tcW w:w="713" w:type="dxa"/>
            <w:tcBorders>
              <w:top w:val="single" w:sz="4" w:space="0" w:color="auto"/>
              <w:left w:val="nil"/>
              <w:bottom w:val="single" w:sz="4" w:space="0" w:color="auto"/>
              <w:right w:val="single" w:sz="4" w:space="0" w:color="auto"/>
            </w:tcBorders>
            <w:shd w:val="clear" w:color="000000" w:fill="auto"/>
            <w:noWrap/>
            <w:vAlign w:val="center"/>
            <w:hideMark/>
          </w:tcPr>
          <w:p w14:paraId="3561F70E" w14:textId="77777777" w:rsidR="004D090E" w:rsidRPr="00D15CEE" w:rsidRDefault="004D090E" w:rsidP="004D090E">
            <w:pPr>
              <w:spacing w:after="0" w:line="240" w:lineRule="auto"/>
              <w:jc w:val="center"/>
              <w:rPr>
                <w:rFonts w:ascii="Cambria" w:eastAsia="Times New Roman" w:hAnsi="Cambria" w:cs="Helvetica"/>
                <w:sz w:val="18"/>
                <w:szCs w:val="18"/>
                <w:lang w:eastAsia="ko-KR"/>
              </w:rPr>
            </w:pPr>
            <w:r w:rsidRPr="00D15CEE">
              <w:rPr>
                <w:rFonts w:ascii="Cambria" w:eastAsia="Times New Roman" w:hAnsi="Cambria" w:cs="Helvetica"/>
                <w:sz w:val="18"/>
                <w:szCs w:val="18"/>
                <w:lang w:eastAsia="ko-KR"/>
              </w:rPr>
              <w:t>30</w:t>
            </w:r>
          </w:p>
        </w:tc>
        <w:tc>
          <w:tcPr>
            <w:tcW w:w="997" w:type="dxa"/>
            <w:tcBorders>
              <w:top w:val="single" w:sz="4" w:space="0" w:color="auto"/>
              <w:left w:val="nil"/>
              <w:bottom w:val="single" w:sz="4" w:space="0" w:color="auto"/>
              <w:right w:val="single" w:sz="4" w:space="0" w:color="auto"/>
            </w:tcBorders>
            <w:shd w:val="clear" w:color="000000" w:fill="auto"/>
            <w:noWrap/>
            <w:vAlign w:val="center"/>
            <w:hideMark/>
          </w:tcPr>
          <w:p w14:paraId="0A4F9713" w14:textId="77777777" w:rsidR="004D090E" w:rsidRPr="00D15CEE" w:rsidRDefault="004D090E" w:rsidP="004D090E">
            <w:pPr>
              <w:spacing w:after="0" w:line="240" w:lineRule="auto"/>
              <w:jc w:val="center"/>
              <w:rPr>
                <w:rFonts w:ascii="Cambria" w:eastAsia="Times New Roman" w:hAnsi="Cambria" w:cs="Helvetica"/>
                <w:sz w:val="18"/>
                <w:szCs w:val="18"/>
                <w:lang w:eastAsia="ko-KR"/>
              </w:rPr>
            </w:pPr>
            <w:r w:rsidRPr="00D15CEE">
              <w:rPr>
                <w:rFonts w:ascii="Cambria" w:eastAsia="Times New Roman" w:hAnsi="Cambria" w:cs="Helvetica"/>
                <w:sz w:val="18"/>
                <w:szCs w:val="18"/>
                <w:lang w:eastAsia="ko-KR"/>
              </w:rPr>
              <w:t>$828</w:t>
            </w:r>
          </w:p>
        </w:tc>
        <w:tc>
          <w:tcPr>
            <w:tcW w:w="785" w:type="dxa"/>
            <w:tcBorders>
              <w:top w:val="single" w:sz="4" w:space="0" w:color="auto"/>
              <w:left w:val="nil"/>
              <w:bottom w:val="single" w:sz="4" w:space="0" w:color="auto"/>
              <w:right w:val="single" w:sz="4" w:space="0" w:color="auto"/>
            </w:tcBorders>
            <w:shd w:val="clear" w:color="000000" w:fill="auto"/>
            <w:noWrap/>
            <w:vAlign w:val="center"/>
            <w:hideMark/>
          </w:tcPr>
          <w:p w14:paraId="2A637637" w14:textId="77777777" w:rsidR="004D090E" w:rsidRPr="00D15CEE" w:rsidRDefault="004D090E" w:rsidP="004D090E">
            <w:pPr>
              <w:spacing w:after="0" w:line="240" w:lineRule="auto"/>
              <w:jc w:val="center"/>
              <w:rPr>
                <w:rFonts w:ascii="Cambria" w:eastAsia="Times New Roman" w:hAnsi="Cambria" w:cs="Helvetica"/>
                <w:sz w:val="18"/>
                <w:szCs w:val="18"/>
                <w:lang w:eastAsia="ko-KR"/>
              </w:rPr>
            </w:pPr>
            <w:r w:rsidRPr="00D15CEE">
              <w:rPr>
                <w:rFonts w:ascii="Cambria" w:eastAsia="Times New Roman" w:hAnsi="Cambria" w:cs="Helvetica"/>
                <w:sz w:val="18"/>
                <w:szCs w:val="18"/>
                <w:lang w:eastAsia="ko-KR"/>
              </w:rPr>
              <w:t>6</w:t>
            </w:r>
          </w:p>
        </w:tc>
      </w:tr>
      <w:tr w:rsidR="004D090E" w:rsidRPr="00346E78" w14:paraId="5C276634" w14:textId="77777777" w:rsidTr="008D160C">
        <w:trPr>
          <w:trHeight w:val="600"/>
        </w:trPr>
        <w:tc>
          <w:tcPr>
            <w:tcW w:w="8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083B62" w14:textId="77777777" w:rsidR="004D090E" w:rsidRPr="00346E78" w:rsidRDefault="004D090E" w:rsidP="004D090E">
            <w:pPr>
              <w:spacing w:after="0" w:line="240" w:lineRule="auto"/>
              <w:jc w:val="center"/>
              <w:rPr>
                <w:rFonts w:ascii="Cambria" w:eastAsia="Times New Roman" w:hAnsi="Cambria" w:cs="Helvetica"/>
                <w:sz w:val="18"/>
                <w:szCs w:val="18"/>
                <w:lang w:eastAsia="ko-KR"/>
              </w:rPr>
            </w:pPr>
            <w:r w:rsidRPr="00346E78">
              <w:rPr>
                <w:rFonts w:ascii="Cambria" w:eastAsia="Times New Roman" w:hAnsi="Cambria" w:cs="Helvetica"/>
                <w:sz w:val="18"/>
                <w:szCs w:val="18"/>
                <w:lang w:eastAsia="ko-KR"/>
              </w:rPr>
              <w:t>All</w:t>
            </w:r>
          </w:p>
        </w:tc>
        <w:tc>
          <w:tcPr>
            <w:tcW w:w="1071" w:type="dxa"/>
            <w:tcBorders>
              <w:top w:val="single" w:sz="4" w:space="0" w:color="auto"/>
              <w:left w:val="nil"/>
              <w:bottom w:val="single" w:sz="4" w:space="0" w:color="auto"/>
              <w:right w:val="single" w:sz="4" w:space="0" w:color="auto"/>
            </w:tcBorders>
            <w:shd w:val="clear" w:color="000000" w:fill="auto"/>
            <w:vAlign w:val="center"/>
            <w:hideMark/>
          </w:tcPr>
          <w:p w14:paraId="20DB10A5" w14:textId="77777777" w:rsidR="004D090E" w:rsidRPr="00346E78" w:rsidRDefault="004D090E" w:rsidP="004D090E">
            <w:pPr>
              <w:spacing w:after="0" w:line="240" w:lineRule="auto"/>
              <w:jc w:val="center"/>
              <w:rPr>
                <w:rFonts w:ascii="Cambria" w:eastAsia="Times New Roman" w:hAnsi="Cambria" w:cs="Helvetica"/>
                <w:sz w:val="18"/>
                <w:szCs w:val="18"/>
                <w:lang w:eastAsia="ko-KR"/>
              </w:rPr>
            </w:pPr>
            <w:r w:rsidRPr="00346E78">
              <w:rPr>
                <w:rFonts w:ascii="Cambria" w:eastAsia="Times New Roman" w:hAnsi="Cambria" w:cs="Helvetica"/>
                <w:sz w:val="18"/>
                <w:szCs w:val="18"/>
                <w:lang w:eastAsia="ko-KR"/>
              </w:rPr>
              <w:t xml:space="preserve">Claimed plus </w:t>
            </w:r>
            <w:r w:rsidR="001076D7">
              <w:rPr>
                <w:rFonts w:ascii="Cambria" w:eastAsia="Times New Roman" w:hAnsi="Cambria" w:cs="Helvetica"/>
                <w:sz w:val="18"/>
                <w:szCs w:val="18"/>
                <w:lang w:eastAsia="ko-KR"/>
              </w:rPr>
              <w:t>S</w:t>
            </w:r>
            <w:r w:rsidRPr="00346E78">
              <w:rPr>
                <w:rFonts w:ascii="Cambria" w:eastAsia="Times New Roman" w:hAnsi="Cambria" w:cs="Helvetica"/>
                <w:sz w:val="18"/>
                <w:szCs w:val="18"/>
                <w:lang w:eastAsia="ko-KR"/>
              </w:rPr>
              <w:t xml:space="preserve">hared </w:t>
            </w:r>
            <w:r w:rsidR="001076D7">
              <w:rPr>
                <w:rFonts w:ascii="Cambria" w:eastAsia="Times New Roman" w:hAnsi="Cambria" w:cs="Helvetica"/>
                <w:sz w:val="18"/>
                <w:szCs w:val="18"/>
                <w:lang w:eastAsia="ko-KR"/>
              </w:rPr>
              <w:t>C</w:t>
            </w:r>
            <w:r>
              <w:rPr>
                <w:rFonts w:ascii="Cambria" w:eastAsia="Times New Roman" w:hAnsi="Cambria" w:cs="Helvetica"/>
                <w:sz w:val="18"/>
                <w:szCs w:val="18"/>
                <w:lang w:eastAsia="ko-KR"/>
              </w:rPr>
              <w:t>redit</w:t>
            </w:r>
          </w:p>
        </w:tc>
        <w:tc>
          <w:tcPr>
            <w:tcW w:w="1080" w:type="dxa"/>
            <w:tcBorders>
              <w:top w:val="single" w:sz="4" w:space="0" w:color="auto"/>
              <w:left w:val="nil"/>
              <w:bottom w:val="single" w:sz="4" w:space="0" w:color="auto"/>
              <w:right w:val="single" w:sz="4" w:space="0" w:color="auto"/>
            </w:tcBorders>
            <w:shd w:val="clear" w:color="000000" w:fill="auto"/>
            <w:noWrap/>
            <w:vAlign w:val="center"/>
            <w:hideMark/>
          </w:tcPr>
          <w:p w14:paraId="0F1A4EF4" w14:textId="77777777" w:rsidR="004D090E" w:rsidRPr="00346E78" w:rsidRDefault="004D090E" w:rsidP="004D090E">
            <w:pPr>
              <w:spacing w:after="0" w:line="240" w:lineRule="auto"/>
              <w:jc w:val="center"/>
              <w:rPr>
                <w:rFonts w:ascii="Cambria" w:eastAsia="Times New Roman" w:hAnsi="Cambria" w:cs="Helvetica"/>
                <w:sz w:val="18"/>
                <w:szCs w:val="18"/>
                <w:lang w:eastAsia="ko-KR"/>
              </w:rPr>
            </w:pPr>
            <w:r>
              <w:rPr>
                <w:rFonts w:ascii="Cambria" w:eastAsia="Times New Roman" w:hAnsi="Cambria" w:cs="Helvetica"/>
                <w:sz w:val="18"/>
                <w:szCs w:val="18"/>
                <w:lang w:eastAsia="ko-KR"/>
              </w:rPr>
              <w:t>$</w:t>
            </w:r>
            <w:r w:rsidRPr="00346E78">
              <w:rPr>
                <w:rFonts w:ascii="Cambria" w:eastAsia="Times New Roman" w:hAnsi="Cambria" w:cs="Helvetica"/>
                <w:sz w:val="18"/>
                <w:szCs w:val="18"/>
                <w:lang w:eastAsia="ko-KR"/>
              </w:rPr>
              <w:t>28,173</w:t>
            </w:r>
          </w:p>
        </w:tc>
        <w:tc>
          <w:tcPr>
            <w:tcW w:w="713" w:type="dxa"/>
            <w:tcBorders>
              <w:top w:val="single" w:sz="4" w:space="0" w:color="auto"/>
              <w:left w:val="nil"/>
              <w:bottom w:val="single" w:sz="4" w:space="0" w:color="auto"/>
              <w:right w:val="single" w:sz="4" w:space="0" w:color="auto"/>
            </w:tcBorders>
            <w:shd w:val="clear" w:color="000000" w:fill="auto"/>
            <w:noWrap/>
            <w:vAlign w:val="center"/>
            <w:hideMark/>
          </w:tcPr>
          <w:p w14:paraId="7F53A547" w14:textId="77777777" w:rsidR="004D090E" w:rsidRPr="00346E78" w:rsidRDefault="004D090E" w:rsidP="004D090E">
            <w:pPr>
              <w:spacing w:after="0" w:line="240" w:lineRule="auto"/>
              <w:jc w:val="center"/>
              <w:rPr>
                <w:rFonts w:ascii="Cambria" w:eastAsia="Times New Roman" w:hAnsi="Cambria" w:cs="Helvetica"/>
                <w:sz w:val="18"/>
                <w:szCs w:val="18"/>
                <w:lang w:eastAsia="ko-KR"/>
              </w:rPr>
            </w:pPr>
            <w:r w:rsidRPr="00346E78">
              <w:rPr>
                <w:rFonts w:ascii="Cambria" w:eastAsia="Times New Roman" w:hAnsi="Cambria" w:cs="Helvetica"/>
                <w:sz w:val="18"/>
                <w:szCs w:val="18"/>
                <w:lang w:eastAsia="ko-KR"/>
              </w:rPr>
              <w:t>329</w:t>
            </w:r>
          </w:p>
        </w:tc>
        <w:tc>
          <w:tcPr>
            <w:tcW w:w="1087" w:type="dxa"/>
            <w:tcBorders>
              <w:top w:val="single" w:sz="4" w:space="0" w:color="auto"/>
              <w:left w:val="nil"/>
              <w:bottom w:val="single" w:sz="4" w:space="0" w:color="auto"/>
              <w:right w:val="single" w:sz="4" w:space="0" w:color="auto"/>
            </w:tcBorders>
            <w:shd w:val="clear" w:color="000000" w:fill="auto"/>
            <w:noWrap/>
            <w:vAlign w:val="center"/>
            <w:hideMark/>
          </w:tcPr>
          <w:p w14:paraId="46F88F4D" w14:textId="77777777" w:rsidR="004D090E" w:rsidRPr="00346E78" w:rsidRDefault="004D090E" w:rsidP="004D090E">
            <w:pPr>
              <w:spacing w:after="0" w:line="240" w:lineRule="auto"/>
              <w:jc w:val="center"/>
              <w:rPr>
                <w:rFonts w:ascii="Cambria" w:eastAsia="Times New Roman" w:hAnsi="Cambria" w:cs="Helvetica"/>
                <w:sz w:val="18"/>
                <w:szCs w:val="18"/>
                <w:lang w:eastAsia="ko-KR"/>
              </w:rPr>
            </w:pPr>
            <w:r>
              <w:rPr>
                <w:rFonts w:ascii="Cambria" w:eastAsia="Times New Roman" w:hAnsi="Cambria" w:cs="Helvetica"/>
                <w:sz w:val="18"/>
                <w:szCs w:val="18"/>
                <w:lang w:eastAsia="ko-KR"/>
              </w:rPr>
              <w:t>$</w:t>
            </w:r>
            <w:r w:rsidRPr="00346E78">
              <w:rPr>
                <w:rFonts w:ascii="Cambria" w:eastAsia="Times New Roman" w:hAnsi="Cambria" w:cs="Helvetica"/>
                <w:sz w:val="18"/>
                <w:szCs w:val="18"/>
                <w:lang w:eastAsia="ko-KR"/>
              </w:rPr>
              <w:t>25,587</w:t>
            </w:r>
          </w:p>
        </w:tc>
        <w:tc>
          <w:tcPr>
            <w:tcW w:w="713" w:type="dxa"/>
            <w:tcBorders>
              <w:top w:val="single" w:sz="4" w:space="0" w:color="auto"/>
              <w:left w:val="nil"/>
              <w:bottom w:val="single" w:sz="4" w:space="0" w:color="auto"/>
              <w:right w:val="single" w:sz="4" w:space="0" w:color="auto"/>
            </w:tcBorders>
            <w:shd w:val="clear" w:color="000000" w:fill="auto"/>
            <w:noWrap/>
            <w:vAlign w:val="center"/>
            <w:hideMark/>
          </w:tcPr>
          <w:p w14:paraId="489E5636" w14:textId="77777777" w:rsidR="004D090E" w:rsidRPr="00346E78" w:rsidRDefault="004D090E" w:rsidP="004D090E">
            <w:pPr>
              <w:spacing w:after="0" w:line="240" w:lineRule="auto"/>
              <w:jc w:val="center"/>
              <w:rPr>
                <w:rFonts w:ascii="Cambria" w:eastAsia="Times New Roman" w:hAnsi="Cambria" w:cs="Helvetica"/>
                <w:sz w:val="18"/>
                <w:szCs w:val="18"/>
                <w:lang w:eastAsia="ko-KR"/>
              </w:rPr>
            </w:pPr>
            <w:r w:rsidRPr="00346E78">
              <w:rPr>
                <w:rFonts w:ascii="Cambria" w:eastAsia="Times New Roman" w:hAnsi="Cambria" w:cs="Helvetica"/>
                <w:sz w:val="18"/>
                <w:szCs w:val="18"/>
                <w:lang w:eastAsia="ko-KR"/>
              </w:rPr>
              <w:t>217</w:t>
            </w:r>
          </w:p>
        </w:tc>
        <w:tc>
          <w:tcPr>
            <w:tcW w:w="1087" w:type="dxa"/>
            <w:tcBorders>
              <w:top w:val="single" w:sz="4" w:space="0" w:color="auto"/>
              <w:left w:val="nil"/>
              <w:bottom w:val="single" w:sz="4" w:space="0" w:color="auto"/>
              <w:right w:val="single" w:sz="4" w:space="0" w:color="auto"/>
            </w:tcBorders>
            <w:shd w:val="clear" w:color="000000" w:fill="auto"/>
            <w:noWrap/>
            <w:vAlign w:val="center"/>
            <w:hideMark/>
          </w:tcPr>
          <w:p w14:paraId="7D5E3C44" w14:textId="77777777" w:rsidR="004D090E" w:rsidRPr="00346E78" w:rsidRDefault="004D090E" w:rsidP="004D090E">
            <w:pPr>
              <w:spacing w:after="0" w:line="240" w:lineRule="auto"/>
              <w:jc w:val="center"/>
              <w:rPr>
                <w:rFonts w:ascii="Cambria" w:eastAsia="Times New Roman" w:hAnsi="Cambria" w:cs="Helvetica"/>
                <w:sz w:val="18"/>
                <w:szCs w:val="18"/>
                <w:lang w:eastAsia="ko-KR"/>
              </w:rPr>
            </w:pPr>
            <w:r>
              <w:rPr>
                <w:rFonts w:ascii="Cambria" w:eastAsia="Times New Roman" w:hAnsi="Cambria" w:cs="Helvetica"/>
                <w:sz w:val="18"/>
                <w:szCs w:val="18"/>
                <w:lang w:eastAsia="ko-KR"/>
              </w:rPr>
              <w:t>$</w:t>
            </w:r>
            <w:r w:rsidRPr="00346E78">
              <w:rPr>
                <w:rFonts w:ascii="Cambria" w:eastAsia="Times New Roman" w:hAnsi="Cambria" w:cs="Helvetica"/>
                <w:sz w:val="18"/>
                <w:szCs w:val="18"/>
                <w:lang w:eastAsia="ko-KR"/>
              </w:rPr>
              <w:t>16,733</w:t>
            </w:r>
          </w:p>
        </w:tc>
        <w:tc>
          <w:tcPr>
            <w:tcW w:w="713" w:type="dxa"/>
            <w:tcBorders>
              <w:top w:val="single" w:sz="4" w:space="0" w:color="auto"/>
              <w:left w:val="nil"/>
              <w:bottom w:val="single" w:sz="4" w:space="0" w:color="auto"/>
              <w:right w:val="single" w:sz="4" w:space="0" w:color="auto"/>
            </w:tcBorders>
            <w:shd w:val="clear" w:color="000000" w:fill="auto"/>
            <w:noWrap/>
            <w:vAlign w:val="center"/>
            <w:hideMark/>
          </w:tcPr>
          <w:p w14:paraId="233AF710" w14:textId="77777777" w:rsidR="004D090E" w:rsidRPr="00346E78" w:rsidRDefault="004D090E" w:rsidP="004D090E">
            <w:pPr>
              <w:spacing w:after="0" w:line="240" w:lineRule="auto"/>
              <w:jc w:val="center"/>
              <w:rPr>
                <w:rFonts w:ascii="Cambria" w:eastAsia="Times New Roman" w:hAnsi="Cambria" w:cs="Helvetica"/>
                <w:sz w:val="18"/>
                <w:szCs w:val="18"/>
                <w:lang w:eastAsia="ko-KR"/>
              </w:rPr>
            </w:pPr>
            <w:r w:rsidRPr="00346E78">
              <w:rPr>
                <w:rFonts w:ascii="Cambria" w:eastAsia="Times New Roman" w:hAnsi="Cambria" w:cs="Helvetica"/>
                <w:sz w:val="18"/>
                <w:szCs w:val="18"/>
                <w:lang w:eastAsia="ko-KR"/>
              </w:rPr>
              <w:t>161</w:t>
            </w:r>
          </w:p>
        </w:tc>
        <w:tc>
          <w:tcPr>
            <w:tcW w:w="997" w:type="dxa"/>
            <w:tcBorders>
              <w:top w:val="single" w:sz="4" w:space="0" w:color="auto"/>
              <w:left w:val="nil"/>
              <w:bottom w:val="single" w:sz="4" w:space="0" w:color="auto"/>
              <w:right w:val="single" w:sz="4" w:space="0" w:color="auto"/>
            </w:tcBorders>
            <w:shd w:val="clear" w:color="000000" w:fill="auto"/>
            <w:noWrap/>
            <w:vAlign w:val="center"/>
            <w:hideMark/>
          </w:tcPr>
          <w:p w14:paraId="2824EC1E" w14:textId="77777777" w:rsidR="004D090E" w:rsidRPr="00346E78" w:rsidRDefault="004D090E" w:rsidP="004D090E">
            <w:pPr>
              <w:spacing w:after="0" w:line="240" w:lineRule="auto"/>
              <w:jc w:val="center"/>
              <w:rPr>
                <w:rFonts w:ascii="Cambria" w:eastAsia="Times New Roman" w:hAnsi="Cambria" w:cs="Helvetica"/>
                <w:sz w:val="18"/>
                <w:szCs w:val="18"/>
                <w:lang w:eastAsia="ko-KR"/>
              </w:rPr>
            </w:pPr>
            <w:r>
              <w:rPr>
                <w:rFonts w:ascii="Cambria" w:eastAsia="Times New Roman" w:hAnsi="Cambria" w:cs="Helvetica"/>
                <w:sz w:val="18"/>
                <w:szCs w:val="18"/>
                <w:lang w:eastAsia="ko-KR"/>
              </w:rPr>
              <w:t>$</w:t>
            </w:r>
            <w:r w:rsidRPr="00346E78">
              <w:rPr>
                <w:rFonts w:ascii="Cambria" w:eastAsia="Times New Roman" w:hAnsi="Cambria" w:cs="Helvetica"/>
                <w:sz w:val="18"/>
                <w:szCs w:val="18"/>
                <w:lang w:eastAsia="ko-KR"/>
              </w:rPr>
              <w:t>12,262</w:t>
            </w:r>
          </w:p>
        </w:tc>
        <w:tc>
          <w:tcPr>
            <w:tcW w:w="785" w:type="dxa"/>
            <w:tcBorders>
              <w:top w:val="single" w:sz="4" w:space="0" w:color="auto"/>
              <w:left w:val="nil"/>
              <w:bottom w:val="single" w:sz="4" w:space="0" w:color="auto"/>
              <w:right w:val="single" w:sz="4" w:space="0" w:color="auto"/>
            </w:tcBorders>
            <w:shd w:val="clear" w:color="000000" w:fill="auto"/>
            <w:noWrap/>
            <w:vAlign w:val="center"/>
            <w:hideMark/>
          </w:tcPr>
          <w:p w14:paraId="2B83036E" w14:textId="77777777" w:rsidR="004D090E" w:rsidRPr="00346E78" w:rsidRDefault="004D090E" w:rsidP="004D090E">
            <w:pPr>
              <w:spacing w:after="0" w:line="240" w:lineRule="auto"/>
              <w:jc w:val="center"/>
              <w:rPr>
                <w:rFonts w:ascii="Cambria" w:eastAsia="Times New Roman" w:hAnsi="Cambria" w:cs="Helvetica"/>
                <w:sz w:val="18"/>
                <w:szCs w:val="18"/>
                <w:lang w:eastAsia="ko-KR"/>
              </w:rPr>
            </w:pPr>
            <w:r w:rsidRPr="00346E78">
              <w:rPr>
                <w:rFonts w:ascii="Cambria" w:eastAsia="Times New Roman" w:hAnsi="Cambria" w:cs="Helvetica"/>
                <w:sz w:val="18"/>
                <w:szCs w:val="18"/>
                <w:lang w:eastAsia="ko-KR"/>
              </w:rPr>
              <w:t>102</w:t>
            </w:r>
          </w:p>
        </w:tc>
      </w:tr>
      <w:tr w:rsidR="004D090E" w:rsidRPr="00346E78" w14:paraId="4830E5DC" w14:textId="77777777" w:rsidTr="008D160C">
        <w:trPr>
          <w:trHeight w:val="500"/>
        </w:trPr>
        <w:tc>
          <w:tcPr>
            <w:tcW w:w="886" w:type="dxa"/>
            <w:vMerge/>
            <w:tcBorders>
              <w:top w:val="nil"/>
              <w:left w:val="single" w:sz="4" w:space="0" w:color="auto"/>
              <w:bottom w:val="single" w:sz="4" w:space="0" w:color="auto"/>
              <w:right w:val="single" w:sz="4" w:space="0" w:color="auto"/>
            </w:tcBorders>
            <w:vAlign w:val="center"/>
            <w:hideMark/>
          </w:tcPr>
          <w:p w14:paraId="6E88D186" w14:textId="77777777" w:rsidR="004D090E" w:rsidRPr="00346E78" w:rsidRDefault="004D090E" w:rsidP="004D090E">
            <w:pPr>
              <w:spacing w:after="0" w:line="240" w:lineRule="auto"/>
              <w:rPr>
                <w:rFonts w:ascii="Cambria" w:eastAsia="Times New Roman" w:hAnsi="Cambria" w:cs="Helvetica"/>
                <w:sz w:val="18"/>
                <w:szCs w:val="18"/>
                <w:lang w:eastAsia="ko-KR"/>
              </w:rPr>
            </w:pPr>
          </w:p>
        </w:tc>
        <w:tc>
          <w:tcPr>
            <w:tcW w:w="1071" w:type="dxa"/>
            <w:tcBorders>
              <w:top w:val="single" w:sz="4" w:space="0" w:color="auto"/>
              <w:left w:val="nil"/>
              <w:bottom w:val="single" w:sz="4" w:space="0" w:color="auto"/>
              <w:right w:val="single" w:sz="4" w:space="0" w:color="auto"/>
            </w:tcBorders>
            <w:shd w:val="clear" w:color="000000" w:fill="auto"/>
            <w:vAlign w:val="center"/>
            <w:hideMark/>
          </w:tcPr>
          <w:p w14:paraId="11DAEC75" w14:textId="77777777" w:rsidR="004D090E" w:rsidRPr="00346E78" w:rsidRDefault="004D090E" w:rsidP="004D090E">
            <w:pPr>
              <w:spacing w:after="0" w:line="240" w:lineRule="auto"/>
              <w:jc w:val="center"/>
              <w:rPr>
                <w:rFonts w:ascii="Cambria" w:eastAsia="Times New Roman" w:hAnsi="Cambria" w:cs="Helvetica"/>
                <w:sz w:val="18"/>
                <w:szCs w:val="18"/>
                <w:lang w:eastAsia="ko-KR"/>
              </w:rPr>
            </w:pPr>
            <w:r>
              <w:rPr>
                <w:rFonts w:ascii="Cambria" w:eastAsia="Times New Roman" w:hAnsi="Cambria" w:cs="Helvetica"/>
                <w:sz w:val="18"/>
                <w:szCs w:val="18"/>
                <w:lang w:eastAsia="ko-KR"/>
              </w:rPr>
              <w:t xml:space="preserve">Average </w:t>
            </w:r>
            <w:r w:rsidR="001076D7">
              <w:rPr>
                <w:rFonts w:ascii="Cambria" w:eastAsia="Times New Roman" w:hAnsi="Cambria" w:cs="Helvetica"/>
                <w:sz w:val="18"/>
                <w:szCs w:val="18"/>
                <w:lang w:eastAsia="ko-KR"/>
              </w:rPr>
              <w:t>C</w:t>
            </w:r>
            <w:r>
              <w:rPr>
                <w:rFonts w:ascii="Cambria" w:eastAsia="Times New Roman" w:hAnsi="Cambria" w:cs="Helvetica"/>
                <w:sz w:val="18"/>
                <w:szCs w:val="18"/>
                <w:lang w:eastAsia="ko-KR"/>
              </w:rPr>
              <w:t xml:space="preserve">laimed </w:t>
            </w:r>
            <w:r w:rsidR="001076D7">
              <w:rPr>
                <w:rFonts w:ascii="Cambria" w:eastAsia="Times New Roman" w:hAnsi="Cambria" w:cs="Helvetica"/>
                <w:sz w:val="18"/>
                <w:szCs w:val="18"/>
                <w:lang w:eastAsia="ko-KR"/>
              </w:rPr>
              <w:t>or</w:t>
            </w:r>
            <w:r>
              <w:rPr>
                <w:rFonts w:ascii="Cambria" w:eastAsia="Times New Roman" w:hAnsi="Cambria" w:cs="Helvetica"/>
                <w:sz w:val="18"/>
                <w:szCs w:val="18"/>
                <w:lang w:eastAsia="ko-KR"/>
              </w:rPr>
              <w:t xml:space="preserve"> </w:t>
            </w:r>
            <w:r w:rsidR="001076D7">
              <w:rPr>
                <w:rFonts w:ascii="Cambria" w:eastAsia="Times New Roman" w:hAnsi="Cambria" w:cs="Helvetica"/>
                <w:sz w:val="18"/>
                <w:szCs w:val="18"/>
                <w:lang w:eastAsia="ko-KR"/>
              </w:rPr>
              <w:t>S</w:t>
            </w:r>
            <w:r>
              <w:rPr>
                <w:rFonts w:ascii="Cambria" w:eastAsia="Times New Roman" w:hAnsi="Cambria" w:cs="Helvetica"/>
                <w:sz w:val="18"/>
                <w:szCs w:val="18"/>
                <w:lang w:eastAsia="ko-KR"/>
              </w:rPr>
              <w:t xml:space="preserve">hared </w:t>
            </w:r>
            <w:r w:rsidR="001076D7">
              <w:rPr>
                <w:rFonts w:ascii="Cambria" w:eastAsia="Times New Roman" w:hAnsi="Cambria" w:cs="Helvetica"/>
                <w:sz w:val="18"/>
                <w:szCs w:val="18"/>
                <w:lang w:eastAsia="ko-KR"/>
              </w:rPr>
              <w:t>A</w:t>
            </w:r>
            <w:r>
              <w:rPr>
                <w:rFonts w:ascii="Cambria" w:eastAsia="Times New Roman" w:hAnsi="Cambria" w:cs="Helvetica"/>
                <w:sz w:val="18"/>
                <w:szCs w:val="18"/>
                <w:lang w:eastAsia="ko-KR"/>
              </w:rPr>
              <w:t>mount</w:t>
            </w:r>
          </w:p>
        </w:tc>
        <w:tc>
          <w:tcPr>
            <w:tcW w:w="1080" w:type="dxa"/>
            <w:tcBorders>
              <w:top w:val="single" w:sz="4" w:space="0" w:color="auto"/>
              <w:left w:val="nil"/>
              <w:bottom w:val="single" w:sz="4" w:space="0" w:color="auto"/>
              <w:right w:val="single" w:sz="4" w:space="0" w:color="000000"/>
            </w:tcBorders>
            <w:shd w:val="clear" w:color="000000" w:fill="auto"/>
            <w:noWrap/>
            <w:vAlign w:val="center"/>
            <w:hideMark/>
          </w:tcPr>
          <w:p w14:paraId="16ADF1D7" w14:textId="77777777" w:rsidR="004D090E" w:rsidRPr="00346E78" w:rsidRDefault="004D090E" w:rsidP="004D090E">
            <w:pPr>
              <w:spacing w:after="0" w:line="240" w:lineRule="auto"/>
              <w:jc w:val="center"/>
              <w:rPr>
                <w:rFonts w:ascii="Cambria" w:eastAsia="Times New Roman" w:hAnsi="Cambria" w:cs="Helvetica"/>
                <w:sz w:val="18"/>
                <w:szCs w:val="18"/>
                <w:lang w:eastAsia="ko-KR"/>
              </w:rPr>
            </w:pPr>
            <w:r>
              <w:rPr>
                <w:rFonts w:ascii="Cambria" w:eastAsia="Times New Roman" w:hAnsi="Cambria" w:cs="Helvetica"/>
                <w:sz w:val="18"/>
                <w:szCs w:val="18"/>
                <w:lang w:eastAsia="ko-KR"/>
              </w:rPr>
              <w:t>$</w:t>
            </w:r>
            <w:r w:rsidRPr="00346E78">
              <w:rPr>
                <w:rFonts w:ascii="Cambria" w:eastAsia="Times New Roman" w:hAnsi="Cambria" w:cs="Helvetica"/>
                <w:sz w:val="18"/>
                <w:szCs w:val="18"/>
                <w:lang w:eastAsia="ko-KR"/>
              </w:rPr>
              <w:t>85.6</w:t>
            </w:r>
          </w:p>
        </w:tc>
        <w:tc>
          <w:tcPr>
            <w:tcW w:w="713" w:type="dxa"/>
            <w:tcBorders>
              <w:top w:val="single" w:sz="4" w:space="0" w:color="auto"/>
              <w:left w:val="nil"/>
              <w:bottom w:val="single" w:sz="4" w:space="0" w:color="auto"/>
              <w:right w:val="single" w:sz="4" w:space="0" w:color="000000"/>
            </w:tcBorders>
            <w:shd w:val="clear" w:color="000000" w:fill="auto"/>
            <w:vAlign w:val="center"/>
          </w:tcPr>
          <w:p w14:paraId="2A237476" w14:textId="77777777" w:rsidR="004D090E" w:rsidRPr="00346E78" w:rsidRDefault="004D090E" w:rsidP="004D090E">
            <w:pPr>
              <w:spacing w:after="0" w:line="240" w:lineRule="auto"/>
              <w:jc w:val="center"/>
              <w:rPr>
                <w:rFonts w:ascii="Cambria" w:eastAsia="Times New Roman" w:hAnsi="Cambria" w:cs="Helvetica"/>
                <w:sz w:val="18"/>
                <w:szCs w:val="18"/>
                <w:lang w:eastAsia="ko-KR"/>
              </w:rPr>
            </w:pPr>
            <w:r>
              <w:rPr>
                <w:rFonts w:ascii="Cambria" w:eastAsia="Times New Roman" w:hAnsi="Cambria" w:cs="Helvetica"/>
                <w:sz w:val="18"/>
                <w:szCs w:val="18"/>
                <w:lang w:eastAsia="ko-KR"/>
              </w:rPr>
              <w:t>NA</w:t>
            </w:r>
          </w:p>
        </w:tc>
        <w:tc>
          <w:tcPr>
            <w:tcW w:w="1087" w:type="dxa"/>
            <w:tcBorders>
              <w:top w:val="single" w:sz="4" w:space="0" w:color="auto"/>
              <w:left w:val="nil"/>
              <w:bottom w:val="single" w:sz="4" w:space="0" w:color="auto"/>
              <w:right w:val="single" w:sz="4" w:space="0" w:color="000000"/>
            </w:tcBorders>
            <w:shd w:val="clear" w:color="000000" w:fill="auto"/>
            <w:noWrap/>
            <w:vAlign w:val="center"/>
            <w:hideMark/>
          </w:tcPr>
          <w:p w14:paraId="2D37A4EA" w14:textId="77777777" w:rsidR="004D090E" w:rsidRPr="00346E78" w:rsidRDefault="004D090E" w:rsidP="004D090E">
            <w:pPr>
              <w:spacing w:after="0" w:line="240" w:lineRule="auto"/>
              <w:jc w:val="center"/>
              <w:rPr>
                <w:rFonts w:ascii="Cambria" w:eastAsia="Times New Roman" w:hAnsi="Cambria" w:cs="Helvetica"/>
                <w:sz w:val="18"/>
                <w:szCs w:val="18"/>
                <w:lang w:eastAsia="ko-KR"/>
              </w:rPr>
            </w:pPr>
            <w:r>
              <w:rPr>
                <w:rFonts w:ascii="Cambria" w:eastAsia="Times New Roman" w:hAnsi="Cambria" w:cs="Helvetica"/>
                <w:sz w:val="18"/>
                <w:szCs w:val="18"/>
                <w:lang w:eastAsia="ko-KR"/>
              </w:rPr>
              <w:t>$</w:t>
            </w:r>
            <w:r w:rsidRPr="00346E78">
              <w:rPr>
                <w:rFonts w:ascii="Cambria" w:eastAsia="Times New Roman" w:hAnsi="Cambria" w:cs="Helvetica"/>
                <w:sz w:val="18"/>
                <w:szCs w:val="18"/>
                <w:lang w:eastAsia="ko-KR"/>
              </w:rPr>
              <w:t>117.9</w:t>
            </w:r>
          </w:p>
        </w:tc>
        <w:tc>
          <w:tcPr>
            <w:tcW w:w="713" w:type="dxa"/>
            <w:tcBorders>
              <w:top w:val="single" w:sz="4" w:space="0" w:color="auto"/>
              <w:left w:val="nil"/>
              <w:bottom w:val="single" w:sz="4" w:space="0" w:color="auto"/>
              <w:right w:val="single" w:sz="4" w:space="0" w:color="000000"/>
            </w:tcBorders>
            <w:shd w:val="clear" w:color="000000" w:fill="auto"/>
            <w:vAlign w:val="center"/>
          </w:tcPr>
          <w:p w14:paraId="4ABE7AE0" w14:textId="77777777" w:rsidR="004D090E" w:rsidRPr="00346E78" w:rsidRDefault="004D090E" w:rsidP="004D090E">
            <w:pPr>
              <w:spacing w:after="0" w:line="240" w:lineRule="auto"/>
              <w:jc w:val="center"/>
              <w:rPr>
                <w:rFonts w:ascii="Cambria" w:eastAsia="Times New Roman" w:hAnsi="Cambria" w:cs="Helvetica"/>
                <w:sz w:val="18"/>
                <w:szCs w:val="18"/>
                <w:lang w:eastAsia="ko-KR"/>
              </w:rPr>
            </w:pPr>
            <w:r>
              <w:rPr>
                <w:rFonts w:ascii="Cambria" w:eastAsia="Times New Roman" w:hAnsi="Cambria" w:cs="Helvetica"/>
                <w:sz w:val="18"/>
                <w:szCs w:val="18"/>
                <w:lang w:eastAsia="ko-KR"/>
              </w:rPr>
              <w:t>NA</w:t>
            </w:r>
          </w:p>
        </w:tc>
        <w:tc>
          <w:tcPr>
            <w:tcW w:w="1087" w:type="dxa"/>
            <w:tcBorders>
              <w:top w:val="single" w:sz="4" w:space="0" w:color="auto"/>
              <w:left w:val="nil"/>
              <w:bottom w:val="single" w:sz="4" w:space="0" w:color="auto"/>
              <w:right w:val="single" w:sz="4" w:space="0" w:color="000000"/>
            </w:tcBorders>
            <w:shd w:val="clear" w:color="000000" w:fill="auto"/>
            <w:noWrap/>
            <w:vAlign w:val="center"/>
            <w:hideMark/>
          </w:tcPr>
          <w:p w14:paraId="087CC35D" w14:textId="77777777" w:rsidR="004D090E" w:rsidRPr="00346E78" w:rsidRDefault="004D090E" w:rsidP="004D090E">
            <w:pPr>
              <w:spacing w:after="0" w:line="240" w:lineRule="auto"/>
              <w:jc w:val="center"/>
              <w:rPr>
                <w:rFonts w:ascii="Cambria" w:eastAsia="Times New Roman" w:hAnsi="Cambria" w:cs="Helvetica"/>
                <w:sz w:val="18"/>
                <w:szCs w:val="18"/>
                <w:lang w:eastAsia="ko-KR"/>
              </w:rPr>
            </w:pPr>
            <w:r>
              <w:rPr>
                <w:rFonts w:ascii="Cambria" w:eastAsia="Times New Roman" w:hAnsi="Cambria" w:cs="Helvetica"/>
                <w:sz w:val="18"/>
                <w:szCs w:val="18"/>
                <w:lang w:eastAsia="ko-KR"/>
              </w:rPr>
              <w:t>$</w:t>
            </w:r>
            <w:r w:rsidRPr="00346E78">
              <w:rPr>
                <w:rFonts w:ascii="Cambria" w:eastAsia="Times New Roman" w:hAnsi="Cambria" w:cs="Helvetica"/>
                <w:sz w:val="18"/>
                <w:szCs w:val="18"/>
                <w:lang w:eastAsia="ko-KR"/>
              </w:rPr>
              <w:t>103.9</w:t>
            </w:r>
          </w:p>
        </w:tc>
        <w:tc>
          <w:tcPr>
            <w:tcW w:w="713" w:type="dxa"/>
            <w:tcBorders>
              <w:top w:val="single" w:sz="4" w:space="0" w:color="auto"/>
              <w:left w:val="nil"/>
              <w:bottom w:val="single" w:sz="4" w:space="0" w:color="auto"/>
              <w:right w:val="single" w:sz="4" w:space="0" w:color="000000"/>
            </w:tcBorders>
            <w:shd w:val="clear" w:color="000000" w:fill="auto"/>
            <w:vAlign w:val="center"/>
          </w:tcPr>
          <w:p w14:paraId="355F6E0C" w14:textId="77777777" w:rsidR="004D090E" w:rsidRPr="00346E78" w:rsidRDefault="004D090E" w:rsidP="004D090E">
            <w:pPr>
              <w:spacing w:after="0" w:line="240" w:lineRule="auto"/>
              <w:jc w:val="center"/>
              <w:rPr>
                <w:rFonts w:ascii="Cambria" w:eastAsia="Times New Roman" w:hAnsi="Cambria" w:cs="Helvetica"/>
                <w:sz w:val="18"/>
                <w:szCs w:val="18"/>
                <w:lang w:eastAsia="ko-KR"/>
              </w:rPr>
            </w:pPr>
            <w:r>
              <w:rPr>
                <w:rFonts w:ascii="Cambria" w:eastAsia="Times New Roman" w:hAnsi="Cambria" w:cs="Helvetica"/>
                <w:sz w:val="18"/>
                <w:szCs w:val="18"/>
                <w:lang w:eastAsia="ko-KR"/>
              </w:rPr>
              <w:t>NA</w:t>
            </w:r>
          </w:p>
        </w:tc>
        <w:tc>
          <w:tcPr>
            <w:tcW w:w="997" w:type="dxa"/>
            <w:tcBorders>
              <w:top w:val="single" w:sz="4" w:space="0" w:color="auto"/>
              <w:left w:val="nil"/>
              <w:bottom w:val="single" w:sz="4" w:space="0" w:color="auto"/>
              <w:right w:val="single" w:sz="4" w:space="0" w:color="000000"/>
            </w:tcBorders>
            <w:shd w:val="clear" w:color="000000" w:fill="auto"/>
            <w:noWrap/>
            <w:vAlign w:val="center"/>
            <w:hideMark/>
          </w:tcPr>
          <w:p w14:paraId="290DA318" w14:textId="77777777" w:rsidR="004D090E" w:rsidRPr="00346E78" w:rsidRDefault="004D090E" w:rsidP="004D090E">
            <w:pPr>
              <w:spacing w:after="0" w:line="240" w:lineRule="auto"/>
              <w:jc w:val="center"/>
              <w:rPr>
                <w:rFonts w:ascii="Cambria" w:eastAsia="Times New Roman" w:hAnsi="Cambria" w:cs="Helvetica"/>
                <w:sz w:val="18"/>
                <w:szCs w:val="18"/>
                <w:lang w:eastAsia="ko-KR"/>
              </w:rPr>
            </w:pPr>
            <w:r>
              <w:rPr>
                <w:rFonts w:ascii="Cambria" w:eastAsia="Times New Roman" w:hAnsi="Cambria" w:cs="Helvetica"/>
                <w:sz w:val="18"/>
                <w:szCs w:val="18"/>
                <w:lang w:eastAsia="ko-KR"/>
              </w:rPr>
              <w:t>$</w:t>
            </w:r>
            <w:r w:rsidRPr="00346E78">
              <w:rPr>
                <w:rFonts w:ascii="Cambria" w:eastAsia="Times New Roman" w:hAnsi="Cambria" w:cs="Helvetica"/>
                <w:sz w:val="18"/>
                <w:szCs w:val="18"/>
                <w:lang w:eastAsia="ko-KR"/>
              </w:rPr>
              <w:t>120.2</w:t>
            </w:r>
          </w:p>
        </w:tc>
        <w:tc>
          <w:tcPr>
            <w:tcW w:w="785" w:type="dxa"/>
            <w:tcBorders>
              <w:top w:val="single" w:sz="4" w:space="0" w:color="auto"/>
              <w:left w:val="nil"/>
              <w:bottom w:val="single" w:sz="4" w:space="0" w:color="auto"/>
              <w:right w:val="single" w:sz="4" w:space="0" w:color="000000"/>
            </w:tcBorders>
            <w:shd w:val="clear" w:color="000000" w:fill="auto"/>
            <w:vAlign w:val="center"/>
          </w:tcPr>
          <w:p w14:paraId="0B36964E" w14:textId="77777777" w:rsidR="004D090E" w:rsidRPr="00346E78" w:rsidRDefault="004D090E" w:rsidP="004D090E">
            <w:pPr>
              <w:spacing w:after="0" w:line="240" w:lineRule="auto"/>
              <w:jc w:val="center"/>
              <w:rPr>
                <w:rFonts w:ascii="Cambria" w:eastAsia="Times New Roman" w:hAnsi="Cambria" w:cs="Helvetica"/>
                <w:sz w:val="18"/>
                <w:szCs w:val="18"/>
                <w:lang w:eastAsia="ko-KR"/>
              </w:rPr>
            </w:pPr>
            <w:r>
              <w:rPr>
                <w:rFonts w:ascii="Cambria" w:eastAsia="Times New Roman" w:hAnsi="Cambria" w:cs="Helvetica"/>
                <w:sz w:val="18"/>
                <w:szCs w:val="18"/>
                <w:lang w:eastAsia="ko-KR"/>
              </w:rPr>
              <w:t>NA</w:t>
            </w:r>
          </w:p>
        </w:tc>
      </w:tr>
    </w:tbl>
    <w:p w14:paraId="16EEF341" w14:textId="77777777" w:rsidR="00824B2A" w:rsidRPr="001076D7" w:rsidRDefault="00824B2A" w:rsidP="00824B2A">
      <w:pPr>
        <w:spacing w:after="0"/>
        <w:rPr>
          <w:rFonts w:asciiTheme="majorHAnsi" w:hAnsiTheme="majorHAnsi"/>
          <w:bCs/>
          <w:sz w:val="18"/>
          <w:szCs w:val="18"/>
        </w:rPr>
      </w:pPr>
      <w:r w:rsidRPr="001076D7">
        <w:rPr>
          <w:rFonts w:asciiTheme="majorHAnsi" w:hAnsiTheme="majorHAnsi"/>
          <w:bCs/>
          <w:sz w:val="18"/>
          <w:szCs w:val="18"/>
        </w:rPr>
        <w:t xml:space="preserve">Source: Massachusetts Department of Revenue. </w:t>
      </w:r>
    </w:p>
    <w:p w14:paraId="67F6BF48" w14:textId="77777777" w:rsidR="001076D7" w:rsidRPr="001076D7" w:rsidRDefault="00824B2A" w:rsidP="001076D7">
      <w:pPr>
        <w:spacing w:after="0"/>
        <w:rPr>
          <w:rFonts w:asciiTheme="majorHAnsi" w:hAnsiTheme="majorHAnsi"/>
          <w:bCs/>
          <w:sz w:val="18"/>
          <w:szCs w:val="18"/>
        </w:rPr>
      </w:pPr>
      <w:r w:rsidRPr="001076D7">
        <w:rPr>
          <w:rFonts w:asciiTheme="majorHAnsi" w:hAnsiTheme="majorHAnsi"/>
          <w:bCs/>
          <w:sz w:val="18"/>
          <w:szCs w:val="18"/>
        </w:rPr>
        <w:t xml:space="preserve">Notes: 1. </w:t>
      </w:r>
      <w:r w:rsidR="001076D7" w:rsidRPr="001076D7">
        <w:rPr>
          <w:rFonts w:asciiTheme="majorHAnsi" w:hAnsiTheme="majorHAnsi"/>
          <w:bCs/>
          <w:sz w:val="18"/>
          <w:szCs w:val="18"/>
        </w:rPr>
        <w:t xml:space="preserve">2017 and 2018 data are preliminary and subject to change. </w:t>
      </w:r>
    </w:p>
    <w:p w14:paraId="00150F9E" w14:textId="77777777" w:rsidR="001076D7" w:rsidRDefault="001076D7" w:rsidP="00824B2A">
      <w:pPr>
        <w:spacing w:after="0"/>
        <w:rPr>
          <w:rFonts w:asciiTheme="majorHAnsi" w:hAnsiTheme="majorHAnsi"/>
          <w:bCs/>
          <w:sz w:val="18"/>
          <w:szCs w:val="18"/>
        </w:rPr>
      </w:pPr>
      <w:r>
        <w:rPr>
          <w:rFonts w:asciiTheme="majorHAnsi" w:hAnsiTheme="majorHAnsi"/>
          <w:bCs/>
          <w:sz w:val="16"/>
          <w:szCs w:val="16"/>
        </w:rPr>
        <w:t xml:space="preserve">              </w:t>
      </w:r>
      <w:r w:rsidR="00824B2A" w:rsidRPr="00A67BCA">
        <w:rPr>
          <w:rFonts w:asciiTheme="majorHAnsi" w:hAnsiTheme="majorHAnsi"/>
          <w:bCs/>
          <w:sz w:val="16"/>
          <w:szCs w:val="16"/>
        </w:rPr>
        <w:t xml:space="preserve"> </w:t>
      </w:r>
      <w:r w:rsidR="00824B2A" w:rsidRPr="001076D7">
        <w:rPr>
          <w:rFonts w:asciiTheme="majorHAnsi" w:hAnsiTheme="majorHAnsi"/>
          <w:bCs/>
          <w:sz w:val="18"/>
          <w:szCs w:val="18"/>
        </w:rPr>
        <w:t xml:space="preserve">2. The count is </w:t>
      </w:r>
      <w:r>
        <w:rPr>
          <w:rFonts w:asciiTheme="majorHAnsi" w:hAnsiTheme="majorHAnsi"/>
          <w:bCs/>
          <w:sz w:val="18"/>
          <w:szCs w:val="18"/>
        </w:rPr>
        <w:t xml:space="preserve">the </w:t>
      </w:r>
      <w:r w:rsidR="00824B2A" w:rsidRPr="001076D7">
        <w:rPr>
          <w:rFonts w:asciiTheme="majorHAnsi" w:hAnsiTheme="majorHAnsi"/>
          <w:bCs/>
          <w:sz w:val="18"/>
          <w:szCs w:val="18"/>
        </w:rPr>
        <w:t xml:space="preserve">number of claims, not </w:t>
      </w:r>
      <w:r>
        <w:rPr>
          <w:rFonts w:asciiTheme="majorHAnsi" w:hAnsiTheme="majorHAnsi"/>
          <w:bCs/>
          <w:sz w:val="18"/>
          <w:szCs w:val="18"/>
        </w:rPr>
        <w:t xml:space="preserve">the </w:t>
      </w:r>
      <w:r w:rsidR="00824B2A" w:rsidRPr="001076D7">
        <w:rPr>
          <w:rFonts w:asciiTheme="majorHAnsi" w:hAnsiTheme="majorHAnsi"/>
          <w:bCs/>
          <w:sz w:val="18"/>
          <w:szCs w:val="18"/>
        </w:rPr>
        <w:t xml:space="preserve">number of claimants. </w:t>
      </w:r>
      <w:r>
        <w:rPr>
          <w:rFonts w:asciiTheme="majorHAnsi" w:hAnsiTheme="majorHAnsi"/>
          <w:bCs/>
          <w:sz w:val="18"/>
          <w:szCs w:val="18"/>
        </w:rPr>
        <w:t>The n</w:t>
      </w:r>
      <w:r w:rsidR="00824B2A" w:rsidRPr="001076D7">
        <w:rPr>
          <w:rFonts w:asciiTheme="majorHAnsi" w:hAnsiTheme="majorHAnsi"/>
          <w:bCs/>
          <w:sz w:val="18"/>
          <w:szCs w:val="18"/>
        </w:rPr>
        <w:t>umber of claims is either</w:t>
      </w:r>
      <w:r>
        <w:rPr>
          <w:rFonts w:asciiTheme="majorHAnsi" w:hAnsiTheme="majorHAnsi"/>
          <w:bCs/>
          <w:sz w:val="18"/>
          <w:szCs w:val="18"/>
        </w:rPr>
        <w:t xml:space="preserve"> the</w:t>
      </w:r>
      <w:r w:rsidR="00824B2A" w:rsidRPr="001076D7">
        <w:rPr>
          <w:rFonts w:asciiTheme="majorHAnsi" w:hAnsiTheme="majorHAnsi"/>
          <w:bCs/>
          <w:sz w:val="18"/>
          <w:szCs w:val="18"/>
        </w:rPr>
        <w:t xml:space="preserve"> same as or </w:t>
      </w:r>
    </w:p>
    <w:p w14:paraId="4304C770" w14:textId="77777777" w:rsidR="00824B2A" w:rsidRDefault="001076D7" w:rsidP="00824B2A">
      <w:pPr>
        <w:spacing w:after="0"/>
        <w:rPr>
          <w:rFonts w:asciiTheme="majorHAnsi" w:hAnsiTheme="majorHAnsi"/>
          <w:bCs/>
          <w:sz w:val="18"/>
          <w:szCs w:val="18"/>
        </w:rPr>
      </w:pPr>
      <w:r>
        <w:rPr>
          <w:rFonts w:asciiTheme="majorHAnsi" w:hAnsiTheme="majorHAnsi"/>
          <w:bCs/>
          <w:sz w:val="18"/>
          <w:szCs w:val="18"/>
        </w:rPr>
        <w:t xml:space="preserve">                  </w:t>
      </w:r>
      <w:r w:rsidR="00824B2A" w:rsidRPr="001076D7">
        <w:rPr>
          <w:rFonts w:asciiTheme="majorHAnsi" w:hAnsiTheme="majorHAnsi"/>
          <w:bCs/>
          <w:sz w:val="18"/>
          <w:szCs w:val="18"/>
        </w:rPr>
        <w:t xml:space="preserve">slightly </w:t>
      </w:r>
      <w:r>
        <w:rPr>
          <w:rFonts w:asciiTheme="majorHAnsi" w:hAnsiTheme="majorHAnsi"/>
          <w:bCs/>
          <w:sz w:val="18"/>
          <w:szCs w:val="18"/>
        </w:rPr>
        <w:t>larg</w:t>
      </w:r>
      <w:r w:rsidR="00824B2A" w:rsidRPr="001076D7">
        <w:rPr>
          <w:rFonts w:asciiTheme="majorHAnsi" w:hAnsiTheme="majorHAnsi"/>
          <w:bCs/>
          <w:sz w:val="18"/>
          <w:szCs w:val="18"/>
        </w:rPr>
        <w:t xml:space="preserve">er than </w:t>
      </w:r>
      <w:r>
        <w:rPr>
          <w:rFonts w:asciiTheme="majorHAnsi" w:hAnsiTheme="majorHAnsi"/>
          <w:bCs/>
          <w:sz w:val="18"/>
          <w:szCs w:val="18"/>
        </w:rPr>
        <w:t xml:space="preserve">the </w:t>
      </w:r>
      <w:r w:rsidR="00824B2A" w:rsidRPr="001076D7">
        <w:rPr>
          <w:rFonts w:asciiTheme="majorHAnsi" w:hAnsiTheme="majorHAnsi"/>
          <w:bCs/>
          <w:sz w:val="18"/>
          <w:szCs w:val="18"/>
        </w:rPr>
        <w:t xml:space="preserve">number of claimants. </w:t>
      </w:r>
    </w:p>
    <w:p w14:paraId="2963DF85" w14:textId="77777777" w:rsidR="001076D7" w:rsidRPr="001076D7" w:rsidRDefault="001076D7" w:rsidP="00824B2A">
      <w:pPr>
        <w:spacing w:after="0"/>
        <w:rPr>
          <w:rFonts w:asciiTheme="majorHAnsi" w:hAnsiTheme="majorHAnsi"/>
          <w:bCs/>
          <w:sz w:val="18"/>
          <w:szCs w:val="18"/>
        </w:rPr>
      </w:pPr>
      <w:r>
        <w:rPr>
          <w:rFonts w:asciiTheme="majorHAnsi" w:hAnsiTheme="majorHAnsi"/>
          <w:bCs/>
          <w:sz w:val="18"/>
          <w:szCs w:val="18"/>
        </w:rPr>
        <w:t xml:space="preserve">             3</w:t>
      </w:r>
      <w:r w:rsidRPr="001076D7">
        <w:rPr>
          <w:rFonts w:asciiTheme="majorHAnsi" w:hAnsiTheme="majorHAnsi"/>
          <w:bCs/>
          <w:sz w:val="18"/>
          <w:szCs w:val="18"/>
        </w:rPr>
        <w:t>. “NA” means not applicable.</w:t>
      </w:r>
    </w:p>
    <w:p w14:paraId="7782AB88" w14:textId="77777777" w:rsidR="00824B2A" w:rsidRDefault="00824B2A" w:rsidP="005C7BF0">
      <w:pPr>
        <w:spacing w:after="0"/>
        <w:rPr>
          <w:rFonts w:asciiTheme="majorHAnsi" w:eastAsiaTheme="majorEastAsia" w:hAnsiTheme="majorHAnsi" w:cstheme="majorBidi"/>
          <w:bCs/>
          <w:color w:val="000000" w:themeColor="text1"/>
          <w:sz w:val="24"/>
          <w:szCs w:val="24"/>
        </w:rPr>
      </w:pPr>
    </w:p>
    <w:p w14:paraId="6AFB85C7" w14:textId="2C7FFFE1" w:rsidR="009E0C28" w:rsidRDefault="00894F36" w:rsidP="00A67BCA">
      <w:pPr>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Note that, t</w:t>
      </w:r>
      <w:r w:rsidR="00A67BCA">
        <w:rPr>
          <w:rFonts w:asciiTheme="majorHAnsi" w:eastAsiaTheme="majorEastAsia" w:hAnsiTheme="majorHAnsi" w:cstheme="majorBidi"/>
          <w:bCs/>
          <w:color w:val="000000" w:themeColor="text1"/>
          <w:sz w:val="24"/>
          <w:szCs w:val="24"/>
        </w:rPr>
        <w:t xml:space="preserve">hough the annual cap for the credit is $30 million, the actual claimed amounts for the credit have been lower than the cap and </w:t>
      </w:r>
      <w:r w:rsidR="00577CEC">
        <w:rPr>
          <w:rFonts w:asciiTheme="majorHAnsi" w:eastAsiaTheme="majorEastAsia" w:hAnsiTheme="majorHAnsi" w:cstheme="majorBidi"/>
          <w:bCs/>
          <w:color w:val="000000" w:themeColor="text1"/>
          <w:sz w:val="24"/>
          <w:szCs w:val="24"/>
        </w:rPr>
        <w:t xml:space="preserve">have </w:t>
      </w:r>
      <w:r w:rsidR="00A67BCA">
        <w:rPr>
          <w:rFonts w:asciiTheme="majorHAnsi" w:eastAsiaTheme="majorEastAsia" w:hAnsiTheme="majorHAnsi" w:cstheme="majorBidi"/>
          <w:bCs/>
          <w:color w:val="000000" w:themeColor="text1"/>
          <w:sz w:val="24"/>
          <w:szCs w:val="24"/>
        </w:rPr>
        <w:t xml:space="preserve">varied by year. </w:t>
      </w:r>
      <w:r>
        <w:rPr>
          <w:rFonts w:asciiTheme="majorHAnsi" w:eastAsiaTheme="majorEastAsia" w:hAnsiTheme="majorHAnsi" w:cstheme="majorBidi"/>
          <w:bCs/>
          <w:color w:val="000000" w:themeColor="text1"/>
          <w:sz w:val="24"/>
          <w:szCs w:val="24"/>
        </w:rPr>
        <w:t>See Appendix I.</w:t>
      </w:r>
    </w:p>
    <w:p w14:paraId="4E48096B" w14:textId="77777777" w:rsidR="009E0C28" w:rsidRDefault="009E0C28" w:rsidP="00A67BCA">
      <w:pPr>
        <w:spacing w:after="0"/>
        <w:rPr>
          <w:rFonts w:asciiTheme="majorHAnsi" w:eastAsiaTheme="majorEastAsia" w:hAnsiTheme="majorHAnsi" w:cstheme="majorBidi"/>
          <w:bCs/>
          <w:color w:val="000000" w:themeColor="text1"/>
          <w:sz w:val="24"/>
          <w:szCs w:val="24"/>
        </w:rPr>
      </w:pPr>
    </w:p>
    <w:p w14:paraId="3C9E3DE4" w14:textId="77777777" w:rsidR="00200CFC" w:rsidRDefault="00200CFC" w:rsidP="00200CFC">
      <w:pPr>
        <w:spacing w:after="0"/>
        <w:rPr>
          <w:rFonts w:asciiTheme="majorHAnsi" w:eastAsiaTheme="majorEastAsia" w:hAnsiTheme="majorHAnsi" w:cstheme="majorBidi"/>
          <w:bCs/>
          <w:color w:val="000000" w:themeColor="text1"/>
          <w:sz w:val="24"/>
          <w:szCs w:val="24"/>
        </w:rPr>
      </w:pPr>
    </w:p>
    <w:p w14:paraId="1DB91C83" w14:textId="77777777" w:rsidR="005529C5" w:rsidRPr="005529C5" w:rsidRDefault="00A50ACA" w:rsidP="00D803A0">
      <w:pPr>
        <w:tabs>
          <w:tab w:val="left" w:pos="7050"/>
        </w:tabs>
        <w:adjustRightInd w:val="0"/>
        <w:spacing w:after="0"/>
        <w:rPr>
          <w:rFonts w:asciiTheme="majorHAnsi" w:hAnsiTheme="majorHAnsi"/>
          <w:b/>
          <w:color w:val="E36C0A" w:themeColor="accent6" w:themeShade="BF"/>
          <w:sz w:val="28"/>
          <w:szCs w:val="28"/>
        </w:rPr>
      </w:pPr>
      <w:r>
        <w:rPr>
          <w:rFonts w:asciiTheme="majorHAnsi" w:hAnsiTheme="majorHAnsi"/>
          <w:b/>
          <w:color w:val="E36C0A" w:themeColor="accent6" w:themeShade="BF"/>
          <w:sz w:val="28"/>
          <w:szCs w:val="28"/>
        </w:rPr>
        <w:t xml:space="preserve">DIRECT </w:t>
      </w:r>
      <w:r w:rsidR="005529C5" w:rsidRPr="005529C5">
        <w:rPr>
          <w:rFonts w:asciiTheme="majorHAnsi" w:hAnsiTheme="majorHAnsi"/>
          <w:b/>
          <w:color w:val="E36C0A" w:themeColor="accent6" w:themeShade="BF"/>
          <w:sz w:val="28"/>
          <w:szCs w:val="28"/>
        </w:rPr>
        <w:t>BENEFITS</w:t>
      </w:r>
    </w:p>
    <w:p w14:paraId="61878868" w14:textId="77777777" w:rsidR="002321AB" w:rsidRDefault="008871C0" w:rsidP="00327962">
      <w:pPr>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 xml:space="preserve">Tables </w:t>
      </w:r>
      <w:r w:rsidR="00894F36">
        <w:rPr>
          <w:rFonts w:asciiTheme="majorHAnsi" w:eastAsiaTheme="majorEastAsia" w:hAnsiTheme="majorHAnsi" w:cstheme="majorBidi"/>
          <w:bCs/>
          <w:color w:val="000000" w:themeColor="text1"/>
          <w:sz w:val="24"/>
          <w:szCs w:val="24"/>
        </w:rPr>
        <w:t>3</w:t>
      </w:r>
      <w:r w:rsidR="001A5433">
        <w:rPr>
          <w:rFonts w:asciiTheme="majorHAnsi" w:eastAsiaTheme="majorEastAsia" w:hAnsiTheme="majorHAnsi" w:cstheme="majorBidi"/>
          <w:bCs/>
          <w:color w:val="000000" w:themeColor="text1"/>
          <w:sz w:val="24"/>
          <w:szCs w:val="24"/>
        </w:rPr>
        <w:t xml:space="preserve"> </w:t>
      </w:r>
      <w:r w:rsidR="00A05944">
        <w:rPr>
          <w:rFonts w:asciiTheme="majorHAnsi" w:eastAsiaTheme="majorEastAsia" w:hAnsiTheme="majorHAnsi" w:cstheme="majorBidi"/>
          <w:bCs/>
          <w:color w:val="000000" w:themeColor="text1"/>
          <w:sz w:val="24"/>
          <w:szCs w:val="24"/>
        </w:rPr>
        <w:t xml:space="preserve">and </w:t>
      </w:r>
      <w:r w:rsidR="00894F36">
        <w:rPr>
          <w:rFonts w:asciiTheme="majorHAnsi" w:eastAsiaTheme="majorEastAsia" w:hAnsiTheme="majorHAnsi" w:cstheme="majorBidi"/>
          <w:bCs/>
          <w:color w:val="000000" w:themeColor="text1"/>
          <w:sz w:val="24"/>
          <w:szCs w:val="24"/>
        </w:rPr>
        <w:t>4</w:t>
      </w:r>
      <w:r w:rsidR="00A05944">
        <w:rPr>
          <w:rFonts w:asciiTheme="majorHAnsi" w:eastAsiaTheme="majorEastAsia" w:hAnsiTheme="majorHAnsi" w:cstheme="majorBidi"/>
          <w:bCs/>
          <w:color w:val="000000" w:themeColor="text1"/>
          <w:sz w:val="24"/>
          <w:szCs w:val="24"/>
        </w:rPr>
        <w:t xml:space="preserve"> </w:t>
      </w:r>
      <w:r w:rsidR="00777F33">
        <w:rPr>
          <w:rFonts w:asciiTheme="majorHAnsi" w:eastAsiaTheme="majorEastAsia" w:hAnsiTheme="majorHAnsi" w:cstheme="majorBidi"/>
          <w:bCs/>
          <w:color w:val="000000" w:themeColor="text1"/>
          <w:sz w:val="24"/>
          <w:szCs w:val="24"/>
        </w:rPr>
        <w:t>present</w:t>
      </w:r>
      <w:r w:rsidR="00A05944">
        <w:rPr>
          <w:rFonts w:asciiTheme="majorHAnsi" w:eastAsiaTheme="majorEastAsia" w:hAnsiTheme="majorHAnsi" w:cstheme="majorBidi"/>
          <w:bCs/>
          <w:color w:val="000000" w:themeColor="text1"/>
          <w:sz w:val="24"/>
          <w:szCs w:val="24"/>
        </w:rPr>
        <w:t xml:space="preserve"> statistics for corporate and business tax filers who claimed the credit in 2017, excluding insurance tax filers and personal income tax filers who claimed the credit.</w:t>
      </w:r>
      <w:r w:rsidR="00777F33" w:rsidRPr="00777F33">
        <w:rPr>
          <w:rStyle w:val="FootnoteReference"/>
          <w:rFonts w:asciiTheme="majorHAnsi" w:eastAsiaTheme="majorEastAsia" w:hAnsiTheme="majorHAnsi"/>
          <w:bCs/>
          <w:color w:val="000000" w:themeColor="text1"/>
          <w:sz w:val="24"/>
          <w:szCs w:val="24"/>
        </w:rPr>
        <w:t xml:space="preserve"> </w:t>
      </w:r>
      <w:r w:rsidR="00777F33">
        <w:rPr>
          <w:rStyle w:val="FootnoteReference"/>
          <w:rFonts w:asciiTheme="majorHAnsi" w:eastAsiaTheme="majorEastAsia" w:hAnsiTheme="majorHAnsi"/>
          <w:bCs/>
          <w:color w:val="000000" w:themeColor="text1"/>
          <w:sz w:val="24"/>
          <w:szCs w:val="24"/>
        </w:rPr>
        <w:footnoteReference w:id="4"/>
      </w:r>
      <w:r w:rsidR="00777F33">
        <w:rPr>
          <w:rFonts w:asciiTheme="majorHAnsi" w:eastAsiaTheme="majorEastAsia" w:hAnsiTheme="majorHAnsi" w:cstheme="majorBidi"/>
          <w:bCs/>
          <w:color w:val="000000" w:themeColor="text1"/>
          <w:sz w:val="24"/>
          <w:szCs w:val="24"/>
        </w:rPr>
        <w:t xml:space="preserve"> </w:t>
      </w:r>
      <w:r w:rsidR="00A05944">
        <w:rPr>
          <w:rFonts w:asciiTheme="majorHAnsi" w:eastAsiaTheme="majorEastAsia" w:hAnsiTheme="majorHAnsi" w:cstheme="majorBidi"/>
          <w:bCs/>
          <w:color w:val="000000" w:themeColor="text1"/>
          <w:sz w:val="24"/>
          <w:szCs w:val="24"/>
        </w:rPr>
        <w:t xml:space="preserve"> </w:t>
      </w:r>
    </w:p>
    <w:p w14:paraId="2788EE2D" w14:textId="77777777" w:rsidR="002321AB" w:rsidRDefault="002321AB" w:rsidP="00327962">
      <w:pPr>
        <w:spacing w:after="0"/>
        <w:rPr>
          <w:rFonts w:asciiTheme="majorHAnsi" w:eastAsiaTheme="majorEastAsia" w:hAnsiTheme="majorHAnsi" w:cstheme="majorBidi"/>
          <w:bCs/>
          <w:color w:val="000000" w:themeColor="text1"/>
          <w:sz w:val="24"/>
          <w:szCs w:val="24"/>
        </w:rPr>
      </w:pPr>
    </w:p>
    <w:p w14:paraId="4B25F982" w14:textId="7939C29D" w:rsidR="002321AB" w:rsidRDefault="00777F33" w:rsidP="002321AB">
      <w:pPr>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 xml:space="preserve">In </w:t>
      </w:r>
      <w:r w:rsidR="00513E39">
        <w:rPr>
          <w:rFonts w:asciiTheme="majorHAnsi" w:eastAsiaTheme="majorEastAsia" w:hAnsiTheme="majorHAnsi" w:cstheme="majorBidi"/>
          <w:bCs/>
          <w:color w:val="000000" w:themeColor="text1"/>
          <w:sz w:val="24"/>
          <w:szCs w:val="24"/>
        </w:rPr>
        <w:t xml:space="preserve">tax year </w:t>
      </w:r>
      <w:r>
        <w:rPr>
          <w:rFonts w:asciiTheme="majorHAnsi" w:eastAsiaTheme="majorEastAsia" w:hAnsiTheme="majorHAnsi" w:cstheme="majorBidi"/>
          <w:bCs/>
          <w:color w:val="000000" w:themeColor="text1"/>
          <w:sz w:val="24"/>
          <w:szCs w:val="24"/>
        </w:rPr>
        <w:t xml:space="preserve">2017, there were about 117 claimants </w:t>
      </w:r>
      <w:r w:rsidR="0007196C">
        <w:rPr>
          <w:rFonts w:asciiTheme="majorHAnsi" w:eastAsiaTheme="majorEastAsia" w:hAnsiTheme="majorHAnsi" w:cstheme="majorBidi"/>
          <w:bCs/>
          <w:color w:val="000000" w:themeColor="text1"/>
          <w:sz w:val="24"/>
          <w:szCs w:val="24"/>
        </w:rPr>
        <w:t>that</w:t>
      </w:r>
      <w:r w:rsidR="00262300">
        <w:rPr>
          <w:rFonts w:asciiTheme="majorHAnsi" w:eastAsiaTheme="majorEastAsia" w:hAnsiTheme="majorHAnsi" w:cstheme="majorBidi"/>
          <w:bCs/>
          <w:color w:val="000000" w:themeColor="text1"/>
          <w:sz w:val="24"/>
          <w:szCs w:val="24"/>
        </w:rPr>
        <w:t xml:space="preserve"> were </w:t>
      </w:r>
      <w:r>
        <w:rPr>
          <w:rFonts w:asciiTheme="majorHAnsi" w:eastAsiaTheme="majorEastAsia" w:hAnsiTheme="majorHAnsi" w:cstheme="majorBidi"/>
          <w:bCs/>
          <w:color w:val="000000" w:themeColor="text1"/>
          <w:sz w:val="24"/>
          <w:szCs w:val="24"/>
        </w:rPr>
        <w:t>corporations.</w:t>
      </w:r>
      <w:r>
        <w:rPr>
          <w:rStyle w:val="FootnoteReference"/>
          <w:rFonts w:asciiTheme="majorHAnsi" w:eastAsiaTheme="majorEastAsia" w:hAnsiTheme="majorHAnsi"/>
          <w:bCs/>
          <w:color w:val="000000" w:themeColor="text1"/>
          <w:sz w:val="24"/>
          <w:szCs w:val="24"/>
        </w:rPr>
        <w:footnoteReference w:id="5"/>
      </w:r>
      <w:r w:rsidR="00DF489C">
        <w:rPr>
          <w:rFonts w:asciiTheme="majorHAnsi" w:eastAsiaTheme="majorEastAsia" w:hAnsiTheme="majorHAnsi" w:cstheme="majorBidi"/>
          <w:bCs/>
          <w:color w:val="000000" w:themeColor="text1"/>
          <w:sz w:val="24"/>
          <w:szCs w:val="24"/>
        </w:rPr>
        <w:t xml:space="preserve"> About</w:t>
      </w:r>
      <w:r w:rsidR="002321AB">
        <w:rPr>
          <w:rFonts w:asciiTheme="majorHAnsi" w:hAnsiTheme="majorHAnsi"/>
          <w:sz w:val="24"/>
          <w:szCs w:val="24"/>
        </w:rPr>
        <w:t xml:space="preserve"> 36.</w:t>
      </w:r>
      <w:r w:rsidR="0034612B">
        <w:rPr>
          <w:rFonts w:asciiTheme="majorHAnsi" w:hAnsiTheme="majorHAnsi"/>
          <w:sz w:val="24"/>
          <w:szCs w:val="24"/>
        </w:rPr>
        <w:t>8</w:t>
      </w:r>
      <w:r w:rsidR="002321AB">
        <w:rPr>
          <w:rFonts w:asciiTheme="majorHAnsi" w:hAnsiTheme="majorHAnsi"/>
          <w:sz w:val="24"/>
          <w:szCs w:val="24"/>
        </w:rPr>
        <w:t xml:space="preserve">% of them were corporations with taxable income </w:t>
      </w:r>
      <w:r w:rsidR="0034612B">
        <w:rPr>
          <w:rFonts w:asciiTheme="majorHAnsi" w:hAnsiTheme="majorHAnsi"/>
          <w:sz w:val="24"/>
          <w:szCs w:val="24"/>
        </w:rPr>
        <w:t xml:space="preserve">greater than $0 </w:t>
      </w:r>
      <w:r w:rsidR="00161F98">
        <w:rPr>
          <w:rFonts w:asciiTheme="majorHAnsi" w:hAnsiTheme="majorHAnsi"/>
          <w:sz w:val="24"/>
          <w:szCs w:val="24"/>
        </w:rPr>
        <w:t>but</w:t>
      </w:r>
      <w:r w:rsidR="0034612B">
        <w:rPr>
          <w:rFonts w:asciiTheme="majorHAnsi" w:hAnsiTheme="majorHAnsi"/>
          <w:sz w:val="24"/>
          <w:szCs w:val="24"/>
        </w:rPr>
        <w:t xml:space="preserve"> </w:t>
      </w:r>
      <w:r w:rsidR="002321AB">
        <w:rPr>
          <w:rFonts w:asciiTheme="majorHAnsi" w:hAnsiTheme="majorHAnsi"/>
          <w:sz w:val="24"/>
          <w:szCs w:val="24"/>
        </w:rPr>
        <w:t>less than $10,000,</w:t>
      </w:r>
      <w:r w:rsidR="00262300">
        <w:rPr>
          <w:rFonts w:asciiTheme="majorHAnsi" w:hAnsiTheme="majorHAnsi"/>
          <w:sz w:val="24"/>
          <w:szCs w:val="24"/>
        </w:rPr>
        <w:t xml:space="preserve"> and</w:t>
      </w:r>
      <w:r w:rsidR="002321AB">
        <w:rPr>
          <w:rFonts w:asciiTheme="majorHAnsi" w:hAnsiTheme="majorHAnsi"/>
          <w:sz w:val="24"/>
          <w:szCs w:val="24"/>
        </w:rPr>
        <w:t xml:space="preserve"> </w:t>
      </w:r>
      <w:r w:rsidR="00F63BE1">
        <w:rPr>
          <w:rFonts w:asciiTheme="majorHAnsi" w:hAnsiTheme="majorHAnsi"/>
          <w:sz w:val="24"/>
          <w:szCs w:val="24"/>
        </w:rPr>
        <w:t>49.6</w:t>
      </w:r>
      <w:r w:rsidR="002321AB">
        <w:rPr>
          <w:rFonts w:asciiTheme="majorHAnsi" w:hAnsiTheme="majorHAnsi"/>
          <w:sz w:val="24"/>
          <w:szCs w:val="24"/>
        </w:rPr>
        <w:t xml:space="preserve">% of them were corporations with </w:t>
      </w:r>
      <w:r w:rsidR="00161F98">
        <w:rPr>
          <w:rFonts w:asciiTheme="majorHAnsi" w:hAnsiTheme="majorHAnsi"/>
          <w:sz w:val="24"/>
          <w:szCs w:val="24"/>
        </w:rPr>
        <w:t>fewer</w:t>
      </w:r>
      <w:r w:rsidR="002321AB">
        <w:rPr>
          <w:rFonts w:asciiTheme="majorHAnsi" w:hAnsiTheme="majorHAnsi"/>
          <w:sz w:val="24"/>
          <w:szCs w:val="24"/>
        </w:rPr>
        <w:t xml:space="preserve"> than 100</w:t>
      </w:r>
      <w:r w:rsidR="00161F98" w:rsidRPr="00161F98">
        <w:rPr>
          <w:rFonts w:asciiTheme="majorHAnsi" w:hAnsiTheme="majorHAnsi"/>
          <w:sz w:val="24"/>
          <w:szCs w:val="24"/>
        </w:rPr>
        <w:t xml:space="preserve"> </w:t>
      </w:r>
      <w:r w:rsidR="00161F98">
        <w:rPr>
          <w:rFonts w:asciiTheme="majorHAnsi" w:hAnsiTheme="majorHAnsi"/>
          <w:sz w:val="24"/>
          <w:szCs w:val="24"/>
        </w:rPr>
        <w:t>employees</w:t>
      </w:r>
      <w:r w:rsidR="002321AB">
        <w:rPr>
          <w:rFonts w:asciiTheme="majorHAnsi" w:eastAsiaTheme="majorEastAsia" w:hAnsiTheme="majorHAnsi" w:cstheme="majorBidi"/>
          <w:bCs/>
          <w:color w:val="000000" w:themeColor="text1"/>
          <w:sz w:val="24"/>
          <w:szCs w:val="24"/>
        </w:rPr>
        <w:t>.</w:t>
      </w:r>
      <w:r w:rsidR="002321AB">
        <w:rPr>
          <w:rFonts w:asciiTheme="majorHAnsi" w:hAnsiTheme="majorHAnsi"/>
          <w:sz w:val="24"/>
          <w:szCs w:val="24"/>
        </w:rPr>
        <w:t xml:space="preserve"> </w:t>
      </w:r>
      <w:r w:rsidR="0034612B">
        <w:rPr>
          <w:rFonts w:asciiTheme="majorHAnsi" w:hAnsiTheme="majorHAnsi"/>
          <w:sz w:val="24"/>
          <w:szCs w:val="24"/>
        </w:rPr>
        <w:t xml:space="preserve"> </w:t>
      </w:r>
      <w:r w:rsidR="002321AB">
        <w:rPr>
          <w:rFonts w:asciiTheme="majorHAnsi" w:eastAsiaTheme="majorEastAsia" w:hAnsiTheme="majorHAnsi" w:cstheme="majorBidi"/>
          <w:bCs/>
          <w:color w:val="000000" w:themeColor="text1"/>
          <w:sz w:val="24"/>
          <w:szCs w:val="24"/>
        </w:rPr>
        <w:t>T</w:t>
      </w:r>
      <w:r w:rsidR="002321AB" w:rsidRPr="000F7B86">
        <w:rPr>
          <w:rFonts w:asciiTheme="majorHAnsi" w:eastAsiaTheme="majorEastAsia" w:hAnsiTheme="majorHAnsi" w:cstheme="majorBidi"/>
          <w:bCs/>
          <w:color w:val="000000" w:themeColor="text1"/>
          <w:sz w:val="24"/>
          <w:szCs w:val="24"/>
        </w:rPr>
        <w:t>he average tax benefit per claimant was $</w:t>
      </w:r>
      <w:r w:rsidR="002321AB">
        <w:rPr>
          <w:rFonts w:asciiTheme="majorHAnsi" w:eastAsiaTheme="majorEastAsia" w:hAnsiTheme="majorHAnsi" w:cstheme="majorBidi"/>
          <w:bCs/>
          <w:color w:val="000000" w:themeColor="text1"/>
          <w:sz w:val="24"/>
          <w:szCs w:val="24"/>
        </w:rPr>
        <w:t>1</w:t>
      </w:r>
      <w:r w:rsidR="007A6578">
        <w:rPr>
          <w:rFonts w:asciiTheme="majorHAnsi" w:eastAsiaTheme="majorEastAsia" w:hAnsiTheme="majorHAnsi" w:cstheme="majorBidi"/>
          <w:bCs/>
          <w:color w:val="000000" w:themeColor="text1"/>
          <w:sz w:val="24"/>
          <w:szCs w:val="24"/>
        </w:rPr>
        <w:t>08,665</w:t>
      </w:r>
      <w:r w:rsidR="00246C1C">
        <w:rPr>
          <w:rFonts w:asciiTheme="majorHAnsi" w:eastAsiaTheme="majorEastAsia" w:hAnsiTheme="majorHAnsi" w:cstheme="majorBidi"/>
          <w:bCs/>
          <w:color w:val="000000" w:themeColor="text1"/>
          <w:sz w:val="24"/>
          <w:szCs w:val="24"/>
        </w:rPr>
        <w:t xml:space="preserve"> for all corporations</w:t>
      </w:r>
      <w:r w:rsidR="002321AB">
        <w:rPr>
          <w:rFonts w:asciiTheme="majorHAnsi" w:eastAsiaTheme="majorEastAsia" w:hAnsiTheme="majorHAnsi" w:cstheme="majorBidi"/>
          <w:bCs/>
          <w:color w:val="000000" w:themeColor="text1"/>
          <w:sz w:val="24"/>
          <w:szCs w:val="24"/>
        </w:rPr>
        <w:t xml:space="preserve">, </w:t>
      </w:r>
      <w:r w:rsidR="002321AB">
        <w:rPr>
          <w:rFonts w:asciiTheme="majorHAnsi" w:hAnsiTheme="majorHAnsi"/>
          <w:sz w:val="24"/>
          <w:szCs w:val="24"/>
        </w:rPr>
        <w:t>$</w:t>
      </w:r>
      <w:r w:rsidR="007A6578">
        <w:rPr>
          <w:rFonts w:asciiTheme="majorHAnsi" w:hAnsiTheme="majorHAnsi"/>
          <w:sz w:val="24"/>
          <w:szCs w:val="24"/>
        </w:rPr>
        <w:t>218,727</w:t>
      </w:r>
      <w:r w:rsidR="002321AB">
        <w:rPr>
          <w:rFonts w:asciiTheme="majorHAnsi" w:hAnsiTheme="majorHAnsi"/>
          <w:sz w:val="24"/>
          <w:szCs w:val="24"/>
        </w:rPr>
        <w:t xml:space="preserve"> for the corporations </w:t>
      </w:r>
      <w:r w:rsidR="00513E39">
        <w:rPr>
          <w:rFonts w:asciiTheme="majorHAnsi" w:hAnsiTheme="majorHAnsi"/>
          <w:sz w:val="24"/>
          <w:szCs w:val="24"/>
        </w:rPr>
        <w:t xml:space="preserve">with </w:t>
      </w:r>
      <w:r w:rsidR="002321AB">
        <w:rPr>
          <w:rFonts w:asciiTheme="majorHAnsi" w:hAnsiTheme="majorHAnsi"/>
          <w:sz w:val="24"/>
          <w:szCs w:val="24"/>
        </w:rPr>
        <w:t xml:space="preserve">taxable income </w:t>
      </w:r>
      <w:r w:rsidR="007A6578">
        <w:rPr>
          <w:rFonts w:asciiTheme="majorHAnsi" w:hAnsiTheme="majorHAnsi"/>
          <w:sz w:val="24"/>
          <w:szCs w:val="24"/>
        </w:rPr>
        <w:t>greater than $0</w:t>
      </w:r>
      <w:r w:rsidR="00161F98">
        <w:rPr>
          <w:rFonts w:asciiTheme="majorHAnsi" w:hAnsiTheme="majorHAnsi"/>
          <w:sz w:val="24"/>
          <w:szCs w:val="24"/>
        </w:rPr>
        <w:t xml:space="preserve"> but</w:t>
      </w:r>
      <w:r w:rsidR="007A6578">
        <w:rPr>
          <w:rFonts w:asciiTheme="majorHAnsi" w:hAnsiTheme="majorHAnsi"/>
          <w:sz w:val="24"/>
          <w:szCs w:val="24"/>
        </w:rPr>
        <w:t xml:space="preserve"> less than $10,000</w:t>
      </w:r>
      <w:r w:rsidR="00246C1C">
        <w:rPr>
          <w:rFonts w:asciiTheme="majorHAnsi" w:hAnsiTheme="majorHAnsi"/>
          <w:sz w:val="24"/>
          <w:szCs w:val="24"/>
        </w:rPr>
        <w:t xml:space="preserve">  (highest among all income groups)</w:t>
      </w:r>
      <w:r w:rsidR="002321AB">
        <w:rPr>
          <w:rFonts w:asciiTheme="majorHAnsi" w:hAnsiTheme="majorHAnsi"/>
          <w:sz w:val="24"/>
          <w:szCs w:val="24"/>
        </w:rPr>
        <w:t xml:space="preserve">, </w:t>
      </w:r>
      <w:r w:rsidR="00262300">
        <w:rPr>
          <w:rFonts w:asciiTheme="majorHAnsi" w:hAnsiTheme="majorHAnsi"/>
          <w:sz w:val="24"/>
          <w:szCs w:val="24"/>
        </w:rPr>
        <w:t xml:space="preserve">and </w:t>
      </w:r>
      <w:r w:rsidR="002321AB">
        <w:rPr>
          <w:rFonts w:asciiTheme="majorHAnsi" w:hAnsiTheme="majorHAnsi"/>
          <w:sz w:val="24"/>
          <w:szCs w:val="24"/>
        </w:rPr>
        <w:t>$</w:t>
      </w:r>
      <w:r w:rsidR="00F63BE1">
        <w:rPr>
          <w:rFonts w:asciiTheme="majorHAnsi" w:hAnsiTheme="majorHAnsi"/>
          <w:sz w:val="24"/>
          <w:szCs w:val="24"/>
        </w:rPr>
        <w:t>181,439</w:t>
      </w:r>
      <w:r w:rsidR="002321AB">
        <w:rPr>
          <w:rFonts w:asciiTheme="majorHAnsi" w:hAnsiTheme="majorHAnsi"/>
          <w:sz w:val="24"/>
          <w:szCs w:val="24"/>
        </w:rPr>
        <w:t xml:space="preserve"> for the corporations </w:t>
      </w:r>
      <w:r w:rsidR="00161F98">
        <w:rPr>
          <w:rFonts w:asciiTheme="majorHAnsi" w:hAnsiTheme="majorHAnsi"/>
          <w:sz w:val="24"/>
          <w:szCs w:val="24"/>
        </w:rPr>
        <w:t xml:space="preserve">with 100-199 employees </w:t>
      </w:r>
      <w:r w:rsidR="00246C1C">
        <w:rPr>
          <w:rFonts w:asciiTheme="majorHAnsi" w:hAnsiTheme="majorHAnsi"/>
          <w:sz w:val="24"/>
          <w:szCs w:val="24"/>
        </w:rPr>
        <w:t>(highest among all employment level groups)</w:t>
      </w:r>
      <w:r w:rsidR="002321AB">
        <w:rPr>
          <w:rFonts w:asciiTheme="majorHAnsi" w:hAnsiTheme="majorHAnsi"/>
          <w:sz w:val="24"/>
          <w:szCs w:val="24"/>
        </w:rPr>
        <w:t xml:space="preserve">.  </w:t>
      </w:r>
    </w:p>
    <w:p w14:paraId="0AE1BCCF" w14:textId="77777777" w:rsidR="002F3E67" w:rsidRDefault="002F3E67" w:rsidP="004C0367">
      <w:pPr>
        <w:spacing w:after="0"/>
        <w:rPr>
          <w:rFonts w:asciiTheme="majorHAnsi" w:eastAsiaTheme="majorEastAsia" w:hAnsiTheme="majorHAnsi" w:cstheme="majorBidi"/>
          <w:bCs/>
          <w:color w:val="000000" w:themeColor="text1"/>
          <w:sz w:val="24"/>
          <w:szCs w:val="24"/>
        </w:rPr>
      </w:pPr>
    </w:p>
    <w:p w14:paraId="1114F6BE" w14:textId="77777777" w:rsidR="00513E39" w:rsidRDefault="00EC52B1" w:rsidP="00513E39">
      <w:pPr>
        <w:spacing w:after="0"/>
        <w:jc w:val="center"/>
        <w:rPr>
          <w:rFonts w:asciiTheme="majorHAnsi" w:hAnsiTheme="majorHAnsi"/>
          <w:b/>
          <w:sz w:val="24"/>
          <w:szCs w:val="24"/>
        </w:rPr>
      </w:pPr>
      <w:r>
        <w:rPr>
          <w:rFonts w:asciiTheme="majorHAnsi" w:eastAsiaTheme="majorEastAsia" w:hAnsiTheme="majorHAnsi" w:cstheme="majorBidi"/>
          <w:bCs/>
          <w:color w:val="000000" w:themeColor="text1"/>
          <w:sz w:val="24"/>
          <w:szCs w:val="24"/>
        </w:rPr>
        <w:t xml:space="preserve"> </w:t>
      </w:r>
      <w:r w:rsidR="002F3E67" w:rsidRPr="00CA0391">
        <w:rPr>
          <w:rFonts w:asciiTheme="majorHAnsi" w:hAnsiTheme="majorHAnsi"/>
          <w:b/>
          <w:sz w:val="24"/>
          <w:szCs w:val="24"/>
        </w:rPr>
        <w:t xml:space="preserve">Table </w:t>
      </w:r>
      <w:r w:rsidR="00894F36">
        <w:rPr>
          <w:rFonts w:asciiTheme="majorHAnsi" w:hAnsiTheme="majorHAnsi"/>
          <w:b/>
          <w:sz w:val="24"/>
          <w:szCs w:val="24"/>
        </w:rPr>
        <w:t>3</w:t>
      </w:r>
      <w:r w:rsidR="002F3E67" w:rsidRPr="00CA0391">
        <w:rPr>
          <w:rFonts w:asciiTheme="majorHAnsi" w:hAnsiTheme="majorHAnsi"/>
          <w:b/>
          <w:sz w:val="24"/>
          <w:szCs w:val="24"/>
        </w:rPr>
        <w:t xml:space="preserve">. </w:t>
      </w:r>
      <w:r w:rsidR="00513E39">
        <w:rPr>
          <w:rFonts w:asciiTheme="majorHAnsi" w:hAnsiTheme="majorHAnsi"/>
          <w:b/>
          <w:sz w:val="24"/>
          <w:szCs w:val="24"/>
        </w:rPr>
        <w:t>2017 EDIP Credit Claims by Taxable Income Level</w:t>
      </w:r>
    </w:p>
    <w:tbl>
      <w:tblPr>
        <w:tblW w:w="9360" w:type="dxa"/>
        <w:jc w:val="center"/>
        <w:tblLook w:val="04A0" w:firstRow="1" w:lastRow="0" w:firstColumn="1" w:lastColumn="0" w:noHBand="0" w:noVBand="1"/>
      </w:tblPr>
      <w:tblGrid>
        <w:gridCol w:w="2515"/>
        <w:gridCol w:w="1340"/>
        <w:gridCol w:w="915"/>
        <w:gridCol w:w="1016"/>
        <w:gridCol w:w="1066"/>
        <w:gridCol w:w="1167"/>
        <w:gridCol w:w="1341"/>
      </w:tblGrid>
      <w:tr w:rsidR="00F65690" w:rsidRPr="00161F98" w14:paraId="04C527FD" w14:textId="77777777" w:rsidTr="00F65690">
        <w:trPr>
          <w:trHeight w:val="20"/>
          <w:jc w:val="center"/>
        </w:trPr>
        <w:tc>
          <w:tcPr>
            <w:tcW w:w="251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6C4A8A92" w14:textId="77777777" w:rsidR="00D01E91" w:rsidRPr="00161F98" w:rsidRDefault="00D01E91" w:rsidP="007B6263">
            <w:pPr>
              <w:spacing w:after="0" w:line="240" w:lineRule="auto"/>
              <w:jc w:val="center"/>
              <w:rPr>
                <w:rFonts w:asciiTheme="majorHAnsi" w:eastAsia="Times New Roman" w:hAnsiTheme="majorHAnsi" w:cs="Helvetica"/>
                <w:color w:val="000000"/>
                <w:sz w:val="20"/>
                <w:szCs w:val="20"/>
                <w:lang w:eastAsia="ko-KR"/>
              </w:rPr>
            </w:pPr>
            <w:r w:rsidRPr="00161F98">
              <w:rPr>
                <w:rFonts w:asciiTheme="majorHAnsi" w:eastAsia="Times New Roman" w:hAnsiTheme="majorHAnsi" w:cs="Helvetica"/>
                <w:color w:val="000000"/>
                <w:sz w:val="20"/>
                <w:szCs w:val="20"/>
                <w:lang w:eastAsia="ko-KR"/>
              </w:rPr>
              <w:t xml:space="preserve">Taxable Income Range </w:t>
            </w:r>
          </w:p>
        </w:tc>
        <w:tc>
          <w:tcPr>
            <w:tcW w:w="1340"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02B3020C" w14:textId="77777777" w:rsidR="00D01E91" w:rsidRPr="00161F98" w:rsidRDefault="00D01E91" w:rsidP="006C4464">
            <w:pPr>
              <w:spacing w:after="0" w:line="240" w:lineRule="auto"/>
              <w:jc w:val="center"/>
              <w:rPr>
                <w:rFonts w:asciiTheme="majorHAnsi" w:eastAsia="Times New Roman" w:hAnsiTheme="majorHAnsi" w:cs="Helvetica"/>
                <w:color w:val="000000"/>
                <w:sz w:val="20"/>
                <w:szCs w:val="20"/>
                <w:lang w:eastAsia="ko-KR"/>
              </w:rPr>
            </w:pPr>
            <w:r w:rsidRPr="00161F98">
              <w:rPr>
                <w:rFonts w:asciiTheme="majorHAnsi" w:eastAsia="Times New Roman" w:hAnsiTheme="majorHAnsi" w:cs="Helvetica"/>
                <w:color w:val="000000"/>
                <w:sz w:val="20"/>
                <w:szCs w:val="20"/>
                <w:lang w:eastAsia="ko-KR"/>
              </w:rPr>
              <w:t>Tax Liability</w:t>
            </w:r>
            <w:r w:rsidR="008C52E3">
              <w:rPr>
                <w:rFonts w:asciiTheme="majorHAnsi" w:eastAsia="Times New Roman" w:hAnsiTheme="majorHAnsi" w:cs="Helvetica"/>
                <w:color w:val="000000"/>
                <w:sz w:val="20"/>
                <w:szCs w:val="20"/>
                <w:lang w:eastAsia="ko-KR"/>
              </w:rPr>
              <w:t xml:space="preserve"> after Credit</w:t>
            </w:r>
            <w:r w:rsidRPr="00161F98">
              <w:rPr>
                <w:rFonts w:asciiTheme="majorHAnsi" w:eastAsia="Times New Roman" w:hAnsiTheme="majorHAnsi" w:cs="Helvetica"/>
                <w:color w:val="000000"/>
                <w:sz w:val="20"/>
                <w:szCs w:val="20"/>
                <w:lang w:eastAsia="ko-KR"/>
              </w:rPr>
              <w:t xml:space="preserve"> ($000) </w:t>
            </w:r>
          </w:p>
        </w:tc>
        <w:tc>
          <w:tcPr>
            <w:tcW w:w="915"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28623557" w14:textId="77777777" w:rsidR="00D01E91" w:rsidRPr="00161F98" w:rsidRDefault="00D01E91" w:rsidP="006C4464">
            <w:pPr>
              <w:spacing w:after="0" w:line="240" w:lineRule="auto"/>
              <w:jc w:val="center"/>
              <w:rPr>
                <w:rFonts w:asciiTheme="majorHAnsi" w:eastAsia="Times New Roman" w:hAnsiTheme="majorHAnsi" w:cs="Helvetica"/>
                <w:color w:val="000000"/>
                <w:sz w:val="20"/>
                <w:szCs w:val="20"/>
                <w:lang w:eastAsia="ko-KR"/>
              </w:rPr>
            </w:pPr>
            <w:r w:rsidRPr="00161F98">
              <w:rPr>
                <w:rFonts w:asciiTheme="majorHAnsi" w:eastAsia="Times New Roman" w:hAnsiTheme="majorHAnsi" w:cs="Helvetica"/>
                <w:color w:val="000000"/>
                <w:sz w:val="20"/>
                <w:szCs w:val="20"/>
                <w:lang w:eastAsia="ko-KR"/>
              </w:rPr>
              <w:t xml:space="preserve">Claimed Credit ($000) </w:t>
            </w:r>
          </w:p>
        </w:tc>
        <w:tc>
          <w:tcPr>
            <w:tcW w:w="1016"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5AA5202D" w14:textId="77777777" w:rsidR="00D01E91" w:rsidRPr="00161F98" w:rsidRDefault="00D01E91" w:rsidP="006C4464">
            <w:pPr>
              <w:spacing w:after="0" w:line="240" w:lineRule="auto"/>
              <w:jc w:val="center"/>
              <w:rPr>
                <w:rFonts w:asciiTheme="majorHAnsi" w:eastAsia="Times New Roman" w:hAnsiTheme="majorHAnsi" w:cs="Helvetica"/>
                <w:color w:val="000000"/>
                <w:sz w:val="20"/>
                <w:szCs w:val="20"/>
                <w:lang w:eastAsia="ko-KR"/>
              </w:rPr>
            </w:pPr>
            <w:r w:rsidRPr="00161F98">
              <w:rPr>
                <w:rFonts w:asciiTheme="majorHAnsi" w:eastAsia="Times New Roman" w:hAnsiTheme="majorHAnsi" w:cs="Helvetica"/>
                <w:color w:val="000000"/>
                <w:sz w:val="20"/>
                <w:szCs w:val="20"/>
                <w:lang w:eastAsia="ko-KR"/>
              </w:rPr>
              <w:t xml:space="preserve">Shared Credit ($000) </w:t>
            </w:r>
          </w:p>
        </w:tc>
        <w:tc>
          <w:tcPr>
            <w:tcW w:w="1066"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0BD03977" w14:textId="77777777" w:rsidR="00D01E91" w:rsidRPr="00161F98" w:rsidRDefault="00D01E91" w:rsidP="006C4464">
            <w:pPr>
              <w:spacing w:after="0" w:line="240" w:lineRule="auto"/>
              <w:jc w:val="center"/>
              <w:rPr>
                <w:rFonts w:asciiTheme="majorHAnsi" w:eastAsia="Times New Roman" w:hAnsiTheme="majorHAnsi" w:cs="Helvetica"/>
                <w:color w:val="000000"/>
                <w:sz w:val="20"/>
                <w:szCs w:val="20"/>
                <w:lang w:eastAsia="ko-KR"/>
              </w:rPr>
            </w:pPr>
            <w:r w:rsidRPr="00161F98">
              <w:rPr>
                <w:rFonts w:asciiTheme="majorHAnsi" w:eastAsia="Times New Roman" w:hAnsiTheme="majorHAnsi" w:cs="Helvetica"/>
                <w:color w:val="000000"/>
                <w:sz w:val="20"/>
                <w:szCs w:val="20"/>
                <w:lang w:eastAsia="ko-KR"/>
              </w:rPr>
              <w:t>Number of Claimants</w:t>
            </w:r>
          </w:p>
        </w:tc>
        <w:tc>
          <w:tcPr>
            <w:tcW w:w="1167"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4E3938E9" w14:textId="77777777" w:rsidR="00D01E91" w:rsidRPr="00161F98" w:rsidRDefault="00D01E91" w:rsidP="006C4464">
            <w:pPr>
              <w:spacing w:after="0" w:line="240" w:lineRule="auto"/>
              <w:jc w:val="center"/>
              <w:rPr>
                <w:rFonts w:asciiTheme="majorHAnsi" w:eastAsia="Times New Roman" w:hAnsiTheme="majorHAnsi" w:cs="Helvetica"/>
                <w:i/>
                <w:iCs/>
                <w:color w:val="000000"/>
                <w:sz w:val="20"/>
                <w:szCs w:val="20"/>
                <w:lang w:eastAsia="ko-KR"/>
              </w:rPr>
            </w:pPr>
            <w:r w:rsidRPr="00161F98">
              <w:rPr>
                <w:rFonts w:asciiTheme="majorHAnsi" w:eastAsia="Times New Roman" w:hAnsiTheme="majorHAnsi" w:cs="Helvetica"/>
                <w:i/>
                <w:iCs/>
                <w:color w:val="000000"/>
                <w:sz w:val="20"/>
                <w:szCs w:val="20"/>
                <w:lang w:eastAsia="ko-KR"/>
              </w:rPr>
              <w:t>% of Total Number of Claimants</w:t>
            </w:r>
          </w:p>
        </w:tc>
        <w:tc>
          <w:tcPr>
            <w:tcW w:w="1341"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044922B5" w14:textId="77777777" w:rsidR="00D01E91" w:rsidRPr="00161F98" w:rsidRDefault="00D01E91" w:rsidP="006C4464">
            <w:pPr>
              <w:spacing w:after="0" w:line="240" w:lineRule="auto"/>
              <w:jc w:val="center"/>
              <w:rPr>
                <w:rFonts w:asciiTheme="majorHAnsi" w:eastAsia="Times New Roman" w:hAnsiTheme="majorHAnsi" w:cs="Helvetica"/>
                <w:color w:val="000000"/>
                <w:sz w:val="20"/>
                <w:szCs w:val="20"/>
                <w:lang w:eastAsia="ko-KR"/>
              </w:rPr>
            </w:pPr>
            <w:r w:rsidRPr="00161F98">
              <w:rPr>
                <w:rFonts w:asciiTheme="majorHAnsi" w:eastAsia="Times New Roman" w:hAnsiTheme="majorHAnsi" w:cs="Helvetica"/>
                <w:color w:val="000000"/>
                <w:sz w:val="20"/>
                <w:szCs w:val="20"/>
                <w:lang w:eastAsia="ko-KR"/>
              </w:rPr>
              <w:t>Tax Saving Per Claimant ($)</w:t>
            </w:r>
          </w:p>
        </w:tc>
      </w:tr>
      <w:tr w:rsidR="00F65690" w:rsidRPr="00161F98" w14:paraId="01523FB0" w14:textId="77777777" w:rsidTr="00F65690">
        <w:trPr>
          <w:trHeight w:val="20"/>
          <w:jc w:val="center"/>
        </w:trPr>
        <w:tc>
          <w:tcPr>
            <w:tcW w:w="2515" w:type="dxa"/>
            <w:tcBorders>
              <w:top w:val="nil"/>
              <w:left w:val="single" w:sz="4" w:space="0" w:color="auto"/>
              <w:bottom w:val="single" w:sz="4" w:space="0" w:color="auto"/>
              <w:right w:val="single" w:sz="4" w:space="0" w:color="auto"/>
            </w:tcBorders>
            <w:shd w:val="clear" w:color="auto" w:fill="auto"/>
            <w:vAlign w:val="center"/>
            <w:hideMark/>
          </w:tcPr>
          <w:p w14:paraId="1A9BCB29" w14:textId="77777777" w:rsidR="00D01E91" w:rsidRPr="00161F98" w:rsidRDefault="00D01E91" w:rsidP="00D73FA1">
            <w:pPr>
              <w:spacing w:after="0" w:line="240" w:lineRule="auto"/>
              <w:rPr>
                <w:rFonts w:asciiTheme="majorHAnsi" w:eastAsia="Times New Roman" w:hAnsiTheme="majorHAnsi" w:cs="Helvetica"/>
                <w:color w:val="000000"/>
                <w:sz w:val="20"/>
                <w:szCs w:val="20"/>
                <w:lang w:eastAsia="ko-KR"/>
              </w:rPr>
            </w:pPr>
            <w:r w:rsidRPr="00161F98">
              <w:rPr>
                <w:rFonts w:asciiTheme="majorHAnsi" w:eastAsia="Times New Roman" w:hAnsiTheme="majorHAnsi" w:cs="Helvetica"/>
                <w:color w:val="000000"/>
                <w:sz w:val="20"/>
                <w:szCs w:val="20"/>
                <w:lang w:eastAsia="ko-KR"/>
              </w:rPr>
              <w:t xml:space="preserve"> Less than $0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DAADA" w14:textId="77777777" w:rsidR="00D01E91" w:rsidRPr="00161F98" w:rsidRDefault="00D01E91" w:rsidP="00D73FA1">
            <w:pPr>
              <w:spacing w:after="0" w:line="240" w:lineRule="auto"/>
              <w:jc w:val="center"/>
              <w:rPr>
                <w:rFonts w:asciiTheme="majorHAnsi" w:eastAsia="Times New Roman" w:hAnsiTheme="majorHAnsi" w:cs="Helvetica"/>
                <w:color w:val="000000"/>
                <w:sz w:val="20"/>
                <w:szCs w:val="20"/>
                <w:lang w:eastAsia="ko-KR"/>
              </w:rPr>
            </w:pPr>
            <w:r w:rsidRPr="00161F98">
              <w:rPr>
                <w:rFonts w:asciiTheme="majorHAnsi" w:hAnsiTheme="majorHAnsi" w:cs="Helvetica"/>
                <w:sz w:val="20"/>
                <w:szCs w:val="20"/>
              </w:rPr>
              <w:t>$160</w:t>
            </w:r>
          </w:p>
        </w:tc>
        <w:tc>
          <w:tcPr>
            <w:tcW w:w="915" w:type="dxa"/>
            <w:tcBorders>
              <w:top w:val="single" w:sz="4" w:space="0" w:color="auto"/>
              <w:left w:val="nil"/>
              <w:bottom w:val="single" w:sz="4" w:space="0" w:color="auto"/>
              <w:right w:val="single" w:sz="4" w:space="0" w:color="auto"/>
            </w:tcBorders>
            <w:shd w:val="clear" w:color="auto" w:fill="auto"/>
            <w:vAlign w:val="center"/>
            <w:hideMark/>
          </w:tcPr>
          <w:p w14:paraId="1E204790" w14:textId="77777777" w:rsidR="00D01E91" w:rsidRPr="00161F98" w:rsidRDefault="00D01E91" w:rsidP="00D73FA1">
            <w:pPr>
              <w:spacing w:after="0" w:line="240" w:lineRule="auto"/>
              <w:jc w:val="center"/>
              <w:rPr>
                <w:rFonts w:asciiTheme="majorHAnsi" w:eastAsia="Times New Roman" w:hAnsiTheme="majorHAnsi" w:cs="Helvetica"/>
                <w:color w:val="000000"/>
                <w:sz w:val="20"/>
                <w:szCs w:val="20"/>
                <w:lang w:eastAsia="ko-KR"/>
              </w:rPr>
            </w:pPr>
            <w:r w:rsidRPr="00161F98">
              <w:rPr>
                <w:rFonts w:asciiTheme="majorHAnsi" w:hAnsiTheme="majorHAnsi" w:cs="Helvetica"/>
                <w:sz w:val="20"/>
                <w:szCs w:val="20"/>
              </w:rPr>
              <w:t>$152</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57661509" w14:textId="77777777" w:rsidR="00D01E91" w:rsidRPr="00161F98" w:rsidRDefault="00D01E91" w:rsidP="00D73FA1">
            <w:pPr>
              <w:spacing w:after="0" w:line="240" w:lineRule="auto"/>
              <w:jc w:val="center"/>
              <w:rPr>
                <w:rFonts w:asciiTheme="majorHAnsi" w:eastAsia="Times New Roman" w:hAnsiTheme="majorHAnsi" w:cs="Helvetica"/>
                <w:color w:val="000000"/>
                <w:sz w:val="20"/>
                <w:szCs w:val="20"/>
                <w:lang w:eastAsia="ko-KR"/>
              </w:rPr>
            </w:pPr>
            <w:r w:rsidRPr="00161F98">
              <w:rPr>
                <w:rFonts w:asciiTheme="majorHAnsi" w:hAnsiTheme="majorHAnsi" w:cs="Helvetica"/>
                <w:sz w:val="20"/>
                <w:szCs w:val="20"/>
              </w:rPr>
              <w:t>$57</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14:paraId="0241DD2E" w14:textId="77777777" w:rsidR="00D01E91" w:rsidRPr="00161F98" w:rsidRDefault="00D01E91" w:rsidP="00D73FA1">
            <w:pPr>
              <w:spacing w:after="0" w:line="240" w:lineRule="auto"/>
              <w:jc w:val="center"/>
              <w:rPr>
                <w:rFonts w:asciiTheme="majorHAnsi" w:eastAsia="Times New Roman" w:hAnsiTheme="majorHAnsi" w:cs="Helvetica"/>
                <w:color w:val="000000"/>
                <w:sz w:val="20"/>
                <w:szCs w:val="20"/>
                <w:lang w:eastAsia="ko-KR"/>
              </w:rPr>
            </w:pPr>
            <w:r w:rsidRPr="00161F98">
              <w:rPr>
                <w:rFonts w:asciiTheme="majorHAnsi" w:eastAsia="Times New Roman" w:hAnsiTheme="majorHAnsi" w:cs="Helvetica"/>
                <w:color w:val="000000"/>
                <w:sz w:val="20"/>
                <w:szCs w:val="20"/>
                <w:lang w:eastAsia="ko-KR"/>
              </w:rPr>
              <w:t>13</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33CED832" w14:textId="77777777" w:rsidR="00D01E91" w:rsidRPr="00161F98" w:rsidRDefault="00D01E91" w:rsidP="00D73FA1">
            <w:pPr>
              <w:spacing w:after="0" w:line="240" w:lineRule="auto"/>
              <w:jc w:val="center"/>
              <w:rPr>
                <w:rFonts w:asciiTheme="majorHAnsi" w:eastAsia="Times New Roman" w:hAnsiTheme="majorHAnsi" w:cs="Helvetica"/>
                <w:i/>
                <w:iCs/>
                <w:color w:val="000000"/>
                <w:sz w:val="20"/>
                <w:szCs w:val="20"/>
                <w:lang w:eastAsia="ko-KR"/>
              </w:rPr>
            </w:pPr>
            <w:r w:rsidRPr="00161F98">
              <w:rPr>
                <w:rFonts w:asciiTheme="majorHAnsi" w:eastAsia="Times New Roman" w:hAnsiTheme="majorHAnsi" w:cs="Helvetica"/>
                <w:i/>
                <w:iCs/>
                <w:color w:val="000000"/>
                <w:sz w:val="20"/>
                <w:szCs w:val="20"/>
                <w:lang w:eastAsia="ko-KR"/>
              </w:rPr>
              <w:t>11.1%</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8CFA2" w14:textId="77777777" w:rsidR="00D01E91" w:rsidRPr="00161F98" w:rsidRDefault="008C52E3" w:rsidP="00D73FA1">
            <w:pPr>
              <w:spacing w:after="0" w:line="240" w:lineRule="auto"/>
              <w:jc w:val="center"/>
              <w:rPr>
                <w:rFonts w:asciiTheme="majorHAnsi" w:eastAsia="Times New Roman" w:hAnsiTheme="majorHAnsi" w:cs="Helvetica"/>
                <w:color w:val="000000"/>
                <w:sz w:val="20"/>
                <w:szCs w:val="20"/>
                <w:lang w:eastAsia="ko-KR"/>
              </w:rPr>
            </w:pPr>
            <w:r>
              <w:rPr>
                <w:rFonts w:asciiTheme="majorHAnsi" w:hAnsiTheme="majorHAnsi" w:cs="Helvetica"/>
                <w:color w:val="000000"/>
                <w:sz w:val="20"/>
                <w:szCs w:val="20"/>
              </w:rPr>
              <w:t>$</w:t>
            </w:r>
            <w:r w:rsidR="00D01E91" w:rsidRPr="00161F98">
              <w:rPr>
                <w:rFonts w:asciiTheme="majorHAnsi" w:hAnsiTheme="majorHAnsi" w:cs="Helvetica"/>
                <w:color w:val="000000"/>
                <w:sz w:val="20"/>
                <w:szCs w:val="20"/>
              </w:rPr>
              <w:t>16,087</w:t>
            </w:r>
          </w:p>
        </w:tc>
      </w:tr>
      <w:tr w:rsidR="00F65690" w:rsidRPr="00161F98" w14:paraId="1D320F69" w14:textId="77777777" w:rsidTr="00F65690">
        <w:trPr>
          <w:trHeight w:val="20"/>
          <w:jc w:val="center"/>
        </w:trPr>
        <w:tc>
          <w:tcPr>
            <w:tcW w:w="2515" w:type="dxa"/>
            <w:tcBorders>
              <w:top w:val="nil"/>
              <w:left w:val="single" w:sz="4" w:space="0" w:color="auto"/>
              <w:bottom w:val="single" w:sz="4" w:space="0" w:color="auto"/>
              <w:right w:val="single" w:sz="4" w:space="0" w:color="auto"/>
            </w:tcBorders>
            <w:shd w:val="clear" w:color="auto" w:fill="auto"/>
            <w:vAlign w:val="center"/>
            <w:hideMark/>
          </w:tcPr>
          <w:p w14:paraId="4B620181" w14:textId="77777777" w:rsidR="00D01E91" w:rsidRPr="00161F98" w:rsidRDefault="00D01E91" w:rsidP="00D73FA1">
            <w:pPr>
              <w:spacing w:after="0" w:line="240" w:lineRule="auto"/>
              <w:rPr>
                <w:rFonts w:asciiTheme="majorHAnsi" w:eastAsia="Times New Roman" w:hAnsiTheme="majorHAnsi" w:cs="Helvetica"/>
                <w:color w:val="000000"/>
                <w:sz w:val="20"/>
                <w:szCs w:val="20"/>
                <w:lang w:eastAsia="ko-KR"/>
              </w:rPr>
            </w:pPr>
            <w:r w:rsidRPr="00161F98">
              <w:rPr>
                <w:rFonts w:asciiTheme="majorHAnsi" w:eastAsia="Times New Roman" w:hAnsiTheme="majorHAnsi" w:cs="Helvetica"/>
                <w:color w:val="000000"/>
                <w:sz w:val="20"/>
                <w:szCs w:val="20"/>
                <w:lang w:eastAsia="ko-KR"/>
              </w:rPr>
              <w:t xml:space="preserve"> $0 to $9,999 </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14:paraId="09E07F0B" w14:textId="77777777" w:rsidR="00D01E91" w:rsidRPr="00161F98" w:rsidRDefault="00D01E91" w:rsidP="00D73FA1">
            <w:pPr>
              <w:spacing w:after="0" w:line="240" w:lineRule="auto"/>
              <w:jc w:val="center"/>
              <w:rPr>
                <w:rFonts w:asciiTheme="majorHAnsi" w:eastAsia="Times New Roman" w:hAnsiTheme="majorHAnsi" w:cs="Helvetica"/>
                <w:color w:val="000000"/>
                <w:sz w:val="20"/>
                <w:szCs w:val="20"/>
                <w:lang w:eastAsia="ko-KR"/>
              </w:rPr>
            </w:pPr>
            <w:r w:rsidRPr="00161F98">
              <w:rPr>
                <w:rFonts w:asciiTheme="majorHAnsi" w:hAnsiTheme="majorHAnsi" w:cs="Helvetica"/>
                <w:sz w:val="20"/>
                <w:szCs w:val="20"/>
              </w:rPr>
              <w:t>$209</w:t>
            </w:r>
          </w:p>
        </w:tc>
        <w:tc>
          <w:tcPr>
            <w:tcW w:w="915" w:type="dxa"/>
            <w:tcBorders>
              <w:top w:val="nil"/>
              <w:left w:val="nil"/>
              <w:bottom w:val="single" w:sz="4" w:space="0" w:color="auto"/>
              <w:right w:val="single" w:sz="4" w:space="0" w:color="auto"/>
            </w:tcBorders>
            <w:shd w:val="clear" w:color="auto" w:fill="auto"/>
            <w:vAlign w:val="center"/>
            <w:hideMark/>
          </w:tcPr>
          <w:p w14:paraId="04768B63" w14:textId="77777777" w:rsidR="00D01E91" w:rsidRPr="00161F98" w:rsidRDefault="00D01E91" w:rsidP="00D73FA1">
            <w:pPr>
              <w:spacing w:after="0" w:line="240" w:lineRule="auto"/>
              <w:jc w:val="center"/>
              <w:rPr>
                <w:rFonts w:asciiTheme="majorHAnsi" w:eastAsia="Times New Roman" w:hAnsiTheme="majorHAnsi" w:cs="Helvetica"/>
                <w:color w:val="000000"/>
                <w:sz w:val="20"/>
                <w:szCs w:val="20"/>
                <w:lang w:eastAsia="ko-KR"/>
              </w:rPr>
            </w:pPr>
            <w:r w:rsidRPr="00161F98">
              <w:rPr>
                <w:rFonts w:asciiTheme="majorHAnsi" w:hAnsiTheme="majorHAnsi" w:cs="Helvetica"/>
                <w:sz w:val="20"/>
                <w:szCs w:val="20"/>
              </w:rPr>
              <w:t>$6,892</w:t>
            </w:r>
          </w:p>
        </w:tc>
        <w:tc>
          <w:tcPr>
            <w:tcW w:w="1016" w:type="dxa"/>
            <w:tcBorders>
              <w:top w:val="nil"/>
              <w:left w:val="nil"/>
              <w:bottom w:val="single" w:sz="4" w:space="0" w:color="auto"/>
              <w:right w:val="single" w:sz="4" w:space="0" w:color="auto"/>
            </w:tcBorders>
            <w:shd w:val="clear" w:color="auto" w:fill="auto"/>
            <w:vAlign w:val="center"/>
            <w:hideMark/>
          </w:tcPr>
          <w:p w14:paraId="52CE05E4" w14:textId="77777777" w:rsidR="00D01E91" w:rsidRPr="00161F98" w:rsidRDefault="00D01E91" w:rsidP="00D73FA1">
            <w:pPr>
              <w:spacing w:after="0" w:line="240" w:lineRule="auto"/>
              <w:jc w:val="center"/>
              <w:rPr>
                <w:rFonts w:asciiTheme="majorHAnsi" w:eastAsia="Times New Roman" w:hAnsiTheme="majorHAnsi" w:cs="Helvetica"/>
                <w:color w:val="000000"/>
                <w:sz w:val="20"/>
                <w:szCs w:val="20"/>
                <w:lang w:eastAsia="ko-KR"/>
              </w:rPr>
            </w:pPr>
            <w:r w:rsidRPr="00161F98">
              <w:rPr>
                <w:rFonts w:asciiTheme="majorHAnsi" w:hAnsiTheme="majorHAnsi" w:cs="Helvetica"/>
                <w:sz w:val="20"/>
                <w:szCs w:val="20"/>
              </w:rPr>
              <w:t>$2,513</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14:paraId="44C4ED1F" w14:textId="77777777" w:rsidR="00D01E91" w:rsidRPr="00161F98" w:rsidRDefault="00D01E91" w:rsidP="00D73FA1">
            <w:pPr>
              <w:spacing w:after="0" w:line="240" w:lineRule="auto"/>
              <w:jc w:val="center"/>
              <w:rPr>
                <w:rFonts w:asciiTheme="majorHAnsi" w:eastAsia="Times New Roman" w:hAnsiTheme="majorHAnsi" w:cs="Helvetica"/>
                <w:color w:val="000000"/>
                <w:sz w:val="20"/>
                <w:szCs w:val="20"/>
                <w:lang w:eastAsia="ko-KR"/>
              </w:rPr>
            </w:pPr>
            <w:r w:rsidRPr="00161F98">
              <w:rPr>
                <w:rFonts w:asciiTheme="majorHAnsi" w:eastAsia="Times New Roman" w:hAnsiTheme="majorHAnsi" w:cs="Helvetica"/>
                <w:color w:val="000000"/>
                <w:sz w:val="20"/>
                <w:szCs w:val="20"/>
                <w:lang w:eastAsia="ko-KR"/>
              </w:rPr>
              <w:t>43</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51C98A50" w14:textId="77777777" w:rsidR="00D01E91" w:rsidRPr="00161F98" w:rsidRDefault="00D01E91" w:rsidP="00D73FA1">
            <w:pPr>
              <w:spacing w:after="0" w:line="240" w:lineRule="auto"/>
              <w:jc w:val="center"/>
              <w:rPr>
                <w:rFonts w:asciiTheme="majorHAnsi" w:eastAsia="Times New Roman" w:hAnsiTheme="majorHAnsi" w:cs="Helvetica"/>
                <w:i/>
                <w:iCs/>
                <w:color w:val="000000"/>
                <w:sz w:val="20"/>
                <w:szCs w:val="20"/>
                <w:lang w:eastAsia="ko-KR"/>
              </w:rPr>
            </w:pPr>
            <w:r w:rsidRPr="00161F98">
              <w:rPr>
                <w:rFonts w:asciiTheme="majorHAnsi" w:eastAsia="Times New Roman" w:hAnsiTheme="majorHAnsi" w:cs="Helvetica"/>
                <w:i/>
                <w:iCs/>
                <w:color w:val="000000"/>
                <w:sz w:val="20"/>
                <w:szCs w:val="20"/>
                <w:lang w:eastAsia="ko-KR"/>
              </w:rPr>
              <w:t>36.8%</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C06EA" w14:textId="77777777" w:rsidR="00D01E91" w:rsidRPr="00161F98" w:rsidRDefault="008C52E3" w:rsidP="00D73FA1">
            <w:pPr>
              <w:spacing w:after="0" w:line="240" w:lineRule="auto"/>
              <w:jc w:val="center"/>
              <w:rPr>
                <w:rFonts w:asciiTheme="majorHAnsi" w:eastAsia="Times New Roman" w:hAnsiTheme="majorHAnsi" w:cs="Helvetica"/>
                <w:color w:val="000000"/>
                <w:sz w:val="20"/>
                <w:szCs w:val="20"/>
                <w:lang w:eastAsia="ko-KR"/>
              </w:rPr>
            </w:pPr>
            <w:r>
              <w:rPr>
                <w:rFonts w:asciiTheme="majorHAnsi" w:hAnsiTheme="majorHAnsi" w:cs="Helvetica"/>
                <w:color w:val="000000"/>
                <w:sz w:val="20"/>
                <w:szCs w:val="20"/>
              </w:rPr>
              <w:t>$</w:t>
            </w:r>
            <w:r w:rsidR="00D01E91" w:rsidRPr="00161F98">
              <w:rPr>
                <w:rFonts w:asciiTheme="majorHAnsi" w:hAnsiTheme="majorHAnsi" w:cs="Helvetica"/>
                <w:color w:val="000000"/>
                <w:sz w:val="20"/>
                <w:szCs w:val="20"/>
              </w:rPr>
              <w:t>218,727</w:t>
            </w:r>
          </w:p>
        </w:tc>
      </w:tr>
      <w:tr w:rsidR="00F65690" w:rsidRPr="00161F98" w14:paraId="7C3B6284" w14:textId="77777777" w:rsidTr="00F65690">
        <w:trPr>
          <w:trHeight w:val="20"/>
          <w:jc w:val="center"/>
        </w:trPr>
        <w:tc>
          <w:tcPr>
            <w:tcW w:w="2515" w:type="dxa"/>
            <w:tcBorders>
              <w:top w:val="nil"/>
              <w:left w:val="single" w:sz="4" w:space="0" w:color="auto"/>
              <w:bottom w:val="single" w:sz="4" w:space="0" w:color="auto"/>
              <w:right w:val="single" w:sz="4" w:space="0" w:color="auto"/>
            </w:tcBorders>
            <w:shd w:val="clear" w:color="auto" w:fill="auto"/>
            <w:vAlign w:val="center"/>
            <w:hideMark/>
          </w:tcPr>
          <w:p w14:paraId="2485DECD" w14:textId="77777777" w:rsidR="00D01E91" w:rsidRPr="00161F98" w:rsidRDefault="00D01E91" w:rsidP="00D73FA1">
            <w:pPr>
              <w:spacing w:after="0" w:line="240" w:lineRule="auto"/>
              <w:rPr>
                <w:rFonts w:asciiTheme="majorHAnsi" w:eastAsia="Times New Roman" w:hAnsiTheme="majorHAnsi" w:cs="Helvetica"/>
                <w:color w:val="000000"/>
                <w:sz w:val="20"/>
                <w:szCs w:val="20"/>
                <w:lang w:eastAsia="ko-KR"/>
              </w:rPr>
            </w:pPr>
            <w:r w:rsidRPr="00161F98">
              <w:rPr>
                <w:rFonts w:asciiTheme="majorHAnsi" w:eastAsia="Times New Roman" w:hAnsiTheme="majorHAnsi" w:cs="Helvetica"/>
                <w:color w:val="000000"/>
                <w:sz w:val="20"/>
                <w:szCs w:val="20"/>
                <w:lang w:eastAsia="ko-KR"/>
              </w:rPr>
              <w:t xml:space="preserve"> $10,000 to $99,999 </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14:paraId="3EC12608" w14:textId="77777777" w:rsidR="00D01E91" w:rsidRPr="00161F98" w:rsidRDefault="00D01E91" w:rsidP="00D73FA1">
            <w:pPr>
              <w:spacing w:after="0" w:line="240" w:lineRule="auto"/>
              <w:jc w:val="center"/>
              <w:rPr>
                <w:rFonts w:asciiTheme="majorHAnsi" w:eastAsia="Times New Roman" w:hAnsiTheme="majorHAnsi" w:cs="Helvetica"/>
                <w:color w:val="000000"/>
                <w:sz w:val="20"/>
                <w:szCs w:val="20"/>
                <w:lang w:eastAsia="ko-KR"/>
              </w:rPr>
            </w:pPr>
            <w:r w:rsidRPr="00161F98">
              <w:rPr>
                <w:rFonts w:asciiTheme="majorHAnsi" w:hAnsiTheme="majorHAnsi" w:cs="Helvetica"/>
                <w:sz w:val="20"/>
                <w:szCs w:val="20"/>
              </w:rPr>
              <w:t>$22</w:t>
            </w:r>
          </w:p>
        </w:tc>
        <w:tc>
          <w:tcPr>
            <w:tcW w:w="915" w:type="dxa"/>
            <w:tcBorders>
              <w:top w:val="nil"/>
              <w:left w:val="nil"/>
              <w:bottom w:val="single" w:sz="4" w:space="0" w:color="auto"/>
              <w:right w:val="single" w:sz="4" w:space="0" w:color="auto"/>
            </w:tcBorders>
            <w:shd w:val="clear" w:color="auto" w:fill="auto"/>
            <w:vAlign w:val="center"/>
            <w:hideMark/>
          </w:tcPr>
          <w:p w14:paraId="12DCC64B" w14:textId="77777777" w:rsidR="00D01E91" w:rsidRPr="00161F98" w:rsidRDefault="00D01E91" w:rsidP="00D73FA1">
            <w:pPr>
              <w:spacing w:after="0" w:line="240" w:lineRule="auto"/>
              <w:jc w:val="center"/>
              <w:rPr>
                <w:rFonts w:asciiTheme="majorHAnsi" w:eastAsia="Times New Roman" w:hAnsiTheme="majorHAnsi" w:cs="Helvetica"/>
                <w:color w:val="000000"/>
                <w:sz w:val="20"/>
                <w:szCs w:val="20"/>
                <w:lang w:eastAsia="ko-KR"/>
              </w:rPr>
            </w:pPr>
            <w:r w:rsidRPr="00161F98">
              <w:rPr>
                <w:rFonts w:asciiTheme="majorHAnsi" w:hAnsiTheme="majorHAnsi" w:cs="Helvetica"/>
                <w:sz w:val="20"/>
                <w:szCs w:val="20"/>
              </w:rPr>
              <w:t>$86</w:t>
            </w:r>
          </w:p>
        </w:tc>
        <w:tc>
          <w:tcPr>
            <w:tcW w:w="1016" w:type="dxa"/>
            <w:tcBorders>
              <w:top w:val="nil"/>
              <w:left w:val="nil"/>
              <w:bottom w:val="single" w:sz="4" w:space="0" w:color="auto"/>
              <w:right w:val="single" w:sz="4" w:space="0" w:color="auto"/>
            </w:tcBorders>
            <w:shd w:val="clear" w:color="auto" w:fill="auto"/>
            <w:vAlign w:val="center"/>
            <w:hideMark/>
          </w:tcPr>
          <w:p w14:paraId="3AAFE65D" w14:textId="77777777" w:rsidR="00D01E91" w:rsidRPr="00161F98" w:rsidRDefault="00D01E91" w:rsidP="00D73FA1">
            <w:pPr>
              <w:spacing w:after="0" w:line="240" w:lineRule="auto"/>
              <w:jc w:val="center"/>
              <w:rPr>
                <w:rFonts w:asciiTheme="majorHAnsi" w:eastAsia="Times New Roman" w:hAnsiTheme="majorHAnsi" w:cs="Helvetica"/>
                <w:color w:val="000000"/>
                <w:sz w:val="20"/>
                <w:szCs w:val="20"/>
                <w:lang w:eastAsia="ko-KR"/>
              </w:rPr>
            </w:pPr>
            <w:r w:rsidRPr="00161F98">
              <w:rPr>
                <w:rFonts w:asciiTheme="majorHAnsi" w:hAnsiTheme="majorHAnsi" w:cs="Helvetica"/>
                <w:sz w:val="20"/>
                <w:szCs w:val="20"/>
              </w:rPr>
              <w:t>$0</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14:paraId="092563B1" w14:textId="77777777" w:rsidR="00D01E91" w:rsidRPr="00161F98" w:rsidRDefault="00D01E91" w:rsidP="00D73FA1">
            <w:pPr>
              <w:spacing w:after="0" w:line="240" w:lineRule="auto"/>
              <w:jc w:val="center"/>
              <w:rPr>
                <w:rFonts w:asciiTheme="majorHAnsi" w:eastAsia="Times New Roman" w:hAnsiTheme="majorHAnsi" w:cs="Helvetica"/>
                <w:color w:val="000000"/>
                <w:sz w:val="20"/>
                <w:szCs w:val="20"/>
                <w:lang w:eastAsia="ko-KR"/>
              </w:rPr>
            </w:pPr>
            <w:r w:rsidRPr="00161F98">
              <w:rPr>
                <w:rFonts w:asciiTheme="majorHAnsi" w:eastAsia="Times New Roman" w:hAnsiTheme="majorHAnsi" w:cs="Helvetica"/>
                <w:color w:val="000000"/>
                <w:sz w:val="20"/>
                <w:szCs w:val="20"/>
                <w:lang w:eastAsia="ko-KR"/>
              </w:rPr>
              <w:t>8</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7A6E31F9" w14:textId="77777777" w:rsidR="00D01E91" w:rsidRPr="00161F98" w:rsidRDefault="00D01E91" w:rsidP="00D73FA1">
            <w:pPr>
              <w:spacing w:after="0" w:line="240" w:lineRule="auto"/>
              <w:jc w:val="center"/>
              <w:rPr>
                <w:rFonts w:asciiTheme="majorHAnsi" w:eastAsia="Times New Roman" w:hAnsiTheme="majorHAnsi" w:cs="Helvetica"/>
                <w:i/>
                <w:iCs/>
                <w:color w:val="000000"/>
                <w:sz w:val="20"/>
                <w:szCs w:val="20"/>
                <w:lang w:eastAsia="ko-KR"/>
              </w:rPr>
            </w:pPr>
            <w:r w:rsidRPr="00161F98">
              <w:rPr>
                <w:rFonts w:asciiTheme="majorHAnsi" w:eastAsia="Times New Roman" w:hAnsiTheme="majorHAnsi" w:cs="Helvetica"/>
                <w:i/>
                <w:iCs/>
                <w:color w:val="000000"/>
                <w:sz w:val="20"/>
                <w:szCs w:val="20"/>
                <w:lang w:eastAsia="ko-KR"/>
              </w:rPr>
              <w:t>6.8%</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011E5" w14:textId="77777777" w:rsidR="00D01E91" w:rsidRPr="00161F98" w:rsidRDefault="008C52E3" w:rsidP="00D73FA1">
            <w:pPr>
              <w:spacing w:after="0" w:line="240" w:lineRule="auto"/>
              <w:jc w:val="center"/>
              <w:rPr>
                <w:rFonts w:asciiTheme="majorHAnsi" w:eastAsia="Times New Roman" w:hAnsiTheme="majorHAnsi" w:cs="Helvetica"/>
                <w:color w:val="000000"/>
                <w:sz w:val="20"/>
                <w:szCs w:val="20"/>
                <w:lang w:eastAsia="ko-KR"/>
              </w:rPr>
            </w:pPr>
            <w:r>
              <w:rPr>
                <w:rFonts w:asciiTheme="majorHAnsi" w:hAnsiTheme="majorHAnsi" w:cs="Helvetica"/>
                <w:color w:val="000000"/>
                <w:sz w:val="20"/>
                <w:szCs w:val="20"/>
              </w:rPr>
              <w:t>$</w:t>
            </w:r>
            <w:r w:rsidR="00D01E91" w:rsidRPr="00161F98">
              <w:rPr>
                <w:rFonts w:asciiTheme="majorHAnsi" w:hAnsiTheme="majorHAnsi" w:cs="Helvetica"/>
                <w:color w:val="000000"/>
                <w:sz w:val="20"/>
                <w:szCs w:val="20"/>
              </w:rPr>
              <w:t>10,742</w:t>
            </w:r>
          </w:p>
        </w:tc>
      </w:tr>
      <w:tr w:rsidR="00F65690" w:rsidRPr="00161F98" w14:paraId="4D60DA19" w14:textId="77777777" w:rsidTr="00F65690">
        <w:trPr>
          <w:trHeight w:val="20"/>
          <w:jc w:val="center"/>
        </w:trPr>
        <w:tc>
          <w:tcPr>
            <w:tcW w:w="2515" w:type="dxa"/>
            <w:tcBorders>
              <w:top w:val="nil"/>
              <w:left w:val="single" w:sz="4" w:space="0" w:color="auto"/>
              <w:bottom w:val="single" w:sz="4" w:space="0" w:color="auto"/>
              <w:right w:val="single" w:sz="4" w:space="0" w:color="auto"/>
            </w:tcBorders>
            <w:shd w:val="clear" w:color="auto" w:fill="auto"/>
            <w:vAlign w:val="center"/>
            <w:hideMark/>
          </w:tcPr>
          <w:p w14:paraId="0D3F6A8D" w14:textId="77777777" w:rsidR="00D01E91" w:rsidRPr="00161F98" w:rsidRDefault="00D01E91" w:rsidP="00D73FA1">
            <w:pPr>
              <w:spacing w:after="0" w:line="240" w:lineRule="auto"/>
              <w:rPr>
                <w:rFonts w:asciiTheme="majorHAnsi" w:eastAsia="Times New Roman" w:hAnsiTheme="majorHAnsi" w:cs="Helvetica"/>
                <w:color w:val="000000"/>
                <w:sz w:val="20"/>
                <w:szCs w:val="20"/>
                <w:lang w:eastAsia="ko-KR"/>
              </w:rPr>
            </w:pPr>
            <w:r w:rsidRPr="00161F98">
              <w:rPr>
                <w:rFonts w:asciiTheme="majorHAnsi" w:eastAsia="Times New Roman" w:hAnsiTheme="majorHAnsi" w:cs="Helvetica"/>
                <w:color w:val="000000"/>
                <w:sz w:val="20"/>
                <w:szCs w:val="20"/>
                <w:lang w:eastAsia="ko-KR"/>
              </w:rPr>
              <w:t xml:space="preserve"> $100,000 to $999,999 </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14:paraId="54E75BCB" w14:textId="77777777" w:rsidR="00D01E91" w:rsidRPr="00161F98" w:rsidRDefault="00D01E91" w:rsidP="00D73FA1">
            <w:pPr>
              <w:spacing w:after="0" w:line="240" w:lineRule="auto"/>
              <w:jc w:val="center"/>
              <w:rPr>
                <w:rFonts w:asciiTheme="majorHAnsi" w:eastAsia="Times New Roman" w:hAnsiTheme="majorHAnsi" w:cs="Helvetica"/>
                <w:color w:val="000000"/>
                <w:sz w:val="20"/>
                <w:szCs w:val="20"/>
                <w:lang w:eastAsia="ko-KR"/>
              </w:rPr>
            </w:pPr>
            <w:r w:rsidRPr="00161F98">
              <w:rPr>
                <w:rFonts w:asciiTheme="majorHAnsi" w:hAnsiTheme="majorHAnsi" w:cs="Helvetica"/>
                <w:sz w:val="20"/>
                <w:szCs w:val="20"/>
              </w:rPr>
              <w:t>$167</w:t>
            </w:r>
          </w:p>
        </w:tc>
        <w:tc>
          <w:tcPr>
            <w:tcW w:w="915" w:type="dxa"/>
            <w:tcBorders>
              <w:top w:val="nil"/>
              <w:left w:val="nil"/>
              <w:bottom w:val="single" w:sz="4" w:space="0" w:color="auto"/>
              <w:right w:val="single" w:sz="4" w:space="0" w:color="auto"/>
            </w:tcBorders>
            <w:shd w:val="clear" w:color="auto" w:fill="auto"/>
            <w:vAlign w:val="center"/>
            <w:hideMark/>
          </w:tcPr>
          <w:p w14:paraId="4AB959E8" w14:textId="77777777" w:rsidR="00D01E91" w:rsidRPr="00161F98" w:rsidRDefault="00D01E91" w:rsidP="00D73FA1">
            <w:pPr>
              <w:spacing w:after="0" w:line="240" w:lineRule="auto"/>
              <w:jc w:val="center"/>
              <w:rPr>
                <w:rFonts w:asciiTheme="majorHAnsi" w:eastAsia="Times New Roman" w:hAnsiTheme="majorHAnsi" w:cs="Helvetica"/>
                <w:color w:val="000000"/>
                <w:sz w:val="20"/>
                <w:szCs w:val="20"/>
                <w:lang w:eastAsia="ko-KR"/>
              </w:rPr>
            </w:pPr>
            <w:r w:rsidRPr="00161F98">
              <w:rPr>
                <w:rFonts w:asciiTheme="majorHAnsi" w:hAnsiTheme="majorHAnsi" w:cs="Helvetica"/>
                <w:sz w:val="20"/>
                <w:szCs w:val="20"/>
              </w:rPr>
              <w:t>$744</w:t>
            </w:r>
          </w:p>
        </w:tc>
        <w:tc>
          <w:tcPr>
            <w:tcW w:w="1016" w:type="dxa"/>
            <w:tcBorders>
              <w:top w:val="nil"/>
              <w:left w:val="nil"/>
              <w:bottom w:val="single" w:sz="4" w:space="0" w:color="auto"/>
              <w:right w:val="single" w:sz="4" w:space="0" w:color="auto"/>
            </w:tcBorders>
            <w:shd w:val="clear" w:color="auto" w:fill="auto"/>
            <w:vAlign w:val="center"/>
            <w:hideMark/>
          </w:tcPr>
          <w:p w14:paraId="43BAE6FB" w14:textId="77777777" w:rsidR="00D01E91" w:rsidRPr="00161F98" w:rsidRDefault="00D01E91" w:rsidP="00D73FA1">
            <w:pPr>
              <w:spacing w:after="0" w:line="240" w:lineRule="auto"/>
              <w:jc w:val="center"/>
              <w:rPr>
                <w:rFonts w:asciiTheme="majorHAnsi" w:eastAsia="Times New Roman" w:hAnsiTheme="majorHAnsi" w:cs="Helvetica"/>
                <w:color w:val="000000"/>
                <w:sz w:val="20"/>
                <w:szCs w:val="20"/>
                <w:lang w:eastAsia="ko-KR"/>
              </w:rPr>
            </w:pPr>
            <w:r w:rsidRPr="00161F98">
              <w:rPr>
                <w:rFonts w:asciiTheme="majorHAnsi" w:hAnsiTheme="majorHAnsi" w:cs="Helvetica"/>
                <w:sz w:val="20"/>
                <w:szCs w:val="20"/>
              </w:rPr>
              <w:t>$0</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14:paraId="743C12E2" w14:textId="77777777" w:rsidR="00D01E91" w:rsidRPr="00161F98" w:rsidRDefault="00D01E91" w:rsidP="00D73FA1">
            <w:pPr>
              <w:spacing w:after="0" w:line="240" w:lineRule="auto"/>
              <w:jc w:val="center"/>
              <w:rPr>
                <w:rFonts w:asciiTheme="majorHAnsi" w:eastAsia="Times New Roman" w:hAnsiTheme="majorHAnsi" w:cs="Helvetica"/>
                <w:color w:val="000000"/>
                <w:sz w:val="20"/>
                <w:szCs w:val="20"/>
                <w:lang w:eastAsia="ko-KR"/>
              </w:rPr>
            </w:pPr>
            <w:r w:rsidRPr="00161F98">
              <w:rPr>
                <w:rFonts w:asciiTheme="majorHAnsi" w:eastAsia="Times New Roman" w:hAnsiTheme="majorHAnsi" w:cs="Helvetica"/>
                <w:color w:val="000000"/>
                <w:sz w:val="20"/>
                <w:szCs w:val="20"/>
                <w:lang w:eastAsia="ko-KR"/>
              </w:rPr>
              <w:t>12</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3FAD50ED" w14:textId="77777777" w:rsidR="00D01E91" w:rsidRPr="00161F98" w:rsidRDefault="00D01E91" w:rsidP="00D73FA1">
            <w:pPr>
              <w:spacing w:after="0" w:line="240" w:lineRule="auto"/>
              <w:jc w:val="center"/>
              <w:rPr>
                <w:rFonts w:asciiTheme="majorHAnsi" w:eastAsia="Times New Roman" w:hAnsiTheme="majorHAnsi" w:cs="Helvetica"/>
                <w:i/>
                <w:iCs/>
                <w:color w:val="000000"/>
                <w:sz w:val="20"/>
                <w:szCs w:val="20"/>
                <w:lang w:eastAsia="ko-KR"/>
              </w:rPr>
            </w:pPr>
            <w:r w:rsidRPr="00161F98">
              <w:rPr>
                <w:rFonts w:asciiTheme="majorHAnsi" w:eastAsia="Times New Roman" w:hAnsiTheme="majorHAnsi" w:cs="Helvetica"/>
                <w:i/>
                <w:iCs/>
                <w:color w:val="000000"/>
                <w:sz w:val="20"/>
                <w:szCs w:val="20"/>
                <w:lang w:eastAsia="ko-KR"/>
              </w:rPr>
              <w:t>10.3%</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6726E" w14:textId="77777777" w:rsidR="00D01E91" w:rsidRPr="00161F98" w:rsidRDefault="008C52E3" w:rsidP="00D73FA1">
            <w:pPr>
              <w:spacing w:after="0" w:line="240" w:lineRule="auto"/>
              <w:jc w:val="center"/>
              <w:rPr>
                <w:rFonts w:asciiTheme="majorHAnsi" w:eastAsia="Times New Roman" w:hAnsiTheme="majorHAnsi" w:cs="Helvetica"/>
                <w:color w:val="000000"/>
                <w:sz w:val="20"/>
                <w:szCs w:val="20"/>
                <w:lang w:eastAsia="ko-KR"/>
              </w:rPr>
            </w:pPr>
            <w:r>
              <w:rPr>
                <w:rFonts w:asciiTheme="majorHAnsi" w:hAnsiTheme="majorHAnsi" w:cs="Helvetica"/>
                <w:color w:val="000000"/>
                <w:sz w:val="20"/>
                <w:szCs w:val="20"/>
              </w:rPr>
              <w:t>$</w:t>
            </w:r>
            <w:r w:rsidR="00D01E91" w:rsidRPr="00161F98">
              <w:rPr>
                <w:rFonts w:asciiTheme="majorHAnsi" w:hAnsiTheme="majorHAnsi" w:cs="Helvetica"/>
                <w:color w:val="000000"/>
                <w:sz w:val="20"/>
                <w:szCs w:val="20"/>
              </w:rPr>
              <w:t>62,026</w:t>
            </w:r>
          </w:p>
        </w:tc>
      </w:tr>
      <w:tr w:rsidR="00F65690" w:rsidRPr="00161F98" w14:paraId="76ECC5AA" w14:textId="77777777" w:rsidTr="00F65690">
        <w:trPr>
          <w:trHeight w:val="20"/>
          <w:jc w:val="center"/>
        </w:trPr>
        <w:tc>
          <w:tcPr>
            <w:tcW w:w="2515" w:type="dxa"/>
            <w:tcBorders>
              <w:top w:val="nil"/>
              <w:left w:val="single" w:sz="4" w:space="0" w:color="auto"/>
              <w:bottom w:val="single" w:sz="4" w:space="0" w:color="auto"/>
              <w:right w:val="single" w:sz="4" w:space="0" w:color="auto"/>
            </w:tcBorders>
            <w:shd w:val="clear" w:color="auto" w:fill="auto"/>
            <w:vAlign w:val="center"/>
            <w:hideMark/>
          </w:tcPr>
          <w:p w14:paraId="179BDFE7" w14:textId="77777777" w:rsidR="00D01E91" w:rsidRPr="00161F98" w:rsidRDefault="00D01E91" w:rsidP="00D73FA1">
            <w:pPr>
              <w:spacing w:after="0" w:line="240" w:lineRule="auto"/>
              <w:rPr>
                <w:rFonts w:asciiTheme="majorHAnsi" w:eastAsia="Times New Roman" w:hAnsiTheme="majorHAnsi" w:cs="Helvetica"/>
                <w:color w:val="000000"/>
                <w:sz w:val="20"/>
                <w:szCs w:val="20"/>
                <w:lang w:eastAsia="ko-KR"/>
              </w:rPr>
            </w:pPr>
            <w:r w:rsidRPr="00161F98">
              <w:rPr>
                <w:rFonts w:asciiTheme="majorHAnsi" w:eastAsia="Times New Roman" w:hAnsiTheme="majorHAnsi" w:cs="Helvetica"/>
                <w:color w:val="000000"/>
                <w:sz w:val="20"/>
                <w:szCs w:val="20"/>
                <w:lang w:eastAsia="ko-KR"/>
              </w:rPr>
              <w:t xml:space="preserve"> $1,000,000 to $9,999,999 </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14:paraId="51E96D32" w14:textId="77777777" w:rsidR="00D01E91" w:rsidRPr="00161F98" w:rsidRDefault="00D01E91" w:rsidP="00D73FA1">
            <w:pPr>
              <w:spacing w:after="0" w:line="240" w:lineRule="auto"/>
              <w:jc w:val="center"/>
              <w:rPr>
                <w:rFonts w:asciiTheme="majorHAnsi" w:eastAsia="Times New Roman" w:hAnsiTheme="majorHAnsi" w:cs="Helvetica"/>
                <w:color w:val="000000"/>
                <w:sz w:val="20"/>
                <w:szCs w:val="20"/>
                <w:lang w:eastAsia="ko-KR"/>
              </w:rPr>
            </w:pPr>
            <w:r w:rsidRPr="00161F98">
              <w:rPr>
                <w:rFonts w:asciiTheme="majorHAnsi" w:hAnsiTheme="majorHAnsi" w:cs="Helvetica"/>
                <w:sz w:val="20"/>
                <w:szCs w:val="20"/>
              </w:rPr>
              <w:t>$3,469</w:t>
            </w:r>
          </w:p>
        </w:tc>
        <w:tc>
          <w:tcPr>
            <w:tcW w:w="915" w:type="dxa"/>
            <w:tcBorders>
              <w:top w:val="nil"/>
              <w:left w:val="nil"/>
              <w:bottom w:val="single" w:sz="4" w:space="0" w:color="auto"/>
              <w:right w:val="single" w:sz="4" w:space="0" w:color="auto"/>
            </w:tcBorders>
            <w:shd w:val="clear" w:color="auto" w:fill="auto"/>
            <w:vAlign w:val="center"/>
            <w:hideMark/>
          </w:tcPr>
          <w:p w14:paraId="030EED8F" w14:textId="77777777" w:rsidR="00D01E91" w:rsidRPr="00161F98" w:rsidRDefault="00D01E91" w:rsidP="00D73FA1">
            <w:pPr>
              <w:spacing w:after="0" w:line="240" w:lineRule="auto"/>
              <w:jc w:val="center"/>
              <w:rPr>
                <w:rFonts w:asciiTheme="majorHAnsi" w:eastAsia="Times New Roman" w:hAnsiTheme="majorHAnsi" w:cs="Helvetica"/>
                <w:color w:val="000000"/>
                <w:sz w:val="20"/>
                <w:szCs w:val="20"/>
                <w:lang w:eastAsia="ko-KR"/>
              </w:rPr>
            </w:pPr>
            <w:r w:rsidRPr="00161F98">
              <w:rPr>
                <w:rFonts w:asciiTheme="majorHAnsi" w:hAnsiTheme="majorHAnsi" w:cs="Helvetica"/>
                <w:sz w:val="20"/>
                <w:szCs w:val="20"/>
              </w:rPr>
              <w:t>$1,592</w:t>
            </w:r>
          </w:p>
        </w:tc>
        <w:tc>
          <w:tcPr>
            <w:tcW w:w="1016" w:type="dxa"/>
            <w:tcBorders>
              <w:top w:val="nil"/>
              <w:left w:val="nil"/>
              <w:bottom w:val="single" w:sz="4" w:space="0" w:color="auto"/>
              <w:right w:val="single" w:sz="4" w:space="0" w:color="auto"/>
            </w:tcBorders>
            <w:shd w:val="clear" w:color="auto" w:fill="auto"/>
            <w:vAlign w:val="center"/>
            <w:hideMark/>
          </w:tcPr>
          <w:p w14:paraId="6EBC4AFB" w14:textId="77777777" w:rsidR="00D01E91" w:rsidRPr="00161F98" w:rsidRDefault="00D01E91" w:rsidP="00D73FA1">
            <w:pPr>
              <w:spacing w:after="0" w:line="240" w:lineRule="auto"/>
              <w:jc w:val="center"/>
              <w:rPr>
                <w:rFonts w:asciiTheme="majorHAnsi" w:eastAsia="Times New Roman" w:hAnsiTheme="majorHAnsi" w:cs="Helvetica"/>
                <w:color w:val="000000"/>
                <w:sz w:val="20"/>
                <w:szCs w:val="20"/>
                <w:lang w:eastAsia="ko-KR"/>
              </w:rPr>
            </w:pPr>
            <w:r w:rsidRPr="00161F98">
              <w:rPr>
                <w:rFonts w:asciiTheme="majorHAnsi" w:hAnsiTheme="majorHAnsi" w:cs="Helvetica"/>
                <w:sz w:val="20"/>
                <w:szCs w:val="20"/>
              </w:rPr>
              <w:t>$222</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14:paraId="48957CB1" w14:textId="77777777" w:rsidR="00D01E91" w:rsidRPr="00161F98" w:rsidRDefault="00D01E91" w:rsidP="00D73FA1">
            <w:pPr>
              <w:spacing w:after="0" w:line="240" w:lineRule="auto"/>
              <w:jc w:val="center"/>
              <w:rPr>
                <w:rFonts w:asciiTheme="majorHAnsi" w:eastAsia="Times New Roman" w:hAnsiTheme="majorHAnsi" w:cs="Helvetica"/>
                <w:color w:val="000000"/>
                <w:sz w:val="20"/>
                <w:szCs w:val="20"/>
                <w:lang w:eastAsia="ko-KR"/>
              </w:rPr>
            </w:pPr>
            <w:r w:rsidRPr="00161F98">
              <w:rPr>
                <w:rFonts w:asciiTheme="majorHAnsi" w:eastAsia="Times New Roman" w:hAnsiTheme="majorHAnsi" w:cs="Helvetica"/>
                <w:color w:val="000000"/>
                <w:sz w:val="20"/>
                <w:szCs w:val="20"/>
                <w:lang w:eastAsia="ko-KR"/>
              </w:rPr>
              <w:t>36</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29DD664C" w14:textId="77777777" w:rsidR="00D01E91" w:rsidRPr="00161F98" w:rsidRDefault="00D01E91" w:rsidP="00D73FA1">
            <w:pPr>
              <w:spacing w:after="0" w:line="240" w:lineRule="auto"/>
              <w:jc w:val="center"/>
              <w:rPr>
                <w:rFonts w:asciiTheme="majorHAnsi" w:eastAsia="Times New Roman" w:hAnsiTheme="majorHAnsi" w:cs="Helvetica"/>
                <w:i/>
                <w:iCs/>
                <w:color w:val="000000"/>
                <w:sz w:val="20"/>
                <w:szCs w:val="20"/>
                <w:lang w:eastAsia="ko-KR"/>
              </w:rPr>
            </w:pPr>
            <w:r w:rsidRPr="00161F98">
              <w:rPr>
                <w:rFonts w:asciiTheme="majorHAnsi" w:eastAsia="Times New Roman" w:hAnsiTheme="majorHAnsi" w:cs="Helvetica"/>
                <w:i/>
                <w:iCs/>
                <w:color w:val="000000"/>
                <w:sz w:val="20"/>
                <w:szCs w:val="20"/>
                <w:lang w:eastAsia="ko-KR"/>
              </w:rPr>
              <w:t>30.8%</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A3CD7" w14:textId="77777777" w:rsidR="00D01E91" w:rsidRPr="00161F98" w:rsidRDefault="008C52E3" w:rsidP="00D73FA1">
            <w:pPr>
              <w:spacing w:after="0" w:line="240" w:lineRule="auto"/>
              <w:jc w:val="center"/>
              <w:rPr>
                <w:rFonts w:asciiTheme="majorHAnsi" w:eastAsia="Times New Roman" w:hAnsiTheme="majorHAnsi" w:cs="Helvetica"/>
                <w:color w:val="000000"/>
                <w:sz w:val="20"/>
                <w:szCs w:val="20"/>
                <w:lang w:eastAsia="ko-KR"/>
              </w:rPr>
            </w:pPr>
            <w:r>
              <w:rPr>
                <w:rFonts w:asciiTheme="majorHAnsi" w:hAnsiTheme="majorHAnsi" w:cs="Helvetica"/>
                <w:color w:val="000000"/>
                <w:sz w:val="20"/>
                <w:szCs w:val="20"/>
              </w:rPr>
              <w:t>$</w:t>
            </w:r>
            <w:r w:rsidR="00D01E91" w:rsidRPr="00161F98">
              <w:rPr>
                <w:rFonts w:asciiTheme="majorHAnsi" w:hAnsiTheme="majorHAnsi" w:cs="Helvetica"/>
                <w:color w:val="000000"/>
                <w:sz w:val="20"/>
                <w:szCs w:val="20"/>
              </w:rPr>
              <w:t>50,409</w:t>
            </w:r>
          </w:p>
        </w:tc>
      </w:tr>
      <w:tr w:rsidR="00F65690" w:rsidRPr="00161F98" w14:paraId="74657656" w14:textId="77777777" w:rsidTr="00F65690">
        <w:trPr>
          <w:trHeight w:val="20"/>
          <w:jc w:val="center"/>
        </w:trPr>
        <w:tc>
          <w:tcPr>
            <w:tcW w:w="2515" w:type="dxa"/>
            <w:tcBorders>
              <w:top w:val="nil"/>
              <w:left w:val="single" w:sz="4" w:space="0" w:color="auto"/>
              <w:bottom w:val="single" w:sz="4" w:space="0" w:color="auto"/>
              <w:right w:val="single" w:sz="4" w:space="0" w:color="auto"/>
            </w:tcBorders>
            <w:shd w:val="clear" w:color="auto" w:fill="auto"/>
            <w:vAlign w:val="center"/>
            <w:hideMark/>
          </w:tcPr>
          <w:p w14:paraId="7468087C" w14:textId="77777777" w:rsidR="00D01E91" w:rsidRPr="00161F98" w:rsidRDefault="00D01E91" w:rsidP="00D73FA1">
            <w:pPr>
              <w:spacing w:after="0" w:line="240" w:lineRule="auto"/>
              <w:rPr>
                <w:rFonts w:asciiTheme="majorHAnsi" w:eastAsia="Times New Roman" w:hAnsiTheme="majorHAnsi" w:cs="Helvetica"/>
                <w:color w:val="000000"/>
                <w:sz w:val="20"/>
                <w:szCs w:val="20"/>
                <w:lang w:eastAsia="ko-KR"/>
              </w:rPr>
            </w:pPr>
            <w:r w:rsidRPr="00161F98">
              <w:rPr>
                <w:rFonts w:asciiTheme="majorHAnsi" w:eastAsia="Times New Roman" w:hAnsiTheme="majorHAnsi" w:cs="Helvetica"/>
                <w:color w:val="000000"/>
                <w:sz w:val="20"/>
                <w:szCs w:val="20"/>
                <w:lang w:eastAsia="ko-KR"/>
              </w:rPr>
              <w:t xml:space="preserve"> $10,000,000 or more </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14:paraId="561A7575" w14:textId="77777777" w:rsidR="00D01E91" w:rsidRPr="00161F98" w:rsidRDefault="00D01E91" w:rsidP="00D73FA1">
            <w:pPr>
              <w:spacing w:after="0" w:line="240" w:lineRule="auto"/>
              <w:jc w:val="center"/>
              <w:rPr>
                <w:rFonts w:asciiTheme="majorHAnsi" w:eastAsia="Times New Roman" w:hAnsiTheme="majorHAnsi" w:cs="Helvetica"/>
                <w:color w:val="000000"/>
                <w:sz w:val="20"/>
                <w:szCs w:val="20"/>
                <w:lang w:eastAsia="ko-KR"/>
              </w:rPr>
            </w:pPr>
            <w:r w:rsidRPr="00161F98">
              <w:rPr>
                <w:rFonts w:asciiTheme="majorHAnsi" w:hAnsiTheme="majorHAnsi" w:cs="Helvetica"/>
                <w:sz w:val="20"/>
                <w:szCs w:val="20"/>
              </w:rPr>
              <w:t>$7,264</w:t>
            </w:r>
          </w:p>
        </w:tc>
        <w:tc>
          <w:tcPr>
            <w:tcW w:w="915" w:type="dxa"/>
            <w:tcBorders>
              <w:top w:val="nil"/>
              <w:left w:val="nil"/>
              <w:bottom w:val="single" w:sz="4" w:space="0" w:color="auto"/>
              <w:right w:val="single" w:sz="4" w:space="0" w:color="auto"/>
            </w:tcBorders>
            <w:shd w:val="clear" w:color="auto" w:fill="auto"/>
            <w:vAlign w:val="center"/>
            <w:hideMark/>
          </w:tcPr>
          <w:p w14:paraId="5018DF72" w14:textId="77777777" w:rsidR="00D01E91" w:rsidRPr="00161F98" w:rsidRDefault="00D01E91" w:rsidP="00D73FA1">
            <w:pPr>
              <w:spacing w:after="0" w:line="240" w:lineRule="auto"/>
              <w:jc w:val="center"/>
              <w:rPr>
                <w:rFonts w:asciiTheme="majorHAnsi" w:eastAsia="Times New Roman" w:hAnsiTheme="majorHAnsi" w:cs="Helvetica"/>
                <w:color w:val="000000"/>
                <w:sz w:val="20"/>
                <w:szCs w:val="20"/>
                <w:lang w:eastAsia="ko-KR"/>
              </w:rPr>
            </w:pPr>
            <w:r w:rsidRPr="00161F98">
              <w:rPr>
                <w:rFonts w:asciiTheme="majorHAnsi" w:hAnsiTheme="majorHAnsi" w:cs="Helvetica"/>
                <w:sz w:val="20"/>
                <w:szCs w:val="20"/>
              </w:rPr>
              <w:t>$454</w:t>
            </w:r>
          </w:p>
        </w:tc>
        <w:tc>
          <w:tcPr>
            <w:tcW w:w="1016" w:type="dxa"/>
            <w:tcBorders>
              <w:top w:val="nil"/>
              <w:left w:val="nil"/>
              <w:bottom w:val="single" w:sz="4" w:space="0" w:color="auto"/>
              <w:right w:val="single" w:sz="4" w:space="0" w:color="auto"/>
            </w:tcBorders>
            <w:shd w:val="clear" w:color="auto" w:fill="auto"/>
            <w:vAlign w:val="center"/>
            <w:hideMark/>
          </w:tcPr>
          <w:p w14:paraId="6540FF5D" w14:textId="77777777" w:rsidR="00D01E91" w:rsidRPr="00161F98" w:rsidRDefault="00D01E91" w:rsidP="00D73FA1">
            <w:pPr>
              <w:spacing w:after="0" w:line="240" w:lineRule="auto"/>
              <w:jc w:val="center"/>
              <w:rPr>
                <w:rFonts w:asciiTheme="majorHAnsi" w:eastAsia="Times New Roman" w:hAnsiTheme="majorHAnsi" w:cs="Helvetica"/>
                <w:color w:val="000000"/>
                <w:sz w:val="20"/>
                <w:szCs w:val="20"/>
                <w:lang w:eastAsia="ko-KR"/>
              </w:rPr>
            </w:pPr>
            <w:r w:rsidRPr="00161F98">
              <w:rPr>
                <w:rFonts w:asciiTheme="majorHAnsi" w:hAnsiTheme="majorHAnsi" w:cs="Helvetica"/>
                <w:sz w:val="20"/>
                <w:szCs w:val="20"/>
              </w:rPr>
              <w:t>$0</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14:paraId="099182A8" w14:textId="77777777" w:rsidR="00D01E91" w:rsidRPr="00161F98" w:rsidRDefault="00D01E91" w:rsidP="00D73FA1">
            <w:pPr>
              <w:spacing w:after="0" w:line="240" w:lineRule="auto"/>
              <w:jc w:val="center"/>
              <w:rPr>
                <w:rFonts w:asciiTheme="majorHAnsi" w:eastAsia="Times New Roman" w:hAnsiTheme="majorHAnsi" w:cs="Helvetica"/>
                <w:color w:val="000000"/>
                <w:sz w:val="20"/>
                <w:szCs w:val="20"/>
                <w:lang w:eastAsia="ko-KR"/>
              </w:rPr>
            </w:pPr>
            <w:r w:rsidRPr="00161F98">
              <w:rPr>
                <w:rFonts w:asciiTheme="majorHAnsi" w:eastAsia="Times New Roman" w:hAnsiTheme="majorHAnsi" w:cs="Helvetica"/>
                <w:color w:val="000000"/>
                <w:sz w:val="20"/>
                <w:szCs w:val="20"/>
                <w:lang w:eastAsia="ko-KR"/>
              </w:rPr>
              <w:t>5</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2E4E21C7" w14:textId="77777777" w:rsidR="00D01E91" w:rsidRPr="00161F98" w:rsidRDefault="00D01E91" w:rsidP="00D73FA1">
            <w:pPr>
              <w:spacing w:after="0" w:line="240" w:lineRule="auto"/>
              <w:jc w:val="center"/>
              <w:rPr>
                <w:rFonts w:asciiTheme="majorHAnsi" w:eastAsia="Times New Roman" w:hAnsiTheme="majorHAnsi" w:cs="Helvetica"/>
                <w:i/>
                <w:iCs/>
                <w:color w:val="000000"/>
                <w:sz w:val="20"/>
                <w:szCs w:val="20"/>
                <w:lang w:eastAsia="ko-KR"/>
              </w:rPr>
            </w:pPr>
            <w:r w:rsidRPr="00161F98">
              <w:rPr>
                <w:rFonts w:asciiTheme="majorHAnsi" w:eastAsia="Times New Roman" w:hAnsiTheme="majorHAnsi" w:cs="Helvetica"/>
                <w:i/>
                <w:iCs/>
                <w:color w:val="000000"/>
                <w:sz w:val="20"/>
                <w:szCs w:val="20"/>
                <w:lang w:eastAsia="ko-KR"/>
              </w:rPr>
              <w:t>4.3%</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72925C" w14:textId="77777777" w:rsidR="00D01E91" w:rsidRPr="00161F98" w:rsidRDefault="008C52E3" w:rsidP="00D73FA1">
            <w:pPr>
              <w:spacing w:after="0" w:line="240" w:lineRule="auto"/>
              <w:jc w:val="center"/>
              <w:rPr>
                <w:rFonts w:asciiTheme="majorHAnsi" w:eastAsia="Times New Roman" w:hAnsiTheme="majorHAnsi" w:cs="Helvetica"/>
                <w:color w:val="000000"/>
                <w:sz w:val="20"/>
                <w:szCs w:val="20"/>
                <w:lang w:eastAsia="ko-KR"/>
              </w:rPr>
            </w:pPr>
            <w:r>
              <w:rPr>
                <w:rFonts w:asciiTheme="majorHAnsi" w:hAnsiTheme="majorHAnsi" w:cs="Helvetica"/>
                <w:color w:val="000000"/>
                <w:sz w:val="20"/>
                <w:szCs w:val="20"/>
              </w:rPr>
              <w:t>$</w:t>
            </w:r>
            <w:r w:rsidR="00D01E91" w:rsidRPr="00161F98">
              <w:rPr>
                <w:rFonts w:asciiTheme="majorHAnsi" w:hAnsiTheme="majorHAnsi" w:cs="Helvetica"/>
                <w:color w:val="000000"/>
                <w:sz w:val="20"/>
                <w:szCs w:val="20"/>
              </w:rPr>
              <w:t>90,881</w:t>
            </w:r>
          </w:p>
        </w:tc>
      </w:tr>
      <w:tr w:rsidR="00F65690" w:rsidRPr="00161F98" w14:paraId="46F54CD0" w14:textId="77777777" w:rsidTr="00F65690">
        <w:trPr>
          <w:trHeight w:val="20"/>
          <w:jc w:val="center"/>
        </w:trPr>
        <w:tc>
          <w:tcPr>
            <w:tcW w:w="2515" w:type="dxa"/>
            <w:tcBorders>
              <w:top w:val="nil"/>
              <w:left w:val="single" w:sz="4" w:space="0" w:color="auto"/>
              <w:bottom w:val="single" w:sz="4" w:space="0" w:color="auto"/>
              <w:right w:val="single" w:sz="4" w:space="0" w:color="auto"/>
            </w:tcBorders>
            <w:shd w:val="clear" w:color="auto" w:fill="auto"/>
            <w:vAlign w:val="center"/>
            <w:hideMark/>
          </w:tcPr>
          <w:p w14:paraId="7379B3CE" w14:textId="77777777" w:rsidR="00D01E91" w:rsidRPr="00161F98" w:rsidRDefault="00D01E91" w:rsidP="00D73FA1">
            <w:pPr>
              <w:spacing w:after="0" w:line="240" w:lineRule="auto"/>
              <w:rPr>
                <w:rFonts w:asciiTheme="majorHAnsi" w:eastAsia="Times New Roman" w:hAnsiTheme="majorHAnsi" w:cs="Helvetica"/>
                <w:color w:val="000000"/>
                <w:sz w:val="20"/>
                <w:szCs w:val="20"/>
                <w:lang w:eastAsia="ko-KR"/>
              </w:rPr>
            </w:pPr>
            <w:r w:rsidRPr="00161F98">
              <w:rPr>
                <w:rFonts w:asciiTheme="majorHAnsi" w:eastAsia="Times New Roman" w:hAnsiTheme="majorHAnsi" w:cs="Helvetica"/>
                <w:color w:val="000000"/>
                <w:sz w:val="20"/>
                <w:szCs w:val="20"/>
                <w:lang w:eastAsia="ko-KR"/>
              </w:rPr>
              <w:t xml:space="preserve"> Total or average </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14:paraId="1EF3DBB3" w14:textId="77777777" w:rsidR="00D01E91" w:rsidRPr="00161F98" w:rsidRDefault="00D01E91" w:rsidP="00D73FA1">
            <w:pPr>
              <w:spacing w:after="0" w:line="240" w:lineRule="auto"/>
              <w:jc w:val="center"/>
              <w:rPr>
                <w:rFonts w:asciiTheme="majorHAnsi" w:eastAsia="Times New Roman" w:hAnsiTheme="majorHAnsi" w:cs="Helvetica"/>
                <w:color w:val="000000"/>
                <w:sz w:val="20"/>
                <w:szCs w:val="20"/>
                <w:lang w:eastAsia="ko-KR"/>
              </w:rPr>
            </w:pPr>
            <w:r w:rsidRPr="00161F98">
              <w:rPr>
                <w:rFonts w:asciiTheme="majorHAnsi" w:hAnsiTheme="majorHAnsi" w:cs="Helvetica"/>
                <w:sz w:val="20"/>
                <w:szCs w:val="20"/>
              </w:rPr>
              <w:t>$11,291</w:t>
            </w:r>
          </w:p>
        </w:tc>
        <w:tc>
          <w:tcPr>
            <w:tcW w:w="915" w:type="dxa"/>
            <w:tcBorders>
              <w:top w:val="nil"/>
              <w:left w:val="nil"/>
              <w:bottom w:val="single" w:sz="4" w:space="0" w:color="auto"/>
              <w:right w:val="single" w:sz="4" w:space="0" w:color="auto"/>
            </w:tcBorders>
            <w:shd w:val="clear" w:color="auto" w:fill="auto"/>
            <w:vAlign w:val="center"/>
            <w:hideMark/>
          </w:tcPr>
          <w:p w14:paraId="0C40313B" w14:textId="77777777" w:rsidR="00D01E91" w:rsidRPr="00161F98" w:rsidRDefault="00D01E91" w:rsidP="00D73FA1">
            <w:pPr>
              <w:spacing w:after="0" w:line="240" w:lineRule="auto"/>
              <w:jc w:val="center"/>
              <w:rPr>
                <w:rFonts w:asciiTheme="majorHAnsi" w:eastAsia="Times New Roman" w:hAnsiTheme="majorHAnsi" w:cs="Helvetica"/>
                <w:color w:val="000000"/>
                <w:sz w:val="20"/>
                <w:szCs w:val="20"/>
                <w:lang w:eastAsia="ko-KR"/>
              </w:rPr>
            </w:pPr>
            <w:r w:rsidRPr="00161F98">
              <w:rPr>
                <w:rFonts w:asciiTheme="majorHAnsi" w:hAnsiTheme="majorHAnsi" w:cs="Helvetica"/>
                <w:sz w:val="20"/>
                <w:szCs w:val="20"/>
              </w:rPr>
              <w:t>$9,921</w:t>
            </w:r>
          </w:p>
        </w:tc>
        <w:tc>
          <w:tcPr>
            <w:tcW w:w="1016" w:type="dxa"/>
            <w:tcBorders>
              <w:top w:val="nil"/>
              <w:left w:val="nil"/>
              <w:bottom w:val="single" w:sz="4" w:space="0" w:color="auto"/>
              <w:right w:val="single" w:sz="4" w:space="0" w:color="auto"/>
            </w:tcBorders>
            <w:shd w:val="clear" w:color="auto" w:fill="auto"/>
            <w:vAlign w:val="center"/>
            <w:hideMark/>
          </w:tcPr>
          <w:p w14:paraId="15AD57B0" w14:textId="77777777" w:rsidR="00D01E91" w:rsidRPr="00161F98" w:rsidRDefault="00D01E91" w:rsidP="00D73FA1">
            <w:pPr>
              <w:spacing w:after="0" w:line="240" w:lineRule="auto"/>
              <w:jc w:val="center"/>
              <w:rPr>
                <w:rFonts w:asciiTheme="majorHAnsi" w:eastAsia="Times New Roman" w:hAnsiTheme="majorHAnsi" w:cs="Helvetica"/>
                <w:color w:val="000000"/>
                <w:sz w:val="20"/>
                <w:szCs w:val="20"/>
                <w:lang w:eastAsia="ko-KR"/>
              </w:rPr>
            </w:pPr>
            <w:r w:rsidRPr="00161F98">
              <w:rPr>
                <w:rFonts w:asciiTheme="majorHAnsi" w:hAnsiTheme="majorHAnsi" w:cs="Helvetica"/>
                <w:sz w:val="20"/>
                <w:szCs w:val="20"/>
              </w:rPr>
              <w:t>$2,793</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14:paraId="3609B7B5" w14:textId="77777777" w:rsidR="00D01E91" w:rsidRPr="00161F98" w:rsidRDefault="00D01E91" w:rsidP="00D73FA1">
            <w:pPr>
              <w:spacing w:after="0" w:line="240" w:lineRule="auto"/>
              <w:jc w:val="center"/>
              <w:rPr>
                <w:rFonts w:asciiTheme="majorHAnsi" w:eastAsia="Times New Roman" w:hAnsiTheme="majorHAnsi" w:cs="Helvetica"/>
                <w:color w:val="000000"/>
                <w:sz w:val="20"/>
                <w:szCs w:val="20"/>
                <w:lang w:eastAsia="ko-KR"/>
              </w:rPr>
            </w:pPr>
            <w:r w:rsidRPr="00161F98">
              <w:rPr>
                <w:rFonts w:asciiTheme="majorHAnsi" w:eastAsia="Times New Roman" w:hAnsiTheme="majorHAnsi" w:cs="Helvetica"/>
                <w:color w:val="000000"/>
                <w:sz w:val="20"/>
                <w:szCs w:val="20"/>
                <w:lang w:eastAsia="ko-KR"/>
              </w:rPr>
              <w:t>117</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2DD95A25" w14:textId="77777777" w:rsidR="00D01E91" w:rsidRPr="00161F98" w:rsidRDefault="00D01E91" w:rsidP="00D73FA1">
            <w:pPr>
              <w:spacing w:after="0" w:line="240" w:lineRule="auto"/>
              <w:jc w:val="center"/>
              <w:rPr>
                <w:rFonts w:asciiTheme="majorHAnsi" w:eastAsia="Times New Roman" w:hAnsiTheme="majorHAnsi" w:cs="Helvetica"/>
                <w:i/>
                <w:iCs/>
                <w:color w:val="000000"/>
                <w:sz w:val="20"/>
                <w:szCs w:val="20"/>
                <w:lang w:eastAsia="ko-KR"/>
              </w:rPr>
            </w:pPr>
            <w:r w:rsidRPr="00161F98">
              <w:rPr>
                <w:rFonts w:asciiTheme="majorHAnsi" w:eastAsia="Times New Roman" w:hAnsiTheme="majorHAnsi" w:cs="Helvetica"/>
                <w:i/>
                <w:iCs/>
                <w:color w:val="000000"/>
                <w:sz w:val="20"/>
                <w:szCs w:val="20"/>
                <w:lang w:eastAsia="ko-KR"/>
              </w:rPr>
              <w:t>100.0%</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640A8C" w14:textId="77777777" w:rsidR="00D01E91" w:rsidRPr="00161F98" w:rsidRDefault="008C52E3" w:rsidP="00D73FA1">
            <w:pPr>
              <w:spacing w:after="0" w:line="240" w:lineRule="auto"/>
              <w:jc w:val="center"/>
              <w:rPr>
                <w:rFonts w:asciiTheme="majorHAnsi" w:eastAsia="Times New Roman" w:hAnsiTheme="majorHAnsi" w:cs="Helvetica"/>
                <w:color w:val="000000"/>
                <w:sz w:val="20"/>
                <w:szCs w:val="20"/>
                <w:lang w:eastAsia="ko-KR"/>
              </w:rPr>
            </w:pPr>
            <w:r>
              <w:rPr>
                <w:rFonts w:asciiTheme="majorHAnsi" w:hAnsiTheme="majorHAnsi" w:cs="Helvetica"/>
                <w:color w:val="000000"/>
                <w:sz w:val="20"/>
                <w:szCs w:val="20"/>
              </w:rPr>
              <w:t>$</w:t>
            </w:r>
            <w:r w:rsidR="00D01E91" w:rsidRPr="00161F98">
              <w:rPr>
                <w:rFonts w:asciiTheme="majorHAnsi" w:hAnsiTheme="majorHAnsi" w:cs="Helvetica"/>
                <w:color w:val="000000"/>
                <w:sz w:val="20"/>
                <w:szCs w:val="20"/>
              </w:rPr>
              <w:t>108,665</w:t>
            </w:r>
          </w:p>
        </w:tc>
      </w:tr>
    </w:tbl>
    <w:p w14:paraId="4B90AAFE" w14:textId="77777777" w:rsidR="00F65690" w:rsidRPr="006A400E" w:rsidRDefault="00FE2F18" w:rsidP="00F65690">
      <w:pPr>
        <w:tabs>
          <w:tab w:val="left" w:pos="7050"/>
        </w:tabs>
        <w:spacing w:after="0"/>
        <w:rPr>
          <w:rFonts w:asciiTheme="majorHAnsi" w:eastAsiaTheme="majorEastAsia" w:hAnsiTheme="majorHAnsi" w:cstheme="majorBidi"/>
          <w:bCs/>
          <w:color w:val="000000" w:themeColor="text1"/>
          <w:sz w:val="18"/>
          <w:szCs w:val="18"/>
        </w:rPr>
      </w:pPr>
      <w:r w:rsidRPr="006A400E">
        <w:rPr>
          <w:rFonts w:asciiTheme="majorHAnsi" w:eastAsiaTheme="majorEastAsia" w:hAnsiTheme="majorHAnsi" w:cstheme="majorBidi"/>
          <w:bCs/>
          <w:color w:val="000000" w:themeColor="text1"/>
          <w:sz w:val="18"/>
          <w:szCs w:val="18"/>
        </w:rPr>
        <w:t xml:space="preserve">Source: </w:t>
      </w:r>
      <w:r w:rsidR="00EB428F" w:rsidRPr="006A400E">
        <w:rPr>
          <w:rFonts w:asciiTheme="majorHAnsi" w:eastAsiaTheme="majorEastAsia" w:hAnsiTheme="majorHAnsi" w:cstheme="majorBidi"/>
          <w:bCs/>
          <w:color w:val="000000" w:themeColor="text1"/>
          <w:sz w:val="18"/>
          <w:szCs w:val="18"/>
        </w:rPr>
        <w:t>Massachusetts</w:t>
      </w:r>
      <w:r w:rsidRPr="006A400E">
        <w:rPr>
          <w:rFonts w:asciiTheme="majorHAnsi" w:eastAsiaTheme="majorEastAsia" w:hAnsiTheme="majorHAnsi" w:cstheme="majorBidi"/>
          <w:bCs/>
          <w:color w:val="000000" w:themeColor="text1"/>
          <w:sz w:val="18"/>
          <w:szCs w:val="18"/>
        </w:rPr>
        <w:t xml:space="preserve"> Department of Revenue (2017</w:t>
      </w:r>
      <w:r w:rsidR="00442AC4" w:rsidRPr="006A400E">
        <w:rPr>
          <w:rFonts w:asciiTheme="majorHAnsi" w:eastAsiaTheme="majorEastAsia" w:hAnsiTheme="majorHAnsi" w:cstheme="majorBidi"/>
          <w:bCs/>
          <w:color w:val="000000" w:themeColor="text1"/>
          <w:sz w:val="18"/>
          <w:szCs w:val="18"/>
        </w:rPr>
        <w:t xml:space="preserve"> </w:t>
      </w:r>
      <w:r w:rsidR="00161F98" w:rsidRPr="006A400E">
        <w:rPr>
          <w:rFonts w:asciiTheme="majorHAnsi" w:eastAsiaTheme="majorEastAsia" w:hAnsiTheme="majorHAnsi" w:cstheme="majorBidi"/>
          <w:bCs/>
          <w:color w:val="000000" w:themeColor="text1"/>
          <w:sz w:val="18"/>
          <w:szCs w:val="18"/>
        </w:rPr>
        <w:t>corporate excise</w:t>
      </w:r>
      <w:r w:rsidR="00442AC4" w:rsidRPr="006A400E">
        <w:rPr>
          <w:rFonts w:asciiTheme="majorHAnsi" w:eastAsiaTheme="majorEastAsia" w:hAnsiTheme="majorHAnsi" w:cstheme="majorBidi"/>
          <w:bCs/>
          <w:color w:val="000000" w:themeColor="text1"/>
          <w:sz w:val="18"/>
          <w:szCs w:val="18"/>
        </w:rPr>
        <w:t xml:space="preserve"> return data</w:t>
      </w:r>
      <w:r w:rsidRPr="006A400E">
        <w:rPr>
          <w:rFonts w:asciiTheme="majorHAnsi" w:eastAsiaTheme="majorEastAsia" w:hAnsiTheme="majorHAnsi" w:cstheme="majorBidi"/>
          <w:bCs/>
          <w:color w:val="000000" w:themeColor="text1"/>
          <w:sz w:val="18"/>
          <w:szCs w:val="18"/>
        </w:rPr>
        <w:t>)</w:t>
      </w:r>
    </w:p>
    <w:p w14:paraId="07FCAD8A" w14:textId="77777777" w:rsidR="00EC52B1" w:rsidRPr="006A400E" w:rsidRDefault="005172B4" w:rsidP="00F65690">
      <w:pPr>
        <w:tabs>
          <w:tab w:val="left" w:pos="7050"/>
        </w:tabs>
        <w:spacing w:after="0"/>
        <w:rPr>
          <w:rFonts w:asciiTheme="majorHAnsi" w:eastAsiaTheme="majorEastAsia" w:hAnsiTheme="majorHAnsi" w:cstheme="majorBidi"/>
          <w:bCs/>
          <w:color w:val="000000" w:themeColor="text1"/>
          <w:sz w:val="18"/>
          <w:szCs w:val="18"/>
        </w:rPr>
      </w:pPr>
      <w:r w:rsidRPr="006A400E">
        <w:rPr>
          <w:rFonts w:asciiTheme="majorHAnsi" w:eastAsiaTheme="majorEastAsia" w:hAnsiTheme="majorHAnsi" w:cstheme="majorBidi"/>
          <w:bCs/>
          <w:color w:val="000000" w:themeColor="text1"/>
          <w:sz w:val="18"/>
          <w:szCs w:val="18"/>
        </w:rPr>
        <w:t>Note</w:t>
      </w:r>
      <w:r w:rsidR="00C1340F" w:rsidRPr="006A400E">
        <w:rPr>
          <w:rFonts w:asciiTheme="majorHAnsi" w:eastAsiaTheme="majorEastAsia" w:hAnsiTheme="majorHAnsi" w:cstheme="majorBidi"/>
          <w:bCs/>
          <w:color w:val="000000" w:themeColor="text1"/>
          <w:sz w:val="18"/>
          <w:szCs w:val="18"/>
        </w:rPr>
        <w:t>s</w:t>
      </w:r>
      <w:r w:rsidRPr="006A400E">
        <w:rPr>
          <w:rFonts w:asciiTheme="majorHAnsi" w:eastAsiaTheme="majorEastAsia" w:hAnsiTheme="majorHAnsi" w:cstheme="majorBidi"/>
          <w:bCs/>
          <w:color w:val="000000" w:themeColor="text1"/>
          <w:sz w:val="18"/>
          <w:szCs w:val="18"/>
        </w:rPr>
        <w:t xml:space="preserve">: </w:t>
      </w:r>
      <w:r w:rsidR="00C1340F" w:rsidRPr="006A400E">
        <w:rPr>
          <w:rFonts w:asciiTheme="majorHAnsi" w:eastAsiaTheme="majorEastAsia" w:hAnsiTheme="majorHAnsi" w:cstheme="majorBidi"/>
          <w:bCs/>
          <w:color w:val="000000" w:themeColor="text1"/>
          <w:sz w:val="18"/>
          <w:szCs w:val="18"/>
        </w:rPr>
        <w:t xml:space="preserve">1. </w:t>
      </w:r>
      <w:r w:rsidRPr="006A400E">
        <w:rPr>
          <w:rFonts w:asciiTheme="majorHAnsi" w:eastAsiaTheme="majorEastAsia" w:hAnsiTheme="majorHAnsi" w:cstheme="majorBidi"/>
          <w:bCs/>
          <w:color w:val="000000" w:themeColor="text1"/>
          <w:sz w:val="18"/>
          <w:szCs w:val="18"/>
        </w:rPr>
        <w:t xml:space="preserve">Personal income tax filers and insurance tax filers were excluded </w:t>
      </w:r>
      <w:r w:rsidR="00EB428F" w:rsidRPr="006A400E">
        <w:rPr>
          <w:rFonts w:asciiTheme="majorHAnsi" w:eastAsiaTheme="majorEastAsia" w:hAnsiTheme="majorHAnsi" w:cstheme="majorBidi"/>
          <w:bCs/>
          <w:color w:val="000000" w:themeColor="text1"/>
          <w:sz w:val="18"/>
          <w:szCs w:val="18"/>
        </w:rPr>
        <w:t xml:space="preserve">from this </w:t>
      </w:r>
      <w:r w:rsidRPr="006A400E">
        <w:rPr>
          <w:rFonts w:asciiTheme="majorHAnsi" w:eastAsiaTheme="majorEastAsia" w:hAnsiTheme="majorHAnsi" w:cstheme="majorBidi"/>
          <w:bCs/>
          <w:color w:val="000000" w:themeColor="text1"/>
          <w:sz w:val="18"/>
          <w:szCs w:val="18"/>
        </w:rPr>
        <w:t>table.</w:t>
      </w:r>
    </w:p>
    <w:p w14:paraId="039A43C1" w14:textId="77777777" w:rsidR="00C1340F" w:rsidRPr="006A400E" w:rsidRDefault="00C1340F" w:rsidP="004C0367">
      <w:pPr>
        <w:spacing w:after="0"/>
        <w:rPr>
          <w:rFonts w:asciiTheme="majorHAnsi" w:eastAsiaTheme="majorEastAsia" w:hAnsiTheme="majorHAnsi" w:cstheme="majorBidi"/>
          <w:bCs/>
          <w:color w:val="000000" w:themeColor="text1"/>
          <w:sz w:val="18"/>
          <w:szCs w:val="18"/>
        </w:rPr>
      </w:pPr>
      <w:r w:rsidRPr="006A400E">
        <w:rPr>
          <w:rFonts w:asciiTheme="majorHAnsi" w:eastAsiaTheme="majorEastAsia" w:hAnsiTheme="majorHAnsi" w:cstheme="majorBidi"/>
          <w:bCs/>
          <w:color w:val="000000" w:themeColor="text1"/>
          <w:sz w:val="18"/>
          <w:szCs w:val="18"/>
        </w:rPr>
        <w:t xml:space="preserve">             2. The data are preliminary and subject to </w:t>
      </w:r>
      <w:r w:rsidR="00161F98" w:rsidRPr="006A400E">
        <w:rPr>
          <w:rFonts w:asciiTheme="majorHAnsi" w:eastAsiaTheme="majorEastAsia" w:hAnsiTheme="majorHAnsi" w:cstheme="majorBidi"/>
          <w:bCs/>
          <w:color w:val="000000" w:themeColor="text1"/>
          <w:sz w:val="18"/>
          <w:szCs w:val="18"/>
        </w:rPr>
        <w:t>change</w:t>
      </w:r>
      <w:r w:rsidRPr="006A400E">
        <w:rPr>
          <w:rFonts w:asciiTheme="majorHAnsi" w:eastAsiaTheme="majorEastAsia" w:hAnsiTheme="majorHAnsi" w:cstheme="majorBidi"/>
          <w:bCs/>
          <w:color w:val="000000" w:themeColor="text1"/>
          <w:sz w:val="18"/>
          <w:szCs w:val="18"/>
        </w:rPr>
        <w:t>.</w:t>
      </w:r>
    </w:p>
    <w:p w14:paraId="5025F491" w14:textId="77777777" w:rsidR="00FE2F18" w:rsidRDefault="00FE2F18" w:rsidP="004C0367">
      <w:pPr>
        <w:spacing w:after="0"/>
        <w:rPr>
          <w:rFonts w:asciiTheme="majorHAnsi" w:eastAsiaTheme="majorEastAsia" w:hAnsiTheme="majorHAnsi" w:cstheme="majorBidi"/>
          <w:bCs/>
          <w:color w:val="000000" w:themeColor="text1"/>
          <w:sz w:val="24"/>
          <w:szCs w:val="24"/>
        </w:rPr>
      </w:pPr>
    </w:p>
    <w:p w14:paraId="5B243405" w14:textId="77777777" w:rsidR="00513E39" w:rsidRDefault="00513E39" w:rsidP="004C0367">
      <w:pPr>
        <w:spacing w:after="0"/>
        <w:rPr>
          <w:rFonts w:asciiTheme="majorHAnsi" w:eastAsiaTheme="majorEastAsia" w:hAnsiTheme="majorHAnsi" w:cstheme="majorBidi"/>
          <w:bCs/>
          <w:color w:val="000000" w:themeColor="text1"/>
          <w:sz w:val="24"/>
          <w:szCs w:val="24"/>
        </w:rPr>
      </w:pPr>
    </w:p>
    <w:p w14:paraId="16EC7963" w14:textId="77777777" w:rsidR="002F3E67" w:rsidRDefault="002F3E67" w:rsidP="00513E39">
      <w:pPr>
        <w:spacing w:after="0"/>
        <w:jc w:val="center"/>
        <w:rPr>
          <w:rFonts w:asciiTheme="majorHAnsi" w:hAnsiTheme="majorHAnsi"/>
          <w:b/>
          <w:sz w:val="24"/>
          <w:szCs w:val="24"/>
        </w:rPr>
      </w:pPr>
      <w:r w:rsidRPr="00CA0391">
        <w:rPr>
          <w:rFonts w:asciiTheme="majorHAnsi" w:hAnsiTheme="majorHAnsi"/>
          <w:b/>
          <w:sz w:val="24"/>
          <w:szCs w:val="24"/>
        </w:rPr>
        <w:t xml:space="preserve">Table </w:t>
      </w:r>
      <w:r w:rsidR="00894F36">
        <w:rPr>
          <w:rFonts w:asciiTheme="majorHAnsi" w:hAnsiTheme="majorHAnsi"/>
          <w:b/>
          <w:sz w:val="24"/>
          <w:szCs w:val="24"/>
        </w:rPr>
        <w:t>4</w:t>
      </w:r>
      <w:r w:rsidRPr="00CA0391">
        <w:rPr>
          <w:rFonts w:asciiTheme="majorHAnsi" w:hAnsiTheme="majorHAnsi"/>
          <w:b/>
          <w:sz w:val="24"/>
          <w:szCs w:val="24"/>
        </w:rPr>
        <w:t xml:space="preserve">. </w:t>
      </w:r>
      <w:r w:rsidR="00513E39">
        <w:rPr>
          <w:rFonts w:asciiTheme="majorHAnsi" w:hAnsiTheme="majorHAnsi"/>
          <w:b/>
          <w:sz w:val="24"/>
          <w:szCs w:val="24"/>
        </w:rPr>
        <w:t>2017 EDIP Credit Claims by Taxpayer Size (Number of Employees)</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9"/>
        <w:gridCol w:w="1348"/>
        <w:gridCol w:w="911"/>
        <w:gridCol w:w="1077"/>
        <w:gridCol w:w="1080"/>
        <w:gridCol w:w="1170"/>
        <w:gridCol w:w="1350"/>
      </w:tblGrid>
      <w:tr w:rsidR="008C52E3" w:rsidRPr="00161F98" w14:paraId="7D84609A" w14:textId="77777777" w:rsidTr="00120C56">
        <w:trPr>
          <w:trHeight w:val="746"/>
          <w:jc w:val="center"/>
        </w:trPr>
        <w:tc>
          <w:tcPr>
            <w:tcW w:w="2419" w:type="dxa"/>
            <w:shd w:val="clear" w:color="auto" w:fill="B6DDE8" w:themeFill="accent5" w:themeFillTint="66"/>
            <w:vAlign w:val="center"/>
            <w:hideMark/>
          </w:tcPr>
          <w:p w14:paraId="08F98F14" w14:textId="77777777" w:rsidR="008C52E3" w:rsidRPr="00161F98" w:rsidRDefault="00120C56" w:rsidP="007B6263">
            <w:pPr>
              <w:spacing w:after="0" w:line="240" w:lineRule="auto"/>
              <w:jc w:val="center"/>
              <w:rPr>
                <w:rFonts w:asciiTheme="majorHAnsi" w:eastAsia="Times New Roman" w:hAnsiTheme="majorHAnsi" w:cs="Helvetica"/>
                <w:color w:val="000000"/>
                <w:sz w:val="20"/>
                <w:szCs w:val="20"/>
                <w:lang w:eastAsia="ko-KR"/>
              </w:rPr>
            </w:pPr>
            <w:r w:rsidRPr="00161F98">
              <w:rPr>
                <w:rFonts w:asciiTheme="majorHAnsi" w:eastAsia="Times New Roman" w:hAnsiTheme="majorHAnsi" w:cs="Helvetica"/>
                <w:color w:val="000000"/>
                <w:sz w:val="20"/>
                <w:szCs w:val="20"/>
                <w:lang w:eastAsia="ko-KR"/>
              </w:rPr>
              <w:t>Employee</w:t>
            </w:r>
            <w:r>
              <w:rPr>
                <w:rFonts w:asciiTheme="majorHAnsi" w:eastAsia="Times New Roman" w:hAnsiTheme="majorHAnsi" w:cs="Helvetica"/>
                <w:color w:val="000000"/>
                <w:sz w:val="20"/>
                <w:szCs w:val="20"/>
                <w:lang w:eastAsia="ko-KR"/>
              </w:rPr>
              <w:t>s</w:t>
            </w:r>
            <w:r w:rsidRPr="00161F98">
              <w:rPr>
                <w:rFonts w:asciiTheme="majorHAnsi" w:eastAsia="Times New Roman" w:hAnsiTheme="majorHAnsi" w:cs="Helvetica"/>
                <w:color w:val="000000"/>
                <w:sz w:val="20"/>
                <w:szCs w:val="20"/>
                <w:lang w:eastAsia="ko-KR"/>
              </w:rPr>
              <w:t xml:space="preserve"> </w:t>
            </w:r>
            <w:r w:rsidR="008C52E3" w:rsidRPr="00161F98">
              <w:rPr>
                <w:rFonts w:asciiTheme="majorHAnsi" w:eastAsia="Times New Roman" w:hAnsiTheme="majorHAnsi" w:cs="Helvetica"/>
                <w:color w:val="000000"/>
                <w:sz w:val="20"/>
                <w:szCs w:val="20"/>
                <w:lang w:eastAsia="ko-KR"/>
              </w:rPr>
              <w:t>Range*</w:t>
            </w:r>
          </w:p>
        </w:tc>
        <w:tc>
          <w:tcPr>
            <w:tcW w:w="1348" w:type="dxa"/>
            <w:shd w:val="clear" w:color="auto" w:fill="B6DDE8" w:themeFill="accent5" w:themeFillTint="66"/>
            <w:vAlign w:val="center"/>
            <w:hideMark/>
          </w:tcPr>
          <w:p w14:paraId="68F2AA03" w14:textId="77777777" w:rsidR="008C52E3" w:rsidRPr="00161F98" w:rsidRDefault="008C52E3" w:rsidP="007B6263">
            <w:pPr>
              <w:spacing w:after="0" w:line="240" w:lineRule="auto"/>
              <w:jc w:val="center"/>
              <w:rPr>
                <w:rFonts w:asciiTheme="majorHAnsi" w:eastAsia="Times New Roman" w:hAnsiTheme="majorHAnsi" w:cs="Helvetica"/>
                <w:color w:val="000000"/>
                <w:sz w:val="20"/>
                <w:szCs w:val="20"/>
                <w:lang w:eastAsia="ko-KR"/>
              </w:rPr>
            </w:pPr>
            <w:r w:rsidRPr="00161F98">
              <w:rPr>
                <w:rFonts w:asciiTheme="majorHAnsi" w:eastAsia="Times New Roman" w:hAnsiTheme="majorHAnsi" w:cs="Helvetica"/>
                <w:color w:val="000000"/>
                <w:sz w:val="20"/>
                <w:szCs w:val="20"/>
                <w:lang w:eastAsia="ko-KR"/>
              </w:rPr>
              <w:t xml:space="preserve">Tax Liability </w:t>
            </w:r>
            <w:r>
              <w:rPr>
                <w:rFonts w:asciiTheme="majorHAnsi" w:eastAsia="Times New Roman" w:hAnsiTheme="majorHAnsi" w:cs="Helvetica"/>
                <w:color w:val="000000"/>
                <w:sz w:val="20"/>
                <w:szCs w:val="20"/>
                <w:lang w:eastAsia="ko-KR"/>
              </w:rPr>
              <w:t>after Credit</w:t>
            </w:r>
            <w:r w:rsidRPr="00161F98">
              <w:rPr>
                <w:rFonts w:asciiTheme="majorHAnsi" w:eastAsia="Times New Roman" w:hAnsiTheme="majorHAnsi" w:cs="Helvetica"/>
                <w:color w:val="000000"/>
                <w:sz w:val="20"/>
                <w:szCs w:val="20"/>
                <w:lang w:eastAsia="ko-KR"/>
              </w:rPr>
              <w:t xml:space="preserve"> ($000) </w:t>
            </w:r>
          </w:p>
        </w:tc>
        <w:tc>
          <w:tcPr>
            <w:tcW w:w="911" w:type="dxa"/>
            <w:shd w:val="clear" w:color="auto" w:fill="B6DDE8" w:themeFill="accent5" w:themeFillTint="66"/>
            <w:vAlign w:val="center"/>
            <w:hideMark/>
          </w:tcPr>
          <w:p w14:paraId="40711453" w14:textId="77777777" w:rsidR="008C52E3" w:rsidRPr="00161F98" w:rsidRDefault="008C52E3" w:rsidP="007B6263">
            <w:pPr>
              <w:spacing w:after="0" w:line="240" w:lineRule="auto"/>
              <w:jc w:val="center"/>
              <w:rPr>
                <w:rFonts w:asciiTheme="majorHAnsi" w:eastAsia="Times New Roman" w:hAnsiTheme="majorHAnsi" w:cs="Helvetica"/>
                <w:color w:val="000000"/>
                <w:sz w:val="20"/>
                <w:szCs w:val="20"/>
                <w:lang w:eastAsia="ko-KR"/>
              </w:rPr>
            </w:pPr>
            <w:r w:rsidRPr="00161F98">
              <w:rPr>
                <w:rFonts w:asciiTheme="majorHAnsi" w:eastAsia="Times New Roman" w:hAnsiTheme="majorHAnsi" w:cs="Helvetica"/>
                <w:color w:val="000000"/>
                <w:sz w:val="20"/>
                <w:szCs w:val="20"/>
                <w:lang w:eastAsia="ko-KR"/>
              </w:rPr>
              <w:t xml:space="preserve">Claimed Credit ($000) </w:t>
            </w:r>
          </w:p>
        </w:tc>
        <w:tc>
          <w:tcPr>
            <w:tcW w:w="1077" w:type="dxa"/>
            <w:shd w:val="clear" w:color="auto" w:fill="B6DDE8" w:themeFill="accent5" w:themeFillTint="66"/>
            <w:vAlign w:val="center"/>
            <w:hideMark/>
          </w:tcPr>
          <w:p w14:paraId="4D2588D2" w14:textId="77777777" w:rsidR="008C52E3" w:rsidRPr="00161F98" w:rsidRDefault="008C52E3" w:rsidP="007B6263">
            <w:pPr>
              <w:spacing w:after="0" w:line="240" w:lineRule="auto"/>
              <w:jc w:val="center"/>
              <w:rPr>
                <w:rFonts w:asciiTheme="majorHAnsi" w:eastAsia="Times New Roman" w:hAnsiTheme="majorHAnsi" w:cs="Helvetica"/>
                <w:color w:val="000000"/>
                <w:sz w:val="20"/>
                <w:szCs w:val="20"/>
                <w:lang w:eastAsia="ko-KR"/>
              </w:rPr>
            </w:pPr>
            <w:r w:rsidRPr="00161F98">
              <w:rPr>
                <w:rFonts w:asciiTheme="majorHAnsi" w:eastAsia="Times New Roman" w:hAnsiTheme="majorHAnsi" w:cs="Helvetica"/>
                <w:color w:val="000000"/>
                <w:sz w:val="20"/>
                <w:szCs w:val="20"/>
                <w:lang w:eastAsia="ko-KR"/>
              </w:rPr>
              <w:t xml:space="preserve"> Shared Credit ($000) </w:t>
            </w:r>
          </w:p>
        </w:tc>
        <w:tc>
          <w:tcPr>
            <w:tcW w:w="1080" w:type="dxa"/>
            <w:shd w:val="clear" w:color="auto" w:fill="B6DDE8" w:themeFill="accent5" w:themeFillTint="66"/>
            <w:vAlign w:val="center"/>
            <w:hideMark/>
          </w:tcPr>
          <w:p w14:paraId="33FEC3DF" w14:textId="77777777" w:rsidR="008C52E3" w:rsidRPr="00161F98" w:rsidRDefault="008C52E3" w:rsidP="007B6263">
            <w:pPr>
              <w:spacing w:after="0" w:line="240" w:lineRule="auto"/>
              <w:jc w:val="center"/>
              <w:rPr>
                <w:rFonts w:asciiTheme="majorHAnsi" w:eastAsia="Times New Roman" w:hAnsiTheme="majorHAnsi" w:cs="Helvetica"/>
                <w:color w:val="000000"/>
                <w:sz w:val="20"/>
                <w:szCs w:val="20"/>
                <w:lang w:eastAsia="ko-KR"/>
              </w:rPr>
            </w:pPr>
            <w:r w:rsidRPr="00161F98">
              <w:rPr>
                <w:rFonts w:asciiTheme="majorHAnsi" w:eastAsia="Times New Roman" w:hAnsiTheme="majorHAnsi" w:cs="Helvetica"/>
                <w:color w:val="000000"/>
                <w:sz w:val="20"/>
                <w:szCs w:val="20"/>
                <w:lang w:eastAsia="ko-KR"/>
              </w:rPr>
              <w:t xml:space="preserve"> Number of Claimants </w:t>
            </w:r>
          </w:p>
        </w:tc>
        <w:tc>
          <w:tcPr>
            <w:tcW w:w="1170" w:type="dxa"/>
            <w:shd w:val="clear" w:color="auto" w:fill="B6DDE8" w:themeFill="accent5" w:themeFillTint="66"/>
            <w:vAlign w:val="center"/>
            <w:hideMark/>
          </w:tcPr>
          <w:p w14:paraId="4FAD04D9" w14:textId="77777777" w:rsidR="008C52E3" w:rsidRPr="00161F98" w:rsidRDefault="008C52E3" w:rsidP="007B6263">
            <w:pPr>
              <w:spacing w:after="0" w:line="240" w:lineRule="auto"/>
              <w:jc w:val="center"/>
              <w:rPr>
                <w:rFonts w:asciiTheme="majorHAnsi" w:eastAsia="Times New Roman" w:hAnsiTheme="majorHAnsi" w:cs="Helvetica"/>
                <w:i/>
                <w:iCs/>
                <w:color w:val="000000"/>
                <w:sz w:val="20"/>
                <w:szCs w:val="20"/>
                <w:lang w:eastAsia="ko-KR"/>
              </w:rPr>
            </w:pPr>
            <w:r w:rsidRPr="00161F98">
              <w:rPr>
                <w:rFonts w:asciiTheme="majorHAnsi" w:eastAsia="Times New Roman" w:hAnsiTheme="majorHAnsi" w:cs="Helvetica"/>
                <w:i/>
                <w:iCs/>
                <w:color w:val="000000"/>
                <w:sz w:val="20"/>
                <w:szCs w:val="20"/>
                <w:lang w:eastAsia="ko-KR"/>
              </w:rPr>
              <w:t xml:space="preserve"> % of Total Number of Claimants</w:t>
            </w:r>
          </w:p>
        </w:tc>
        <w:tc>
          <w:tcPr>
            <w:tcW w:w="1350" w:type="dxa"/>
            <w:shd w:val="clear" w:color="auto" w:fill="B6DDE8" w:themeFill="accent5" w:themeFillTint="66"/>
            <w:vAlign w:val="center"/>
            <w:hideMark/>
          </w:tcPr>
          <w:p w14:paraId="3B9FD392" w14:textId="77777777" w:rsidR="008C52E3" w:rsidRPr="00161F98" w:rsidRDefault="008C52E3" w:rsidP="007B6263">
            <w:pPr>
              <w:spacing w:after="0" w:line="240" w:lineRule="auto"/>
              <w:jc w:val="center"/>
              <w:rPr>
                <w:rFonts w:asciiTheme="majorHAnsi" w:eastAsia="Times New Roman" w:hAnsiTheme="majorHAnsi" w:cs="Helvetica"/>
                <w:color w:val="000000"/>
                <w:sz w:val="20"/>
                <w:szCs w:val="20"/>
                <w:lang w:eastAsia="ko-KR"/>
              </w:rPr>
            </w:pPr>
            <w:r w:rsidRPr="00161F98">
              <w:rPr>
                <w:rFonts w:asciiTheme="majorHAnsi" w:eastAsia="Times New Roman" w:hAnsiTheme="majorHAnsi" w:cs="Helvetica"/>
                <w:color w:val="000000"/>
                <w:sz w:val="20"/>
                <w:szCs w:val="20"/>
                <w:lang w:eastAsia="ko-KR"/>
              </w:rPr>
              <w:t xml:space="preserve"> Tax Saving Per Claimant ($)</w:t>
            </w:r>
          </w:p>
        </w:tc>
      </w:tr>
      <w:tr w:rsidR="008C52E3" w:rsidRPr="00161F98" w14:paraId="3404A885" w14:textId="77777777" w:rsidTr="00F65690">
        <w:trPr>
          <w:trHeight w:val="280"/>
          <w:jc w:val="center"/>
        </w:trPr>
        <w:tc>
          <w:tcPr>
            <w:tcW w:w="2419" w:type="dxa"/>
            <w:shd w:val="clear" w:color="auto" w:fill="auto"/>
            <w:vAlign w:val="center"/>
            <w:hideMark/>
          </w:tcPr>
          <w:p w14:paraId="5A7AE89B" w14:textId="77777777" w:rsidR="008C52E3" w:rsidRPr="00161F98" w:rsidRDefault="008C52E3" w:rsidP="00D73FA1">
            <w:pPr>
              <w:spacing w:after="0" w:line="240" w:lineRule="auto"/>
              <w:rPr>
                <w:rFonts w:asciiTheme="majorHAnsi" w:eastAsia="Times New Roman" w:hAnsiTheme="majorHAnsi" w:cs="Helvetica"/>
                <w:color w:val="000000"/>
                <w:sz w:val="20"/>
                <w:szCs w:val="20"/>
                <w:lang w:eastAsia="ko-KR"/>
              </w:rPr>
            </w:pPr>
            <w:r w:rsidRPr="00161F98">
              <w:rPr>
                <w:rFonts w:asciiTheme="majorHAnsi" w:eastAsia="Times New Roman" w:hAnsiTheme="majorHAnsi" w:cs="Helvetica"/>
                <w:color w:val="000000"/>
                <w:sz w:val="20"/>
                <w:szCs w:val="20"/>
                <w:lang w:eastAsia="ko-KR"/>
              </w:rPr>
              <w:t xml:space="preserve"> Less than 5</w:t>
            </w:r>
          </w:p>
        </w:tc>
        <w:tc>
          <w:tcPr>
            <w:tcW w:w="1348" w:type="dxa"/>
            <w:shd w:val="clear" w:color="auto" w:fill="auto"/>
            <w:vAlign w:val="center"/>
            <w:hideMark/>
          </w:tcPr>
          <w:p w14:paraId="383A7B78" w14:textId="77777777" w:rsidR="008C52E3" w:rsidRPr="00161F98" w:rsidRDefault="008C52E3" w:rsidP="00D73FA1">
            <w:pPr>
              <w:spacing w:after="0" w:line="240" w:lineRule="auto"/>
              <w:jc w:val="center"/>
              <w:rPr>
                <w:rFonts w:asciiTheme="majorHAnsi" w:eastAsia="Times New Roman" w:hAnsiTheme="majorHAnsi" w:cs="Helvetica"/>
                <w:color w:val="000000"/>
                <w:sz w:val="20"/>
                <w:szCs w:val="20"/>
                <w:lang w:eastAsia="ko-KR"/>
              </w:rPr>
            </w:pPr>
            <w:r w:rsidRPr="00161F98">
              <w:rPr>
                <w:rFonts w:asciiTheme="majorHAnsi" w:hAnsiTheme="majorHAnsi" w:cs="Helvetica"/>
                <w:sz w:val="20"/>
                <w:szCs w:val="20"/>
              </w:rPr>
              <w:t>$307</w:t>
            </w:r>
          </w:p>
        </w:tc>
        <w:tc>
          <w:tcPr>
            <w:tcW w:w="911" w:type="dxa"/>
            <w:shd w:val="clear" w:color="auto" w:fill="auto"/>
            <w:vAlign w:val="center"/>
            <w:hideMark/>
          </w:tcPr>
          <w:p w14:paraId="369F796B" w14:textId="77777777" w:rsidR="008C52E3" w:rsidRPr="00161F98" w:rsidRDefault="008C52E3" w:rsidP="00D73FA1">
            <w:pPr>
              <w:spacing w:after="0" w:line="240" w:lineRule="auto"/>
              <w:jc w:val="center"/>
              <w:rPr>
                <w:rFonts w:asciiTheme="majorHAnsi" w:eastAsia="Times New Roman" w:hAnsiTheme="majorHAnsi" w:cs="Helvetica"/>
                <w:color w:val="000000"/>
                <w:sz w:val="20"/>
                <w:szCs w:val="20"/>
                <w:lang w:eastAsia="ko-KR"/>
              </w:rPr>
            </w:pPr>
            <w:r w:rsidRPr="00161F98">
              <w:rPr>
                <w:rFonts w:asciiTheme="majorHAnsi" w:hAnsiTheme="majorHAnsi" w:cs="Helvetica"/>
                <w:sz w:val="20"/>
                <w:szCs w:val="20"/>
              </w:rPr>
              <w:t>$2,019</w:t>
            </w:r>
          </w:p>
        </w:tc>
        <w:tc>
          <w:tcPr>
            <w:tcW w:w="1077" w:type="dxa"/>
            <w:shd w:val="clear" w:color="auto" w:fill="auto"/>
            <w:vAlign w:val="center"/>
            <w:hideMark/>
          </w:tcPr>
          <w:p w14:paraId="1F01DB02" w14:textId="77777777" w:rsidR="008C52E3" w:rsidRPr="00161F98" w:rsidRDefault="008C52E3" w:rsidP="00D73FA1">
            <w:pPr>
              <w:spacing w:after="0" w:line="240" w:lineRule="auto"/>
              <w:jc w:val="center"/>
              <w:rPr>
                <w:rFonts w:asciiTheme="majorHAnsi" w:eastAsia="Times New Roman" w:hAnsiTheme="majorHAnsi" w:cs="Helvetica"/>
                <w:color w:val="000000"/>
                <w:sz w:val="20"/>
                <w:szCs w:val="20"/>
                <w:lang w:eastAsia="ko-KR"/>
              </w:rPr>
            </w:pPr>
            <w:r w:rsidRPr="00161F98">
              <w:rPr>
                <w:rFonts w:asciiTheme="majorHAnsi" w:hAnsiTheme="majorHAnsi" w:cs="Helvetica"/>
                <w:sz w:val="20"/>
                <w:szCs w:val="20"/>
              </w:rPr>
              <w:t>$257</w:t>
            </w:r>
          </w:p>
        </w:tc>
        <w:tc>
          <w:tcPr>
            <w:tcW w:w="1080" w:type="dxa"/>
            <w:shd w:val="clear" w:color="auto" w:fill="auto"/>
            <w:vAlign w:val="center"/>
            <w:hideMark/>
          </w:tcPr>
          <w:p w14:paraId="253BAD1A" w14:textId="77777777" w:rsidR="008C52E3" w:rsidRPr="00161F98" w:rsidRDefault="008C52E3" w:rsidP="00D73FA1">
            <w:pPr>
              <w:spacing w:after="0" w:line="240" w:lineRule="auto"/>
              <w:jc w:val="center"/>
              <w:rPr>
                <w:rFonts w:asciiTheme="majorHAnsi" w:eastAsia="Times New Roman" w:hAnsiTheme="majorHAnsi" w:cs="Helvetica"/>
                <w:color w:val="000000"/>
                <w:sz w:val="20"/>
                <w:szCs w:val="20"/>
                <w:lang w:eastAsia="ko-KR"/>
              </w:rPr>
            </w:pPr>
            <w:r w:rsidRPr="00161F98">
              <w:rPr>
                <w:rFonts w:asciiTheme="majorHAnsi" w:hAnsiTheme="majorHAnsi" w:cs="Helvetica"/>
                <w:color w:val="000000"/>
                <w:sz w:val="20"/>
                <w:szCs w:val="20"/>
              </w:rPr>
              <w:t>15</w:t>
            </w:r>
          </w:p>
        </w:tc>
        <w:tc>
          <w:tcPr>
            <w:tcW w:w="1170" w:type="dxa"/>
            <w:shd w:val="clear" w:color="auto" w:fill="auto"/>
            <w:vAlign w:val="center"/>
            <w:hideMark/>
          </w:tcPr>
          <w:p w14:paraId="7D6C7BF5" w14:textId="77777777" w:rsidR="008C52E3" w:rsidRPr="00161F98" w:rsidRDefault="008C52E3" w:rsidP="00D73FA1">
            <w:pPr>
              <w:spacing w:after="0" w:line="240" w:lineRule="auto"/>
              <w:jc w:val="center"/>
              <w:rPr>
                <w:rFonts w:asciiTheme="majorHAnsi" w:eastAsia="Times New Roman" w:hAnsiTheme="majorHAnsi" w:cs="Helvetica"/>
                <w:i/>
                <w:iCs/>
                <w:color w:val="000000"/>
                <w:sz w:val="20"/>
                <w:szCs w:val="20"/>
                <w:lang w:eastAsia="ko-KR"/>
              </w:rPr>
            </w:pPr>
            <w:r w:rsidRPr="00161F98">
              <w:rPr>
                <w:rFonts w:asciiTheme="majorHAnsi" w:hAnsiTheme="majorHAnsi" w:cs="Helvetica"/>
                <w:i/>
                <w:iCs/>
                <w:color w:val="000000"/>
                <w:sz w:val="20"/>
                <w:szCs w:val="20"/>
              </w:rPr>
              <w:t>12.8%</w:t>
            </w:r>
          </w:p>
        </w:tc>
        <w:tc>
          <w:tcPr>
            <w:tcW w:w="1350" w:type="dxa"/>
            <w:shd w:val="clear" w:color="auto" w:fill="auto"/>
            <w:vAlign w:val="center"/>
            <w:hideMark/>
          </w:tcPr>
          <w:p w14:paraId="45DC6B14" w14:textId="77777777" w:rsidR="008C52E3" w:rsidRPr="00161F98" w:rsidRDefault="00F65690" w:rsidP="00D73FA1">
            <w:pPr>
              <w:spacing w:after="0" w:line="240" w:lineRule="auto"/>
              <w:jc w:val="center"/>
              <w:rPr>
                <w:rFonts w:asciiTheme="majorHAnsi" w:eastAsia="Times New Roman" w:hAnsiTheme="majorHAnsi" w:cs="Helvetica"/>
                <w:color w:val="000000"/>
                <w:sz w:val="20"/>
                <w:szCs w:val="20"/>
                <w:lang w:eastAsia="ko-KR"/>
              </w:rPr>
            </w:pPr>
            <w:r>
              <w:rPr>
                <w:rFonts w:asciiTheme="majorHAnsi" w:hAnsiTheme="majorHAnsi" w:cs="Helvetica"/>
                <w:color w:val="000000"/>
                <w:sz w:val="20"/>
                <w:szCs w:val="20"/>
              </w:rPr>
              <w:t>$</w:t>
            </w:r>
            <w:r w:rsidR="008C52E3" w:rsidRPr="00161F98">
              <w:rPr>
                <w:rFonts w:asciiTheme="majorHAnsi" w:hAnsiTheme="majorHAnsi" w:cs="Helvetica"/>
                <w:color w:val="000000"/>
                <w:sz w:val="20"/>
                <w:szCs w:val="20"/>
              </w:rPr>
              <w:t>151,728</w:t>
            </w:r>
          </w:p>
        </w:tc>
      </w:tr>
      <w:tr w:rsidR="008C52E3" w:rsidRPr="00161F98" w14:paraId="1B419F75" w14:textId="77777777" w:rsidTr="00F65690">
        <w:trPr>
          <w:trHeight w:val="280"/>
          <w:jc w:val="center"/>
        </w:trPr>
        <w:tc>
          <w:tcPr>
            <w:tcW w:w="2419" w:type="dxa"/>
            <w:shd w:val="clear" w:color="auto" w:fill="auto"/>
            <w:vAlign w:val="center"/>
            <w:hideMark/>
          </w:tcPr>
          <w:p w14:paraId="31C1D062" w14:textId="77777777" w:rsidR="008C52E3" w:rsidRPr="00161F98" w:rsidRDefault="008C52E3" w:rsidP="00D73FA1">
            <w:pPr>
              <w:spacing w:after="0" w:line="240" w:lineRule="auto"/>
              <w:rPr>
                <w:rFonts w:asciiTheme="majorHAnsi" w:eastAsia="Times New Roman" w:hAnsiTheme="majorHAnsi" w:cs="Helvetica"/>
                <w:color w:val="000000"/>
                <w:sz w:val="20"/>
                <w:szCs w:val="20"/>
                <w:lang w:eastAsia="ko-KR"/>
              </w:rPr>
            </w:pPr>
            <w:r w:rsidRPr="00161F98">
              <w:rPr>
                <w:rFonts w:asciiTheme="majorHAnsi" w:eastAsia="Times New Roman" w:hAnsiTheme="majorHAnsi" w:cs="Helvetica"/>
                <w:color w:val="000000"/>
                <w:sz w:val="20"/>
                <w:szCs w:val="20"/>
                <w:lang w:eastAsia="ko-KR"/>
              </w:rPr>
              <w:t xml:space="preserve"> 5 to 49 </w:t>
            </w:r>
          </w:p>
        </w:tc>
        <w:tc>
          <w:tcPr>
            <w:tcW w:w="1348" w:type="dxa"/>
            <w:shd w:val="clear" w:color="auto" w:fill="auto"/>
            <w:vAlign w:val="center"/>
            <w:hideMark/>
          </w:tcPr>
          <w:p w14:paraId="7363FFD0" w14:textId="77777777" w:rsidR="008C52E3" w:rsidRPr="00161F98" w:rsidRDefault="008C52E3" w:rsidP="00D73FA1">
            <w:pPr>
              <w:spacing w:after="0" w:line="240" w:lineRule="auto"/>
              <w:jc w:val="center"/>
              <w:rPr>
                <w:rFonts w:asciiTheme="majorHAnsi" w:eastAsia="Times New Roman" w:hAnsiTheme="majorHAnsi" w:cs="Helvetica"/>
                <w:color w:val="000000"/>
                <w:sz w:val="20"/>
                <w:szCs w:val="20"/>
                <w:lang w:eastAsia="ko-KR"/>
              </w:rPr>
            </w:pPr>
            <w:r w:rsidRPr="00161F98">
              <w:rPr>
                <w:rFonts w:asciiTheme="majorHAnsi" w:hAnsiTheme="majorHAnsi" w:cs="Helvetica"/>
                <w:sz w:val="20"/>
                <w:szCs w:val="20"/>
              </w:rPr>
              <w:t>$1,353</w:t>
            </w:r>
          </w:p>
        </w:tc>
        <w:tc>
          <w:tcPr>
            <w:tcW w:w="911" w:type="dxa"/>
            <w:shd w:val="clear" w:color="auto" w:fill="auto"/>
            <w:vAlign w:val="center"/>
            <w:hideMark/>
          </w:tcPr>
          <w:p w14:paraId="5E59C1F3" w14:textId="77777777" w:rsidR="008C52E3" w:rsidRPr="00161F98" w:rsidRDefault="008C52E3" w:rsidP="00D73FA1">
            <w:pPr>
              <w:spacing w:after="0" w:line="240" w:lineRule="auto"/>
              <w:jc w:val="center"/>
              <w:rPr>
                <w:rFonts w:asciiTheme="majorHAnsi" w:eastAsia="Times New Roman" w:hAnsiTheme="majorHAnsi" w:cs="Helvetica"/>
                <w:color w:val="000000"/>
                <w:sz w:val="20"/>
                <w:szCs w:val="20"/>
                <w:lang w:eastAsia="ko-KR"/>
              </w:rPr>
            </w:pPr>
            <w:r w:rsidRPr="00161F98">
              <w:rPr>
                <w:rFonts w:asciiTheme="majorHAnsi" w:hAnsiTheme="majorHAnsi" w:cs="Helvetica"/>
                <w:sz w:val="20"/>
                <w:szCs w:val="20"/>
              </w:rPr>
              <w:t>$426</w:t>
            </w:r>
          </w:p>
        </w:tc>
        <w:tc>
          <w:tcPr>
            <w:tcW w:w="1077" w:type="dxa"/>
            <w:shd w:val="clear" w:color="auto" w:fill="auto"/>
            <w:vAlign w:val="center"/>
            <w:hideMark/>
          </w:tcPr>
          <w:p w14:paraId="34727CFE" w14:textId="77777777" w:rsidR="008C52E3" w:rsidRPr="00161F98" w:rsidRDefault="008C52E3" w:rsidP="00D73FA1">
            <w:pPr>
              <w:spacing w:after="0" w:line="240" w:lineRule="auto"/>
              <w:jc w:val="center"/>
              <w:rPr>
                <w:rFonts w:asciiTheme="majorHAnsi" w:eastAsia="Times New Roman" w:hAnsiTheme="majorHAnsi" w:cs="Helvetica"/>
                <w:color w:val="000000"/>
                <w:sz w:val="20"/>
                <w:szCs w:val="20"/>
                <w:lang w:eastAsia="ko-KR"/>
              </w:rPr>
            </w:pPr>
            <w:r w:rsidRPr="00161F98">
              <w:rPr>
                <w:rFonts w:asciiTheme="majorHAnsi" w:hAnsiTheme="majorHAnsi" w:cs="Helvetica"/>
                <w:sz w:val="20"/>
                <w:szCs w:val="20"/>
              </w:rPr>
              <w:t>$18</w:t>
            </w:r>
          </w:p>
        </w:tc>
        <w:tc>
          <w:tcPr>
            <w:tcW w:w="1080" w:type="dxa"/>
            <w:shd w:val="clear" w:color="auto" w:fill="auto"/>
            <w:vAlign w:val="center"/>
            <w:hideMark/>
          </w:tcPr>
          <w:p w14:paraId="2731DD77" w14:textId="77777777" w:rsidR="008C52E3" w:rsidRPr="00161F98" w:rsidRDefault="008C52E3" w:rsidP="00D73FA1">
            <w:pPr>
              <w:spacing w:after="0" w:line="240" w:lineRule="auto"/>
              <w:jc w:val="center"/>
              <w:rPr>
                <w:rFonts w:asciiTheme="majorHAnsi" w:eastAsia="Times New Roman" w:hAnsiTheme="majorHAnsi" w:cs="Helvetica"/>
                <w:color w:val="000000"/>
                <w:sz w:val="20"/>
                <w:szCs w:val="20"/>
                <w:lang w:eastAsia="ko-KR"/>
              </w:rPr>
            </w:pPr>
            <w:r w:rsidRPr="00161F98">
              <w:rPr>
                <w:rFonts w:asciiTheme="majorHAnsi" w:hAnsiTheme="majorHAnsi" w:cs="Helvetica"/>
                <w:color w:val="000000"/>
                <w:sz w:val="20"/>
                <w:szCs w:val="20"/>
              </w:rPr>
              <w:t>18</w:t>
            </w:r>
          </w:p>
        </w:tc>
        <w:tc>
          <w:tcPr>
            <w:tcW w:w="1170" w:type="dxa"/>
            <w:shd w:val="clear" w:color="auto" w:fill="auto"/>
            <w:vAlign w:val="center"/>
            <w:hideMark/>
          </w:tcPr>
          <w:p w14:paraId="3F09D2C1" w14:textId="77777777" w:rsidR="008C52E3" w:rsidRPr="00161F98" w:rsidRDefault="008C52E3" w:rsidP="00D73FA1">
            <w:pPr>
              <w:spacing w:after="0" w:line="240" w:lineRule="auto"/>
              <w:jc w:val="center"/>
              <w:rPr>
                <w:rFonts w:asciiTheme="majorHAnsi" w:eastAsia="Times New Roman" w:hAnsiTheme="majorHAnsi" w:cs="Helvetica"/>
                <w:i/>
                <w:iCs/>
                <w:color w:val="000000"/>
                <w:sz w:val="20"/>
                <w:szCs w:val="20"/>
                <w:lang w:eastAsia="ko-KR"/>
              </w:rPr>
            </w:pPr>
            <w:r w:rsidRPr="00161F98">
              <w:rPr>
                <w:rFonts w:asciiTheme="majorHAnsi" w:hAnsiTheme="majorHAnsi" w:cs="Helvetica"/>
                <w:i/>
                <w:iCs/>
                <w:color w:val="000000"/>
                <w:sz w:val="20"/>
                <w:szCs w:val="20"/>
              </w:rPr>
              <w:t>15.4%</w:t>
            </w:r>
          </w:p>
        </w:tc>
        <w:tc>
          <w:tcPr>
            <w:tcW w:w="1350" w:type="dxa"/>
            <w:shd w:val="clear" w:color="auto" w:fill="auto"/>
            <w:vAlign w:val="center"/>
            <w:hideMark/>
          </w:tcPr>
          <w:p w14:paraId="76E71C9D" w14:textId="77777777" w:rsidR="008C52E3" w:rsidRPr="00161F98" w:rsidRDefault="00F65690" w:rsidP="00D73FA1">
            <w:pPr>
              <w:spacing w:after="0" w:line="240" w:lineRule="auto"/>
              <w:jc w:val="center"/>
              <w:rPr>
                <w:rFonts w:asciiTheme="majorHAnsi" w:eastAsia="Times New Roman" w:hAnsiTheme="majorHAnsi" w:cs="Helvetica"/>
                <w:color w:val="000000"/>
                <w:sz w:val="20"/>
                <w:szCs w:val="20"/>
                <w:lang w:eastAsia="ko-KR"/>
              </w:rPr>
            </w:pPr>
            <w:r>
              <w:rPr>
                <w:rFonts w:asciiTheme="majorHAnsi" w:hAnsiTheme="majorHAnsi" w:cs="Helvetica"/>
                <w:color w:val="000000"/>
                <w:sz w:val="20"/>
                <w:szCs w:val="20"/>
              </w:rPr>
              <w:t>$</w:t>
            </w:r>
            <w:r w:rsidR="008C52E3" w:rsidRPr="00161F98">
              <w:rPr>
                <w:rFonts w:asciiTheme="majorHAnsi" w:hAnsiTheme="majorHAnsi" w:cs="Helvetica"/>
                <w:color w:val="000000"/>
                <w:sz w:val="20"/>
                <w:szCs w:val="20"/>
              </w:rPr>
              <w:t>24,686</w:t>
            </w:r>
          </w:p>
        </w:tc>
      </w:tr>
      <w:tr w:rsidR="008C52E3" w:rsidRPr="00161F98" w14:paraId="66B07F73" w14:textId="77777777" w:rsidTr="00F65690">
        <w:trPr>
          <w:trHeight w:val="280"/>
          <w:jc w:val="center"/>
        </w:trPr>
        <w:tc>
          <w:tcPr>
            <w:tcW w:w="2419" w:type="dxa"/>
            <w:shd w:val="clear" w:color="auto" w:fill="auto"/>
            <w:vAlign w:val="center"/>
            <w:hideMark/>
          </w:tcPr>
          <w:p w14:paraId="3F8F1F0D" w14:textId="77777777" w:rsidR="008C52E3" w:rsidRPr="00161F98" w:rsidRDefault="008C52E3" w:rsidP="00D73FA1">
            <w:pPr>
              <w:spacing w:after="0" w:line="240" w:lineRule="auto"/>
              <w:rPr>
                <w:rFonts w:asciiTheme="majorHAnsi" w:eastAsia="Times New Roman" w:hAnsiTheme="majorHAnsi" w:cs="Helvetica"/>
                <w:color w:val="000000"/>
                <w:sz w:val="20"/>
                <w:szCs w:val="20"/>
                <w:lang w:eastAsia="ko-KR"/>
              </w:rPr>
            </w:pPr>
            <w:r w:rsidRPr="00161F98">
              <w:rPr>
                <w:rFonts w:asciiTheme="majorHAnsi" w:eastAsia="Times New Roman" w:hAnsiTheme="majorHAnsi" w:cs="Helvetica"/>
                <w:color w:val="000000"/>
                <w:sz w:val="20"/>
                <w:szCs w:val="20"/>
                <w:lang w:eastAsia="ko-KR"/>
              </w:rPr>
              <w:t xml:space="preserve"> 50 to 99 </w:t>
            </w:r>
          </w:p>
        </w:tc>
        <w:tc>
          <w:tcPr>
            <w:tcW w:w="1348" w:type="dxa"/>
            <w:shd w:val="clear" w:color="auto" w:fill="auto"/>
            <w:vAlign w:val="center"/>
            <w:hideMark/>
          </w:tcPr>
          <w:p w14:paraId="70A6FD80" w14:textId="77777777" w:rsidR="008C52E3" w:rsidRPr="00161F98" w:rsidRDefault="008C52E3" w:rsidP="00D73FA1">
            <w:pPr>
              <w:spacing w:after="0" w:line="240" w:lineRule="auto"/>
              <w:jc w:val="center"/>
              <w:rPr>
                <w:rFonts w:asciiTheme="majorHAnsi" w:eastAsia="Times New Roman" w:hAnsiTheme="majorHAnsi" w:cs="Helvetica"/>
                <w:color w:val="000000"/>
                <w:sz w:val="20"/>
                <w:szCs w:val="20"/>
                <w:lang w:eastAsia="ko-KR"/>
              </w:rPr>
            </w:pPr>
            <w:r w:rsidRPr="00161F98">
              <w:rPr>
                <w:rFonts w:asciiTheme="majorHAnsi" w:hAnsiTheme="majorHAnsi" w:cs="Helvetica"/>
                <w:sz w:val="20"/>
                <w:szCs w:val="20"/>
              </w:rPr>
              <w:t>$363</w:t>
            </w:r>
          </w:p>
        </w:tc>
        <w:tc>
          <w:tcPr>
            <w:tcW w:w="911" w:type="dxa"/>
            <w:shd w:val="clear" w:color="auto" w:fill="auto"/>
            <w:vAlign w:val="center"/>
            <w:hideMark/>
          </w:tcPr>
          <w:p w14:paraId="51581827" w14:textId="77777777" w:rsidR="008C52E3" w:rsidRPr="00161F98" w:rsidRDefault="008C52E3" w:rsidP="00D73FA1">
            <w:pPr>
              <w:spacing w:after="0" w:line="240" w:lineRule="auto"/>
              <w:jc w:val="center"/>
              <w:rPr>
                <w:rFonts w:asciiTheme="majorHAnsi" w:eastAsia="Times New Roman" w:hAnsiTheme="majorHAnsi" w:cs="Helvetica"/>
                <w:color w:val="000000"/>
                <w:sz w:val="20"/>
                <w:szCs w:val="20"/>
                <w:lang w:eastAsia="ko-KR"/>
              </w:rPr>
            </w:pPr>
            <w:r w:rsidRPr="00161F98">
              <w:rPr>
                <w:rFonts w:asciiTheme="majorHAnsi" w:hAnsiTheme="majorHAnsi" w:cs="Helvetica"/>
                <w:sz w:val="20"/>
                <w:szCs w:val="20"/>
              </w:rPr>
              <w:t>$265</w:t>
            </w:r>
          </w:p>
        </w:tc>
        <w:tc>
          <w:tcPr>
            <w:tcW w:w="1077" w:type="dxa"/>
            <w:shd w:val="clear" w:color="auto" w:fill="auto"/>
            <w:vAlign w:val="center"/>
            <w:hideMark/>
          </w:tcPr>
          <w:p w14:paraId="3BA3655D" w14:textId="77777777" w:rsidR="008C52E3" w:rsidRPr="00161F98" w:rsidRDefault="008C52E3" w:rsidP="00D73FA1">
            <w:pPr>
              <w:spacing w:after="0" w:line="240" w:lineRule="auto"/>
              <w:jc w:val="center"/>
              <w:rPr>
                <w:rFonts w:asciiTheme="majorHAnsi" w:eastAsia="Times New Roman" w:hAnsiTheme="majorHAnsi" w:cs="Helvetica"/>
                <w:color w:val="000000"/>
                <w:sz w:val="20"/>
                <w:szCs w:val="20"/>
                <w:lang w:eastAsia="ko-KR"/>
              </w:rPr>
            </w:pPr>
            <w:r w:rsidRPr="00161F98">
              <w:rPr>
                <w:rFonts w:asciiTheme="majorHAnsi" w:hAnsiTheme="majorHAnsi" w:cs="Helvetica"/>
                <w:sz w:val="20"/>
                <w:szCs w:val="20"/>
              </w:rPr>
              <w:t>$</w:t>
            </w:r>
          </w:p>
        </w:tc>
        <w:tc>
          <w:tcPr>
            <w:tcW w:w="1080" w:type="dxa"/>
            <w:shd w:val="clear" w:color="auto" w:fill="auto"/>
            <w:vAlign w:val="center"/>
            <w:hideMark/>
          </w:tcPr>
          <w:p w14:paraId="0674686C" w14:textId="77777777" w:rsidR="008C52E3" w:rsidRPr="00161F98" w:rsidRDefault="008C52E3" w:rsidP="00D73FA1">
            <w:pPr>
              <w:spacing w:after="0" w:line="240" w:lineRule="auto"/>
              <w:jc w:val="center"/>
              <w:rPr>
                <w:rFonts w:asciiTheme="majorHAnsi" w:eastAsia="Times New Roman" w:hAnsiTheme="majorHAnsi" w:cs="Helvetica"/>
                <w:color w:val="000000"/>
                <w:sz w:val="20"/>
                <w:szCs w:val="20"/>
                <w:lang w:eastAsia="ko-KR"/>
              </w:rPr>
            </w:pPr>
            <w:r w:rsidRPr="00161F98">
              <w:rPr>
                <w:rFonts w:asciiTheme="majorHAnsi" w:hAnsiTheme="majorHAnsi" w:cs="Helvetica"/>
                <w:color w:val="000000"/>
                <w:sz w:val="20"/>
                <w:szCs w:val="20"/>
              </w:rPr>
              <w:t>25</w:t>
            </w:r>
          </w:p>
        </w:tc>
        <w:tc>
          <w:tcPr>
            <w:tcW w:w="1170" w:type="dxa"/>
            <w:shd w:val="clear" w:color="auto" w:fill="auto"/>
            <w:vAlign w:val="center"/>
            <w:hideMark/>
          </w:tcPr>
          <w:p w14:paraId="3AD69D39" w14:textId="77777777" w:rsidR="008C52E3" w:rsidRPr="00161F98" w:rsidRDefault="008C52E3" w:rsidP="00D73FA1">
            <w:pPr>
              <w:spacing w:after="0" w:line="240" w:lineRule="auto"/>
              <w:jc w:val="center"/>
              <w:rPr>
                <w:rFonts w:asciiTheme="majorHAnsi" w:eastAsia="Times New Roman" w:hAnsiTheme="majorHAnsi" w:cs="Helvetica"/>
                <w:i/>
                <w:iCs/>
                <w:color w:val="000000"/>
                <w:sz w:val="20"/>
                <w:szCs w:val="20"/>
                <w:lang w:eastAsia="ko-KR"/>
              </w:rPr>
            </w:pPr>
            <w:r w:rsidRPr="00161F98">
              <w:rPr>
                <w:rFonts w:asciiTheme="majorHAnsi" w:hAnsiTheme="majorHAnsi" w:cs="Helvetica"/>
                <w:i/>
                <w:iCs/>
                <w:color w:val="000000"/>
                <w:sz w:val="20"/>
                <w:szCs w:val="20"/>
              </w:rPr>
              <w:t>21.4%</w:t>
            </w:r>
          </w:p>
        </w:tc>
        <w:tc>
          <w:tcPr>
            <w:tcW w:w="1350" w:type="dxa"/>
            <w:shd w:val="clear" w:color="auto" w:fill="auto"/>
            <w:vAlign w:val="center"/>
            <w:hideMark/>
          </w:tcPr>
          <w:p w14:paraId="565A7111" w14:textId="77777777" w:rsidR="008C52E3" w:rsidRPr="00161F98" w:rsidRDefault="00F65690" w:rsidP="00D73FA1">
            <w:pPr>
              <w:spacing w:after="0" w:line="240" w:lineRule="auto"/>
              <w:jc w:val="center"/>
              <w:rPr>
                <w:rFonts w:asciiTheme="majorHAnsi" w:eastAsia="Times New Roman" w:hAnsiTheme="majorHAnsi" w:cs="Helvetica"/>
                <w:color w:val="000000"/>
                <w:sz w:val="20"/>
                <w:szCs w:val="20"/>
                <w:lang w:eastAsia="ko-KR"/>
              </w:rPr>
            </w:pPr>
            <w:r>
              <w:rPr>
                <w:rFonts w:asciiTheme="majorHAnsi" w:hAnsiTheme="majorHAnsi" w:cs="Helvetica"/>
                <w:color w:val="000000"/>
                <w:sz w:val="20"/>
                <w:szCs w:val="20"/>
              </w:rPr>
              <w:t>$</w:t>
            </w:r>
            <w:r w:rsidR="008C52E3" w:rsidRPr="00161F98">
              <w:rPr>
                <w:rFonts w:asciiTheme="majorHAnsi" w:hAnsiTheme="majorHAnsi" w:cs="Helvetica"/>
                <w:color w:val="000000"/>
                <w:sz w:val="20"/>
                <w:szCs w:val="20"/>
              </w:rPr>
              <w:t>10,589</w:t>
            </w:r>
          </w:p>
        </w:tc>
      </w:tr>
      <w:tr w:rsidR="008C52E3" w:rsidRPr="00161F98" w14:paraId="28AF7C62" w14:textId="77777777" w:rsidTr="00F65690">
        <w:trPr>
          <w:trHeight w:val="280"/>
          <w:jc w:val="center"/>
        </w:trPr>
        <w:tc>
          <w:tcPr>
            <w:tcW w:w="2419" w:type="dxa"/>
            <w:shd w:val="clear" w:color="auto" w:fill="auto"/>
            <w:vAlign w:val="center"/>
            <w:hideMark/>
          </w:tcPr>
          <w:p w14:paraId="1C165CA9" w14:textId="77777777" w:rsidR="008C52E3" w:rsidRPr="00161F98" w:rsidRDefault="008C52E3" w:rsidP="00D73FA1">
            <w:pPr>
              <w:spacing w:after="0" w:line="240" w:lineRule="auto"/>
              <w:rPr>
                <w:rFonts w:asciiTheme="majorHAnsi" w:eastAsia="Times New Roman" w:hAnsiTheme="majorHAnsi" w:cs="Helvetica"/>
                <w:color w:val="000000"/>
                <w:sz w:val="20"/>
                <w:szCs w:val="20"/>
                <w:lang w:eastAsia="ko-KR"/>
              </w:rPr>
            </w:pPr>
            <w:r w:rsidRPr="00161F98">
              <w:rPr>
                <w:rFonts w:asciiTheme="majorHAnsi" w:eastAsia="Times New Roman" w:hAnsiTheme="majorHAnsi" w:cs="Helvetica"/>
                <w:color w:val="000000"/>
                <w:sz w:val="20"/>
                <w:szCs w:val="20"/>
                <w:lang w:eastAsia="ko-KR"/>
              </w:rPr>
              <w:t xml:space="preserve"> 100 to 199 </w:t>
            </w:r>
          </w:p>
        </w:tc>
        <w:tc>
          <w:tcPr>
            <w:tcW w:w="1348" w:type="dxa"/>
            <w:shd w:val="clear" w:color="auto" w:fill="auto"/>
            <w:vAlign w:val="center"/>
            <w:hideMark/>
          </w:tcPr>
          <w:p w14:paraId="20ED78DE" w14:textId="77777777" w:rsidR="008C52E3" w:rsidRPr="00161F98" w:rsidRDefault="008C52E3" w:rsidP="00D73FA1">
            <w:pPr>
              <w:spacing w:after="0" w:line="240" w:lineRule="auto"/>
              <w:jc w:val="center"/>
              <w:rPr>
                <w:rFonts w:asciiTheme="majorHAnsi" w:eastAsia="Times New Roman" w:hAnsiTheme="majorHAnsi" w:cs="Helvetica"/>
                <w:color w:val="000000"/>
                <w:sz w:val="20"/>
                <w:szCs w:val="20"/>
                <w:lang w:eastAsia="ko-KR"/>
              </w:rPr>
            </w:pPr>
            <w:r w:rsidRPr="00161F98">
              <w:rPr>
                <w:rFonts w:asciiTheme="majorHAnsi" w:hAnsiTheme="majorHAnsi" w:cs="Helvetica"/>
                <w:sz w:val="20"/>
                <w:szCs w:val="20"/>
              </w:rPr>
              <w:t>$1,740</w:t>
            </w:r>
          </w:p>
        </w:tc>
        <w:tc>
          <w:tcPr>
            <w:tcW w:w="911" w:type="dxa"/>
            <w:shd w:val="clear" w:color="auto" w:fill="auto"/>
            <w:vAlign w:val="center"/>
            <w:hideMark/>
          </w:tcPr>
          <w:p w14:paraId="51429C56" w14:textId="77777777" w:rsidR="008C52E3" w:rsidRPr="00161F98" w:rsidRDefault="008C52E3" w:rsidP="00D73FA1">
            <w:pPr>
              <w:spacing w:after="0" w:line="240" w:lineRule="auto"/>
              <w:jc w:val="center"/>
              <w:rPr>
                <w:rFonts w:asciiTheme="majorHAnsi" w:eastAsia="Times New Roman" w:hAnsiTheme="majorHAnsi" w:cs="Helvetica"/>
                <w:color w:val="000000"/>
                <w:sz w:val="20"/>
                <w:szCs w:val="20"/>
                <w:lang w:eastAsia="ko-KR"/>
              </w:rPr>
            </w:pPr>
            <w:r w:rsidRPr="00161F98">
              <w:rPr>
                <w:rFonts w:asciiTheme="majorHAnsi" w:hAnsiTheme="majorHAnsi" w:cs="Helvetica"/>
                <w:sz w:val="20"/>
                <w:szCs w:val="20"/>
              </w:rPr>
              <w:t>$2,896</w:t>
            </w:r>
          </w:p>
        </w:tc>
        <w:tc>
          <w:tcPr>
            <w:tcW w:w="1077" w:type="dxa"/>
            <w:shd w:val="clear" w:color="auto" w:fill="auto"/>
            <w:vAlign w:val="center"/>
            <w:hideMark/>
          </w:tcPr>
          <w:p w14:paraId="03747839" w14:textId="77777777" w:rsidR="008C52E3" w:rsidRPr="00161F98" w:rsidRDefault="008C52E3" w:rsidP="00D73FA1">
            <w:pPr>
              <w:spacing w:after="0" w:line="240" w:lineRule="auto"/>
              <w:jc w:val="center"/>
              <w:rPr>
                <w:rFonts w:asciiTheme="majorHAnsi" w:eastAsia="Times New Roman" w:hAnsiTheme="majorHAnsi" w:cs="Helvetica"/>
                <w:color w:val="000000"/>
                <w:sz w:val="20"/>
                <w:szCs w:val="20"/>
                <w:lang w:eastAsia="ko-KR"/>
              </w:rPr>
            </w:pPr>
            <w:r w:rsidRPr="00161F98">
              <w:rPr>
                <w:rFonts w:asciiTheme="majorHAnsi" w:hAnsiTheme="majorHAnsi" w:cs="Helvetica"/>
                <w:sz w:val="20"/>
                <w:szCs w:val="20"/>
              </w:rPr>
              <w:t>$370</w:t>
            </w:r>
          </w:p>
        </w:tc>
        <w:tc>
          <w:tcPr>
            <w:tcW w:w="1080" w:type="dxa"/>
            <w:shd w:val="clear" w:color="auto" w:fill="auto"/>
            <w:vAlign w:val="center"/>
            <w:hideMark/>
          </w:tcPr>
          <w:p w14:paraId="2634C22E" w14:textId="77777777" w:rsidR="008C52E3" w:rsidRPr="00161F98" w:rsidRDefault="008C52E3" w:rsidP="00D73FA1">
            <w:pPr>
              <w:spacing w:after="0" w:line="240" w:lineRule="auto"/>
              <w:jc w:val="center"/>
              <w:rPr>
                <w:rFonts w:asciiTheme="majorHAnsi" w:eastAsia="Times New Roman" w:hAnsiTheme="majorHAnsi" w:cs="Helvetica"/>
                <w:color w:val="000000"/>
                <w:sz w:val="20"/>
                <w:szCs w:val="20"/>
                <w:lang w:eastAsia="ko-KR"/>
              </w:rPr>
            </w:pPr>
            <w:r w:rsidRPr="00161F98">
              <w:rPr>
                <w:rFonts w:asciiTheme="majorHAnsi" w:hAnsiTheme="majorHAnsi" w:cs="Helvetica"/>
                <w:color w:val="000000"/>
                <w:sz w:val="20"/>
                <w:szCs w:val="20"/>
              </w:rPr>
              <w:t>18</w:t>
            </w:r>
          </w:p>
        </w:tc>
        <w:tc>
          <w:tcPr>
            <w:tcW w:w="1170" w:type="dxa"/>
            <w:shd w:val="clear" w:color="auto" w:fill="auto"/>
            <w:vAlign w:val="center"/>
            <w:hideMark/>
          </w:tcPr>
          <w:p w14:paraId="510A1D46" w14:textId="77777777" w:rsidR="008C52E3" w:rsidRPr="00161F98" w:rsidRDefault="008C52E3" w:rsidP="00D73FA1">
            <w:pPr>
              <w:spacing w:after="0" w:line="240" w:lineRule="auto"/>
              <w:jc w:val="center"/>
              <w:rPr>
                <w:rFonts w:asciiTheme="majorHAnsi" w:eastAsia="Times New Roman" w:hAnsiTheme="majorHAnsi" w:cs="Helvetica"/>
                <w:i/>
                <w:iCs/>
                <w:color w:val="000000"/>
                <w:sz w:val="20"/>
                <w:szCs w:val="20"/>
                <w:lang w:eastAsia="ko-KR"/>
              </w:rPr>
            </w:pPr>
            <w:r w:rsidRPr="00161F98">
              <w:rPr>
                <w:rFonts w:asciiTheme="majorHAnsi" w:hAnsiTheme="majorHAnsi" w:cs="Helvetica"/>
                <w:i/>
                <w:iCs/>
                <w:color w:val="000000"/>
                <w:sz w:val="20"/>
                <w:szCs w:val="20"/>
              </w:rPr>
              <w:t>15.4%</w:t>
            </w:r>
          </w:p>
        </w:tc>
        <w:tc>
          <w:tcPr>
            <w:tcW w:w="1350" w:type="dxa"/>
            <w:shd w:val="clear" w:color="auto" w:fill="auto"/>
            <w:vAlign w:val="center"/>
            <w:hideMark/>
          </w:tcPr>
          <w:p w14:paraId="0C11F9F9" w14:textId="77777777" w:rsidR="008C52E3" w:rsidRPr="00161F98" w:rsidRDefault="00F65690" w:rsidP="00D73FA1">
            <w:pPr>
              <w:spacing w:after="0" w:line="240" w:lineRule="auto"/>
              <w:jc w:val="center"/>
              <w:rPr>
                <w:rFonts w:asciiTheme="majorHAnsi" w:eastAsia="Times New Roman" w:hAnsiTheme="majorHAnsi" w:cs="Helvetica"/>
                <w:color w:val="000000"/>
                <w:sz w:val="20"/>
                <w:szCs w:val="20"/>
                <w:lang w:eastAsia="ko-KR"/>
              </w:rPr>
            </w:pPr>
            <w:r>
              <w:rPr>
                <w:rFonts w:asciiTheme="majorHAnsi" w:hAnsiTheme="majorHAnsi" w:cs="Helvetica"/>
                <w:color w:val="000000"/>
                <w:sz w:val="20"/>
                <w:szCs w:val="20"/>
              </w:rPr>
              <w:t>$</w:t>
            </w:r>
            <w:r w:rsidR="008C52E3" w:rsidRPr="00161F98">
              <w:rPr>
                <w:rFonts w:asciiTheme="majorHAnsi" w:hAnsiTheme="majorHAnsi" w:cs="Helvetica"/>
                <w:color w:val="000000"/>
                <w:sz w:val="20"/>
                <w:szCs w:val="20"/>
              </w:rPr>
              <w:t>181,439</w:t>
            </w:r>
          </w:p>
        </w:tc>
      </w:tr>
      <w:tr w:rsidR="008C52E3" w:rsidRPr="00161F98" w14:paraId="379E0857" w14:textId="77777777" w:rsidTr="00F65690">
        <w:trPr>
          <w:trHeight w:val="280"/>
          <w:jc w:val="center"/>
        </w:trPr>
        <w:tc>
          <w:tcPr>
            <w:tcW w:w="2419" w:type="dxa"/>
            <w:shd w:val="clear" w:color="auto" w:fill="auto"/>
            <w:vAlign w:val="center"/>
            <w:hideMark/>
          </w:tcPr>
          <w:p w14:paraId="6F43748B" w14:textId="77777777" w:rsidR="008C52E3" w:rsidRPr="00161F98" w:rsidRDefault="008C52E3" w:rsidP="00D73FA1">
            <w:pPr>
              <w:spacing w:after="0" w:line="240" w:lineRule="auto"/>
              <w:rPr>
                <w:rFonts w:asciiTheme="majorHAnsi" w:eastAsia="Times New Roman" w:hAnsiTheme="majorHAnsi" w:cs="Helvetica"/>
                <w:color w:val="000000"/>
                <w:sz w:val="20"/>
                <w:szCs w:val="20"/>
                <w:lang w:eastAsia="ko-KR"/>
              </w:rPr>
            </w:pPr>
            <w:r w:rsidRPr="00161F98">
              <w:rPr>
                <w:rFonts w:asciiTheme="majorHAnsi" w:eastAsia="Times New Roman" w:hAnsiTheme="majorHAnsi" w:cs="Helvetica"/>
                <w:color w:val="000000"/>
                <w:sz w:val="20"/>
                <w:szCs w:val="20"/>
                <w:lang w:eastAsia="ko-KR"/>
              </w:rPr>
              <w:t xml:space="preserve"> 200 to 499 </w:t>
            </w:r>
          </w:p>
        </w:tc>
        <w:tc>
          <w:tcPr>
            <w:tcW w:w="1348" w:type="dxa"/>
            <w:shd w:val="clear" w:color="auto" w:fill="auto"/>
            <w:vAlign w:val="center"/>
            <w:hideMark/>
          </w:tcPr>
          <w:p w14:paraId="09DAFA80" w14:textId="77777777" w:rsidR="008C52E3" w:rsidRPr="00161F98" w:rsidRDefault="008C52E3" w:rsidP="00D73FA1">
            <w:pPr>
              <w:spacing w:after="0" w:line="240" w:lineRule="auto"/>
              <w:jc w:val="center"/>
              <w:rPr>
                <w:rFonts w:asciiTheme="majorHAnsi" w:eastAsia="Times New Roman" w:hAnsiTheme="majorHAnsi" w:cs="Helvetica"/>
                <w:color w:val="000000"/>
                <w:sz w:val="20"/>
                <w:szCs w:val="20"/>
                <w:lang w:eastAsia="ko-KR"/>
              </w:rPr>
            </w:pPr>
            <w:r w:rsidRPr="00161F98">
              <w:rPr>
                <w:rFonts w:asciiTheme="majorHAnsi" w:hAnsiTheme="majorHAnsi" w:cs="Helvetica"/>
                <w:sz w:val="20"/>
                <w:szCs w:val="20"/>
              </w:rPr>
              <w:t>$682</w:t>
            </w:r>
          </w:p>
        </w:tc>
        <w:tc>
          <w:tcPr>
            <w:tcW w:w="911" w:type="dxa"/>
            <w:shd w:val="clear" w:color="auto" w:fill="auto"/>
            <w:vAlign w:val="center"/>
            <w:hideMark/>
          </w:tcPr>
          <w:p w14:paraId="30C8B9AC" w14:textId="77777777" w:rsidR="008C52E3" w:rsidRPr="00161F98" w:rsidRDefault="008C52E3" w:rsidP="00D73FA1">
            <w:pPr>
              <w:spacing w:after="0" w:line="240" w:lineRule="auto"/>
              <w:jc w:val="center"/>
              <w:rPr>
                <w:rFonts w:asciiTheme="majorHAnsi" w:eastAsia="Times New Roman" w:hAnsiTheme="majorHAnsi" w:cs="Helvetica"/>
                <w:color w:val="000000"/>
                <w:sz w:val="20"/>
                <w:szCs w:val="20"/>
                <w:lang w:eastAsia="ko-KR"/>
              </w:rPr>
            </w:pPr>
            <w:r w:rsidRPr="00161F98">
              <w:rPr>
                <w:rFonts w:asciiTheme="majorHAnsi" w:hAnsiTheme="majorHAnsi" w:cs="Helvetica"/>
                <w:sz w:val="20"/>
                <w:szCs w:val="20"/>
              </w:rPr>
              <w:t>$1,278</w:t>
            </w:r>
          </w:p>
        </w:tc>
        <w:tc>
          <w:tcPr>
            <w:tcW w:w="1077" w:type="dxa"/>
            <w:shd w:val="clear" w:color="auto" w:fill="auto"/>
            <w:vAlign w:val="center"/>
            <w:hideMark/>
          </w:tcPr>
          <w:p w14:paraId="1F87C5AA" w14:textId="77777777" w:rsidR="008C52E3" w:rsidRPr="00161F98" w:rsidRDefault="008C52E3" w:rsidP="00D73FA1">
            <w:pPr>
              <w:spacing w:after="0" w:line="240" w:lineRule="auto"/>
              <w:jc w:val="center"/>
              <w:rPr>
                <w:rFonts w:asciiTheme="majorHAnsi" w:eastAsia="Times New Roman" w:hAnsiTheme="majorHAnsi" w:cs="Helvetica"/>
                <w:color w:val="000000"/>
                <w:sz w:val="20"/>
                <w:szCs w:val="20"/>
                <w:lang w:eastAsia="ko-KR"/>
              </w:rPr>
            </w:pPr>
            <w:r w:rsidRPr="00161F98">
              <w:rPr>
                <w:rFonts w:asciiTheme="majorHAnsi" w:hAnsiTheme="majorHAnsi" w:cs="Helvetica"/>
                <w:sz w:val="20"/>
                <w:szCs w:val="20"/>
              </w:rPr>
              <w:t>$105</w:t>
            </w:r>
          </w:p>
        </w:tc>
        <w:tc>
          <w:tcPr>
            <w:tcW w:w="1080" w:type="dxa"/>
            <w:shd w:val="clear" w:color="auto" w:fill="auto"/>
            <w:vAlign w:val="center"/>
            <w:hideMark/>
          </w:tcPr>
          <w:p w14:paraId="36B6DDDB" w14:textId="77777777" w:rsidR="008C52E3" w:rsidRPr="00161F98" w:rsidRDefault="008C52E3" w:rsidP="00D73FA1">
            <w:pPr>
              <w:spacing w:after="0" w:line="240" w:lineRule="auto"/>
              <w:jc w:val="center"/>
              <w:rPr>
                <w:rFonts w:asciiTheme="majorHAnsi" w:eastAsia="Times New Roman" w:hAnsiTheme="majorHAnsi" w:cs="Helvetica"/>
                <w:color w:val="000000"/>
                <w:sz w:val="20"/>
                <w:szCs w:val="20"/>
                <w:lang w:eastAsia="ko-KR"/>
              </w:rPr>
            </w:pPr>
            <w:r w:rsidRPr="00161F98">
              <w:rPr>
                <w:rFonts w:asciiTheme="majorHAnsi" w:hAnsiTheme="majorHAnsi" w:cs="Helvetica"/>
                <w:color w:val="000000"/>
                <w:sz w:val="20"/>
                <w:szCs w:val="20"/>
              </w:rPr>
              <w:t>10</w:t>
            </w:r>
          </w:p>
        </w:tc>
        <w:tc>
          <w:tcPr>
            <w:tcW w:w="1170" w:type="dxa"/>
            <w:shd w:val="clear" w:color="auto" w:fill="auto"/>
            <w:vAlign w:val="center"/>
            <w:hideMark/>
          </w:tcPr>
          <w:p w14:paraId="2069DEE5" w14:textId="77777777" w:rsidR="008C52E3" w:rsidRPr="00161F98" w:rsidRDefault="008C52E3" w:rsidP="00D73FA1">
            <w:pPr>
              <w:spacing w:after="0" w:line="240" w:lineRule="auto"/>
              <w:jc w:val="center"/>
              <w:rPr>
                <w:rFonts w:asciiTheme="majorHAnsi" w:eastAsia="Times New Roman" w:hAnsiTheme="majorHAnsi" w:cs="Helvetica"/>
                <w:i/>
                <w:iCs/>
                <w:color w:val="000000"/>
                <w:sz w:val="20"/>
                <w:szCs w:val="20"/>
                <w:lang w:eastAsia="ko-KR"/>
              </w:rPr>
            </w:pPr>
            <w:r w:rsidRPr="00161F98">
              <w:rPr>
                <w:rFonts w:asciiTheme="majorHAnsi" w:hAnsiTheme="majorHAnsi" w:cs="Helvetica"/>
                <w:i/>
                <w:iCs/>
                <w:color w:val="000000"/>
                <w:sz w:val="20"/>
                <w:szCs w:val="20"/>
              </w:rPr>
              <w:t>8.6%</w:t>
            </w:r>
          </w:p>
        </w:tc>
        <w:tc>
          <w:tcPr>
            <w:tcW w:w="1350" w:type="dxa"/>
            <w:shd w:val="clear" w:color="auto" w:fill="auto"/>
            <w:vAlign w:val="center"/>
            <w:hideMark/>
          </w:tcPr>
          <w:p w14:paraId="1898C3D9" w14:textId="77777777" w:rsidR="008C52E3" w:rsidRPr="00161F98" w:rsidRDefault="00F65690" w:rsidP="00D73FA1">
            <w:pPr>
              <w:spacing w:after="0" w:line="240" w:lineRule="auto"/>
              <w:jc w:val="center"/>
              <w:rPr>
                <w:rFonts w:asciiTheme="majorHAnsi" w:eastAsia="Times New Roman" w:hAnsiTheme="majorHAnsi" w:cs="Helvetica"/>
                <w:color w:val="000000"/>
                <w:sz w:val="20"/>
                <w:szCs w:val="20"/>
                <w:lang w:eastAsia="ko-KR"/>
              </w:rPr>
            </w:pPr>
            <w:r>
              <w:rPr>
                <w:rFonts w:asciiTheme="majorHAnsi" w:hAnsiTheme="majorHAnsi" w:cs="Helvetica"/>
                <w:color w:val="000000"/>
                <w:sz w:val="20"/>
                <w:szCs w:val="20"/>
              </w:rPr>
              <w:t>$</w:t>
            </w:r>
            <w:r w:rsidR="008C52E3" w:rsidRPr="00161F98">
              <w:rPr>
                <w:rFonts w:asciiTheme="majorHAnsi" w:hAnsiTheme="majorHAnsi" w:cs="Helvetica"/>
                <w:color w:val="000000"/>
                <w:sz w:val="20"/>
                <w:szCs w:val="20"/>
              </w:rPr>
              <w:t>138,340</w:t>
            </w:r>
          </w:p>
        </w:tc>
      </w:tr>
      <w:tr w:rsidR="008C52E3" w:rsidRPr="00161F98" w14:paraId="4F1491E9" w14:textId="77777777" w:rsidTr="00F65690">
        <w:trPr>
          <w:trHeight w:val="280"/>
          <w:jc w:val="center"/>
        </w:trPr>
        <w:tc>
          <w:tcPr>
            <w:tcW w:w="2419" w:type="dxa"/>
            <w:shd w:val="clear" w:color="auto" w:fill="auto"/>
            <w:vAlign w:val="center"/>
            <w:hideMark/>
          </w:tcPr>
          <w:p w14:paraId="44B2C766" w14:textId="77777777" w:rsidR="008C52E3" w:rsidRPr="00161F98" w:rsidRDefault="008C52E3" w:rsidP="00D73FA1">
            <w:pPr>
              <w:spacing w:after="0" w:line="240" w:lineRule="auto"/>
              <w:rPr>
                <w:rFonts w:asciiTheme="majorHAnsi" w:eastAsia="Times New Roman" w:hAnsiTheme="majorHAnsi" w:cs="Helvetica"/>
                <w:color w:val="000000"/>
                <w:sz w:val="20"/>
                <w:szCs w:val="20"/>
                <w:lang w:eastAsia="ko-KR"/>
              </w:rPr>
            </w:pPr>
            <w:r w:rsidRPr="00161F98">
              <w:rPr>
                <w:rFonts w:asciiTheme="majorHAnsi" w:eastAsia="Times New Roman" w:hAnsiTheme="majorHAnsi" w:cs="Helvetica"/>
                <w:color w:val="000000"/>
                <w:sz w:val="20"/>
                <w:szCs w:val="20"/>
                <w:lang w:eastAsia="ko-KR"/>
              </w:rPr>
              <w:t xml:space="preserve"> 500 or more </w:t>
            </w:r>
          </w:p>
        </w:tc>
        <w:tc>
          <w:tcPr>
            <w:tcW w:w="1348" w:type="dxa"/>
            <w:shd w:val="clear" w:color="auto" w:fill="auto"/>
            <w:vAlign w:val="center"/>
            <w:hideMark/>
          </w:tcPr>
          <w:p w14:paraId="19986D12" w14:textId="77777777" w:rsidR="008C52E3" w:rsidRPr="00161F98" w:rsidRDefault="008C52E3" w:rsidP="00D73FA1">
            <w:pPr>
              <w:spacing w:after="0" w:line="240" w:lineRule="auto"/>
              <w:jc w:val="center"/>
              <w:rPr>
                <w:rFonts w:asciiTheme="majorHAnsi" w:eastAsia="Times New Roman" w:hAnsiTheme="majorHAnsi" w:cs="Helvetica"/>
                <w:color w:val="000000"/>
                <w:sz w:val="20"/>
                <w:szCs w:val="20"/>
                <w:lang w:eastAsia="ko-KR"/>
              </w:rPr>
            </w:pPr>
            <w:r w:rsidRPr="00161F98">
              <w:rPr>
                <w:rFonts w:asciiTheme="majorHAnsi" w:hAnsiTheme="majorHAnsi" w:cs="Helvetica"/>
                <w:sz w:val="20"/>
                <w:szCs w:val="20"/>
              </w:rPr>
              <w:t>$6,845</w:t>
            </w:r>
          </w:p>
        </w:tc>
        <w:tc>
          <w:tcPr>
            <w:tcW w:w="911" w:type="dxa"/>
            <w:shd w:val="clear" w:color="auto" w:fill="auto"/>
            <w:vAlign w:val="center"/>
            <w:hideMark/>
          </w:tcPr>
          <w:p w14:paraId="079D1D4A" w14:textId="77777777" w:rsidR="008C52E3" w:rsidRPr="00161F98" w:rsidRDefault="008C52E3" w:rsidP="00D73FA1">
            <w:pPr>
              <w:spacing w:after="0" w:line="240" w:lineRule="auto"/>
              <w:jc w:val="center"/>
              <w:rPr>
                <w:rFonts w:asciiTheme="majorHAnsi" w:eastAsia="Times New Roman" w:hAnsiTheme="majorHAnsi" w:cs="Helvetica"/>
                <w:color w:val="000000"/>
                <w:sz w:val="20"/>
                <w:szCs w:val="20"/>
                <w:lang w:eastAsia="ko-KR"/>
              </w:rPr>
            </w:pPr>
            <w:r w:rsidRPr="00161F98">
              <w:rPr>
                <w:rFonts w:asciiTheme="majorHAnsi" w:hAnsiTheme="majorHAnsi" w:cs="Helvetica"/>
                <w:sz w:val="20"/>
                <w:szCs w:val="20"/>
              </w:rPr>
              <w:t>$3,037</w:t>
            </w:r>
          </w:p>
        </w:tc>
        <w:tc>
          <w:tcPr>
            <w:tcW w:w="1077" w:type="dxa"/>
            <w:shd w:val="clear" w:color="auto" w:fill="auto"/>
            <w:vAlign w:val="center"/>
            <w:hideMark/>
          </w:tcPr>
          <w:p w14:paraId="317959E1" w14:textId="77777777" w:rsidR="008C52E3" w:rsidRPr="00161F98" w:rsidRDefault="008C52E3" w:rsidP="00D73FA1">
            <w:pPr>
              <w:spacing w:after="0" w:line="240" w:lineRule="auto"/>
              <w:jc w:val="center"/>
              <w:rPr>
                <w:rFonts w:asciiTheme="majorHAnsi" w:eastAsia="Times New Roman" w:hAnsiTheme="majorHAnsi" w:cs="Helvetica"/>
                <w:color w:val="000000"/>
                <w:sz w:val="20"/>
                <w:szCs w:val="20"/>
                <w:lang w:eastAsia="ko-KR"/>
              </w:rPr>
            </w:pPr>
            <w:r w:rsidRPr="00161F98">
              <w:rPr>
                <w:rFonts w:asciiTheme="majorHAnsi" w:hAnsiTheme="majorHAnsi" w:cs="Helvetica"/>
                <w:sz w:val="20"/>
                <w:szCs w:val="20"/>
              </w:rPr>
              <w:t>$2,043</w:t>
            </w:r>
          </w:p>
        </w:tc>
        <w:tc>
          <w:tcPr>
            <w:tcW w:w="1080" w:type="dxa"/>
            <w:shd w:val="clear" w:color="auto" w:fill="auto"/>
            <w:vAlign w:val="center"/>
            <w:hideMark/>
          </w:tcPr>
          <w:p w14:paraId="1779D6D8" w14:textId="77777777" w:rsidR="008C52E3" w:rsidRPr="00161F98" w:rsidRDefault="008C52E3" w:rsidP="00D73FA1">
            <w:pPr>
              <w:spacing w:after="0" w:line="240" w:lineRule="auto"/>
              <w:jc w:val="center"/>
              <w:rPr>
                <w:rFonts w:asciiTheme="majorHAnsi" w:eastAsia="Times New Roman" w:hAnsiTheme="majorHAnsi" w:cs="Helvetica"/>
                <w:color w:val="000000"/>
                <w:sz w:val="20"/>
                <w:szCs w:val="20"/>
                <w:lang w:eastAsia="ko-KR"/>
              </w:rPr>
            </w:pPr>
            <w:r w:rsidRPr="00161F98">
              <w:rPr>
                <w:rFonts w:asciiTheme="majorHAnsi" w:hAnsiTheme="majorHAnsi" w:cs="Helvetica"/>
                <w:color w:val="000000"/>
                <w:sz w:val="20"/>
                <w:szCs w:val="20"/>
              </w:rPr>
              <w:t>31</w:t>
            </w:r>
          </w:p>
        </w:tc>
        <w:tc>
          <w:tcPr>
            <w:tcW w:w="1170" w:type="dxa"/>
            <w:shd w:val="clear" w:color="auto" w:fill="auto"/>
            <w:vAlign w:val="center"/>
            <w:hideMark/>
          </w:tcPr>
          <w:p w14:paraId="3833E899" w14:textId="77777777" w:rsidR="008C52E3" w:rsidRPr="00161F98" w:rsidRDefault="008C52E3" w:rsidP="00D73FA1">
            <w:pPr>
              <w:spacing w:after="0" w:line="240" w:lineRule="auto"/>
              <w:jc w:val="center"/>
              <w:rPr>
                <w:rFonts w:asciiTheme="majorHAnsi" w:eastAsia="Times New Roman" w:hAnsiTheme="majorHAnsi" w:cs="Helvetica"/>
                <w:i/>
                <w:iCs/>
                <w:color w:val="000000"/>
                <w:sz w:val="20"/>
                <w:szCs w:val="20"/>
                <w:lang w:eastAsia="ko-KR"/>
              </w:rPr>
            </w:pPr>
            <w:r w:rsidRPr="00161F98">
              <w:rPr>
                <w:rFonts w:asciiTheme="majorHAnsi" w:hAnsiTheme="majorHAnsi" w:cs="Helvetica"/>
                <w:i/>
                <w:iCs/>
                <w:color w:val="000000"/>
                <w:sz w:val="20"/>
                <w:szCs w:val="20"/>
              </w:rPr>
              <w:t>26.5%</w:t>
            </w:r>
          </w:p>
        </w:tc>
        <w:tc>
          <w:tcPr>
            <w:tcW w:w="1350" w:type="dxa"/>
            <w:shd w:val="clear" w:color="auto" w:fill="auto"/>
            <w:vAlign w:val="center"/>
            <w:hideMark/>
          </w:tcPr>
          <w:p w14:paraId="3A6EFE0A" w14:textId="77777777" w:rsidR="008C52E3" w:rsidRPr="00161F98" w:rsidRDefault="00F65690" w:rsidP="00D73FA1">
            <w:pPr>
              <w:spacing w:after="0" w:line="240" w:lineRule="auto"/>
              <w:jc w:val="center"/>
              <w:rPr>
                <w:rFonts w:asciiTheme="majorHAnsi" w:eastAsia="Times New Roman" w:hAnsiTheme="majorHAnsi" w:cs="Helvetica"/>
                <w:color w:val="000000"/>
                <w:sz w:val="20"/>
                <w:szCs w:val="20"/>
                <w:lang w:eastAsia="ko-KR"/>
              </w:rPr>
            </w:pPr>
            <w:r>
              <w:rPr>
                <w:rFonts w:asciiTheme="majorHAnsi" w:hAnsiTheme="majorHAnsi" w:cs="Helvetica"/>
                <w:color w:val="000000"/>
                <w:sz w:val="20"/>
                <w:szCs w:val="20"/>
              </w:rPr>
              <w:t>$</w:t>
            </w:r>
            <w:r w:rsidR="008C52E3" w:rsidRPr="00161F98">
              <w:rPr>
                <w:rFonts w:asciiTheme="majorHAnsi" w:hAnsiTheme="majorHAnsi" w:cs="Helvetica"/>
                <w:color w:val="000000"/>
                <w:sz w:val="20"/>
                <w:szCs w:val="20"/>
              </w:rPr>
              <w:t>163,854</w:t>
            </w:r>
          </w:p>
        </w:tc>
      </w:tr>
      <w:tr w:rsidR="008C52E3" w:rsidRPr="00161F98" w14:paraId="6EF3AE1D" w14:textId="77777777" w:rsidTr="00F65690">
        <w:trPr>
          <w:trHeight w:val="280"/>
          <w:jc w:val="center"/>
        </w:trPr>
        <w:tc>
          <w:tcPr>
            <w:tcW w:w="2419" w:type="dxa"/>
            <w:shd w:val="clear" w:color="auto" w:fill="auto"/>
            <w:vAlign w:val="center"/>
            <w:hideMark/>
          </w:tcPr>
          <w:p w14:paraId="632E6E09" w14:textId="77777777" w:rsidR="008C52E3" w:rsidRPr="00161F98" w:rsidRDefault="008C52E3" w:rsidP="00D73FA1">
            <w:pPr>
              <w:spacing w:after="0" w:line="240" w:lineRule="auto"/>
              <w:rPr>
                <w:rFonts w:asciiTheme="majorHAnsi" w:eastAsia="Times New Roman" w:hAnsiTheme="majorHAnsi" w:cs="Helvetica"/>
                <w:color w:val="000000"/>
                <w:sz w:val="20"/>
                <w:szCs w:val="20"/>
                <w:lang w:eastAsia="ko-KR"/>
              </w:rPr>
            </w:pPr>
            <w:r w:rsidRPr="00161F98">
              <w:rPr>
                <w:rFonts w:asciiTheme="majorHAnsi" w:eastAsia="Times New Roman" w:hAnsiTheme="majorHAnsi" w:cs="Helvetica"/>
                <w:color w:val="000000"/>
                <w:sz w:val="20"/>
                <w:szCs w:val="20"/>
                <w:lang w:eastAsia="ko-KR"/>
              </w:rPr>
              <w:t xml:space="preserve"> Total or average </w:t>
            </w:r>
          </w:p>
        </w:tc>
        <w:tc>
          <w:tcPr>
            <w:tcW w:w="1348" w:type="dxa"/>
            <w:shd w:val="clear" w:color="auto" w:fill="auto"/>
            <w:vAlign w:val="center"/>
            <w:hideMark/>
          </w:tcPr>
          <w:p w14:paraId="074039AC" w14:textId="77777777" w:rsidR="008C52E3" w:rsidRPr="00161F98" w:rsidRDefault="008C52E3" w:rsidP="00D73FA1">
            <w:pPr>
              <w:spacing w:after="0" w:line="240" w:lineRule="auto"/>
              <w:jc w:val="center"/>
              <w:rPr>
                <w:rFonts w:asciiTheme="majorHAnsi" w:eastAsia="Times New Roman" w:hAnsiTheme="majorHAnsi" w:cs="Helvetica"/>
                <w:color w:val="000000"/>
                <w:sz w:val="20"/>
                <w:szCs w:val="20"/>
                <w:lang w:eastAsia="ko-KR"/>
              </w:rPr>
            </w:pPr>
            <w:r w:rsidRPr="00161F98">
              <w:rPr>
                <w:rFonts w:asciiTheme="majorHAnsi" w:hAnsiTheme="majorHAnsi" w:cs="Helvetica"/>
                <w:sz w:val="20"/>
                <w:szCs w:val="20"/>
              </w:rPr>
              <w:t>$11,291</w:t>
            </w:r>
          </w:p>
        </w:tc>
        <w:tc>
          <w:tcPr>
            <w:tcW w:w="911" w:type="dxa"/>
            <w:shd w:val="clear" w:color="auto" w:fill="auto"/>
            <w:vAlign w:val="center"/>
            <w:hideMark/>
          </w:tcPr>
          <w:p w14:paraId="45F12C43" w14:textId="77777777" w:rsidR="008C52E3" w:rsidRPr="00161F98" w:rsidRDefault="008C52E3" w:rsidP="00D73FA1">
            <w:pPr>
              <w:spacing w:after="0" w:line="240" w:lineRule="auto"/>
              <w:jc w:val="center"/>
              <w:rPr>
                <w:rFonts w:asciiTheme="majorHAnsi" w:eastAsia="Times New Roman" w:hAnsiTheme="majorHAnsi" w:cs="Helvetica"/>
                <w:color w:val="000000"/>
                <w:sz w:val="20"/>
                <w:szCs w:val="20"/>
                <w:lang w:eastAsia="ko-KR"/>
              </w:rPr>
            </w:pPr>
            <w:r w:rsidRPr="00161F98">
              <w:rPr>
                <w:rFonts w:asciiTheme="majorHAnsi" w:hAnsiTheme="majorHAnsi" w:cs="Helvetica"/>
                <w:sz w:val="20"/>
                <w:szCs w:val="20"/>
              </w:rPr>
              <w:t>$9,921</w:t>
            </w:r>
          </w:p>
        </w:tc>
        <w:tc>
          <w:tcPr>
            <w:tcW w:w="1077" w:type="dxa"/>
            <w:shd w:val="clear" w:color="auto" w:fill="auto"/>
            <w:vAlign w:val="center"/>
            <w:hideMark/>
          </w:tcPr>
          <w:p w14:paraId="503BE9B2" w14:textId="77777777" w:rsidR="008C52E3" w:rsidRPr="00161F98" w:rsidRDefault="008C52E3" w:rsidP="00D73FA1">
            <w:pPr>
              <w:spacing w:after="0" w:line="240" w:lineRule="auto"/>
              <w:jc w:val="center"/>
              <w:rPr>
                <w:rFonts w:asciiTheme="majorHAnsi" w:eastAsia="Times New Roman" w:hAnsiTheme="majorHAnsi" w:cs="Helvetica"/>
                <w:color w:val="000000"/>
                <w:sz w:val="20"/>
                <w:szCs w:val="20"/>
                <w:lang w:eastAsia="ko-KR"/>
              </w:rPr>
            </w:pPr>
            <w:r w:rsidRPr="00161F98">
              <w:rPr>
                <w:rFonts w:asciiTheme="majorHAnsi" w:hAnsiTheme="majorHAnsi" w:cs="Helvetica"/>
                <w:sz w:val="20"/>
                <w:szCs w:val="20"/>
              </w:rPr>
              <w:t>$2,793</w:t>
            </w:r>
          </w:p>
        </w:tc>
        <w:tc>
          <w:tcPr>
            <w:tcW w:w="1080" w:type="dxa"/>
            <w:shd w:val="clear" w:color="auto" w:fill="auto"/>
            <w:vAlign w:val="center"/>
            <w:hideMark/>
          </w:tcPr>
          <w:p w14:paraId="258125F6" w14:textId="77777777" w:rsidR="008C52E3" w:rsidRPr="00161F98" w:rsidRDefault="008C52E3" w:rsidP="00D73FA1">
            <w:pPr>
              <w:spacing w:after="0" w:line="240" w:lineRule="auto"/>
              <w:jc w:val="center"/>
              <w:rPr>
                <w:rFonts w:asciiTheme="majorHAnsi" w:eastAsia="Times New Roman" w:hAnsiTheme="majorHAnsi" w:cs="Helvetica"/>
                <w:color w:val="000000"/>
                <w:sz w:val="20"/>
                <w:szCs w:val="20"/>
                <w:lang w:eastAsia="ko-KR"/>
              </w:rPr>
            </w:pPr>
            <w:r w:rsidRPr="00161F98">
              <w:rPr>
                <w:rFonts w:asciiTheme="majorHAnsi" w:hAnsiTheme="majorHAnsi" w:cs="Helvetica"/>
                <w:color w:val="000000"/>
                <w:sz w:val="20"/>
                <w:szCs w:val="20"/>
              </w:rPr>
              <w:t>117</w:t>
            </w:r>
          </w:p>
        </w:tc>
        <w:tc>
          <w:tcPr>
            <w:tcW w:w="1170" w:type="dxa"/>
            <w:shd w:val="clear" w:color="auto" w:fill="auto"/>
            <w:vAlign w:val="center"/>
            <w:hideMark/>
          </w:tcPr>
          <w:p w14:paraId="669A0F1A" w14:textId="77777777" w:rsidR="008C52E3" w:rsidRPr="00161F98" w:rsidRDefault="008C52E3" w:rsidP="00D73FA1">
            <w:pPr>
              <w:spacing w:after="0" w:line="240" w:lineRule="auto"/>
              <w:jc w:val="center"/>
              <w:rPr>
                <w:rFonts w:asciiTheme="majorHAnsi" w:eastAsia="Times New Roman" w:hAnsiTheme="majorHAnsi" w:cs="Helvetica"/>
                <w:color w:val="000000"/>
                <w:sz w:val="20"/>
                <w:szCs w:val="20"/>
                <w:lang w:eastAsia="ko-KR"/>
              </w:rPr>
            </w:pPr>
            <w:r w:rsidRPr="00161F98">
              <w:rPr>
                <w:rFonts w:asciiTheme="majorHAnsi" w:hAnsiTheme="majorHAnsi" w:cs="Helvetica"/>
                <w:color w:val="000000"/>
                <w:sz w:val="20"/>
                <w:szCs w:val="20"/>
              </w:rPr>
              <w:t>100.0%</w:t>
            </w:r>
          </w:p>
        </w:tc>
        <w:tc>
          <w:tcPr>
            <w:tcW w:w="1350" w:type="dxa"/>
            <w:shd w:val="clear" w:color="auto" w:fill="auto"/>
            <w:vAlign w:val="center"/>
            <w:hideMark/>
          </w:tcPr>
          <w:p w14:paraId="3F425640" w14:textId="77777777" w:rsidR="008C52E3" w:rsidRPr="00161F98" w:rsidRDefault="00F65690" w:rsidP="00D73FA1">
            <w:pPr>
              <w:spacing w:after="0" w:line="240" w:lineRule="auto"/>
              <w:jc w:val="center"/>
              <w:rPr>
                <w:rFonts w:asciiTheme="majorHAnsi" w:eastAsia="Times New Roman" w:hAnsiTheme="majorHAnsi" w:cs="Helvetica"/>
                <w:color w:val="000000"/>
                <w:sz w:val="20"/>
                <w:szCs w:val="20"/>
                <w:lang w:eastAsia="ko-KR"/>
              </w:rPr>
            </w:pPr>
            <w:r>
              <w:rPr>
                <w:rFonts w:asciiTheme="majorHAnsi" w:hAnsiTheme="majorHAnsi" w:cs="Helvetica"/>
                <w:color w:val="000000"/>
                <w:sz w:val="20"/>
                <w:szCs w:val="20"/>
              </w:rPr>
              <w:t>$</w:t>
            </w:r>
            <w:r w:rsidR="008C52E3" w:rsidRPr="00161F98">
              <w:rPr>
                <w:rFonts w:asciiTheme="majorHAnsi" w:hAnsiTheme="majorHAnsi" w:cs="Helvetica"/>
                <w:color w:val="000000"/>
                <w:sz w:val="20"/>
                <w:szCs w:val="20"/>
              </w:rPr>
              <w:t>108,665</w:t>
            </w:r>
          </w:p>
        </w:tc>
      </w:tr>
    </w:tbl>
    <w:p w14:paraId="156B78B6" w14:textId="77777777" w:rsidR="00FE2F18" w:rsidRPr="00A67BCA" w:rsidRDefault="00FE2F18" w:rsidP="00FE2F18">
      <w:pPr>
        <w:tabs>
          <w:tab w:val="left" w:pos="7050"/>
        </w:tabs>
        <w:spacing w:after="0"/>
        <w:rPr>
          <w:rFonts w:asciiTheme="majorHAnsi" w:eastAsiaTheme="majorEastAsia" w:hAnsiTheme="majorHAnsi" w:cstheme="majorBidi"/>
          <w:bCs/>
          <w:color w:val="000000" w:themeColor="text1"/>
          <w:sz w:val="18"/>
          <w:szCs w:val="18"/>
        </w:rPr>
      </w:pPr>
      <w:r w:rsidRPr="00A67BCA">
        <w:rPr>
          <w:rFonts w:asciiTheme="majorHAnsi" w:eastAsiaTheme="majorEastAsia" w:hAnsiTheme="majorHAnsi" w:cstheme="majorBidi"/>
          <w:bCs/>
          <w:color w:val="000000" w:themeColor="text1"/>
          <w:sz w:val="18"/>
          <w:szCs w:val="18"/>
        </w:rPr>
        <w:lastRenderedPageBreak/>
        <w:t xml:space="preserve">Source: </w:t>
      </w:r>
      <w:r w:rsidR="00D245D0" w:rsidRPr="00A67BCA">
        <w:rPr>
          <w:rFonts w:asciiTheme="majorHAnsi" w:eastAsiaTheme="majorEastAsia" w:hAnsiTheme="majorHAnsi" w:cstheme="majorBidi"/>
          <w:bCs/>
          <w:color w:val="000000" w:themeColor="text1"/>
          <w:sz w:val="18"/>
          <w:szCs w:val="18"/>
        </w:rPr>
        <w:t>Massachusetts</w:t>
      </w:r>
      <w:r w:rsidRPr="00A67BCA">
        <w:rPr>
          <w:rFonts w:asciiTheme="majorHAnsi" w:eastAsiaTheme="majorEastAsia" w:hAnsiTheme="majorHAnsi" w:cstheme="majorBidi"/>
          <w:bCs/>
          <w:color w:val="000000" w:themeColor="text1"/>
          <w:sz w:val="18"/>
          <w:szCs w:val="18"/>
        </w:rPr>
        <w:t xml:space="preserve"> Department of Revenue (2017</w:t>
      </w:r>
      <w:r w:rsidR="00442AC4" w:rsidRPr="00A67BCA">
        <w:rPr>
          <w:rFonts w:asciiTheme="majorHAnsi" w:eastAsiaTheme="majorEastAsia" w:hAnsiTheme="majorHAnsi" w:cstheme="majorBidi"/>
          <w:bCs/>
          <w:color w:val="000000" w:themeColor="text1"/>
          <w:sz w:val="18"/>
          <w:szCs w:val="18"/>
        </w:rPr>
        <w:t xml:space="preserve"> </w:t>
      </w:r>
      <w:r w:rsidR="00BF5CC0">
        <w:rPr>
          <w:rFonts w:asciiTheme="majorHAnsi" w:eastAsiaTheme="majorEastAsia" w:hAnsiTheme="majorHAnsi" w:cstheme="majorBidi"/>
          <w:bCs/>
          <w:color w:val="000000" w:themeColor="text1"/>
          <w:sz w:val="18"/>
          <w:szCs w:val="18"/>
        </w:rPr>
        <w:t>corporate excise</w:t>
      </w:r>
      <w:r w:rsidR="00442AC4" w:rsidRPr="00A67BCA">
        <w:rPr>
          <w:rFonts w:asciiTheme="majorHAnsi" w:eastAsiaTheme="majorEastAsia" w:hAnsiTheme="majorHAnsi" w:cstheme="majorBidi"/>
          <w:bCs/>
          <w:color w:val="000000" w:themeColor="text1"/>
          <w:sz w:val="18"/>
          <w:szCs w:val="18"/>
        </w:rPr>
        <w:t xml:space="preserve"> return data</w:t>
      </w:r>
      <w:r w:rsidRPr="00A67BCA">
        <w:rPr>
          <w:rFonts w:asciiTheme="majorHAnsi" w:eastAsiaTheme="majorEastAsia" w:hAnsiTheme="majorHAnsi" w:cstheme="majorBidi"/>
          <w:bCs/>
          <w:color w:val="000000" w:themeColor="text1"/>
          <w:sz w:val="18"/>
          <w:szCs w:val="18"/>
        </w:rPr>
        <w:t>)</w:t>
      </w:r>
    </w:p>
    <w:p w14:paraId="5702A06D" w14:textId="77777777" w:rsidR="00161F98" w:rsidRDefault="008F0246" w:rsidP="00717F1B">
      <w:pPr>
        <w:tabs>
          <w:tab w:val="left" w:pos="7050"/>
        </w:tabs>
        <w:spacing w:after="0"/>
        <w:rPr>
          <w:rFonts w:asciiTheme="majorHAnsi" w:hAnsiTheme="majorHAnsi"/>
          <w:sz w:val="18"/>
          <w:szCs w:val="18"/>
        </w:rPr>
      </w:pPr>
      <w:r w:rsidRPr="00A67BCA">
        <w:rPr>
          <w:rFonts w:asciiTheme="majorHAnsi" w:hAnsiTheme="majorHAnsi"/>
          <w:sz w:val="18"/>
          <w:szCs w:val="18"/>
        </w:rPr>
        <w:t>Note</w:t>
      </w:r>
      <w:r w:rsidR="005172B4" w:rsidRPr="00A67BCA">
        <w:rPr>
          <w:rFonts w:asciiTheme="majorHAnsi" w:hAnsiTheme="majorHAnsi"/>
          <w:sz w:val="18"/>
          <w:szCs w:val="18"/>
        </w:rPr>
        <w:t>s</w:t>
      </w:r>
      <w:r w:rsidRPr="00A67BCA">
        <w:rPr>
          <w:rFonts w:asciiTheme="majorHAnsi" w:hAnsiTheme="majorHAnsi"/>
          <w:sz w:val="18"/>
          <w:szCs w:val="18"/>
        </w:rPr>
        <w:t xml:space="preserve">: </w:t>
      </w:r>
      <w:r w:rsidR="00C1340F" w:rsidRPr="00A67BCA">
        <w:rPr>
          <w:rFonts w:asciiTheme="majorHAnsi" w:hAnsiTheme="majorHAnsi"/>
          <w:sz w:val="18"/>
          <w:szCs w:val="18"/>
        </w:rPr>
        <w:t xml:space="preserve">1. </w:t>
      </w:r>
      <w:r w:rsidR="00F65690" w:rsidRPr="005D3BF7">
        <w:rPr>
          <w:rFonts w:asciiTheme="majorHAnsi" w:hAnsiTheme="majorHAnsi"/>
          <w:sz w:val="18"/>
          <w:szCs w:val="18"/>
        </w:rPr>
        <w:t xml:space="preserve">* </w:t>
      </w:r>
      <w:r w:rsidR="00F65690">
        <w:rPr>
          <w:rFonts w:asciiTheme="majorHAnsi" w:hAnsiTheme="majorHAnsi"/>
          <w:sz w:val="18"/>
          <w:szCs w:val="18"/>
        </w:rPr>
        <w:t>I</w:t>
      </w:r>
      <w:r w:rsidR="00F65690" w:rsidRPr="003A3522">
        <w:rPr>
          <w:rFonts w:asciiTheme="majorHAnsi" w:hAnsiTheme="majorHAnsi"/>
          <w:sz w:val="18"/>
          <w:szCs w:val="18"/>
        </w:rPr>
        <w:t xml:space="preserve">nformation </w:t>
      </w:r>
      <w:r w:rsidR="00F65690">
        <w:rPr>
          <w:rFonts w:asciiTheme="majorHAnsi" w:hAnsiTheme="majorHAnsi"/>
          <w:sz w:val="18"/>
          <w:szCs w:val="18"/>
        </w:rPr>
        <w:t xml:space="preserve">is based on number of employees as reported by </w:t>
      </w:r>
      <w:r w:rsidR="00F65690" w:rsidRPr="003A3522">
        <w:rPr>
          <w:rFonts w:asciiTheme="majorHAnsi" w:hAnsiTheme="majorHAnsi"/>
          <w:sz w:val="18"/>
          <w:szCs w:val="18"/>
        </w:rPr>
        <w:t>taxpayers.</w:t>
      </w:r>
    </w:p>
    <w:p w14:paraId="1AD16C49" w14:textId="77777777" w:rsidR="00161F98" w:rsidRDefault="00161F98" w:rsidP="00717F1B">
      <w:pPr>
        <w:tabs>
          <w:tab w:val="left" w:pos="7050"/>
        </w:tabs>
        <w:spacing w:after="0"/>
        <w:rPr>
          <w:rFonts w:asciiTheme="majorHAnsi" w:eastAsiaTheme="majorEastAsia" w:hAnsiTheme="majorHAnsi" w:cstheme="majorBidi"/>
          <w:bCs/>
          <w:color w:val="000000" w:themeColor="text1"/>
          <w:sz w:val="18"/>
          <w:szCs w:val="18"/>
        </w:rPr>
      </w:pPr>
      <w:r>
        <w:rPr>
          <w:rFonts w:asciiTheme="majorHAnsi" w:hAnsiTheme="majorHAnsi"/>
          <w:sz w:val="18"/>
          <w:szCs w:val="18"/>
        </w:rPr>
        <w:t xml:space="preserve">                  2. </w:t>
      </w:r>
      <w:r w:rsidR="005172B4" w:rsidRPr="00A67BCA">
        <w:rPr>
          <w:rFonts w:asciiTheme="majorHAnsi" w:eastAsiaTheme="majorEastAsia" w:hAnsiTheme="majorHAnsi" w:cstheme="majorBidi"/>
          <w:bCs/>
          <w:color w:val="000000" w:themeColor="text1"/>
          <w:sz w:val="18"/>
          <w:szCs w:val="18"/>
        </w:rPr>
        <w:t xml:space="preserve">Personal income tax filers and insurance tax filers were excluded </w:t>
      </w:r>
      <w:r w:rsidR="00182CE4" w:rsidRPr="00A67BCA">
        <w:rPr>
          <w:rFonts w:asciiTheme="majorHAnsi" w:eastAsiaTheme="majorEastAsia" w:hAnsiTheme="majorHAnsi" w:cstheme="majorBidi"/>
          <w:bCs/>
          <w:color w:val="000000" w:themeColor="text1"/>
          <w:sz w:val="18"/>
          <w:szCs w:val="18"/>
        </w:rPr>
        <w:t xml:space="preserve">from this </w:t>
      </w:r>
      <w:r w:rsidR="005172B4" w:rsidRPr="00A67BCA">
        <w:rPr>
          <w:rFonts w:asciiTheme="majorHAnsi" w:eastAsiaTheme="majorEastAsia" w:hAnsiTheme="majorHAnsi" w:cstheme="majorBidi"/>
          <w:bCs/>
          <w:color w:val="000000" w:themeColor="text1"/>
          <w:sz w:val="18"/>
          <w:szCs w:val="18"/>
        </w:rPr>
        <w:t>table.</w:t>
      </w:r>
      <w:r w:rsidR="00C1340F" w:rsidRPr="00A67BCA">
        <w:rPr>
          <w:rFonts w:asciiTheme="majorHAnsi" w:eastAsiaTheme="majorEastAsia" w:hAnsiTheme="majorHAnsi" w:cstheme="majorBidi"/>
          <w:bCs/>
          <w:color w:val="000000" w:themeColor="text1"/>
          <w:sz w:val="18"/>
          <w:szCs w:val="18"/>
        </w:rPr>
        <w:t xml:space="preserve"> </w:t>
      </w:r>
    </w:p>
    <w:p w14:paraId="6F33FB91" w14:textId="77777777" w:rsidR="00C1340F" w:rsidRPr="00A67BCA" w:rsidRDefault="00161F98" w:rsidP="00717F1B">
      <w:pPr>
        <w:tabs>
          <w:tab w:val="left" w:pos="7050"/>
        </w:tabs>
        <w:spacing w:after="0"/>
        <w:rPr>
          <w:rFonts w:asciiTheme="majorHAnsi" w:eastAsiaTheme="majorEastAsia" w:hAnsiTheme="majorHAnsi" w:cstheme="majorBidi"/>
          <w:bCs/>
          <w:color w:val="000000" w:themeColor="text1"/>
          <w:sz w:val="18"/>
          <w:szCs w:val="18"/>
        </w:rPr>
      </w:pPr>
      <w:r>
        <w:rPr>
          <w:rFonts w:asciiTheme="majorHAnsi" w:eastAsiaTheme="majorEastAsia" w:hAnsiTheme="majorHAnsi" w:cstheme="majorBidi"/>
          <w:bCs/>
          <w:color w:val="000000" w:themeColor="text1"/>
          <w:sz w:val="18"/>
          <w:szCs w:val="18"/>
        </w:rPr>
        <w:t xml:space="preserve">                  3</w:t>
      </w:r>
      <w:r w:rsidR="00C1340F" w:rsidRPr="00A67BCA">
        <w:rPr>
          <w:rFonts w:asciiTheme="majorHAnsi" w:eastAsiaTheme="majorEastAsia" w:hAnsiTheme="majorHAnsi" w:cstheme="majorBidi"/>
          <w:bCs/>
          <w:color w:val="000000" w:themeColor="text1"/>
          <w:sz w:val="18"/>
          <w:szCs w:val="18"/>
        </w:rPr>
        <w:t>. The data are preliminary and subject to a slight revision later.</w:t>
      </w:r>
    </w:p>
    <w:p w14:paraId="3846DBB8" w14:textId="77777777" w:rsidR="00AE577C" w:rsidRDefault="00AE577C" w:rsidP="00A67BCA">
      <w:pPr>
        <w:spacing w:after="0"/>
        <w:rPr>
          <w:rFonts w:asciiTheme="majorHAnsi" w:eastAsiaTheme="majorEastAsia" w:hAnsiTheme="majorHAnsi" w:cstheme="majorBidi"/>
          <w:bCs/>
          <w:color w:val="000000" w:themeColor="text1"/>
          <w:sz w:val="24"/>
          <w:szCs w:val="24"/>
        </w:rPr>
      </w:pPr>
    </w:p>
    <w:p w14:paraId="1167E701" w14:textId="3EA3F18E" w:rsidR="0087062C" w:rsidRDefault="001B742F" w:rsidP="00327962">
      <w:pPr>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On the other hand, a</w:t>
      </w:r>
      <w:r w:rsidR="00327962">
        <w:rPr>
          <w:rFonts w:asciiTheme="majorHAnsi" w:eastAsiaTheme="majorEastAsia" w:hAnsiTheme="majorHAnsi" w:cstheme="majorBidi"/>
          <w:bCs/>
          <w:color w:val="000000" w:themeColor="text1"/>
          <w:sz w:val="24"/>
          <w:szCs w:val="24"/>
        </w:rPr>
        <w:t xml:space="preserve">ccording to </w:t>
      </w:r>
      <w:r w:rsidR="00BF5627">
        <w:rPr>
          <w:rFonts w:asciiTheme="majorHAnsi" w:eastAsiaTheme="majorEastAsia" w:hAnsiTheme="majorHAnsi" w:cstheme="majorBidi"/>
          <w:bCs/>
          <w:color w:val="000000" w:themeColor="text1"/>
          <w:sz w:val="24"/>
          <w:szCs w:val="24"/>
        </w:rPr>
        <w:t xml:space="preserve">the EDIP </w:t>
      </w:r>
      <w:r w:rsidR="00327962" w:rsidRPr="00EC4649">
        <w:rPr>
          <w:rFonts w:asciiTheme="majorHAnsi" w:eastAsiaTheme="majorEastAsia" w:hAnsiTheme="majorHAnsi" w:cstheme="majorBidi"/>
          <w:noProof/>
          <w:color w:val="000000" w:themeColor="text1"/>
          <w:sz w:val="24"/>
          <w:szCs w:val="24"/>
        </w:rPr>
        <w:t>Fiscal Year 20</w:t>
      </w:r>
      <w:r w:rsidR="004935C6">
        <w:rPr>
          <w:rFonts w:asciiTheme="majorHAnsi" w:eastAsiaTheme="majorEastAsia" w:hAnsiTheme="majorHAnsi" w:cstheme="majorBidi"/>
          <w:noProof/>
          <w:color w:val="000000" w:themeColor="text1"/>
          <w:sz w:val="24"/>
          <w:szCs w:val="24"/>
        </w:rPr>
        <w:t>20</w:t>
      </w:r>
      <w:r w:rsidR="00327962" w:rsidRPr="00EC4649">
        <w:rPr>
          <w:rFonts w:asciiTheme="majorHAnsi" w:eastAsiaTheme="majorEastAsia" w:hAnsiTheme="majorHAnsi" w:cstheme="majorBidi"/>
          <w:noProof/>
          <w:color w:val="000000" w:themeColor="text1"/>
          <w:sz w:val="24"/>
          <w:szCs w:val="24"/>
        </w:rPr>
        <w:t xml:space="preserve"> Annual Report</w:t>
      </w:r>
      <w:r w:rsidR="00BF5627">
        <w:rPr>
          <w:rFonts w:asciiTheme="majorHAnsi" w:eastAsiaTheme="majorEastAsia" w:hAnsiTheme="majorHAnsi" w:cstheme="majorBidi"/>
          <w:noProof/>
          <w:color w:val="000000" w:themeColor="text1"/>
          <w:sz w:val="24"/>
          <w:szCs w:val="24"/>
        </w:rPr>
        <w:t>,</w:t>
      </w:r>
      <w:r w:rsidR="00BF5627">
        <w:rPr>
          <w:rStyle w:val="FootnoteReference"/>
          <w:rFonts w:asciiTheme="majorHAnsi" w:eastAsiaTheme="majorEastAsia" w:hAnsiTheme="majorHAnsi"/>
          <w:noProof/>
          <w:color w:val="000000" w:themeColor="text1"/>
          <w:sz w:val="24"/>
          <w:szCs w:val="24"/>
        </w:rPr>
        <w:footnoteReference w:id="6"/>
      </w:r>
      <w:r w:rsidR="00327962">
        <w:rPr>
          <w:rFonts w:asciiTheme="majorHAnsi" w:eastAsiaTheme="majorEastAsia" w:hAnsiTheme="majorHAnsi" w:cstheme="majorBidi"/>
          <w:bCs/>
          <w:color w:val="000000" w:themeColor="text1"/>
          <w:sz w:val="24"/>
          <w:szCs w:val="24"/>
        </w:rPr>
        <w:t xml:space="preserve"> in the fiscal year 20</w:t>
      </w:r>
      <w:r w:rsidR="004935C6">
        <w:rPr>
          <w:rFonts w:asciiTheme="majorHAnsi" w:eastAsiaTheme="majorEastAsia" w:hAnsiTheme="majorHAnsi" w:cstheme="majorBidi"/>
          <w:bCs/>
          <w:color w:val="000000" w:themeColor="text1"/>
          <w:sz w:val="24"/>
          <w:szCs w:val="24"/>
        </w:rPr>
        <w:t>20</w:t>
      </w:r>
      <w:r w:rsidR="00327962">
        <w:rPr>
          <w:rFonts w:asciiTheme="majorHAnsi" w:eastAsiaTheme="majorEastAsia" w:hAnsiTheme="majorHAnsi" w:cstheme="majorBidi"/>
          <w:bCs/>
          <w:color w:val="000000" w:themeColor="text1"/>
          <w:sz w:val="24"/>
          <w:szCs w:val="24"/>
        </w:rPr>
        <w:t xml:space="preserve">, there were </w:t>
      </w:r>
      <w:r w:rsidR="004935C6">
        <w:rPr>
          <w:rFonts w:asciiTheme="majorHAnsi" w:eastAsiaTheme="majorEastAsia" w:hAnsiTheme="majorHAnsi" w:cstheme="majorBidi"/>
          <w:bCs/>
          <w:color w:val="000000" w:themeColor="text1"/>
          <w:sz w:val="24"/>
          <w:szCs w:val="24"/>
        </w:rPr>
        <w:t>23</w:t>
      </w:r>
      <w:r w:rsidR="00327962">
        <w:rPr>
          <w:rFonts w:asciiTheme="majorHAnsi" w:eastAsiaTheme="majorEastAsia" w:hAnsiTheme="majorHAnsi" w:cstheme="majorBidi"/>
          <w:bCs/>
          <w:color w:val="000000" w:themeColor="text1"/>
          <w:sz w:val="24"/>
          <w:szCs w:val="24"/>
        </w:rPr>
        <w:t xml:space="preserve"> projects approved, </w:t>
      </w:r>
      <w:r w:rsidR="004935C6">
        <w:rPr>
          <w:rFonts w:asciiTheme="majorHAnsi" w:eastAsiaTheme="majorEastAsia" w:hAnsiTheme="majorHAnsi" w:cstheme="majorBidi"/>
          <w:bCs/>
          <w:color w:val="000000" w:themeColor="text1"/>
          <w:sz w:val="24"/>
          <w:szCs w:val="24"/>
        </w:rPr>
        <w:t>2</w:t>
      </w:r>
      <w:r w:rsidR="00327962">
        <w:rPr>
          <w:rFonts w:asciiTheme="majorHAnsi" w:eastAsiaTheme="majorEastAsia" w:hAnsiTheme="majorHAnsi" w:cstheme="majorBidi"/>
          <w:bCs/>
          <w:color w:val="000000" w:themeColor="text1"/>
          <w:sz w:val="24"/>
          <w:szCs w:val="24"/>
        </w:rPr>
        <w:t>,</w:t>
      </w:r>
      <w:r w:rsidR="004935C6">
        <w:rPr>
          <w:rFonts w:asciiTheme="majorHAnsi" w:eastAsiaTheme="majorEastAsia" w:hAnsiTheme="majorHAnsi" w:cstheme="majorBidi"/>
          <w:bCs/>
          <w:color w:val="000000" w:themeColor="text1"/>
          <w:sz w:val="24"/>
          <w:szCs w:val="24"/>
        </w:rPr>
        <w:t>854</w:t>
      </w:r>
      <w:r w:rsidR="00327962">
        <w:rPr>
          <w:rFonts w:asciiTheme="majorHAnsi" w:eastAsiaTheme="majorEastAsia" w:hAnsiTheme="majorHAnsi" w:cstheme="majorBidi"/>
          <w:bCs/>
          <w:color w:val="000000" w:themeColor="text1"/>
          <w:sz w:val="24"/>
          <w:szCs w:val="24"/>
        </w:rPr>
        <w:t xml:space="preserve"> jobs </w:t>
      </w:r>
      <w:r w:rsidR="004935C6">
        <w:rPr>
          <w:rFonts w:asciiTheme="majorHAnsi" w:eastAsiaTheme="majorEastAsia" w:hAnsiTheme="majorHAnsi" w:cstheme="majorBidi"/>
          <w:bCs/>
          <w:color w:val="000000" w:themeColor="text1"/>
          <w:sz w:val="24"/>
          <w:szCs w:val="24"/>
        </w:rPr>
        <w:t xml:space="preserve">to be </w:t>
      </w:r>
      <w:r w:rsidR="00327962">
        <w:rPr>
          <w:rFonts w:asciiTheme="majorHAnsi" w:eastAsiaTheme="majorEastAsia" w:hAnsiTheme="majorHAnsi" w:cstheme="majorBidi"/>
          <w:bCs/>
          <w:color w:val="000000" w:themeColor="text1"/>
          <w:sz w:val="24"/>
          <w:szCs w:val="24"/>
        </w:rPr>
        <w:t xml:space="preserve">created, </w:t>
      </w:r>
      <w:r w:rsidR="004935C6">
        <w:rPr>
          <w:rFonts w:asciiTheme="majorHAnsi" w:eastAsiaTheme="majorEastAsia" w:hAnsiTheme="majorHAnsi" w:cstheme="majorBidi"/>
          <w:bCs/>
          <w:color w:val="000000" w:themeColor="text1"/>
          <w:sz w:val="24"/>
          <w:szCs w:val="24"/>
        </w:rPr>
        <w:t>1,386</w:t>
      </w:r>
      <w:r w:rsidR="00327962">
        <w:rPr>
          <w:rFonts w:asciiTheme="majorHAnsi" w:eastAsiaTheme="majorEastAsia" w:hAnsiTheme="majorHAnsi" w:cstheme="majorBidi"/>
          <w:bCs/>
          <w:color w:val="000000" w:themeColor="text1"/>
          <w:sz w:val="24"/>
          <w:szCs w:val="24"/>
        </w:rPr>
        <w:t xml:space="preserve"> jobs </w:t>
      </w:r>
      <w:r w:rsidR="004935C6">
        <w:rPr>
          <w:rFonts w:asciiTheme="majorHAnsi" w:eastAsiaTheme="majorEastAsia" w:hAnsiTheme="majorHAnsi" w:cstheme="majorBidi"/>
          <w:bCs/>
          <w:color w:val="000000" w:themeColor="text1"/>
          <w:sz w:val="24"/>
          <w:szCs w:val="24"/>
        </w:rPr>
        <w:t xml:space="preserve">to be </w:t>
      </w:r>
      <w:r w:rsidR="00327962">
        <w:rPr>
          <w:rFonts w:asciiTheme="majorHAnsi" w:eastAsiaTheme="majorEastAsia" w:hAnsiTheme="majorHAnsi" w:cstheme="majorBidi"/>
          <w:bCs/>
          <w:color w:val="000000" w:themeColor="text1"/>
          <w:sz w:val="24"/>
          <w:szCs w:val="24"/>
        </w:rPr>
        <w:t xml:space="preserve">retained, </w:t>
      </w:r>
      <w:r w:rsidR="0077041B">
        <w:rPr>
          <w:rFonts w:asciiTheme="majorHAnsi" w:eastAsiaTheme="majorEastAsia" w:hAnsiTheme="majorHAnsi" w:cstheme="majorBidi"/>
          <w:bCs/>
          <w:color w:val="000000" w:themeColor="text1"/>
          <w:sz w:val="24"/>
          <w:szCs w:val="24"/>
        </w:rPr>
        <w:t xml:space="preserve"> </w:t>
      </w:r>
      <w:r w:rsidR="00327962">
        <w:rPr>
          <w:rFonts w:asciiTheme="majorHAnsi" w:eastAsiaTheme="majorEastAsia" w:hAnsiTheme="majorHAnsi" w:cstheme="majorBidi"/>
          <w:bCs/>
          <w:color w:val="000000" w:themeColor="text1"/>
          <w:sz w:val="24"/>
          <w:szCs w:val="24"/>
        </w:rPr>
        <w:t>$</w:t>
      </w:r>
      <w:r w:rsidR="004935C6">
        <w:rPr>
          <w:rFonts w:asciiTheme="majorHAnsi" w:eastAsiaTheme="majorEastAsia" w:hAnsiTheme="majorHAnsi" w:cstheme="majorBidi"/>
          <w:bCs/>
          <w:color w:val="000000" w:themeColor="text1"/>
          <w:sz w:val="24"/>
          <w:szCs w:val="24"/>
        </w:rPr>
        <w:t>900</w:t>
      </w:r>
      <w:r w:rsidR="00327962">
        <w:rPr>
          <w:rFonts w:asciiTheme="majorHAnsi" w:eastAsiaTheme="majorEastAsia" w:hAnsiTheme="majorHAnsi" w:cstheme="majorBidi"/>
          <w:bCs/>
          <w:color w:val="000000" w:themeColor="text1"/>
          <w:sz w:val="24"/>
          <w:szCs w:val="24"/>
        </w:rPr>
        <w:t xml:space="preserve"> million in private investment</w:t>
      </w:r>
      <w:r w:rsidR="0077041B">
        <w:rPr>
          <w:rFonts w:asciiTheme="majorHAnsi" w:eastAsiaTheme="majorEastAsia" w:hAnsiTheme="majorHAnsi" w:cstheme="majorBidi"/>
          <w:bCs/>
          <w:color w:val="000000" w:themeColor="text1"/>
          <w:sz w:val="24"/>
          <w:szCs w:val="24"/>
        </w:rPr>
        <w:t>, and $1.695 million EDIP credit awarded</w:t>
      </w:r>
      <w:r w:rsidR="00327962">
        <w:rPr>
          <w:rFonts w:asciiTheme="majorHAnsi" w:eastAsiaTheme="majorEastAsia" w:hAnsiTheme="majorHAnsi" w:cstheme="majorBidi"/>
          <w:bCs/>
          <w:color w:val="000000" w:themeColor="text1"/>
          <w:sz w:val="24"/>
          <w:szCs w:val="24"/>
        </w:rPr>
        <w:t xml:space="preserve">. </w:t>
      </w:r>
      <w:r w:rsidR="00BF5627">
        <w:rPr>
          <w:rFonts w:asciiTheme="majorHAnsi" w:eastAsiaTheme="majorEastAsia" w:hAnsiTheme="majorHAnsi" w:cstheme="majorBidi"/>
          <w:bCs/>
          <w:color w:val="000000" w:themeColor="text1"/>
          <w:sz w:val="24"/>
          <w:szCs w:val="24"/>
        </w:rPr>
        <w:t>Of</w:t>
      </w:r>
      <w:r w:rsidR="00327962">
        <w:rPr>
          <w:rFonts w:asciiTheme="majorHAnsi" w:eastAsiaTheme="majorEastAsia" w:hAnsiTheme="majorHAnsi" w:cstheme="majorBidi"/>
          <w:bCs/>
          <w:color w:val="000000" w:themeColor="text1"/>
          <w:sz w:val="24"/>
          <w:szCs w:val="24"/>
        </w:rPr>
        <w:t xml:space="preserve"> the </w:t>
      </w:r>
      <w:r w:rsidR="004935C6">
        <w:rPr>
          <w:rFonts w:asciiTheme="majorHAnsi" w:eastAsiaTheme="majorEastAsia" w:hAnsiTheme="majorHAnsi" w:cstheme="majorBidi"/>
          <w:bCs/>
          <w:color w:val="000000" w:themeColor="text1"/>
          <w:sz w:val="24"/>
          <w:szCs w:val="24"/>
        </w:rPr>
        <w:t>23</w:t>
      </w:r>
      <w:r w:rsidR="00327962">
        <w:rPr>
          <w:rFonts w:asciiTheme="majorHAnsi" w:eastAsiaTheme="majorEastAsia" w:hAnsiTheme="majorHAnsi" w:cstheme="majorBidi"/>
          <w:bCs/>
          <w:color w:val="000000" w:themeColor="text1"/>
          <w:sz w:val="24"/>
          <w:szCs w:val="24"/>
        </w:rPr>
        <w:t xml:space="preserve"> projects</w:t>
      </w:r>
      <w:r w:rsidR="00BF5627">
        <w:rPr>
          <w:rFonts w:asciiTheme="majorHAnsi" w:eastAsiaTheme="majorEastAsia" w:hAnsiTheme="majorHAnsi" w:cstheme="majorBidi"/>
          <w:bCs/>
          <w:color w:val="000000" w:themeColor="text1"/>
          <w:sz w:val="24"/>
          <w:szCs w:val="24"/>
        </w:rPr>
        <w:t xml:space="preserve"> approved</w:t>
      </w:r>
      <w:r w:rsidR="00327962">
        <w:rPr>
          <w:rFonts w:asciiTheme="majorHAnsi" w:eastAsiaTheme="majorEastAsia" w:hAnsiTheme="majorHAnsi" w:cstheme="majorBidi"/>
          <w:bCs/>
          <w:color w:val="000000" w:themeColor="text1"/>
          <w:sz w:val="24"/>
          <w:szCs w:val="24"/>
        </w:rPr>
        <w:t xml:space="preserve">, </w:t>
      </w:r>
      <w:r w:rsidR="004935C6">
        <w:rPr>
          <w:rFonts w:asciiTheme="majorHAnsi" w:eastAsiaTheme="majorEastAsia" w:hAnsiTheme="majorHAnsi" w:cstheme="majorBidi"/>
          <w:bCs/>
          <w:color w:val="000000" w:themeColor="text1"/>
          <w:sz w:val="24"/>
          <w:szCs w:val="24"/>
        </w:rPr>
        <w:t>5</w:t>
      </w:r>
      <w:r w:rsidR="00327962">
        <w:rPr>
          <w:rFonts w:asciiTheme="majorHAnsi" w:eastAsiaTheme="majorEastAsia" w:hAnsiTheme="majorHAnsi" w:cstheme="majorBidi"/>
          <w:bCs/>
          <w:color w:val="000000" w:themeColor="text1"/>
          <w:sz w:val="24"/>
          <w:szCs w:val="24"/>
        </w:rPr>
        <w:t xml:space="preserve"> projects were for manufacturers, 1</w:t>
      </w:r>
      <w:r w:rsidR="00CE3D2C">
        <w:rPr>
          <w:rFonts w:asciiTheme="majorHAnsi" w:eastAsiaTheme="majorEastAsia" w:hAnsiTheme="majorHAnsi" w:cstheme="majorBidi"/>
          <w:bCs/>
          <w:color w:val="000000" w:themeColor="text1"/>
          <w:sz w:val="24"/>
          <w:szCs w:val="24"/>
        </w:rPr>
        <w:t>2</w:t>
      </w:r>
      <w:r w:rsidR="00327962">
        <w:rPr>
          <w:rFonts w:asciiTheme="majorHAnsi" w:eastAsiaTheme="majorEastAsia" w:hAnsiTheme="majorHAnsi" w:cstheme="majorBidi"/>
          <w:bCs/>
          <w:color w:val="000000" w:themeColor="text1"/>
          <w:sz w:val="24"/>
          <w:szCs w:val="24"/>
        </w:rPr>
        <w:t xml:space="preserve"> projects were located in gateway cities, and 1</w:t>
      </w:r>
      <w:r w:rsidR="00CE3D2C">
        <w:rPr>
          <w:rFonts w:asciiTheme="majorHAnsi" w:eastAsiaTheme="majorEastAsia" w:hAnsiTheme="majorHAnsi" w:cstheme="majorBidi"/>
          <w:bCs/>
          <w:color w:val="000000" w:themeColor="text1"/>
          <w:sz w:val="24"/>
          <w:szCs w:val="24"/>
        </w:rPr>
        <w:t>1</w:t>
      </w:r>
      <w:r w:rsidR="00327962">
        <w:rPr>
          <w:rFonts w:asciiTheme="majorHAnsi" w:eastAsiaTheme="majorEastAsia" w:hAnsiTheme="majorHAnsi" w:cstheme="majorBidi"/>
          <w:bCs/>
          <w:color w:val="000000" w:themeColor="text1"/>
          <w:sz w:val="24"/>
          <w:szCs w:val="24"/>
        </w:rPr>
        <w:t xml:space="preserve"> projects were for small businesses with </w:t>
      </w:r>
      <w:r w:rsidR="00BF5627">
        <w:rPr>
          <w:rFonts w:asciiTheme="majorHAnsi" w:eastAsiaTheme="majorEastAsia" w:hAnsiTheme="majorHAnsi" w:cstheme="majorBidi"/>
          <w:bCs/>
          <w:color w:val="000000" w:themeColor="text1"/>
          <w:sz w:val="24"/>
          <w:szCs w:val="24"/>
        </w:rPr>
        <w:t>fewer than 200</w:t>
      </w:r>
      <w:r w:rsidR="00521224">
        <w:rPr>
          <w:rFonts w:asciiTheme="majorHAnsi" w:eastAsiaTheme="majorEastAsia" w:hAnsiTheme="majorHAnsi" w:cstheme="majorBidi"/>
          <w:bCs/>
          <w:color w:val="000000" w:themeColor="text1"/>
          <w:sz w:val="24"/>
          <w:szCs w:val="24"/>
        </w:rPr>
        <w:t xml:space="preserve"> </w:t>
      </w:r>
      <w:r w:rsidR="00327962">
        <w:rPr>
          <w:rFonts w:asciiTheme="majorHAnsi" w:eastAsiaTheme="majorEastAsia" w:hAnsiTheme="majorHAnsi" w:cstheme="majorBidi"/>
          <w:bCs/>
          <w:color w:val="000000" w:themeColor="text1"/>
          <w:sz w:val="24"/>
          <w:szCs w:val="24"/>
        </w:rPr>
        <w:t xml:space="preserve">employees.  A </w:t>
      </w:r>
      <w:r w:rsidR="00D877BC">
        <w:rPr>
          <w:rFonts w:asciiTheme="majorHAnsi" w:eastAsiaTheme="majorEastAsia" w:hAnsiTheme="majorHAnsi" w:cstheme="majorBidi"/>
          <w:bCs/>
          <w:color w:val="000000" w:themeColor="text1"/>
          <w:sz w:val="24"/>
          <w:szCs w:val="24"/>
        </w:rPr>
        <w:t>key criterion</w:t>
      </w:r>
      <w:r w:rsidR="00327962">
        <w:rPr>
          <w:rFonts w:asciiTheme="majorHAnsi" w:eastAsiaTheme="majorEastAsia" w:hAnsiTheme="majorHAnsi" w:cstheme="majorBidi"/>
          <w:bCs/>
          <w:color w:val="000000" w:themeColor="text1"/>
          <w:sz w:val="24"/>
          <w:szCs w:val="24"/>
        </w:rPr>
        <w:t xml:space="preserve"> that </w:t>
      </w:r>
      <w:r w:rsidR="006E39CA">
        <w:rPr>
          <w:rFonts w:asciiTheme="majorHAnsi" w:eastAsiaTheme="majorEastAsia" w:hAnsiTheme="majorHAnsi" w:cstheme="majorBidi"/>
          <w:bCs/>
          <w:color w:val="000000" w:themeColor="text1"/>
          <w:sz w:val="24"/>
          <w:szCs w:val="24"/>
        </w:rPr>
        <w:t>EACC</w:t>
      </w:r>
      <w:r w:rsidR="00327962">
        <w:rPr>
          <w:rFonts w:asciiTheme="majorHAnsi" w:eastAsiaTheme="majorEastAsia" w:hAnsiTheme="majorHAnsi" w:cstheme="majorBidi"/>
          <w:bCs/>
          <w:color w:val="000000" w:themeColor="text1"/>
          <w:sz w:val="24"/>
          <w:szCs w:val="24"/>
        </w:rPr>
        <w:t xml:space="preserve"> </w:t>
      </w:r>
      <w:r w:rsidR="00D877BC">
        <w:rPr>
          <w:rFonts w:asciiTheme="majorHAnsi" w:eastAsiaTheme="majorEastAsia" w:hAnsiTheme="majorHAnsi" w:cstheme="majorBidi"/>
          <w:bCs/>
          <w:color w:val="000000" w:themeColor="text1"/>
          <w:sz w:val="24"/>
          <w:szCs w:val="24"/>
        </w:rPr>
        <w:t>uses</w:t>
      </w:r>
      <w:r w:rsidR="00327962">
        <w:rPr>
          <w:rFonts w:asciiTheme="majorHAnsi" w:eastAsiaTheme="majorEastAsia" w:hAnsiTheme="majorHAnsi" w:cstheme="majorBidi"/>
          <w:bCs/>
          <w:color w:val="000000" w:themeColor="text1"/>
          <w:sz w:val="24"/>
          <w:szCs w:val="24"/>
        </w:rPr>
        <w:t xml:space="preserve"> in approving a project</w:t>
      </w:r>
      <w:r w:rsidR="00262300">
        <w:rPr>
          <w:rFonts w:asciiTheme="majorHAnsi" w:eastAsiaTheme="majorEastAsia" w:hAnsiTheme="majorHAnsi" w:cstheme="majorBidi"/>
          <w:bCs/>
          <w:color w:val="000000" w:themeColor="text1"/>
          <w:sz w:val="24"/>
          <w:szCs w:val="24"/>
        </w:rPr>
        <w:t xml:space="preserve"> and</w:t>
      </w:r>
      <w:r w:rsidR="00FD0EF5">
        <w:rPr>
          <w:rFonts w:asciiTheme="majorHAnsi" w:eastAsiaTheme="majorEastAsia" w:hAnsiTheme="majorHAnsi" w:cstheme="majorBidi"/>
          <w:bCs/>
          <w:color w:val="000000" w:themeColor="text1"/>
          <w:sz w:val="24"/>
          <w:szCs w:val="24"/>
        </w:rPr>
        <w:t xml:space="preserve"> corresponding</w:t>
      </w:r>
      <w:r w:rsidR="00327962">
        <w:rPr>
          <w:rFonts w:asciiTheme="majorHAnsi" w:eastAsiaTheme="majorEastAsia" w:hAnsiTheme="majorHAnsi" w:cstheme="majorBidi"/>
          <w:bCs/>
          <w:color w:val="000000" w:themeColor="text1"/>
          <w:sz w:val="24"/>
          <w:szCs w:val="24"/>
        </w:rPr>
        <w:t xml:space="preserve"> credit is</w:t>
      </w:r>
      <w:r w:rsidR="00FD0EF5">
        <w:rPr>
          <w:rFonts w:asciiTheme="majorHAnsi" w:eastAsiaTheme="majorEastAsia" w:hAnsiTheme="majorHAnsi" w:cstheme="majorBidi"/>
          <w:bCs/>
          <w:color w:val="000000" w:themeColor="text1"/>
          <w:sz w:val="24"/>
          <w:szCs w:val="24"/>
        </w:rPr>
        <w:t xml:space="preserve"> whether </w:t>
      </w:r>
      <w:r w:rsidR="00D877BC">
        <w:rPr>
          <w:rFonts w:asciiTheme="majorHAnsi" w:eastAsiaTheme="majorEastAsia" w:hAnsiTheme="majorHAnsi" w:cstheme="majorBidi"/>
          <w:bCs/>
          <w:color w:val="000000" w:themeColor="text1"/>
          <w:sz w:val="24"/>
          <w:szCs w:val="24"/>
        </w:rPr>
        <w:t>the</w:t>
      </w:r>
      <w:r w:rsidR="00327962">
        <w:rPr>
          <w:rFonts w:asciiTheme="majorHAnsi" w:eastAsiaTheme="majorEastAsia" w:hAnsiTheme="majorHAnsi" w:cstheme="majorBidi"/>
          <w:bCs/>
          <w:color w:val="000000" w:themeColor="text1"/>
          <w:sz w:val="24"/>
          <w:szCs w:val="24"/>
        </w:rPr>
        <w:t xml:space="preserve"> project would not occur “but for” the EDIP tax credit incentive.  </w:t>
      </w:r>
      <w:r w:rsidR="00D877BC">
        <w:rPr>
          <w:rFonts w:asciiTheme="majorHAnsi" w:eastAsiaTheme="majorEastAsia" w:hAnsiTheme="majorHAnsi" w:cstheme="majorBidi"/>
          <w:bCs/>
          <w:color w:val="000000" w:themeColor="text1"/>
          <w:sz w:val="24"/>
          <w:szCs w:val="24"/>
        </w:rPr>
        <w:t xml:space="preserve">For this purpose, </w:t>
      </w:r>
      <w:r w:rsidR="006E39CA">
        <w:rPr>
          <w:rFonts w:asciiTheme="majorHAnsi" w:eastAsiaTheme="majorEastAsia" w:hAnsiTheme="majorHAnsi" w:cstheme="majorBidi"/>
          <w:bCs/>
          <w:color w:val="000000" w:themeColor="text1"/>
          <w:sz w:val="24"/>
          <w:szCs w:val="24"/>
        </w:rPr>
        <w:t>EACC</w:t>
      </w:r>
      <w:r w:rsidR="00D877BC">
        <w:rPr>
          <w:rFonts w:asciiTheme="majorHAnsi" w:eastAsiaTheme="majorEastAsia" w:hAnsiTheme="majorHAnsi" w:cstheme="majorBidi"/>
          <w:bCs/>
          <w:color w:val="000000" w:themeColor="text1"/>
          <w:sz w:val="24"/>
          <w:szCs w:val="24"/>
        </w:rPr>
        <w:t xml:space="preserve"> considers answers to </w:t>
      </w:r>
      <w:r w:rsidR="00327962">
        <w:rPr>
          <w:rFonts w:asciiTheme="majorHAnsi" w:eastAsiaTheme="majorEastAsia" w:hAnsiTheme="majorHAnsi" w:cstheme="majorBidi"/>
          <w:bCs/>
          <w:color w:val="000000" w:themeColor="text1"/>
          <w:sz w:val="24"/>
          <w:szCs w:val="24"/>
        </w:rPr>
        <w:t>questions includ</w:t>
      </w:r>
      <w:r w:rsidR="00D877BC">
        <w:rPr>
          <w:rFonts w:asciiTheme="majorHAnsi" w:eastAsiaTheme="majorEastAsia" w:hAnsiTheme="majorHAnsi" w:cstheme="majorBidi"/>
          <w:bCs/>
          <w:color w:val="000000" w:themeColor="text1"/>
          <w:sz w:val="24"/>
          <w:szCs w:val="24"/>
        </w:rPr>
        <w:t>ing</w:t>
      </w:r>
      <w:r w:rsidR="00327962">
        <w:rPr>
          <w:rFonts w:asciiTheme="majorHAnsi" w:eastAsiaTheme="majorEastAsia" w:hAnsiTheme="majorHAnsi" w:cstheme="majorBidi"/>
          <w:bCs/>
          <w:color w:val="000000" w:themeColor="text1"/>
          <w:sz w:val="24"/>
          <w:szCs w:val="24"/>
        </w:rPr>
        <w:t xml:space="preserve"> “Is property already purchased?”, “Is lease already signed?”, “Has new</w:t>
      </w:r>
      <w:r w:rsidR="00D877BC">
        <w:rPr>
          <w:rFonts w:asciiTheme="majorHAnsi" w:eastAsiaTheme="majorEastAsia" w:hAnsiTheme="majorHAnsi" w:cstheme="majorBidi"/>
          <w:bCs/>
          <w:color w:val="000000" w:themeColor="text1"/>
          <w:sz w:val="24"/>
          <w:szCs w:val="24"/>
        </w:rPr>
        <w:t>s</w:t>
      </w:r>
      <w:r w:rsidR="00327962">
        <w:rPr>
          <w:rFonts w:asciiTheme="majorHAnsi" w:eastAsiaTheme="majorEastAsia" w:hAnsiTheme="majorHAnsi" w:cstheme="majorBidi"/>
          <w:bCs/>
          <w:color w:val="000000" w:themeColor="text1"/>
          <w:sz w:val="24"/>
          <w:szCs w:val="24"/>
        </w:rPr>
        <w:t xml:space="preserve"> article appeared on front page of local paper?”, “Has a groundbreaking ceremony been held?”, “Is equipment already placed on order?”, “Has a public announcement been made?”, and “Has construction begun?”.  </w:t>
      </w:r>
    </w:p>
    <w:p w14:paraId="5A15DDF0" w14:textId="77777777" w:rsidR="0087062C" w:rsidRDefault="0087062C" w:rsidP="00327962">
      <w:pPr>
        <w:spacing w:after="0"/>
        <w:rPr>
          <w:rFonts w:asciiTheme="majorHAnsi" w:eastAsiaTheme="majorEastAsia" w:hAnsiTheme="majorHAnsi" w:cstheme="majorBidi"/>
          <w:bCs/>
          <w:color w:val="000000" w:themeColor="text1"/>
          <w:sz w:val="24"/>
          <w:szCs w:val="24"/>
        </w:rPr>
      </w:pPr>
    </w:p>
    <w:p w14:paraId="13F03275" w14:textId="3DE90F8F" w:rsidR="00835551" w:rsidRDefault="00525CCE" w:rsidP="00327962">
      <w:pPr>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T</w:t>
      </w:r>
      <w:r w:rsidR="0087062C">
        <w:rPr>
          <w:rFonts w:asciiTheme="majorHAnsi" w:eastAsiaTheme="majorEastAsia" w:hAnsiTheme="majorHAnsi" w:cstheme="majorBidi"/>
          <w:bCs/>
          <w:color w:val="000000" w:themeColor="text1"/>
          <w:sz w:val="24"/>
          <w:szCs w:val="24"/>
        </w:rPr>
        <w:t xml:space="preserve">o </w:t>
      </w:r>
      <w:r w:rsidR="008D5E4C">
        <w:rPr>
          <w:rFonts w:asciiTheme="majorHAnsi" w:eastAsiaTheme="majorEastAsia" w:hAnsiTheme="majorHAnsi" w:cstheme="majorBidi"/>
          <w:bCs/>
          <w:color w:val="000000" w:themeColor="text1"/>
          <w:sz w:val="24"/>
          <w:szCs w:val="24"/>
        </w:rPr>
        <w:t xml:space="preserve">better </w:t>
      </w:r>
      <w:r w:rsidR="0087062C">
        <w:rPr>
          <w:rFonts w:asciiTheme="majorHAnsi" w:eastAsiaTheme="majorEastAsia" w:hAnsiTheme="majorHAnsi" w:cstheme="majorBidi"/>
          <w:bCs/>
          <w:color w:val="000000" w:themeColor="text1"/>
          <w:sz w:val="24"/>
          <w:szCs w:val="24"/>
        </w:rPr>
        <w:t>understand the numbers</w:t>
      </w:r>
      <w:r>
        <w:rPr>
          <w:rFonts w:asciiTheme="majorHAnsi" w:eastAsiaTheme="majorEastAsia" w:hAnsiTheme="majorHAnsi" w:cstheme="majorBidi"/>
          <w:bCs/>
          <w:color w:val="000000" w:themeColor="text1"/>
          <w:sz w:val="24"/>
          <w:szCs w:val="24"/>
        </w:rPr>
        <w:t xml:space="preserve"> in</w:t>
      </w:r>
      <w:r w:rsidR="008D5E4C">
        <w:rPr>
          <w:rFonts w:asciiTheme="majorHAnsi" w:eastAsiaTheme="majorEastAsia" w:hAnsiTheme="majorHAnsi" w:cstheme="majorBidi"/>
          <w:bCs/>
          <w:color w:val="000000" w:themeColor="text1"/>
          <w:sz w:val="24"/>
          <w:szCs w:val="24"/>
        </w:rPr>
        <w:t xml:space="preserve"> MOBD’s</w:t>
      </w:r>
      <w:r>
        <w:rPr>
          <w:rFonts w:asciiTheme="majorHAnsi" w:eastAsiaTheme="majorEastAsia" w:hAnsiTheme="majorHAnsi" w:cstheme="majorBidi"/>
          <w:bCs/>
          <w:color w:val="000000" w:themeColor="text1"/>
          <w:sz w:val="24"/>
          <w:szCs w:val="24"/>
        </w:rPr>
        <w:t xml:space="preserve"> annual report</w:t>
      </w:r>
      <w:r w:rsidR="006E39CA">
        <w:rPr>
          <w:rFonts w:asciiTheme="majorHAnsi" w:eastAsiaTheme="majorEastAsia" w:hAnsiTheme="majorHAnsi" w:cstheme="majorBidi"/>
          <w:bCs/>
          <w:color w:val="000000" w:themeColor="text1"/>
          <w:sz w:val="24"/>
          <w:szCs w:val="24"/>
        </w:rPr>
        <w:t>s</w:t>
      </w:r>
      <w:r>
        <w:rPr>
          <w:rFonts w:asciiTheme="majorHAnsi" w:eastAsiaTheme="majorEastAsia" w:hAnsiTheme="majorHAnsi" w:cstheme="majorBidi"/>
          <w:bCs/>
          <w:color w:val="000000" w:themeColor="text1"/>
          <w:sz w:val="24"/>
          <w:szCs w:val="24"/>
        </w:rPr>
        <w:t xml:space="preserve"> </w:t>
      </w:r>
      <w:r w:rsidR="008D5E4C">
        <w:rPr>
          <w:rFonts w:asciiTheme="majorHAnsi" w:eastAsiaTheme="majorEastAsia" w:hAnsiTheme="majorHAnsi" w:cstheme="majorBidi"/>
          <w:bCs/>
          <w:color w:val="000000" w:themeColor="text1"/>
          <w:sz w:val="24"/>
          <w:szCs w:val="24"/>
        </w:rPr>
        <w:t>as related to this evaluation report</w:t>
      </w:r>
      <w:r>
        <w:rPr>
          <w:rFonts w:asciiTheme="majorHAnsi" w:eastAsiaTheme="majorEastAsia" w:hAnsiTheme="majorHAnsi" w:cstheme="majorBidi"/>
          <w:bCs/>
          <w:color w:val="000000" w:themeColor="text1"/>
          <w:sz w:val="24"/>
          <w:szCs w:val="24"/>
        </w:rPr>
        <w:t>, we should note that</w:t>
      </w:r>
      <w:r w:rsidR="00916A73">
        <w:rPr>
          <w:rFonts w:asciiTheme="majorHAnsi" w:eastAsiaTheme="majorEastAsia" w:hAnsiTheme="majorHAnsi" w:cstheme="majorBidi"/>
          <w:bCs/>
          <w:color w:val="000000" w:themeColor="text1"/>
          <w:sz w:val="24"/>
          <w:szCs w:val="24"/>
        </w:rPr>
        <w:t>:</w:t>
      </w:r>
      <w:r>
        <w:rPr>
          <w:rFonts w:asciiTheme="majorHAnsi" w:eastAsiaTheme="majorEastAsia" w:hAnsiTheme="majorHAnsi" w:cstheme="majorBidi"/>
          <w:bCs/>
          <w:color w:val="000000" w:themeColor="text1"/>
          <w:sz w:val="24"/>
          <w:szCs w:val="24"/>
        </w:rPr>
        <w:t xml:space="preserve"> (1)</w:t>
      </w:r>
      <w:r w:rsidR="0087062C">
        <w:rPr>
          <w:rFonts w:asciiTheme="majorHAnsi" w:eastAsiaTheme="majorEastAsia" w:hAnsiTheme="majorHAnsi" w:cstheme="majorBidi"/>
          <w:bCs/>
          <w:color w:val="000000" w:themeColor="text1"/>
          <w:sz w:val="24"/>
          <w:szCs w:val="24"/>
        </w:rPr>
        <w:t xml:space="preserve"> </w:t>
      </w:r>
      <w:r w:rsidR="00B97D73" w:rsidRPr="00B97D73">
        <w:rPr>
          <w:rFonts w:asciiTheme="majorHAnsi" w:eastAsiaTheme="majorEastAsia" w:hAnsiTheme="majorHAnsi" w:cstheme="majorBidi"/>
          <w:bCs/>
          <w:color w:val="000000" w:themeColor="text1"/>
          <w:sz w:val="24"/>
          <w:szCs w:val="24"/>
        </w:rPr>
        <w:t>According to MOBD, when applying for the EDIP credit</w:t>
      </w:r>
      <w:r w:rsidR="00472813">
        <w:rPr>
          <w:rFonts w:asciiTheme="majorHAnsi" w:eastAsiaTheme="majorEastAsia" w:hAnsiTheme="majorHAnsi" w:cstheme="majorBidi"/>
          <w:bCs/>
          <w:color w:val="000000" w:themeColor="text1"/>
          <w:sz w:val="24"/>
          <w:szCs w:val="24"/>
        </w:rPr>
        <w:t>,</w:t>
      </w:r>
      <w:r w:rsidR="00B97D73" w:rsidRPr="00B97D73">
        <w:rPr>
          <w:rFonts w:asciiTheme="majorHAnsi" w:eastAsiaTheme="majorEastAsia" w:hAnsiTheme="majorHAnsi" w:cstheme="majorBidi"/>
          <w:bCs/>
          <w:color w:val="000000" w:themeColor="text1"/>
          <w:sz w:val="24"/>
          <w:szCs w:val="24"/>
        </w:rPr>
        <w:t xml:space="preserve"> companies commit to creating </w:t>
      </w:r>
      <w:r>
        <w:rPr>
          <w:rFonts w:asciiTheme="majorHAnsi" w:eastAsiaTheme="majorEastAsia" w:hAnsiTheme="majorHAnsi" w:cstheme="majorBidi"/>
          <w:bCs/>
          <w:color w:val="000000" w:themeColor="text1"/>
          <w:sz w:val="24"/>
          <w:szCs w:val="24"/>
        </w:rPr>
        <w:t>certain</w:t>
      </w:r>
      <w:r w:rsidR="00B97D73" w:rsidRPr="00B97D73">
        <w:rPr>
          <w:rFonts w:asciiTheme="majorHAnsi" w:eastAsiaTheme="majorEastAsia" w:hAnsiTheme="majorHAnsi" w:cstheme="majorBidi"/>
          <w:bCs/>
          <w:color w:val="000000" w:themeColor="text1"/>
          <w:sz w:val="24"/>
          <w:szCs w:val="24"/>
        </w:rPr>
        <w:t xml:space="preserve"> number of jobs over several number of years. </w:t>
      </w:r>
      <w:r w:rsidR="005C1D1C">
        <w:rPr>
          <w:rFonts w:asciiTheme="majorHAnsi" w:eastAsiaTheme="majorEastAsia" w:hAnsiTheme="majorHAnsi" w:cstheme="majorBidi"/>
          <w:bCs/>
          <w:color w:val="000000" w:themeColor="text1"/>
          <w:sz w:val="24"/>
          <w:szCs w:val="24"/>
        </w:rPr>
        <w:t>Hence, the numbers are cumulative</w:t>
      </w:r>
      <w:r w:rsidR="005C1D1C" w:rsidRPr="008D160C">
        <w:rPr>
          <w:rFonts w:asciiTheme="majorHAnsi" w:eastAsiaTheme="majorEastAsia" w:hAnsiTheme="majorHAnsi" w:cstheme="majorBidi"/>
          <w:bCs/>
          <w:color w:val="000000" w:themeColor="text1"/>
          <w:sz w:val="24"/>
          <w:szCs w:val="24"/>
        </w:rPr>
        <w:t>.</w:t>
      </w:r>
      <w:r>
        <w:rPr>
          <w:rFonts w:asciiTheme="majorHAnsi" w:eastAsiaTheme="majorEastAsia" w:hAnsiTheme="majorHAnsi" w:cstheme="majorBidi"/>
          <w:bCs/>
          <w:color w:val="000000" w:themeColor="text1"/>
          <w:sz w:val="24"/>
          <w:szCs w:val="24"/>
        </w:rPr>
        <w:t xml:space="preserve"> (2)</w:t>
      </w:r>
      <w:r w:rsidR="00B97D73" w:rsidRPr="00B97D73">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More i</w:t>
      </w:r>
      <w:r w:rsidR="002D2DA4">
        <w:rPr>
          <w:rFonts w:asciiTheme="majorHAnsi" w:eastAsiaTheme="majorEastAsia" w:hAnsiTheme="majorHAnsi" w:cstheme="majorBidi"/>
          <w:bCs/>
          <w:color w:val="000000" w:themeColor="text1"/>
          <w:sz w:val="24"/>
          <w:szCs w:val="24"/>
        </w:rPr>
        <w:t xml:space="preserve">mportantly, </w:t>
      </w:r>
      <w:r w:rsidR="006E39CA">
        <w:rPr>
          <w:rFonts w:asciiTheme="majorHAnsi" w:eastAsiaTheme="majorEastAsia" w:hAnsiTheme="majorHAnsi" w:cstheme="majorBidi"/>
          <w:bCs/>
          <w:color w:val="000000" w:themeColor="text1"/>
          <w:sz w:val="24"/>
          <w:szCs w:val="24"/>
        </w:rPr>
        <w:t>although EACC uses the “but for” criterion to choose projects, there is still possibility that</w:t>
      </w:r>
      <w:r w:rsidR="00593025">
        <w:rPr>
          <w:rFonts w:asciiTheme="majorHAnsi" w:eastAsiaTheme="majorEastAsia" w:hAnsiTheme="majorHAnsi" w:cstheme="majorBidi"/>
          <w:bCs/>
          <w:color w:val="000000" w:themeColor="text1"/>
          <w:sz w:val="24"/>
          <w:szCs w:val="24"/>
        </w:rPr>
        <w:t xml:space="preserve"> some of the </w:t>
      </w:r>
      <w:r>
        <w:rPr>
          <w:rFonts w:asciiTheme="majorHAnsi" w:eastAsiaTheme="majorEastAsia" w:hAnsiTheme="majorHAnsi" w:cstheme="majorBidi"/>
          <w:bCs/>
          <w:color w:val="000000" w:themeColor="text1"/>
          <w:sz w:val="24"/>
          <w:szCs w:val="24"/>
        </w:rPr>
        <w:t>money</w:t>
      </w:r>
      <w:r w:rsidR="00593025">
        <w:rPr>
          <w:rFonts w:asciiTheme="majorHAnsi" w:eastAsiaTheme="majorEastAsia" w:hAnsiTheme="majorHAnsi" w:cstheme="majorBidi"/>
          <w:bCs/>
          <w:color w:val="000000" w:themeColor="text1"/>
          <w:sz w:val="24"/>
          <w:szCs w:val="24"/>
        </w:rPr>
        <w:t xml:space="preserve"> the companies invest in the </w:t>
      </w:r>
      <w:r w:rsidR="0022648D">
        <w:rPr>
          <w:rFonts w:asciiTheme="majorHAnsi" w:eastAsiaTheme="majorEastAsia" w:hAnsiTheme="majorHAnsi" w:cstheme="majorBidi"/>
          <w:bCs/>
          <w:color w:val="000000" w:themeColor="text1"/>
          <w:sz w:val="24"/>
          <w:szCs w:val="24"/>
        </w:rPr>
        <w:t xml:space="preserve">EDIP </w:t>
      </w:r>
      <w:r w:rsidR="00593025">
        <w:rPr>
          <w:rFonts w:asciiTheme="majorHAnsi" w:eastAsiaTheme="majorEastAsia" w:hAnsiTheme="majorHAnsi" w:cstheme="majorBidi"/>
          <w:bCs/>
          <w:color w:val="000000" w:themeColor="text1"/>
          <w:sz w:val="24"/>
          <w:szCs w:val="24"/>
        </w:rPr>
        <w:t xml:space="preserve">projects could have been </w:t>
      </w:r>
      <w:r>
        <w:rPr>
          <w:rFonts w:asciiTheme="majorHAnsi" w:eastAsiaTheme="majorEastAsia" w:hAnsiTheme="majorHAnsi" w:cstheme="majorBidi"/>
          <w:bCs/>
          <w:color w:val="000000" w:themeColor="text1"/>
          <w:sz w:val="24"/>
          <w:szCs w:val="24"/>
        </w:rPr>
        <w:t xml:space="preserve">invested in </w:t>
      </w:r>
      <w:r w:rsidR="00593025">
        <w:rPr>
          <w:rFonts w:asciiTheme="majorHAnsi" w:eastAsiaTheme="majorEastAsia" w:hAnsiTheme="majorHAnsi" w:cstheme="majorBidi"/>
          <w:bCs/>
          <w:color w:val="000000" w:themeColor="text1"/>
          <w:sz w:val="24"/>
          <w:szCs w:val="24"/>
        </w:rPr>
        <w:t>other projects in Massachusetts</w:t>
      </w:r>
      <w:r w:rsidR="00071E27">
        <w:rPr>
          <w:rFonts w:asciiTheme="majorHAnsi" w:eastAsiaTheme="majorEastAsia" w:hAnsiTheme="majorHAnsi" w:cstheme="majorBidi"/>
          <w:bCs/>
          <w:color w:val="000000" w:themeColor="text1"/>
          <w:sz w:val="24"/>
          <w:szCs w:val="24"/>
        </w:rPr>
        <w:t xml:space="preserve"> </w:t>
      </w:r>
      <w:r w:rsidR="002D2DA4">
        <w:rPr>
          <w:rFonts w:asciiTheme="majorHAnsi" w:eastAsiaTheme="majorEastAsia" w:hAnsiTheme="majorHAnsi" w:cstheme="majorBidi"/>
          <w:bCs/>
          <w:color w:val="000000" w:themeColor="text1"/>
          <w:sz w:val="24"/>
          <w:szCs w:val="24"/>
        </w:rPr>
        <w:t xml:space="preserve">even </w:t>
      </w:r>
      <w:r w:rsidR="00071E27">
        <w:rPr>
          <w:rFonts w:asciiTheme="majorHAnsi" w:eastAsiaTheme="majorEastAsia" w:hAnsiTheme="majorHAnsi" w:cstheme="majorBidi"/>
          <w:bCs/>
          <w:color w:val="000000" w:themeColor="text1"/>
          <w:sz w:val="24"/>
          <w:szCs w:val="24"/>
        </w:rPr>
        <w:t xml:space="preserve">if the tax incentive </w:t>
      </w:r>
      <w:r w:rsidR="00B206A1">
        <w:rPr>
          <w:rFonts w:asciiTheme="majorHAnsi" w:eastAsiaTheme="majorEastAsia" w:hAnsiTheme="majorHAnsi" w:cstheme="majorBidi"/>
          <w:bCs/>
          <w:color w:val="000000" w:themeColor="text1"/>
          <w:sz w:val="24"/>
          <w:szCs w:val="24"/>
        </w:rPr>
        <w:t xml:space="preserve">had not </w:t>
      </w:r>
      <w:r w:rsidR="00071E27">
        <w:rPr>
          <w:rFonts w:asciiTheme="majorHAnsi" w:eastAsiaTheme="majorEastAsia" w:hAnsiTheme="majorHAnsi" w:cstheme="majorBidi"/>
          <w:bCs/>
          <w:color w:val="000000" w:themeColor="text1"/>
          <w:sz w:val="24"/>
          <w:szCs w:val="24"/>
        </w:rPr>
        <w:t>exist</w:t>
      </w:r>
      <w:r w:rsidR="00B206A1">
        <w:rPr>
          <w:rFonts w:asciiTheme="majorHAnsi" w:eastAsiaTheme="majorEastAsia" w:hAnsiTheme="majorHAnsi" w:cstheme="majorBidi"/>
          <w:bCs/>
          <w:color w:val="000000" w:themeColor="text1"/>
          <w:sz w:val="24"/>
          <w:szCs w:val="24"/>
        </w:rPr>
        <w:t>ed</w:t>
      </w:r>
      <w:r w:rsidR="003524B0">
        <w:rPr>
          <w:rFonts w:asciiTheme="majorHAnsi" w:eastAsiaTheme="majorEastAsia" w:hAnsiTheme="majorHAnsi" w:cstheme="majorBidi"/>
          <w:bCs/>
          <w:color w:val="000000" w:themeColor="text1"/>
          <w:sz w:val="24"/>
          <w:szCs w:val="24"/>
        </w:rPr>
        <w:t xml:space="preserve">, because </w:t>
      </w:r>
      <w:r>
        <w:rPr>
          <w:rFonts w:asciiTheme="majorHAnsi" w:eastAsiaTheme="majorEastAsia" w:hAnsiTheme="majorHAnsi" w:cstheme="majorBidi"/>
          <w:bCs/>
          <w:color w:val="000000" w:themeColor="text1"/>
          <w:sz w:val="24"/>
          <w:szCs w:val="24"/>
        </w:rPr>
        <w:t>investors</w:t>
      </w:r>
      <w:r w:rsidR="003524B0">
        <w:rPr>
          <w:rFonts w:asciiTheme="majorHAnsi" w:eastAsiaTheme="majorEastAsia" w:hAnsiTheme="majorHAnsi" w:cstheme="majorBidi"/>
          <w:bCs/>
          <w:color w:val="000000" w:themeColor="text1"/>
          <w:sz w:val="24"/>
          <w:szCs w:val="24"/>
        </w:rPr>
        <w:t xml:space="preserve"> would not </w:t>
      </w:r>
      <w:r>
        <w:rPr>
          <w:rFonts w:asciiTheme="majorHAnsi" w:eastAsiaTheme="majorEastAsia" w:hAnsiTheme="majorHAnsi" w:cstheme="majorBidi"/>
          <w:bCs/>
          <w:color w:val="000000" w:themeColor="text1"/>
          <w:sz w:val="24"/>
          <w:szCs w:val="24"/>
        </w:rPr>
        <w:t>let</w:t>
      </w:r>
      <w:r w:rsidR="003524B0">
        <w:rPr>
          <w:rFonts w:asciiTheme="majorHAnsi" w:eastAsiaTheme="majorEastAsia" w:hAnsiTheme="majorHAnsi" w:cstheme="majorBidi"/>
          <w:bCs/>
          <w:color w:val="000000" w:themeColor="text1"/>
          <w:sz w:val="24"/>
          <w:szCs w:val="24"/>
        </w:rPr>
        <w:t xml:space="preserve"> their </w:t>
      </w:r>
      <w:r>
        <w:rPr>
          <w:rFonts w:asciiTheme="majorHAnsi" w:eastAsiaTheme="majorEastAsia" w:hAnsiTheme="majorHAnsi" w:cstheme="majorBidi"/>
          <w:bCs/>
          <w:color w:val="000000" w:themeColor="text1"/>
          <w:sz w:val="24"/>
          <w:szCs w:val="24"/>
        </w:rPr>
        <w:t>money sit</w:t>
      </w:r>
      <w:r w:rsidR="003524B0">
        <w:rPr>
          <w:rFonts w:asciiTheme="majorHAnsi" w:eastAsiaTheme="majorEastAsia" w:hAnsiTheme="majorHAnsi" w:cstheme="majorBidi"/>
          <w:bCs/>
          <w:color w:val="000000" w:themeColor="text1"/>
          <w:sz w:val="24"/>
          <w:szCs w:val="24"/>
        </w:rPr>
        <w:t xml:space="preserve"> idle</w:t>
      </w:r>
      <w:r w:rsidR="00593025">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Or in other words, the investments in EDIP projects are not necessarily all “net new” investment to Massachusetts.</w:t>
      </w:r>
      <w:r w:rsidR="006E39CA">
        <w:rPr>
          <w:rFonts w:asciiTheme="majorHAnsi" w:eastAsiaTheme="majorEastAsia" w:hAnsiTheme="majorHAnsi" w:cstheme="majorBidi"/>
          <w:bCs/>
          <w:color w:val="000000" w:themeColor="text1"/>
          <w:sz w:val="24"/>
          <w:szCs w:val="24"/>
        </w:rPr>
        <w:t xml:space="preserve"> They could be shift from other parts of Massachusetts or shift from future investments.</w:t>
      </w:r>
      <w:r>
        <w:rPr>
          <w:rFonts w:asciiTheme="majorHAnsi" w:eastAsiaTheme="majorEastAsia" w:hAnsiTheme="majorHAnsi" w:cstheme="majorBidi"/>
          <w:bCs/>
          <w:color w:val="000000" w:themeColor="text1"/>
          <w:sz w:val="24"/>
          <w:szCs w:val="24"/>
        </w:rPr>
        <w:t xml:space="preserve"> (3) </w:t>
      </w:r>
      <w:r w:rsidR="008D5E4C">
        <w:rPr>
          <w:rFonts w:asciiTheme="majorHAnsi" w:eastAsiaTheme="majorEastAsia" w:hAnsiTheme="majorHAnsi" w:cstheme="majorBidi"/>
          <w:bCs/>
          <w:color w:val="000000" w:themeColor="text1"/>
          <w:sz w:val="24"/>
          <w:szCs w:val="24"/>
        </w:rPr>
        <w:t>S</w:t>
      </w:r>
      <w:r w:rsidR="00593025">
        <w:rPr>
          <w:rFonts w:asciiTheme="majorHAnsi" w:eastAsiaTheme="majorEastAsia" w:hAnsiTheme="majorHAnsi" w:cstheme="majorBidi"/>
          <w:bCs/>
          <w:color w:val="000000" w:themeColor="text1"/>
          <w:sz w:val="24"/>
          <w:szCs w:val="24"/>
        </w:rPr>
        <w:t>ome of commit</w:t>
      </w:r>
      <w:r>
        <w:rPr>
          <w:rFonts w:asciiTheme="majorHAnsi" w:eastAsiaTheme="majorEastAsia" w:hAnsiTheme="majorHAnsi" w:cstheme="majorBidi"/>
          <w:bCs/>
          <w:color w:val="000000" w:themeColor="text1"/>
          <w:sz w:val="24"/>
          <w:szCs w:val="24"/>
        </w:rPr>
        <w:t>ted investments and job creation/retention</w:t>
      </w:r>
      <w:r w:rsidR="00593025">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might</w:t>
      </w:r>
      <w:r w:rsidR="00EC2DE2">
        <w:rPr>
          <w:rFonts w:asciiTheme="majorHAnsi" w:eastAsiaTheme="majorEastAsia" w:hAnsiTheme="majorHAnsi" w:cstheme="majorBidi"/>
          <w:bCs/>
          <w:color w:val="000000" w:themeColor="text1"/>
          <w:sz w:val="24"/>
          <w:szCs w:val="24"/>
        </w:rPr>
        <w:t xml:space="preserve"> </w:t>
      </w:r>
      <w:r w:rsidR="005D2E25">
        <w:rPr>
          <w:rFonts w:asciiTheme="majorHAnsi" w:eastAsiaTheme="majorEastAsia" w:hAnsiTheme="majorHAnsi" w:cstheme="majorBidi"/>
          <w:bCs/>
          <w:color w:val="000000" w:themeColor="text1"/>
          <w:sz w:val="24"/>
          <w:szCs w:val="24"/>
        </w:rPr>
        <w:t xml:space="preserve">not </w:t>
      </w:r>
      <w:r w:rsidR="00124E6C">
        <w:rPr>
          <w:rFonts w:asciiTheme="majorHAnsi" w:eastAsiaTheme="majorEastAsia" w:hAnsiTheme="majorHAnsi" w:cstheme="majorBidi"/>
          <w:bCs/>
          <w:color w:val="000000" w:themeColor="text1"/>
          <w:sz w:val="24"/>
          <w:szCs w:val="24"/>
        </w:rPr>
        <w:t xml:space="preserve">actually </w:t>
      </w:r>
      <w:r w:rsidR="002E2A66">
        <w:rPr>
          <w:rFonts w:asciiTheme="majorHAnsi" w:eastAsiaTheme="majorEastAsia" w:hAnsiTheme="majorHAnsi" w:cstheme="majorBidi"/>
          <w:bCs/>
          <w:color w:val="000000" w:themeColor="text1"/>
          <w:sz w:val="24"/>
          <w:szCs w:val="24"/>
        </w:rPr>
        <w:t xml:space="preserve">be </w:t>
      </w:r>
      <w:r w:rsidR="00593025">
        <w:rPr>
          <w:rFonts w:asciiTheme="majorHAnsi" w:eastAsiaTheme="majorEastAsia" w:hAnsiTheme="majorHAnsi" w:cstheme="majorBidi"/>
          <w:bCs/>
          <w:color w:val="000000" w:themeColor="text1"/>
          <w:sz w:val="24"/>
          <w:szCs w:val="24"/>
        </w:rPr>
        <w:t xml:space="preserve">realized due to changes in situation later. </w:t>
      </w:r>
      <w:r w:rsidR="008D5E4C">
        <w:rPr>
          <w:rFonts w:asciiTheme="majorHAnsi" w:eastAsiaTheme="majorEastAsia" w:hAnsiTheme="majorHAnsi" w:cstheme="majorBidi"/>
          <w:bCs/>
          <w:color w:val="000000" w:themeColor="text1"/>
          <w:sz w:val="24"/>
          <w:szCs w:val="24"/>
        </w:rPr>
        <w:t>(4) EDIP program has components other than the credit though the latter is the key component.</w:t>
      </w:r>
    </w:p>
    <w:p w14:paraId="00CC660F" w14:textId="77777777" w:rsidR="00327962" w:rsidRDefault="00327962" w:rsidP="00327962">
      <w:pPr>
        <w:spacing w:after="0"/>
        <w:rPr>
          <w:rFonts w:asciiTheme="majorHAnsi" w:eastAsiaTheme="majorEastAsia" w:hAnsiTheme="majorHAnsi" w:cstheme="majorBidi"/>
          <w:bCs/>
          <w:color w:val="000000" w:themeColor="text1"/>
          <w:sz w:val="24"/>
          <w:szCs w:val="24"/>
        </w:rPr>
      </w:pPr>
    </w:p>
    <w:p w14:paraId="3C73FFBA" w14:textId="77777777" w:rsidR="0082612B" w:rsidRPr="00003FFA" w:rsidRDefault="0082612B" w:rsidP="00291074">
      <w:pPr>
        <w:tabs>
          <w:tab w:val="left" w:pos="7050"/>
        </w:tabs>
        <w:spacing w:after="0"/>
        <w:rPr>
          <w:rFonts w:asciiTheme="majorHAnsi" w:hAnsiTheme="majorHAnsi"/>
          <w:b/>
          <w:sz w:val="24"/>
          <w:szCs w:val="24"/>
        </w:rPr>
      </w:pPr>
    </w:p>
    <w:p w14:paraId="492657D7" w14:textId="77777777" w:rsidR="00291074" w:rsidRPr="00A07439" w:rsidRDefault="00291074" w:rsidP="00291074">
      <w:pPr>
        <w:tabs>
          <w:tab w:val="left" w:pos="7050"/>
        </w:tabs>
        <w:spacing w:after="0"/>
        <w:rPr>
          <w:rFonts w:asciiTheme="majorHAnsi" w:hAnsiTheme="majorHAnsi"/>
          <w:b/>
          <w:color w:val="E36C0A" w:themeColor="accent6" w:themeShade="BF"/>
          <w:sz w:val="28"/>
          <w:szCs w:val="28"/>
        </w:rPr>
      </w:pPr>
      <w:r w:rsidRPr="00A07439">
        <w:rPr>
          <w:rFonts w:asciiTheme="majorHAnsi" w:hAnsiTheme="majorHAnsi"/>
          <w:b/>
          <w:color w:val="E36C0A" w:themeColor="accent6" w:themeShade="BF"/>
          <w:sz w:val="28"/>
          <w:szCs w:val="28"/>
        </w:rPr>
        <w:t>EVALUATION:  COMPARING COSTS AND BENEFITS</w:t>
      </w:r>
    </w:p>
    <w:p w14:paraId="5F04AD2B" w14:textId="77777777" w:rsidR="00BF5CC0" w:rsidRDefault="00BF5CC0" w:rsidP="00BF5CC0">
      <w:pPr>
        <w:tabs>
          <w:tab w:val="left" w:pos="7050"/>
        </w:tabs>
        <w:spacing w:after="0"/>
        <w:rPr>
          <w:rFonts w:asciiTheme="majorHAnsi" w:hAnsiTheme="majorHAnsi"/>
          <w:bCs/>
          <w:sz w:val="24"/>
          <w:szCs w:val="24"/>
        </w:rPr>
      </w:pPr>
      <w:r>
        <w:rPr>
          <w:rFonts w:asciiTheme="majorHAnsi" w:hAnsiTheme="majorHAnsi"/>
          <w:bCs/>
          <w:sz w:val="24"/>
          <w:szCs w:val="24"/>
        </w:rPr>
        <w:t xml:space="preserve">In the previous sections, we report the direct costs (to the Commonwealth, or to the residents and businesses who ultimately bear the costs when the Commonwealth cuts government spending or increases tax to finance the </w:t>
      </w:r>
      <w:r w:rsidR="00E50DBC">
        <w:rPr>
          <w:rFonts w:asciiTheme="majorHAnsi" w:hAnsiTheme="majorHAnsi"/>
          <w:bCs/>
          <w:sz w:val="24"/>
          <w:szCs w:val="24"/>
        </w:rPr>
        <w:t>EDIP credit</w:t>
      </w:r>
      <w:r>
        <w:rPr>
          <w:rFonts w:asciiTheme="majorHAnsi" w:hAnsiTheme="majorHAnsi"/>
          <w:bCs/>
          <w:sz w:val="24"/>
          <w:szCs w:val="24"/>
        </w:rPr>
        <w:t xml:space="preserve">) and direct benefits (to taxpayers who claim the </w:t>
      </w:r>
      <w:r w:rsidR="00E50DBC">
        <w:rPr>
          <w:rFonts w:asciiTheme="majorHAnsi" w:hAnsiTheme="majorHAnsi"/>
          <w:bCs/>
          <w:sz w:val="24"/>
          <w:szCs w:val="24"/>
        </w:rPr>
        <w:t>credit</w:t>
      </w:r>
      <w:r>
        <w:rPr>
          <w:rFonts w:asciiTheme="majorHAnsi" w:hAnsiTheme="majorHAnsi"/>
          <w:bCs/>
          <w:sz w:val="24"/>
          <w:szCs w:val="24"/>
        </w:rPr>
        <w:t>) of this tax expenditure. Since the direct costs to the Commonwealth are the direct benefits to taxpayers, they are equal.</w:t>
      </w:r>
    </w:p>
    <w:p w14:paraId="51743132" w14:textId="77777777" w:rsidR="00BF5CC0" w:rsidRDefault="00BF5CC0" w:rsidP="00BF5CC0">
      <w:pPr>
        <w:tabs>
          <w:tab w:val="left" w:pos="7050"/>
        </w:tabs>
        <w:spacing w:after="0"/>
        <w:rPr>
          <w:rFonts w:asciiTheme="majorHAnsi" w:hAnsiTheme="majorHAnsi"/>
          <w:bCs/>
          <w:sz w:val="24"/>
          <w:szCs w:val="24"/>
        </w:rPr>
      </w:pPr>
    </w:p>
    <w:p w14:paraId="71903E8D" w14:textId="77777777" w:rsidR="00BF5CC0" w:rsidRDefault="00BF5CC0" w:rsidP="00BF5CC0">
      <w:pPr>
        <w:tabs>
          <w:tab w:val="left" w:pos="7050"/>
        </w:tabs>
        <w:spacing w:after="0"/>
        <w:rPr>
          <w:rFonts w:asciiTheme="majorHAnsi" w:hAnsiTheme="majorHAnsi"/>
          <w:bCs/>
          <w:sz w:val="24"/>
          <w:szCs w:val="24"/>
        </w:rPr>
      </w:pPr>
      <w:r>
        <w:rPr>
          <w:rFonts w:asciiTheme="majorHAnsi" w:eastAsiaTheme="majorEastAsia" w:hAnsiTheme="majorHAnsi" w:cstheme="majorBidi"/>
          <w:bCs/>
          <w:color w:val="000000" w:themeColor="text1"/>
          <w:sz w:val="24"/>
          <w:szCs w:val="24"/>
        </w:rPr>
        <w:t>However, when looking at the broader economy, there are, in addition to direct impacts, indirect and induced impacts on other residents and businesses in Massachusetts. See appendix</w:t>
      </w:r>
      <w:r w:rsidR="00E50DBC">
        <w:rPr>
          <w:rFonts w:asciiTheme="majorHAnsi" w:eastAsiaTheme="majorEastAsia" w:hAnsiTheme="majorHAnsi" w:cstheme="majorBidi"/>
          <w:bCs/>
          <w:color w:val="000000" w:themeColor="text1"/>
          <w:sz w:val="24"/>
          <w:szCs w:val="24"/>
        </w:rPr>
        <w:t xml:space="preserve"> II</w:t>
      </w:r>
      <w:r>
        <w:rPr>
          <w:rFonts w:asciiTheme="majorHAnsi" w:eastAsiaTheme="majorEastAsia" w:hAnsiTheme="majorHAnsi" w:cstheme="majorBidi"/>
          <w:bCs/>
          <w:color w:val="000000" w:themeColor="text1"/>
          <w:sz w:val="24"/>
          <w:szCs w:val="24"/>
        </w:rPr>
        <w:t xml:space="preserve"> for more discussion.</w:t>
      </w:r>
    </w:p>
    <w:p w14:paraId="45BC9CEF" w14:textId="77777777" w:rsidR="00BF5CC0" w:rsidRDefault="00BF5CC0" w:rsidP="00BF5CC0">
      <w:pPr>
        <w:spacing w:after="0"/>
        <w:rPr>
          <w:rFonts w:asciiTheme="majorHAnsi" w:eastAsiaTheme="majorEastAsia" w:hAnsiTheme="majorHAnsi" w:cstheme="majorBidi"/>
          <w:bCs/>
          <w:color w:val="000000" w:themeColor="text1"/>
          <w:sz w:val="24"/>
          <w:szCs w:val="24"/>
        </w:rPr>
      </w:pPr>
      <w:r w:rsidRPr="00DF1213">
        <w:rPr>
          <w:rFonts w:asciiTheme="majorHAnsi" w:eastAsiaTheme="majorEastAsia" w:hAnsiTheme="majorHAnsi" w:cstheme="majorBidi"/>
          <w:bCs/>
          <w:color w:val="000000" w:themeColor="text1"/>
          <w:sz w:val="24"/>
          <w:szCs w:val="24"/>
        </w:rPr>
        <w:t xml:space="preserve"> </w:t>
      </w:r>
    </w:p>
    <w:p w14:paraId="6FDD6473" w14:textId="77777777" w:rsidR="00BF5CC0" w:rsidRDefault="00BF5CC0" w:rsidP="00BF5CC0">
      <w:pPr>
        <w:spacing w:after="0"/>
        <w:rPr>
          <w:rFonts w:asciiTheme="majorHAnsi" w:eastAsiaTheme="majorEastAsia" w:hAnsiTheme="majorHAnsi" w:cstheme="majorBidi"/>
          <w:bCs/>
          <w:color w:val="000000" w:themeColor="text1"/>
          <w:sz w:val="24"/>
          <w:szCs w:val="24"/>
        </w:rPr>
      </w:pPr>
      <w:r w:rsidRPr="00DF1213">
        <w:rPr>
          <w:rFonts w:asciiTheme="majorHAnsi" w:eastAsiaTheme="majorEastAsia" w:hAnsiTheme="majorHAnsi" w:cstheme="majorBidi"/>
          <w:bCs/>
          <w:color w:val="000000" w:themeColor="text1"/>
          <w:sz w:val="24"/>
          <w:szCs w:val="24"/>
        </w:rPr>
        <w:t xml:space="preserve">To </w:t>
      </w:r>
      <w:r>
        <w:rPr>
          <w:rFonts w:asciiTheme="majorHAnsi" w:eastAsiaTheme="majorEastAsia" w:hAnsiTheme="majorHAnsi" w:cstheme="majorBidi"/>
          <w:bCs/>
          <w:color w:val="000000" w:themeColor="text1"/>
          <w:sz w:val="24"/>
          <w:szCs w:val="24"/>
        </w:rPr>
        <w:t>determine the net impact of the tax expenditure, i.e., the total benefits (including direct, indirect and induced benefits) offset by the total costs (including direct, indirect and induced costs)</w:t>
      </w:r>
      <w:r w:rsidRPr="00DF1213">
        <w:rPr>
          <w:rFonts w:asciiTheme="majorHAnsi" w:eastAsiaTheme="majorEastAsia" w:hAnsiTheme="majorHAnsi" w:cstheme="majorBidi"/>
          <w:bCs/>
          <w:color w:val="000000" w:themeColor="text1"/>
          <w:sz w:val="24"/>
          <w:szCs w:val="24"/>
        </w:rPr>
        <w:t xml:space="preserve">, we employed </w:t>
      </w:r>
      <w:r>
        <w:rPr>
          <w:rFonts w:asciiTheme="majorHAnsi" w:eastAsiaTheme="majorEastAsia" w:hAnsiTheme="majorHAnsi" w:cstheme="majorBidi"/>
          <w:bCs/>
          <w:color w:val="000000" w:themeColor="text1"/>
          <w:sz w:val="24"/>
          <w:szCs w:val="24"/>
        </w:rPr>
        <w:t>the model of “</w:t>
      </w:r>
      <w:r w:rsidRPr="00DF1213">
        <w:rPr>
          <w:rFonts w:asciiTheme="majorHAnsi" w:eastAsiaTheme="majorEastAsia" w:hAnsiTheme="majorHAnsi" w:cstheme="majorBidi"/>
          <w:bCs/>
          <w:color w:val="000000" w:themeColor="text1"/>
          <w:sz w:val="24"/>
          <w:szCs w:val="24"/>
        </w:rPr>
        <w:t>Tax-PI</w:t>
      </w:r>
      <w:r>
        <w:rPr>
          <w:rFonts w:asciiTheme="majorHAnsi" w:eastAsiaTheme="majorEastAsia" w:hAnsiTheme="majorHAnsi" w:cstheme="majorBidi"/>
          <w:bCs/>
          <w:color w:val="000000" w:themeColor="text1"/>
          <w:sz w:val="24"/>
          <w:szCs w:val="24"/>
        </w:rPr>
        <w:t>” developed by Regional Economic Models Incorporated (“REMI”).</w:t>
      </w:r>
      <w:r>
        <w:rPr>
          <w:rStyle w:val="FootnoteReference"/>
          <w:rFonts w:asciiTheme="majorHAnsi" w:eastAsiaTheme="majorEastAsia" w:hAnsiTheme="majorHAnsi"/>
          <w:bCs/>
          <w:color w:val="000000" w:themeColor="text1"/>
          <w:sz w:val="24"/>
          <w:szCs w:val="24"/>
        </w:rPr>
        <w:footnoteReference w:id="7"/>
      </w:r>
      <w:r>
        <w:rPr>
          <w:rFonts w:asciiTheme="majorHAnsi" w:eastAsiaTheme="majorEastAsia" w:hAnsiTheme="majorHAnsi" w:cstheme="majorBidi"/>
          <w:bCs/>
          <w:color w:val="000000" w:themeColor="text1"/>
          <w:sz w:val="24"/>
          <w:szCs w:val="24"/>
        </w:rPr>
        <w:t xml:space="preserve">  See appendix</w:t>
      </w:r>
      <w:r w:rsidR="00E50DBC">
        <w:rPr>
          <w:rFonts w:asciiTheme="majorHAnsi" w:eastAsiaTheme="majorEastAsia" w:hAnsiTheme="majorHAnsi" w:cstheme="majorBidi"/>
          <w:bCs/>
          <w:color w:val="000000" w:themeColor="text1"/>
          <w:sz w:val="24"/>
          <w:szCs w:val="24"/>
        </w:rPr>
        <w:t xml:space="preserve"> II</w:t>
      </w:r>
      <w:r>
        <w:rPr>
          <w:rFonts w:asciiTheme="majorHAnsi" w:eastAsiaTheme="majorEastAsia" w:hAnsiTheme="majorHAnsi" w:cstheme="majorBidi"/>
          <w:bCs/>
          <w:color w:val="000000" w:themeColor="text1"/>
          <w:sz w:val="24"/>
          <w:szCs w:val="24"/>
        </w:rPr>
        <w:t xml:space="preserve"> for details.</w:t>
      </w:r>
    </w:p>
    <w:p w14:paraId="1B6371A3" w14:textId="77777777" w:rsidR="00BF5CC0" w:rsidRDefault="00BF5CC0" w:rsidP="00BF5CC0">
      <w:pPr>
        <w:spacing w:after="0"/>
        <w:rPr>
          <w:rFonts w:asciiTheme="majorHAnsi" w:hAnsiTheme="majorHAnsi"/>
          <w:bCs/>
          <w:sz w:val="24"/>
          <w:szCs w:val="23"/>
        </w:rPr>
      </w:pPr>
    </w:p>
    <w:p w14:paraId="510B3662" w14:textId="25D7DEA2" w:rsidR="00BF5CC0" w:rsidRDefault="00BF5CC0" w:rsidP="00BF5CC0">
      <w:pPr>
        <w:tabs>
          <w:tab w:val="left" w:pos="7050"/>
        </w:tabs>
        <w:spacing w:after="0"/>
        <w:rPr>
          <w:rFonts w:asciiTheme="majorHAnsi" w:hAnsiTheme="majorHAnsi"/>
          <w:bCs/>
          <w:sz w:val="24"/>
          <w:szCs w:val="23"/>
        </w:rPr>
      </w:pPr>
      <w:r>
        <w:rPr>
          <w:rFonts w:asciiTheme="majorHAnsi" w:hAnsiTheme="majorHAnsi"/>
          <w:bCs/>
          <w:sz w:val="24"/>
          <w:szCs w:val="23"/>
        </w:rPr>
        <w:t xml:space="preserve">The estimated net impact of the tax expenditure for fiscal years 2018 through 2022 are shown in </w:t>
      </w:r>
      <w:r w:rsidRPr="00A76DAE">
        <w:rPr>
          <w:rFonts w:asciiTheme="majorHAnsi" w:hAnsiTheme="majorHAnsi"/>
          <w:bCs/>
          <w:sz w:val="24"/>
          <w:szCs w:val="23"/>
        </w:rPr>
        <w:t xml:space="preserve">Tables </w:t>
      </w:r>
      <w:r w:rsidR="00E50DBC">
        <w:rPr>
          <w:rFonts w:asciiTheme="majorHAnsi" w:hAnsiTheme="majorHAnsi"/>
          <w:bCs/>
          <w:sz w:val="24"/>
          <w:szCs w:val="23"/>
        </w:rPr>
        <w:t>5</w:t>
      </w:r>
      <w:r w:rsidRPr="00A76DAE">
        <w:rPr>
          <w:rFonts w:asciiTheme="majorHAnsi" w:hAnsiTheme="majorHAnsi"/>
          <w:bCs/>
          <w:sz w:val="24"/>
          <w:szCs w:val="23"/>
        </w:rPr>
        <w:t xml:space="preserve"> and </w:t>
      </w:r>
      <w:r w:rsidR="00E50DBC">
        <w:rPr>
          <w:rFonts w:asciiTheme="majorHAnsi" w:hAnsiTheme="majorHAnsi"/>
          <w:bCs/>
          <w:sz w:val="24"/>
          <w:szCs w:val="23"/>
        </w:rPr>
        <w:t>6.</w:t>
      </w:r>
      <w:r>
        <w:rPr>
          <w:rFonts w:asciiTheme="majorHAnsi" w:hAnsiTheme="majorHAnsi"/>
          <w:bCs/>
          <w:sz w:val="24"/>
          <w:szCs w:val="23"/>
        </w:rPr>
        <w:t xml:space="preserve">  As</w:t>
      </w:r>
      <w:r w:rsidRPr="00A76DAE">
        <w:rPr>
          <w:rFonts w:asciiTheme="majorHAnsi" w:hAnsiTheme="majorHAnsi"/>
          <w:bCs/>
          <w:sz w:val="24"/>
          <w:szCs w:val="23"/>
        </w:rPr>
        <w:t xml:space="preserve"> show</w:t>
      </w:r>
      <w:r>
        <w:rPr>
          <w:rFonts w:asciiTheme="majorHAnsi" w:hAnsiTheme="majorHAnsi"/>
          <w:bCs/>
          <w:sz w:val="24"/>
          <w:szCs w:val="23"/>
        </w:rPr>
        <w:t>n,</w:t>
      </w:r>
      <w:r w:rsidRPr="00A76DAE">
        <w:rPr>
          <w:rFonts w:asciiTheme="majorHAnsi" w:hAnsiTheme="majorHAnsi"/>
          <w:bCs/>
          <w:sz w:val="24"/>
          <w:szCs w:val="23"/>
        </w:rPr>
        <w:t xml:space="preserve"> the </w:t>
      </w:r>
      <w:r w:rsidR="00E50DBC">
        <w:rPr>
          <w:rFonts w:asciiTheme="majorHAnsi" w:hAnsiTheme="majorHAnsi"/>
          <w:bCs/>
          <w:sz w:val="24"/>
          <w:szCs w:val="23"/>
        </w:rPr>
        <w:t>EDIP credit</w:t>
      </w:r>
      <w:r w:rsidRPr="00A76DAE">
        <w:rPr>
          <w:rFonts w:asciiTheme="majorHAnsi" w:hAnsiTheme="majorHAnsi"/>
          <w:bCs/>
          <w:sz w:val="24"/>
          <w:szCs w:val="23"/>
        </w:rPr>
        <w:t xml:space="preserve"> combined </w:t>
      </w:r>
      <w:r w:rsidRPr="00FD0EF5">
        <w:rPr>
          <w:rFonts w:asciiTheme="majorHAnsi" w:hAnsiTheme="majorHAnsi"/>
          <w:bCs/>
          <w:sz w:val="24"/>
          <w:szCs w:val="23"/>
        </w:rPr>
        <w:t>with a</w:t>
      </w:r>
      <w:r w:rsidR="00FD0EF5">
        <w:rPr>
          <w:rFonts w:asciiTheme="majorHAnsi" w:hAnsiTheme="majorHAnsi"/>
          <w:bCs/>
          <w:sz w:val="24"/>
          <w:szCs w:val="23"/>
        </w:rPr>
        <w:t>n assumed corresponding</w:t>
      </w:r>
      <w:r w:rsidRPr="00FD0EF5">
        <w:rPr>
          <w:rFonts w:asciiTheme="majorHAnsi" w:hAnsiTheme="majorHAnsi"/>
          <w:bCs/>
          <w:sz w:val="24"/>
          <w:szCs w:val="23"/>
        </w:rPr>
        <w:t xml:space="preserve"> cut in state government</w:t>
      </w:r>
      <w:r w:rsidRPr="00A76DAE">
        <w:rPr>
          <w:rFonts w:asciiTheme="majorHAnsi" w:hAnsiTheme="majorHAnsi"/>
          <w:bCs/>
          <w:sz w:val="24"/>
          <w:szCs w:val="23"/>
        </w:rPr>
        <w:t xml:space="preserve"> spending results in less economic activit</w:t>
      </w:r>
      <w:r>
        <w:rPr>
          <w:rFonts w:asciiTheme="majorHAnsi" w:hAnsiTheme="majorHAnsi"/>
          <w:bCs/>
          <w:sz w:val="24"/>
          <w:szCs w:val="23"/>
        </w:rPr>
        <w:t>y</w:t>
      </w:r>
      <w:r w:rsidR="00541E2B">
        <w:rPr>
          <w:rFonts w:asciiTheme="majorHAnsi" w:hAnsiTheme="majorHAnsi"/>
          <w:bCs/>
          <w:sz w:val="24"/>
          <w:szCs w:val="23"/>
        </w:rPr>
        <w:t xml:space="preserve"> in general</w:t>
      </w:r>
      <w:r w:rsidRPr="00A76DAE">
        <w:rPr>
          <w:rFonts w:asciiTheme="majorHAnsi" w:hAnsiTheme="majorHAnsi"/>
          <w:bCs/>
          <w:sz w:val="24"/>
          <w:szCs w:val="23"/>
        </w:rPr>
        <w:t xml:space="preserve">, with real state GDP </w:t>
      </w:r>
      <w:r w:rsidR="00541E2B">
        <w:rPr>
          <w:rFonts w:asciiTheme="majorHAnsi" w:hAnsiTheme="majorHAnsi"/>
          <w:bCs/>
          <w:sz w:val="24"/>
          <w:szCs w:val="23"/>
        </w:rPr>
        <w:t>chang</w:t>
      </w:r>
      <w:r w:rsidRPr="00A76DAE">
        <w:rPr>
          <w:rFonts w:asciiTheme="majorHAnsi" w:hAnsiTheme="majorHAnsi"/>
          <w:bCs/>
          <w:sz w:val="24"/>
          <w:szCs w:val="23"/>
        </w:rPr>
        <w:t>ing</w:t>
      </w:r>
      <w:r>
        <w:rPr>
          <w:rFonts w:asciiTheme="majorHAnsi" w:hAnsiTheme="majorHAnsi"/>
          <w:bCs/>
          <w:sz w:val="24"/>
          <w:szCs w:val="23"/>
        </w:rPr>
        <w:t xml:space="preserve"> by </w:t>
      </w:r>
      <w:r w:rsidR="00541E2B">
        <w:rPr>
          <w:rFonts w:asciiTheme="majorHAnsi" w:hAnsiTheme="majorHAnsi"/>
          <w:bCs/>
          <w:sz w:val="24"/>
          <w:szCs w:val="23"/>
        </w:rPr>
        <w:t>-</w:t>
      </w:r>
      <w:r>
        <w:rPr>
          <w:rFonts w:asciiTheme="majorHAnsi" w:hAnsiTheme="majorHAnsi"/>
          <w:bCs/>
          <w:sz w:val="24"/>
          <w:szCs w:val="23"/>
        </w:rPr>
        <w:t>$</w:t>
      </w:r>
      <w:r w:rsidR="00541E2B">
        <w:rPr>
          <w:rFonts w:asciiTheme="majorHAnsi" w:hAnsiTheme="majorHAnsi"/>
          <w:bCs/>
          <w:sz w:val="24"/>
          <w:szCs w:val="23"/>
        </w:rPr>
        <w:t xml:space="preserve">21 </w:t>
      </w:r>
      <w:r>
        <w:rPr>
          <w:rFonts w:asciiTheme="majorHAnsi" w:hAnsiTheme="majorHAnsi"/>
          <w:bCs/>
          <w:sz w:val="24"/>
          <w:szCs w:val="23"/>
        </w:rPr>
        <w:t>million</w:t>
      </w:r>
      <w:r w:rsidR="00541E2B">
        <w:rPr>
          <w:rFonts w:asciiTheme="majorHAnsi" w:hAnsiTheme="majorHAnsi"/>
          <w:bCs/>
          <w:sz w:val="24"/>
          <w:szCs w:val="23"/>
        </w:rPr>
        <w:t xml:space="preserve"> to +</w:t>
      </w:r>
      <w:r w:rsidRPr="00A76DAE">
        <w:rPr>
          <w:rFonts w:asciiTheme="majorHAnsi" w:hAnsiTheme="majorHAnsi"/>
          <w:bCs/>
          <w:sz w:val="24"/>
          <w:szCs w:val="23"/>
        </w:rPr>
        <w:t>$</w:t>
      </w:r>
      <w:r w:rsidR="00541E2B">
        <w:rPr>
          <w:rFonts w:asciiTheme="majorHAnsi" w:hAnsiTheme="majorHAnsi"/>
          <w:bCs/>
          <w:sz w:val="24"/>
          <w:szCs w:val="23"/>
        </w:rPr>
        <w:t>3</w:t>
      </w:r>
      <w:r w:rsidRPr="00A76DAE">
        <w:rPr>
          <w:rFonts w:asciiTheme="majorHAnsi" w:hAnsiTheme="majorHAnsi"/>
          <w:bCs/>
          <w:sz w:val="24"/>
          <w:szCs w:val="23"/>
        </w:rPr>
        <w:t xml:space="preserve"> million. The net impact on total employment is negative</w:t>
      </w:r>
      <w:r>
        <w:rPr>
          <w:rFonts w:asciiTheme="majorHAnsi" w:hAnsiTheme="majorHAnsi"/>
          <w:bCs/>
          <w:sz w:val="24"/>
          <w:szCs w:val="23"/>
        </w:rPr>
        <w:t>,</w:t>
      </w:r>
      <w:r w:rsidRPr="00A76DAE">
        <w:rPr>
          <w:rFonts w:asciiTheme="majorHAnsi" w:hAnsiTheme="majorHAnsi"/>
          <w:bCs/>
          <w:sz w:val="24"/>
          <w:szCs w:val="23"/>
        </w:rPr>
        <w:t xml:space="preserve"> decreasing </w:t>
      </w:r>
      <w:r>
        <w:rPr>
          <w:rFonts w:asciiTheme="majorHAnsi" w:hAnsiTheme="majorHAnsi"/>
          <w:bCs/>
          <w:sz w:val="24"/>
          <w:szCs w:val="23"/>
        </w:rPr>
        <w:t xml:space="preserve">by </w:t>
      </w:r>
      <w:r w:rsidR="00E50DBC">
        <w:rPr>
          <w:rFonts w:asciiTheme="majorHAnsi" w:hAnsiTheme="majorHAnsi"/>
          <w:bCs/>
          <w:sz w:val="24"/>
          <w:szCs w:val="23"/>
        </w:rPr>
        <w:t>80</w:t>
      </w:r>
      <w:r>
        <w:rPr>
          <w:rFonts w:asciiTheme="majorHAnsi" w:hAnsiTheme="majorHAnsi"/>
          <w:bCs/>
          <w:sz w:val="24"/>
          <w:szCs w:val="23"/>
        </w:rPr>
        <w:t xml:space="preserve"> – 2</w:t>
      </w:r>
      <w:r w:rsidR="00E50DBC">
        <w:rPr>
          <w:rFonts w:asciiTheme="majorHAnsi" w:hAnsiTheme="majorHAnsi"/>
          <w:bCs/>
          <w:sz w:val="24"/>
          <w:szCs w:val="23"/>
        </w:rPr>
        <w:t>74</w:t>
      </w:r>
      <w:r w:rsidRPr="000C715E">
        <w:rPr>
          <w:rFonts w:asciiTheme="majorHAnsi" w:hAnsiTheme="majorHAnsi"/>
          <w:bCs/>
          <w:sz w:val="24"/>
          <w:szCs w:val="23"/>
        </w:rPr>
        <w:t xml:space="preserve"> </w:t>
      </w:r>
      <w:r>
        <w:rPr>
          <w:rFonts w:asciiTheme="majorHAnsi" w:hAnsiTheme="majorHAnsi"/>
          <w:bCs/>
          <w:sz w:val="24"/>
          <w:szCs w:val="23"/>
        </w:rPr>
        <w:t xml:space="preserve">jobs </w:t>
      </w:r>
      <w:r w:rsidRPr="00A76DAE">
        <w:rPr>
          <w:rFonts w:asciiTheme="majorHAnsi" w:hAnsiTheme="majorHAnsi"/>
          <w:bCs/>
          <w:sz w:val="24"/>
          <w:szCs w:val="23"/>
        </w:rPr>
        <w:t xml:space="preserve">annually. The </w:t>
      </w:r>
      <w:r>
        <w:rPr>
          <w:rFonts w:asciiTheme="majorHAnsi" w:hAnsiTheme="majorHAnsi"/>
          <w:bCs/>
          <w:sz w:val="24"/>
          <w:szCs w:val="23"/>
        </w:rPr>
        <w:t xml:space="preserve">net additional </w:t>
      </w:r>
      <w:r w:rsidRPr="00A76DAE">
        <w:rPr>
          <w:rFonts w:asciiTheme="majorHAnsi" w:hAnsiTheme="majorHAnsi"/>
          <w:bCs/>
          <w:sz w:val="24"/>
          <w:szCs w:val="23"/>
        </w:rPr>
        <w:t xml:space="preserve">impact on </w:t>
      </w:r>
      <w:r>
        <w:rPr>
          <w:rFonts w:asciiTheme="majorHAnsi" w:hAnsiTheme="majorHAnsi"/>
          <w:bCs/>
          <w:sz w:val="24"/>
          <w:szCs w:val="23"/>
        </w:rPr>
        <w:t xml:space="preserve">state </w:t>
      </w:r>
      <w:r w:rsidRPr="00A76DAE">
        <w:rPr>
          <w:rFonts w:asciiTheme="majorHAnsi" w:hAnsiTheme="majorHAnsi"/>
          <w:bCs/>
          <w:sz w:val="24"/>
          <w:szCs w:val="23"/>
        </w:rPr>
        <w:t>revenues</w:t>
      </w:r>
      <w:r>
        <w:rPr>
          <w:rStyle w:val="FootnoteReference"/>
          <w:rFonts w:asciiTheme="majorHAnsi" w:hAnsiTheme="majorHAnsi"/>
          <w:bCs/>
          <w:sz w:val="24"/>
          <w:szCs w:val="23"/>
        </w:rPr>
        <w:footnoteReference w:id="8"/>
      </w:r>
      <w:r w:rsidRPr="00A76DAE">
        <w:rPr>
          <w:rFonts w:asciiTheme="majorHAnsi" w:hAnsiTheme="majorHAnsi"/>
          <w:bCs/>
          <w:sz w:val="24"/>
          <w:szCs w:val="23"/>
        </w:rPr>
        <w:t xml:space="preserve"> is also negative, decreasing </w:t>
      </w:r>
      <w:r>
        <w:rPr>
          <w:rFonts w:asciiTheme="majorHAnsi" w:hAnsiTheme="majorHAnsi"/>
          <w:bCs/>
          <w:sz w:val="24"/>
          <w:szCs w:val="23"/>
        </w:rPr>
        <w:t>by</w:t>
      </w:r>
      <w:r w:rsidRPr="00A76DAE">
        <w:rPr>
          <w:rFonts w:asciiTheme="majorHAnsi" w:hAnsiTheme="majorHAnsi"/>
          <w:bCs/>
          <w:sz w:val="24"/>
          <w:szCs w:val="23"/>
        </w:rPr>
        <w:t xml:space="preserve"> </w:t>
      </w:r>
      <w:r w:rsidRPr="000C715E">
        <w:rPr>
          <w:rFonts w:asciiTheme="majorHAnsi" w:hAnsiTheme="majorHAnsi"/>
          <w:bCs/>
          <w:sz w:val="24"/>
          <w:szCs w:val="23"/>
        </w:rPr>
        <w:t>$</w:t>
      </w:r>
      <w:r w:rsidR="00746156">
        <w:rPr>
          <w:rFonts w:asciiTheme="majorHAnsi" w:hAnsiTheme="majorHAnsi"/>
          <w:bCs/>
          <w:sz w:val="24"/>
          <w:szCs w:val="23"/>
        </w:rPr>
        <w:t>0.1</w:t>
      </w:r>
      <w:r w:rsidRPr="000C715E">
        <w:rPr>
          <w:rFonts w:asciiTheme="majorHAnsi" w:hAnsiTheme="majorHAnsi"/>
          <w:bCs/>
          <w:sz w:val="24"/>
          <w:szCs w:val="23"/>
        </w:rPr>
        <w:t xml:space="preserve"> million to $</w:t>
      </w:r>
      <w:r w:rsidR="00746156">
        <w:rPr>
          <w:rFonts w:asciiTheme="majorHAnsi" w:hAnsiTheme="majorHAnsi"/>
          <w:bCs/>
          <w:sz w:val="24"/>
          <w:szCs w:val="23"/>
        </w:rPr>
        <w:t>0.7</w:t>
      </w:r>
      <w:r w:rsidRPr="000C715E">
        <w:rPr>
          <w:rFonts w:asciiTheme="majorHAnsi" w:hAnsiTheme="majorHAnsi"/>
          <w:bCs/>
          <w:sz w:val="24"/>
          <w:szCs w:val="23"/>
        </w:rPr>
        <w:t xml:space="preserve"> </w:t>
      </w:r>
      <w:r w:rsidRPr="00A76DAE">
        <w:rPr>
          <w:rFonts w:asciiTheme="majorHAnsi" w:hAnsiTheme="majorHAnsi"/>
          <w:bCs/>
          <w:sz w:val="24"/>
          <w:szCs w:val="23"/>
        </w:rPr>
        <w:t>million annually.</w:t>
      </w:r>
    </w:p>
    <w:p w14:paraId="363221F9" w14:textId="77777777" w:rsidR="00BF5CC0" w:rsidRDefault="00BF5CC0" w:rsidP="00BF5CC0">
      <w:pPr>
        <w:tabs>
          <w:tab w:val="left" w:pos="7050"/>
        </w:tabs>
        <w:spacing w:after="0"/>
        <w:rPr>
          <w:rFonts w:asciiTheme="majorHAnsi" w:hAnsiTheme="majorHAnsi"/>
          <w:bCs/>
          <w:sz w:val="24"/>
          <w:szCs w:val="23"/>
        </w:rPr>
      </w:pPr>
    </w:p>
    <w:p w14:paraId="3C4E152A" w14:textId="77777777" w:rsidR="004E589D" w:rsidRDefault="004E589D" w:rsidP="00746156">
      <w:pPr>
        <w:spacing w:after="0"/>
        <w:jc w:val="center"/>
        <w:rPr>
          <w:rFonts w:asciiTheme="majorHAnsi" w:eastAsiaTheme="majorEastAsia" w:hAnsiTheme="majorHAnsi" w:cstheme="majorBidi"/>
          <w:b/>
          <w:color w:val="000000" w:themeColor="text1"/>
          <w:sz w:val="24"/>
          <w:szCs w:val="24"/>
        </w:rPr>
      </w:pPr>
      <w:r w:rsidRPr="00366FFC">
        <w:rPr>
          <w:rFonts w:asciiTheme="majorHAnsi" w:eastAsiaTheme="majorEastAsia" w:hAnsiTheme="majorHAnsi" w:cstheme="majorBidi"/>
          <w:b/>
          <w:color w:val="000000" w:themeColor="text1"/>
          <w:sz w:val="24"/>
          <w:szCs w:val="24"/>
        </w:rPr>
        <w:t xml:space="preserve">Table </w:t>
      </w:r>
      <w:r w:rsidR="00E50DBC">
        <w:rPr>
          <w:rFonts w:asciiTheme="majorHAnsi" w:eastAsiaTheme="majorEastAsia" w:hAnsiTheme="majorHAnsi" w:cstheme="majorBidi"/>
          <w:b/>
          <w:color w:val="000000" w:themeColor="text1"/>
          <w:sz w:val="24"/>
          <w:szCs w:val="24"/>
        </w:rPr>
        <w:t>5</w:t>
      </w:r>
      <w:r w:rsidRPr="00366FFC">
        <w:rPr>
          <w:rFonts w:asciiTheme="majorHAnsi" w:eastAsiaTheme="majorEastAsia" w:hAnsiTheme="majorHAnsi" w:cstheme="majorBidi"/>
          <w:b/>
          <w:color w:val="000000" w:themeColor="text1"/>
          <w:sz w:val="24"/>
          <w:szCs w:val="24"/>
        </w:rPr>
        <w:t xml:space="preserve">. </w:t>
      </w:r>
      <w:r>
        <w:rPr>
          <w:rFonts w:asciiTheme="majorHAnsi" w:eastAsiaTheme="majorEastAsia" w:hAnsiTheme="majorHAnsi" w:cstheme="majorBidi"/>
          <w:b/>
          <w:color w:val="000000" w:themeColor="text1"/>
          <w:sz w:val="24"/>
          <w:szCs w:val="24"/>
        </w:rPr>
        <w:t xml:space="preserve"> Net Additiona</w:t>
      </w:r>
      <w:r w:rsidR="003C593B">
        <w:rPr>
          <w:rFonts w:asciiTheme="majorHAnsi" w:eastAsiaTheme="majorEastAsia" w:hAnsiTheme="majorHAnsi" w:cstheme="majorBidi"/>
          <w:b/>
          <w:color w:val="000000" w:themeColor="text1"/>
          <w:sz w:val="24"/>
          <w:szCs w:val="24"/>
        </w:rPr>
        <w:t xml:space="preserve">l </w:t>
      </w:r>
      <w:r>
        <w:rPr>
          <w:rFonts w:asciiTheme="majorHAnsi" w:eastAsiaTheme="majorEastAsia" w:hAnsiTheme="majorHAnsi" w:cstheme="majorBidi"/>
          <w:b/>
          <w:color w:val="000000" w:themeColor="text1"/>
          <w:sz w:val="24"/>
          <w:szCs w:val="24"/>
        </w:rPr>
        <w:t>Revenue Impact of EDIP Credit</w:t>
      </w:r>
      <w:r w:rsidR="00746156">
        <w:rPr>
          <w:rFonts w:asciiTheme="majorHAnsi" w:eastAsiaTheme="majorEastAsia" w:hAnsiTheme="majorHAnsi" w:cstheme="majorBidi"/>
          <w:b/>
          <w:color w:val="000000" w:themeColor="text1"/>
          <w:sz w:val="24"/>
          <w:szCs w:val="24"/>
        </w:rPr>
        <w:t>*</w:t>
      </w:r>
    </w:p>
    <w:tbl>
      <w:tblPr>
        <w:tblW w:w="9350" w:type="dxa"/>
        <w:tblLook w:val="04A0" w:firstRow="1" w:lastRow="0" w:firstColumn="1" w:lastColumn="0" w:noHBand="0" w:noVBand="1"/>
      </w:tblPr>
      <w:tblGrid>
        <w:gridCol w:w="3680"/>
        <w:gridCol w:w="1134"/>
        <w:gridCol w:w="1134"/>
        <w:gridCol w:w="1134"/>
        <w:gridCol w:w="1134"/>
        <w:gridCol w:w="1134"/>
      </w:tblGrid>
      <w:tr w:rsidR="00A15A03" w:rsidRPr="00A15A03" w14:paraId="4E4103A7" w14:textId="77777777" w:rsidTr="00541E2B">
        <w:trPr>
          <w:trHeight w:val="500"/>
        </w:trPr>
        <w:tc>
          <w:tcPr>
            <w:tcW w:w="3505"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1A8EBF95" w14:textId="77777777" w:rsidR="00A15A03" w:rsidRPr="00A15A03" w:rsidRDefault="00A15A03" w:rsidP="00A15A03">
            <w:pPr>
              <w:spacing w:after="0" w:line="240" w:lineRule="auto"/>
              <w:jc w:val="center"/>
              <w:rPr>
                <w:rFonts w:ascii="Cambria" w:eastAsia="Times New Roman" w:hAnsi="Cambria" w:cs="Helvetica"/>
                <w:sz w:val="20"/>
                <w:szCs w:val="20"/>
                <w:lang w:eastAsia="ko-KR"/>
              </w:rPr>
            </w:pPr>
            <w:r w:rsidRPr="00A15A03">
              <w:rPr>
                <w:rFonts w:ascii="Cambria" w:eastAsia="Times New Roman" w:hAnsi="Cambria" w:cs="Helvetica"/>
                <w:sz w:val="20"/>
                <w:szCs w:val="20"/>
                <w:lang w:eastAsia="ko-KR"/>
              </w:rPr>
              <w:t>Fiscal Year</w:t>
            </w:r>
          </w:p>
        </w:tc>
        <w:tc>
          <w:tcPr>
            <w:tcW w:w="1080" w:type="dxa"/>
            <w:tcBorders>
              <w:top w:val="single" w:sz="4" w:space="0" w:color="auto"/>
              <w:left w:val="nil"/>
              <w:bottom w:val="single" w:sz="4" w:space="0" w:color="auto"/>
              <w:right w:val="single" w:sz="4" w:space="0" w:color="auto"/>
            </w:tcBorders>
            <w:shd w:val="clear" w:color="000000" w:fill="B7DEE8"/>
            <w:noWrap/>
            <w:vAlign w:val="center"/>
            <w:hideMark/>
          </w:tcPr>
          <w:p w14:paraId="71586A01" w14:textId="77777777" w:rsidR="00A15A03" w:rsidRPr="00A15A03" w:rsidRDefault="00A15A03" w:rsidP="00A15A03">
            <w:pPr>
              <w:spacing w:after="0" w:line="240" w:lineRule="auto"/>
              <w:jc w:val="center"/>
              <w:rPr>
                <w:rFonts w:ascii="Cambria" w:eastAsia="Times New Roman" w:hAnsi="Cambria" w:cs="Helvetica"/>
                <w:sz w:val="20"/>
                <w:szCs w:val="20"/>
                <w:lang w:eastAsia="ko-KR"/>
              </w:rPr>
            </w:pPr>
            <w:r w:rsidRPr="00A15A03">
              <w:rPr>
                <w:rFonts w:ascii="Cambria" w:eastAsia="Times New Roman" w:hAnsi="Cambria" w:cs="Helvetica"/>
                <w:sz w:val="20"/>
                <w:szCs w:val="20"/>
                <w:lang w:eastAsia="ko-KR"/>
              </w:rPr>
              <w:t>2018</w:t>
            </w:r>
          </w:p>
        </w:tc>
        <w:tc>
          <w:tcPr>
            <w:tcW w:w="1080" w:type="dxa"/>
            <w:tcBorders>
              <w:top w:val="single" w:sz="4" w:space="0" w:color="auto"/>
              <w:left w:val="nil"/>
              <w:bottom w:val="single" w:sz="4" w:space="0" w:color="auto"/>
              <w:right w:val="single" w:sz="4" w:space="0" w:color="auto"/>
            </w:tcBorders>
            <w:shd w:val="clear" w:color="000000" w:fill="B7DEE8"/>
            <w:noWrap/>
            <w:vAlign w:val="center"/>
            <w:hideMark/>
          </w:tcPr>
          <w:p w14:paraId="67E78F03" w14:textId="77777777" w:rsidR="00A15A03" w:rsidRPr="00A15A03" w:rsidRDefault="00A15A03" w:rsidP="00A15A03">
            <w:pPr>
              <w:spacing w:after="0" w:line="240" w:lineRule="auto"/>
              <w:jc w:val="center"/>
              <w:rPr>
                <w:rFonts w:ascii="Cambria" w:eastAsia="Times New Roman" w:hAnsi="Cambria" w:cs="Helvetica"/>
                <w:sz w:val="20"/>
                <w:szCs w:val="20"/>
                <w:lang w:eastAsia="ko-KR"/>
              </w:rPr>
            </w:pPr>
            <w:r w:rsidRPr="00A15A03">
              <w:rPr>
                <w:rFonts w:ascii="Cambria" w:eastAsia="Times New Roman" w:hAnsi="Cambria" w:cs="Helvetica"/>
                <w:sz w:val="20"/>
                <w:szCs w:val="20"/>
                <w:lang w:eastAsia="ko-KR"/>
              </w:rPr>
              <w:t>2019</w:t>
            </w:r>
          </w:p>
        </w:tc>
        <w:tc>
          <w:tcPr>
            <w:tcW w:w="1080" w:type="dxa"/>
            <w:tcBorders>
              <w:top w:val="single" w:sz="4" w:space="0" w:color="auto"/>
              <w:left w:val="nil"/>
              <w:bottom w:val="single" w:sz="4" w:space="0" w:color="auto"/>
              <w:right w:val="single" w:sz="4" w:space="0" w:color="auto"/>
            </w:tcBorders>
            <w:shd w:val="clear" w:color="000000" w:fill="B7DEE8"/>
            <w:noWrap/>
            <w:vAlign w:val="center"/>
            <w:hideMark/>
          </w:tcPr>
          <w:p w14:paraId="39666099" w14:textId="77777777" w:rsidR="00A15A03" w:rsidRPr="00A15A03" w:rsidRDefault="00A15A03" w:rsidP="00A15A03">
            <w:pPr>
              <w:spacing w:after="0" w:line="240" w:lineRule="auto"/>
              <w:jc w:val="center"/>
              <w:rPr>
                <w:rFonts w:ascii="Cambria" w:eastAsia="Times New Roman" w:hAnsi="Cambria" w:cs="Helvetica"/>
                <w:sz w:val="20"/>
                <w:szCs w:val="20"/>
                <w:lang w:eastAsia="ko-KR"/>
              </w:rPr>
            </w:pPr>
            <w:r w:rsidRPr="00A15A03">
              <w:rPr>
                <w:rFonts w:ascii="Cambria" w:eastAsia="Times New Roman" w:hAnsi="Cambria" w:cs="Helvetica"/>
                <w:sz w:val="20"/>
                <w:szCs w:val="20"/>
                <w:lang w:eastAsia="ko-KR"/>
              </w:rPr>
              <w:t>2020</w:t>
            </w:r>
          </w:p>
        </w:tc>
        <w:tc>
          <w:tcPr>
            <w:tcW w:w="1080" w:type="dxa"/>
            <w:tcBorders>
              <w:top w:val="single" w:sz="4" w:space="0" w:color="auto"/>
              <w:left w:val="nil"/>
              <w:bottom w:val="single" w:sz="4" w:space="0" w:color="auto"/>
              <w:right w:val="single" w:sz="4" w:space="0" w:color="auto"/>
            </w:tcBorders>
            <w:shd w:val="clear" w:color="000000" w:fill="B7DEE8"/>
            <w:noWrap/>
            <w:vAlign w:val="center"/>
            <w:hideMark/>
          </w:tcPr>
          <w:p w14:paraId="2794A6C0" w14:textId="77777777" w:rsidR="00A15A03" w:rsidRPr="00A15A03" w:rsidRDefault="00A15A03" w:rsidP="00A15A03">
            <w:pPr>
              <w:spacing w:after="0" w:line="240" w:lineRule="auto"/>
              <w:jc w:val="center"/>
              <w:rPr>
                <w:rFonts w:ascii="Cambria" w:eastAsia="Times New Roman" w:hAnsi="Cambria" w:cs="Helvetica"/>
                <w:sz w:val="20"/>
                <w:szCs w:val="20"/>
                <w:lang w:eastAsia="ko-KR"/>
              </w:rPr>
            </w:pPr>
            <w:r w:rsidRPr="00A15A03">
              <w:rPr>
                <w:rFonts w:ascii="Cambria" w:eastAsia="Times New Roman" w:hAnsi="Cambria" w:cs="Helvetica"/>
                <w:sz w:val="20"/>
                <w:szCs w:val="20"/>
                <w:lang w:eastAsia="ko-KR"/>
              </w:rPr>
              <w:t>2021</w:t>
            </w:r>
          </w:p>
        </w:tc>
        <w:tc>
          <w:tcPr>
            <w:tcW w:w="1080" w:type="dxa"/>
            <w:tcBorders>
              <w:top w:val="single" w:sz="4" w:space="0" w:color="auto"/>
              <w:left w:val="nil"/>
              <w:bottom w:val="single" w:sz="4" w:space="0" w:color="auto"/>
              <w:right w:val="single" w:sz="4" w:space="0" w:color="auto"/>
            </w:tcBorders>
            <w:shd w:val="clear" w:color="000000" w:fill="B7DEE8"/>
            <w:noWrap/>
            <w:vAlign w:val="center"/>
            <w:hideMark/>
          </w:tcPr>
          <w:p w14:paraId="0CCDCD13" w14:textId="77777777" w:rsidR="00A15A03" w:rsidRPr="00A15A03" w:rsidRDefault="00A15A03" w:rsidP="00A15A03">
            <w:pPr>
              <w:spacing w:after="0" w:line="240" w:lineRule="auto"/>
              <w:jc w:val="center"/>
              <w:rPr>
                <w:rFonts w:ascii="Cambria" w:eastAsia="Times New Roman" w:hAnsi="Cambria" w:cs="Helvetica"/>
                <w:sz w:val="20"/>
                <w:szCs w:val="20"/>
                <w:lang w:eastAsia="ko-KR"/>
              </w:rPr>
            </w:pPr>
            <w:r w:rsidRPr="00A15A03">
              <w:rPr>
                <w:rFonts w:ascii="Cambria" w:eastAsia="Times New Roman" w:hAnsi="Cambria" w:cs="Helvetica"/>
                <w:sz w:val="20"/>
                <w:szCs w:val="20"/>
                <w:lang w:eastAsia="ko-KR"/>
              </w:rPr>
              <w:t>2022</w:t>
            </w:r>
          </w:p>
        </w:tc>
      </w:tr>
      <w:tr w:rsidR="00F75B7F" w:rsidRPr="00A15A03" w14:paraId="51060421" w14:textId="77777777" w:rsidTr="00541E2B">
        <w:trPr>
          <w:trHeight w:val="500"/>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2F360EE3" w14:textId="77777777" w:rsidR="00F75B7F" w:rsidRPr="00A15A03" w:rsidRDefault="00F75B7F" w:rsidP="00541E2B">
            <w:pPr>
              <w:spacing w:after="0" w:line="240" w:lineRule="auto"/>
              <w:rPr>
                <w:rFonts w:ascii="Cambria" w:eastAsia="Times New Roman" w:hAnsi="Cambria" w:cs="Helvetica"/>
                <w:sz w:val="20"/>
                <w:szCs w:val="20"/>
                <w:lang w:eastAsia="ko-KR"/>
              </w:rPr>
            </w:pPr>
            <w:r w:rsidRPr="00A15A03">
              <w:rPr>
                <w:rFonts w:ascii="Cambria" w:eastAsia="Times New Roman" w:hAnsi="Cambria" w:cs="Helvetica"/>
                <w:sz w:val="20"/>
                <w:szCs w:val="20"/>
                <w:lang w:eastAsia="ko-KR"/>
              </w:rPr>
              <w:t>Net additional revenue impact</w:t>
            </w:r>
            <w:r>
              <w:rPr>
                <w:rFonts w:ascii="Cambria" w:eastAsia="Times New Roman" w:hAnsi="Cambria" w:cs="Helvetica"/>
                <w:sz w:val="20"/>
                <w:szCs w:val="20"/>
                <w:lang w:eastAsia="ko-KR"/>
              </w:rPr>
              <w:t xml:space="preserve"> </w:t>
            </w:r>
            <w:r w:rsidRPr="00A15A03">
              <w:rPr>
                <w:rFonts w:ascii="Cambria" w:eastAsia="Times New Roman" w:hAnsi="Cambria" w:cs="Helvetica"/>
                <w:sz w:val="20"/>
                <w:szCs w:val="20"/>
                <w:lang w:eastAsia="ko-KR"/>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5DF8C" w14:textId="77777777" w:rsidR="00F75B7F" w:rsidRPr="00A15A03" w:rsidRDefault="00F75B7F" w:rsidP="00F75B7F">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-$388</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58BDE9D4" w14:textId="77777777" w:rsidR="00F75B7F" w:rsidRPr="00A15A03" w:rsidRDefault="00F75B7F" w:rsidP="00F75B7F">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-$694</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8C06068" w14:textId="77777777" w:rsidR="00F75B7F" w:rsidRPr="00A15A03" w:rsidRDefault="00F75B7F" w:rsidP="00F75B7F">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-$494</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573F28F5" w14:textId="77777777" w:rsidR="00F75B7F" w:rsidRPr="00A15A03" w:rsidRDefault="00F75B7F" w:rsidP="00F75B7F">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-$308</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2D131B2B" w14:textId="77777777" w:rsidR="00F75B7F" w:rsidRPr="00A15A03" w:rsidRDefault="00F75B7F" w:rsidP="00F75B7F">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-$137</w:t>
            </w:r>
          </w:p>
        </w:tc>
      </w:tr>
    </w:tbl>
    <w:p w14:paraId="6ED95913" w14:textId="77777777" w:rsidR="00FE4E0E" w:rsidRDefault="00FE4E0E" w:rsidP="00FE4E0E">
      <w:pPr>
        <w:tabs>
          <w:tab w:val="left" w:pos="7050"/>
        </w:tabs>
        <w:spacing w:after="0"/>
        <w:rPr>
          <w:rFonts w:asciiTheme="majorHAnsi" w:hAnsiTheme="majorHAnsi"/>
          <w:bCs/>
          <w:sz w:val="20"/>
          <w:szCs w:val="20"/>
        </w:rPr>
      </w:pPr>
      <w:r>
        <w:rPr>
          <w:rFonts w:asciiTheme="majorHAnsi" w:hAnsiTheme="majorHAnsi"/>
          <w:bCs/>
          <w:sz w:val="20"/>
          <w:szCs w:val="20"/>
        </w:rPr>
        <w:t>* assuming state government spending is cut by the same amount as the revenue loss due to EDIP credit to balance budget.</w:t>
      </w:r>
    </w:p>
    <w:p w14:paraId="233B2E1B" w14:textId="77777777" w:rsidR="004E589D" w:rsidRDefault="004E589D" w:rsidP="004E589D">
      <w:pPr>
        <w:spacing w:after="0"/>
        <w:rPr>
          <w:rFonts w:asciiTheme="majorHAnsi" w:eastAsiaTheme="majorEastAsia" w:hAnsiTheme="majorHAnsi" w:cstheme="majorBidi"/>
          <w:bCs/>
          <w:color w:val="000000" w:themeColor="text1"/>
          <w:sz w:val="24"/>
          <w:szCs w:val="24"/>
        </w:rPr>
      </w:pPr>
    </w:p>
    <w:p w14:paraId="3064938E" w14:textId="77777777" w:rsidR="004E589D" w:rsidRDefault="004E589D" w:rsidP="00541E2B">
      <w:pPr>
        <w:spacing w:after="0"/>
        <w:jc w:val="center"/>
        <w:rPr>
          <w:rFonts w:asciiTheme="majorHAnsi" w:eastAsiaTheme="majorEastAsia" w:hAnsiTheme="majorHAnsi" w:cstheme="majorBidi"/>
          <w:b/>
          <w:color w:val="000000" w:themeColor="text1"/>
          <w:sz w:val="24"/>
          <w:szCs w:val="24"/>
        </w:rPr>
      </w:pPr>
      <w:r w:rsidRPr="00366FFC">
        <w:rPr>
          <w:rFonts w:asciiTheme="majorHAnsi" w:eastAsiaTheme="majorEastAsia" w:hAnsiTheme="majorHAnsi" w:cstheme="majorBidi"/>
          <w:b/>
          <w:color w:val="000000" w:themeColor="text1"/>
          <w:sz w:val="24"/>
          <w:szCs w:val="24"/>
        </w:rPr>
        <w:t xml:space="preserve">Table </w:t>
      </w:r>
      <w:r w:rsidR="00E50DBC">
        <w:rPr>
          <w:rFonts w:asciiTheme="majorHAnsi" w:eastAsiaTheme="majorEastAsia" w:hAnsiTheme="majorHAnsi" w:cstheme="majorBidi"/>
          <w:b/>
          <w:color w:val="000000" w:themeColor="text1"/>
          <w:sz w:val="24"/>
          <w:szCs w:val="24"/>
        </w:rPr>
        <w:t>6</w:t>
      </w:r>
      <w:r w:rsidRPr="00366FFC">
        <w:rPr>
          <w:rFonts w:asciiTheme="majorHAnsi" w:eastAsiaTheme="majorEastAsia" w:hAnsiTheme="majorHAnsi" w:cstheme="majorBidi"/>
          <w:b/>
          <w:color w:val="000000" w:themeColor="text1"/>
          <w:sz w:val="24"/>
          <w:szCs w:val="24"/>
        </w:rPr>
        <w:t xml:space="preserve">. </w:t>
      </w:r>
      <w:r w:rsidR="00541E2B">
        <w:rPr>
          <w:rFonts w:asciiTheme="majorHAnsi" w:eastAsiaTheme="majorEastAsia" w:hAnsiTheme="majorHAnsi" w:cstheme="majorBidi"/>
          <w:b/>
          <w:color w:val="000000" w:themeColor="text1"/>
          <w:sz w:val="24"/>
          <w:szCs w:val="24"/>
        </w:rPr>
        <w:t>Net Economic Impacts of EDIP Credit by Selected Economic Measure*</w:t>
      </w:r>
    </w:p>
    <w:tbl>
      <w:tblPr>
        <w:tblW w:w="9350" w:type="dxa"/>
        <w:tblLook w:val="04A0" w:firstRow="1" w:lastRow="0" w:firstColumn="1" w:lastColumn="0" w:noHBand="0" w:noVBand="1"/>
      </w:tblPr>
      <w:tblGrid>
        <w:gridCol w:w="3950"/>
        <w:gridCol w:w="1080"/>
        <w:gridCol w:w="1080"/>
        <w:gridCol w:w="1080"/>
        <w:gridCol w:w="1080"/>
        <w:gridCol w:w="1080"/>
      </w:tblGrid>
      <w:tr w:rsidR="00A15A03" w:rsidRPr="00A15A03" w14:paraId="1C9C3868" w14:textId="77777777" w:rsidTr="00541E2B">
        <w:trPr>
          <w:trHeight w:val="380"/>
        </w:trPr>
        <w:tc>
          <w:tcPr>
            <w:tcW w:w="3685"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1D7D8EF2" w14:textId="77777777" w:rsidR="00A15A03" w:rsidRPr="00A15A03" w:rsidRDefault="00A15A03" w:rsidP="00A15A03">
            <w:pPr>
              <w:spacing w:after="0" w:line="240" w:lineRule="auto"/>
              <w:jc w:val="center"/>
              <w:rPr>
                <w:rFonts w:ascii="Cambria" w:eastAsia="Times New Roman" w:hAnsi="Cambria" w:cs="Helvetica"/>
                <w:sz w:val="20"/>
                <w:szCs w:val="20"/>
                <w:lang w:eastAsia="ko-KR"/>
              </w:rPr>
            </w:pPr>
            <w:r w:rsidRPr="00A15A03">
              <w:rPr>
                <w:rFonts w:ascii="Cambria" w:eastAsia="Times New Roman" w:hAnsi="Cambria" w:cs="Helvetica"/>
                <w:sz w:val="20"/>
                <w:szCs w:val="20"/>
                <w:lang w:eastAsia="ko-KR"/>
              </w:rPr>
              <w:t>Calendar Year</w:t>
            </w:r>
          </w:p>
        </w:tc>
        <w:tc>
          <w:tcPr>
            <w:tcW w:w="1008" w:type="dxa"/>
            <w:tcBorders>
              <w:top w:val="single" w:sz="4" w:space="0" w:color="auto"/>
              <w:left w:val="nil"/>
              <w:bottom w:val="single" w:sz="4" w:space="0" w:color="auto"/>
              <w:right w:val="single" w:sz="4" w:space="0" w:color="auto"/>
            </w:tcBorders>
            <w:shd w:val="clear" w:color="000000" w:fill="B7DEE8"/>
            <w:noWrap/>
            <w:vAlign w:val="center"/>
            <w:hideMark/>
          </w:tcPr>
          <w:p w14:paraId="74E1A404" w14:textId="77777777" w:rsidR="00A15A03" w:rsidRPr="00A15A03" w:rsidRDefault="00A15A03" w:rsidP="00A15A03">
            <w:pPr>
              <w:spacing w:after="0" w:line="240" w:lineRule="auto"/>
              <w:jc w:val="center"/>
              <w:rPr>
                <w:rFonts w:ascii="Cambria" w:eastAsia="Times New Roman" w:hAnsi="Cambria" w:cs="Helvetica"/>
                <w:sz w:val="20"/>
                <w:szCs w:val="20"/>
                <w:lang w:eastAsia="ko-KR"/>
              </w:rPr>
            </w:pPr>
            <w:r w:rsidRPr="00A15A03">
              <w:rPr>
                <w:rFonts w:ascii="Cambria" w:eastAsia="Times New Roman" w:hAnsi="Cambria" w:cs="Helvetica"/>
                <w:sz w:val="20"/>
                <w:szCs w:val="20"/>
                <w:lang w:eastAsia="ko-KR"/>
              </w:rPr>
              <w:t>2018</w:t>
            </w:r>
          </w:p>
        </w:tc>
        <w:tc>
          <w:tcPr>
            <w:tcW w:w="1008" w:type="dxa"/>
            <w:tcBorders>
              <w:top w:val="single" w:sz="4" w:space="0" w:color="auto"/>
              <w:left w:val="nil"/>
              <w:bottom w:val="single" w:sz="4" w:space="0" w:color="auto"/>
              <w:right w:val="single" w:sz="4" w:space="0" w:color="auto"/>
            </w:tcBorders>
            <w:shd w:val="clear" w:color="000000" w:fill="B7DEE8"/>
            <w:noWrap/>
            <w:vAlign w:val="center"/>
            <w:hideMark/>
          </w:tcPr>
          <w:p w14:paraId="0F5E1FF2" w14:textId="77777777" w:rsidR="00A15A03" w:rsidRPr="00A15A03" w:rsidRDefault="00A15A03" w:rsidP="00A15A03">
            <w:pPr>
              <w:spacing w:after="0" w:line="240" w:lineRule="auto"/>
              <w:jc w:val="center"/>
              <w:rPr>
                <w:rFonts w:ascii="Cambria" w:eastAsia="Times New Roman" w:hAnsi="Cambria" w:cs="Helvetica"/>
                <w:sz w:val="20"/>
                <w:szCs w:val="20"/>
                <w:lang w:eastAsia="ko-KR"/>
              </w:rPr>
            </w:pPr>
            <w:r w:rsidRPr="00A15A03">
              <w:rPr>
                <w:rFonts w:ascii="Cambria" w:eastAsia="Times New Roman" w:hAnsi="Cambria" w:cs="Helvetica"/>
                <w:sz w:val="20"/>
                <w:szCs w:val="20"/>
                <w:lang w:eastAsia="ko-KR"/>
              </w:rPr>
              <w:t>2019</w:t>
            </w:r>
          </w:p>
        </w:tc>
        <w:tc>
          <w:tcPr>
            <w:tcW w:w="1008" w:type="dxa"/>
            <w:tcBorders>
              <w:top w:val="single" w:sz="4" w:space="0" w:color="auto"/>
              <w:left w:val="nil"/>
              <w:bottom w:val="single" w:sz="4" w:space="0" w:color="auto"/>
              <w:right w:val="single" w:sz="4" w:space="0" w:color="auto"/>
            </w:tcBorders>
            <w:shd w:val="clear" w:color="000000" w:fill="B7DEE8"/>
            <w:noWrap/>
            <w:vAlign w:val="center"/>
            <w:hideMark/>
          </w:tcPr>
          <w:p w14:paraId="28FC4F5F" w14:textId="77777777" w:rsidR="00A15A03" w:rsidRPr="00A15A03" w:rsidRDefault="00A15A03" w:rsidP="00A15A03">
            <w:pPr>
              <w:spacing w:after="0" w:line="240" w:lineRule="auto"/>
              <w:jc w:val="center"/>
              <w:rPr>
                <w:rFonts w:ascii="Cambria" w:eastAsia="Times New Roman" w:hAnsi="Cambria" w:cs="Helvetica"/>
                <w:sz w:val="20"/>
                <w:szCs w:val="20"/>
                <w:lang w:eastAsia="ko-KR"/>
              </w:rPr>
            </w:pPr>
            <w:r w:rsidRPr="00A15A03">
              <w:rPr>
                <w:rFonts w:ascii="Cambria" w:eastAsia="Times New Roman" w:hAnsi="Cambria" w:cs="Helvetica"/>
                <w:sz w:val="20"/>
                <w:szCs w:val="20"/>
                <w:lang w:eastAsia="ko-KR"/>
              </w:rPr>
              <w:t>2020</w:t>
            </w:r>
          </w:p>
        </w:tc>
        <w:tc>
          <w:tcPr>
            <w:tcW w:w="1008" w:type="dxa"/>
            <w:tcBorders>
              <w:top w:val="single" w:sz="4" w:space="0" w:color="auto"/>
              <w:left w:val="nil"/>
              <w:bottom w:val="single" w:sz="4" w:space="0" w:color="auto"/>
              <w:right w:val="single" w:sz="4" w:space="0" w:color="auto"/>
            </w:tcBorders>
            <w:shd w:val="clear" w:color="000000" w:fill="B7DEE8"/>
            <w:noWrap/>
            <w:vAlign w:val="center"/>
            <w:hideMark/>
          </w:tcPr>
          <w:p w14:paraId="727DBBC9" w14:textId="77777777" w:rsidR="00A15A03" w:rsidRPr="00A15A03" w:rsidRDefault="00A15A03" w:rsidP="00A15A03">
            <w:pPr>
              <w:spacing w:after="0" w:line="240" w:lineRule="auto"/>
              <w:jc w:val="center"/>
              <w:rPr>
                <w:rFonts w:ascii="Cambria" w:eastAsia="Times New Roman" w:hAnsi="Cambria" w:cs="Helvetica"/>
                <w:sz w:val="20"/>
                <w:szCs w:val="20"/>
                <w:lang w:eastAsia="ko-KR"/>
              </w:rPr>
            </w:pPr>
            <w:r w:rsidRPr="00A15A03">
              <w:rPr>
                <w:rFonts w:ascii="Cambria" w:eastAsia="Times New Roman" w:hAnsi="Cambria" w:cs="Helvetica"/>
                <w:sz w:val="20"/>
                <w:szCs w:val="20"/>
                <w:lang w:eastAsia="ko-KR"/>
              </w:rPr>
              <w:t>2021</w:t>
            </w:r>
          </w:p>
        </w:tc>
        <w:tc>
          <w:tcPr>
            <w:tcW w:w="1008" w:type="dxa"/>
            <w:tcBorders>
              <w:top w:val="single" w:sz="4" w:space="0" w:color="auto"/>
              <w:left w:val="nil"/>
              <w:bottom w:val="single" w:sz="4" w:space="0" w:color="auto"/>
              <w:right w:val="single" w:sz="4" w:space="0" w:color="auto"/>
            </w:tcBorders>
            <w:shd w:val="clear" w:color="000000" w:fill="B7DEE8"/>
            <w:noWrap/>
            <w:vAlign w:val="center"/>
            <w:hideMark/>
          </w:tcPr>
          <w:p w14:paraId="5C9A0AC6" w14:textId="77777777" w:rsidR="00A15A03" w:rsidRPr="00A15A03" w:rsidRDefault="00A15A03" w:rsidP="00A15A03">
            <w:pPr>
              <w:spacing w:after="0" w:line="240" w:lineRule="auto"/>
              <w:jc w:val="center"/>
              <w:rPr>
                <w:rFonts w:ascii="Cambria" w:eastAsia="Times New Roman" w:hAnsi="Cambria" w:cs="Helvetica"/>
                <w:sz w:val="20"/>
                <w:szCs w:val="20"/>
                <w:lang w:eastAsia="ko-KR"/>
              </w:rPr>
            </w:pPr>
            <w:r w:rsidRPr="00A15A03">
              <w:rPr>
                <w:rFonts w:ascii="Cambria" w:eastAsia="Times New Roman" w:hAnsi="Cambria" w:cs="Helvetica"/>
                <w:sz w:val="20"/>
                <w:szCs w:val="20"/>
                <w:lang w:eastAsia="ko-KR"/>
              </w:rPr>
              <w:t>2022</w:t>
            </w:r>
          </w:p>
        </w:tc>
      </w:tr>
      <w:tr w:rsidR="00F75B7F" w:rsidRPr="00A15A03" w14:paraId="6A1D307E" w14:textId="77777777" w:rsidTr="00541E2B">
        <w:trPr>
          <w:trHeight w:val="590"/>
        </w:trPr>
        <w:tc>
          <w:tcPr>
            <w:tcW w:w="3685" w:type="dxa"/>
            <w:tcBorders>
              <w:top w:val="nil"/>
              <w:left w:val="single" w:sz="4" w:space="0" w:color="auto"/>
              <w:bottom w:val="single" w:sz="4" w:space="0" w:color="auto"/>
              <w:right w:val="single" w:sz="4" w:space="0" w:color="auto"/>
            </w:tcBorders>
            <w:shd w:val="clear" w:color="auto" w:fill="auto"/>
            <w:vAlign w:val="center"/>
            <w:hideMark/>
          </w:tcPr>
          <w:p w14:paraId="302CA587" w14:textId="77777777" w:rsidR="00F75B7F" w:rsidRPr="00A15A03" w:rsidRDefault="00F75B7F" w:rsidP="00F75B7F">
            <w:pPr>
              <w:spacing w:after="0" w:line="240" w:lineRule="auto"/>
              <w:rPr>
                <w:rFonts w:ascii="Cambria" w:eastAsia="Times New Roman" w:hAnsi="Cambria" w:cs="Helvetica"/>
                <w:sz w:val="20"/>
                <w:szCs w:val="20"/>
                <w:lang w:eastAsia="ko-KR"/>
              </w:rPr>
            </w:pPr>
            <w:r w:rsidRPr="00A15A03">
              <w:rPr>
                <w:rFonts w:ascii="Cambria" w:eastAsia="Times New Roman" w:hAnsi="Cambria" w:cs="Helvetica"/>
                <w:sz w:val="20"/>
                <w:szCs w:val="20"/>
                <w:lang w:eastAsia="ko-KR"/>
              </w:rPr>
              <w:t>Impact on total employment</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70B47" w14:textId="77777777" w:rsidR="00F75B7F" w:rsidRPr="00A15A03" w:rsidRDefault="00F75B7F" w:rsidP="00F75B7F">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-274</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14:paraId="43D87776" w14:textId="77777777" w:rsidR="00F75B7F" w:rsidRPr="00A15A03" w:rsidRDefault="00F75B7F" w:rsidP="00F75B7F">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-206</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14:paraId="626BCD72" w14:textId="77777777" w:rsidR="00F75B7F" w:rsidRPr="00A15A03" w:rsidRDefault="00F75B7F" w:rsidP="00F75B7F">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-156</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14:paraId="5CB5779D" w14:textId="77777777" w:rsidR="00F75B7F" w:rsidRPr="00A15A03" w:rsidRDefault="00F75B7F" w:rsidP="00F75B7F">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-112</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14:paraId="38BA9CC6" w14:textId="77777777" w:rsidR="00F75B7F" w:rsidRPr="00A15A03" w:rsidRDefault="00F75B7F" w:rsidP="00F75B7F">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-80</w:t>
            </w:r>
          </w:p>
        </w:tc>
      </w:tr>
      <w:tr w:rsidR="00F75B7F" w:rsidRPr="00A15A03" w14:paraId="042691E1" w14:textId="77777777" w:rsidTr="00541E2B">
        <w:trPr>
          <w:trHeight w:val="500"/>
        </w:trPr>
        <w:tc>
          <w:tcPr>
            <w:tcW w:w="3685" w:type="dxa"/>
            <w:tcBorders>
              <w:top w:val="nil"/>
              <w:left w:val="single" w:sz="4" w:space="0" w:color="auto"/>
              <w:bottom w:val="single" w:sz="4" w:space="0" w:color="auto"/>
              <w:right w:val="single" w:sz="4" w:space="0" w:color="auto"/>
            </w:tcBorders>
            <w:shd w:val="clear" w:color="auto" w:fill="auto"/>
            <w:vAlign w:val="center"/>
            <w:hideMark/>
          </w:tcPr>
          <w:p w14:paraId="7CDA466F" w14:textId="77777777" w:rsidR="00F75B7F" w:rsidRPr="00A15A03" w:rsidRDefault="00F75B7F" w:rsidP="00F75B7F">
            <w:pPr>
              <w:spacing w:after="0" w:line="240" w:lineRule="auto"/>
              <w:rPr>
                <w:rFonts w:ascii="Cambria" w:eastAsia="Times New Roman" w:hAnsi="Cambria" w:cs="Helvetica"/>
                <w:sz w:val="20"/>
                <w:szCs w:val="20"/>
                <w:lang w:eastAsia="ko-KR"/>
              </w:rPr>
            </w:pPr>
            <w:r w:rsidRPr="00A15A03">
              <w:rPr>
                <w:rFonts w:ascii="Cambria" w:eastAsia="Times New Roman" w:hAnsi="Cambria" w:cs="Helvetica"/>
                <w:sz w:val="20"/>
                <w:szCs w:val="20"/>
                <w:lang w:eastAsia="ko-KR"/>
              </w:rPr>
              <w:t>Impact on private non-farm employment</w:t>
            </w:r>
          </w:p>
        </w:tc>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5CCD0968" w14:textId="77777777" w:rsidR="00F75B7F" w:rsidRPr="00A15A03" w:rsidRDefault="00F75B7F" w:rsidP="00F75B7F">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-54</w:t>
            </w:r>
          </w:p>
        </w:tc>
        <w:tc>
          <w:tcPr>
            <w:tcW w:w="1008" w:type="dxa"/>
            <w:tcBorders>
              <w:top w:val="nil"/>
              <w:left w:val="nil"/>
              <w:bottom w:val="single" w:sz="4" w:space="0" w:color="auto"/>
              <w:right w:val="single" w:sz="4" w:space="0" w:color="auto"/>
            </w:tcBorders>
            <w:shd w:val="clear" w:color="auto" w:fill="auto"/>
            <w:noWrap/>
            <w:vAlign w:val="center"/>
            <w:hideMark/>
          </w:tcPr>
          <w:p w14:paraId="40EEC900" w14:textId="77777777" w:rsidR="00F75B7F" w:rsidRPr="00A15A03" w:rsidRDefault="00F75B7F" w:rsidP="00F75B7F">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10</w:t>
            </w:r>
          </w:p>
        </w:tc>
        <w:tc>
          <w:tcPr>
            <w:tcW w:w="1008" w:type="dxa"/>
            <w:tcBorders>
              <w:top w:val="nil"/>
              <w:left w:val="nil"/>
              <w:bottom w:val="single" w:sz="4" w:space="0" w:color="auto"/>
              <w:right w:val="single" w:sz="4" w:space="0" w:color="auto"/>
            </w:tcBorders>
            <w:shd w:val="clear" w:color="auto" w:fill="auto"/>
            <w:noWrap/>
            <w:vAlign w:val="center"/>
            <w:hideMark/>
          </w:tcPr>
          <w:p w14:paraId="23A1E642" w14:textId="77777777" w:rsidR="00F75B7F" w:rsidRPr="00A15A03" w:rsidRDefault="00F75B7F" w:rsidP="00F75B7F">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51</w:t>
            </w:r>
          </w:p>
        </w:tc>
        <w:tc>
          <w:tcPr>
            <w:tcW w:w="1008" w:type="dxa"/>
            <w:tcBorders>
              <w:top w:val="nil"/>
              <w:left w:val="nil"/>
              <w:bottom w:val="single" w:sz="4" w:space="0" w:color="auto"/>
              <w:right w:val="single" w:sz="4" w:space="0" w:color="auto"/>
            </w:tcBorders>
            <w:shd w:val="clear" w:color="auto" w:fill="auto"/>
            <w:noWrap/>
            <w:vAlign w:val="center"/>
            <w:hideMark/>
          </w:tcPr>
          <w:p w14:paraId="150B42FA" w14:textId="77777777" w:rsidR="00F75B7F" w:rsidRPr="00A15A03" w:rsidRDefault="00F75B7F" w:rsidP="00F75B7F">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85</w:t>
            </w:r>
          </w:p>
        </w:tc>
        <w:tc>
          <w:tcPr>
            <w:tcW w:w="1008" w:type="dxa"/>
            <w:tcBorders>
              <w:top w:val="nil"/>
              <w:left w:val="nil"/>
              <w:bottom w:val="single" w:sz="4" w:space="0" w:color="auto"/>
              <w:right w:val="single" w:sz="4" w:space="0" w:color="auto"/>
            </w:tcBorders>
            <w:shd w:val="clear" w:color="auto" w:fill="auto"/>
            <w:noWrap/>
            <w:vAlign w:val="center"/>
            <w:hideMark/>
          </w:tcPr>
          <w:p w14:paraId="6C1531DB" w14:textId="77777777" w:rsidR="00F75B7F" w:rsidRPr="00A15A03" w:rsidRDefault="00F75B7F" w:rsidP="00F75B7F">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106</w:t>
            </w:r>
          </w:p>
        </w:tc>
      </w:tr>
      <w:tr w:rsidR="00F75B7F" w:rsidRPr="00A15A03" w14:paraId="4525F1C8" w14:textId="77777777" w:rsidTr="00541E2B">
        <w:trPr>
          <w:trHeight w:val="500"/>
        </w:trPr>
        <w:tc>
          <w:tcPr>
            <w:tcW w:w="3685" w:type="dxa"/>
            <w:tcBorders>
              <w:top w:val="nil"/>
              <w:left w:val="single" w:sz="4" w:space="0" w:color="auto"/>
              <w:bottom w:val="single" w:sz="4" w:space="0" w:color="auto"/>
              <w:right w:val="single" w:sz="4" w:space="0" w:color="auto"/>
            </w:tcBorders>
            <w:shd w:val="clear" w:color="auto" w:fill="auto"/>
            <w:vAlign w:val="center"/>
            <w:hideMark/>
          </w:tcPr>
          <w:p w14:paraId="56B706D4" w14:textId="77777777" w:rsidR="00F75B7F" w:rsidRPr="00A15A03" w:rsidRDefault="00F75B7F" w:rsidP="00F75B7F">
            <w:pPr>
              <w:spacing w:after="0" w:line="240" w:lineRule="auto"/>
              <w:rPr>
                <w:rFonts w:ascii="Cambria" w:eastAsia="Times New Roman" w:hAnsi="Cambria" w:cs="Helvetica"/>
                <w:sz w:val="20"/>
                <w:szCs w:val="20"/>
                <w:lang w:eastAsia="ko-KR"/>
              </w:rPr>
            </w:pPr>
            <w:r w:rsidRPr="00A15A03">
              <w:rPr>
                <w:rFonts w:ascii="Cambria" w:eastAsia="Times New Roman" w:hAnsi="Cambria" w:cs="Helvetica"/>
                <w:sz w:val="20"/>
                <w:szCs w:val="20"/>
                <w:lang w:eastAsia="ko-KR"/>
              </w:rPr>
              <w:t>Impact on GDP ($000), real dollars</w:t>
            </w:r>
            <w:r>
              <w:rPr>
                <w:rFonts w:ascii="Cambria" w:eastAsia="Times New Roman" w:hAnsi="Cambria" w:cs="Helvetica"/>
                <w:sz w:val="20"/>
                <w:szCs w:val="20"/>
                <w:lang w:eastAsia="ko-KR"/>
              </w:rPr>
              <w:t xml:space="preserve"> </w:t>
            </w:r>
            <w:r w:rsidRPr="00A15A03">
              <w:rPr>
                <w:rFonts w:ascii="Cambria" w:eastAsia="Times New Roman" w:hAnsi="Cambria" w:cs="Helvetica"/>
                <w:sz w:val="20"/>
                <w:szCs w:val="20"/>
                <w:lang w:eastAsia="ko-KR"/>
              </w:rPr>
              <w:t>(2012)</w:t>
            </w:r>
          </w:p>
        </w:tc>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468DE5A8" w14:textId="77777777" w:rsidR="00F75B7F" w:rsidRPr="00A15A03" w:rsidRDefault="00F75B7F" w:rsidP="00F75B7F">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-$21,000</w:t>
            </w:r>
          </w:p>
        </w:tc>
        <w:tc>
          <w:tcPr>
            <w:tcW w:w="1008" w:type="dxa"/>
            <w:tcBorders>
              <w:top w:val="nil"/>
              <w:left w:val="nil"/>
              <w:bottom w:val="single" w:sz="4" w:space="0" w:color="auto"/>
              <w:right w:val="single" w:sz="4" w:space="0" w:color="auto"/>
            </w:tcBorders>
            <w:shd w:val="clear" w:color="auto" w:fill="auto"/>
            <w:noWrap/>
            <w:vAlign w:val="center"/>
            <w:hideMark/>
          </w:tcPr>
          <w:p w14:paraId="4CB0346C" w14:textId="77777777" w:rsidR="00F75B7F" w:rsidRPr="00A15A03" w:rsidRDefault="00F75B7F" w:rsidP="00F75B7F">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-$13,000</w:t>
            </w:r>
          </w:p>
        </w:tc>
        <w:tc>
          <w:tcPr>
            <w:tcW w:w="1008" w:type="dxa"/>
            <w:tcBorders>
              <w:top w:val="nil"/>
              <w:left w:val="nil"/>
              <w:bottom w:val="single" w:sz="4" w:space="0" w:color="auto"/>
              <w:right w:val="single" w:sz="4" w:space="0" w:color="auto"/>
            </w:tcBorders>
            <w:shd w:val="clear" w:color="auto" w:fill="auto"/>
            <w:noWrap/>
            <w:vAlign w:val="center"/>
            <w:hideMark/>
          </w:tcPr>
          <w:p w14:paraId="1ED7FDA3" w14:textId="77777777" w:rsidR="00F75B7F" w:rsidRPr="00A15A03" w:rsidRDefault="00F75B7F" w:rsidP="00F75B7F">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-$7,000</w:t>
            </w:r>
          </w:p>
        </w:tc>
        <w:tc>
          <w:tcPr>
            <w:tcW w:w="1008" w:type="dxa"/>
            <w:tcBorders>
              <w:top w:val="nil"/>
              <w:left w:val="nil"/>
              <w:bottom w:val="single" w:sz="4" w:space="0" w:color="auto"/>
              <w:right w:val="single" w:sz="4" w:space="0" w:color="auto"/>
            </w:tcBorders>
            <w:shd w:val="clear" w:color="auto" w:fill="auto"/>
            <w:noWrap/>
            <w:vAlign w:val="center"/>
            <w:hideMark/>
          </w:tcPr>
          <w:p w14:paraId="5F2A06FE" w14:textId="77777777" w:rsidR="00F75B7F" w:rsidRPr="00A15A03" w:rsidRDefault="00F75B7F" w:rsidP="00F75B7F">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-$1,000</w:t>
            </w:r>
          </w:p>
        </w:tc>
        <w:tc>
          <w:tcPr>
            <w:tcW w:w="1008" w:type="dxa"/>
            <w:tcBorders>
              <w:top w:val="nil"/>
              <w:left w:val="nil"/>
              <w:bottom w:val="single" w:sz="4" w:space="0" w:color="auto"/>
              <w:right w:val="single" w:sz="4" w:space="0" w:color="auto"/>
            </w:tcBorders>
            <w:shd w:val="clear" w:color="auto" w:fill="auto"/>
            <w:noWrap/>
            <w:vAlign w:val="center"/>
            <w:hideMark/>
          </w:tcPr>
          <w:p w14:paraId="6A5B21A0" w14:textId="77777777" w:rsidR="00F75B7F" w:rsidRPr="00A15A03" w:rsidRDefault="00F75B7F" w:rsidP="00F75B7F">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$3,000</w:t>
            </w:r>
          </w:p>
        </w:tc>
      </w:tr>
      <w:tr w:rsidR="00F75B7F" w:rsidRPr="00A15A03" w14:paraId="2F710765" w14:textId="77777777" w:rsidTr="00541E2B">
        <w:trPr>
          <w:trHeight w:val="500"/>
        </w:trPr>
        <w:tc>
          <w:tcPr>
            <w:tcW w:w="3685" w:type="dxa"/>
            <w:tcBorders>
              <w:top w:val="nil"/>
              <w:left w:val="single" w:sz="4" w:space="0" w:color="auto"/>
              <w:bottom w:val="single" w:sz="4" w:space="0" w:color="auto"/>
              <w:right w:val="single" w:sz="4" w:space="0" w:color="auto"/>
            </w:tcBorders>
            <w:shd w:val="clear" w:color="auto" w:fill="auto"/>
            <w:vAlign w:val="center"/>
            <w:hideMark/>
          </w:tcPr>
          <w:p w14:paraId="5BB96CC2" w14:textId="77777777" w:rsidR="00F75B7F" w:rsidRPr="00A15A03" w:rsidRDefault="00F75B7F" w:rsidP="00F75B7F">
            <w:pPr>
              <w:spacing w:after="0" w:line="240" w:lineRule="auto"/>
              <w:rPr>
                <w:rFonts w:ascii="Cambria" w:eastAsia="Times New Roman" w:hAnsi="Cambria" w:cs="Helvetica"/>
                <w:sz w:val="20"/>
                <w:szCs w:val="20"/>
                <w:lang w:eastAsia="ko-KR"/>
              </w:rPr>
            </w:pPr>
            <w:r w:rsidRPr="00A15A03">
              <w:rPr>
                <w:rFonts w:ascii="Cambria" w:eastAsia="Times New Roman" w:hAnsi="Cambria" w:cs="Helvetica"/>
                <w:sz w:val="20"/>
                <w:szCs w:val="20"/>
                <w:lang w:eastAsia="ko-KR"/>
              </w:rPr>
              <w:t>Impact on personal income ($000)</w:t>
            </w:r>
          </w:p>
        </w:tc>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738E25EA" w14:textId="77777777" w:rsidR="00F75B7F" w:rsidRPr="00A15A03" w:rsidRDefault="00F75B7F" w:rsidP="00F75B7F">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-$20,000</w:t>
            </w:r>
          </w:p>
        </w:tc>
        <w:tc>
          <w:tcPr>
            <w:tcW w:w="1008" w:type="dxa"/>
            <w:tcBorders>
              <w:top w:val="nil"/>
              <w:left w:val="nil"/>
              <w:bottom w:val="single" w:sz="4" w:space="0" w:color="auto"/>
              <w:right w:val="single" w:sz="4" w:space="0" w:color="auto"/>
            </w:tcBorders>
            <w:shd w:val="clear" w:color="auto" w:fill="auto"/>
            <w:noWrap/>
            <w:vAlign w:val="center"/>
            <w:hideMark/>
          </w:tcPr>
          <w:p w14:paraId="2F51813D" w14:textId="77777777" w:rsidR="00F75B7F" w:rsidRPr="00A15A03" w:rsidRDefault="00F75B7F" w:rsidP="00F75B7F">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-$16,000</w:t>
            </w:r>
          </w:p>
        </w:tc>
        <w:tc>
          <w:tcPr>
            <w:tcW w:w="1008" w:type="dxa"/>
            <w:tcBorders>
              <w:top w:val="nil"/>
              <w:left w:val="nil"/>
              <w:bottom w:val="single" w:sz="4" w:space="0" w:color="auto"/>
              <w:right w:val="single" w:sz="4" w:space="0" w:color="auto"/>
            </w:tcBorders>
            <w:shd w:val="clear" w:color="auto" w:fill="auto"/>
            <w:noWrap/>
            <w:vAlign w:val="center"/>
            <w:hideMark/>
          </w:tcPr>
          <w:p w14:paraId="64D7C51E" w14:textId="77777777" w:rsidR="00F75B7F" w:rsidRPr="00A15A03" w:rsidRDefault="00F75B7F" w:rsidP="00F75B7F">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-$14,000</w:t>
            </w:r>
          </w:p>
        </w:tc>
        <w:tc>
          <w:tcPr>
            <w:tcW w:w="1008" w:type="dxa"/>
            <w:tcBorders>
              <w:top w:val="nil"/>
              <w:left w:val="nil"/>
              <w:bottom w:val="single" w:sz="4" w:space="0" w:color="auto"/>
              <w:right w:val="single" w:sz="4" w:space="0" w:color="auto"/>
            </w:tcBorders>
            <w:shd w:val="clear" w:color="auto" w:fill="auto"/>
            <w:noWrap/>
            <w:vAlign w:val="center"/>
            <w:hideMark/>
          </w:tcPr>
          <w:p w14:paraId="44B2066F" w14:textId="77777777" w:rsidR="00F75B7F" w:rsidRPr="00A15A03" w:rsidRDefault="00F75B7F" w:rsidP="00F75B7F">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-$10,000</w:t>
            </w:r>
          </w:p>
        </w:tc>
        <w:tc>
          <w:tcPr>
            <w:tcW w:w="1008" w:type="dxa"/>
            <w:tcBorders>
              <w:top w:val="nil"/>
              <w:left w:val="nil"/>
              <w:bottom w:val="single" w:sz="4" w:space="0" w:color="auto"/>
              <w:right w:val="single" w:sz="4" w:space="0" w:color="auto"/>
            </w:tcBorders>
            <w:shd w:val="clear" w:color="auto" w:fill="auto"/>
            <w:noWrap/>
            <w:vAlign w:val="center"/>
            <w:hideMark/>
          </w:tcPr>
          <w:p w14:paraId="7CADB7CC" w14:textId="77777777" w:rsidR="00F75B7F" w:rsidRPr="00A15A03" w:rsidRDefault="00F75B7F" w:rsidP="00F75B7F">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-$7,000</w:t>
            </w:r>
          </w:p>
        </w:tc>
      </w:tr>
    </w:tbl>
    <w:p w14:paraId="1E3571F4" w14:textId="77777777" w:rsidR="00FE4E0E" w:rsidRDefault="00FE4E0E" w:rsidP="00FE4E0E">
      <w:pPr>
        <w:tabs>
          <w:tab w:val="left" w:pos="7050"/>
        </w:tabs>
        <w:spacing w:after="0"/>
        <w:rPr>
          <w:rFonts w:asciiTheme="majorHAnsi" w:hAnsiTheme="majorHAnsi"/>
          <w:bCs/>
          <w:sz w:val="20"/>
          <w:szCs w:val="20"/>
        </w:rPr>
      </w:pPr>
      <w:r>
        <w:rPr>
          <w:rFonts w:asciiTheme="majorHAnsi" w:hAnsiTheme="majorHAnsi"/>
          <w:bCs/>
          <w:sz w:val="20"/>
          <w:szCs w:val="20"/>
        </w:rPr>
        <w:t>* assuming state government spending is cut by the same amount as the revenue loss due to EDIP credit to balance budget.</w:t>
      </w:r>
    </w:p>
    <w:p w14:paraId="03616354" w14:textId="77777777" w:rsidR="00A15A03" w:rsidRDefault="00A15A03" w:rsidP="004E589D">
      <w:pPr>
        <w:spacing w:after="0"/>
        <w:rPr>
          <w:rFonts w:asciiTheme="majorHAnsi" w:eastAsiaTheme="majorEastAsia" w:hAnsiTheme="majorHAnsi" w:cstheme="majorBidi"/>
          <w:b/>
          <w:color w:val="000000" w:themeColor="text1"/>
          <w:sz w:val="24"/>
          <w:szCs w:val="24"/>
        </w:rPr>
      </w:pPr>
    </w:p>
    <w:p w14:paraId="4A2C3E25" w14:textId="77777777" w:rsidR="00541E2B" w:rsidRDefault="00541E2B" w:rsidP="00541E2B">
      <w:pPr>
        <w:tabs>
          <w:tab w:val="left" w:pos="7050"/>
        </w:tabs>
        <w:spacing w:after="0"/>
        <w:rPr>
          <w:rFonts w:asciiTheme="majorHAnsi" w:hAnsiTheme="majorHAnsi"/>
          <w:bCs/>
          <w:sz w:val="24"/>
          <w:szCs w:val="23"/>
        </w:rPr>
      </w:pPr>
      <w:r w:rsidRPr="002F4285">
        <w:rPr>
          <w:rFonts w:asciiTheme="majorHAnsi" w:hAnsiTheme="majorHAnsi"/>
          <w:bCs/>
          <w:sz w:val="24"/>
          <w:szCs w:val="24"/>
        </w:rPr>
        <w:lastRenderedPageBreak/>
        <w:t>Because the tax expenditure has its own specific purpose, the net negative impacts do not necessarily imply that the tax expenditure is not desirable. T</w:t>
      </w:r>
      <w:r w:rsidRPr="002F4285">
        <w:rPr>
          <w:rFonts w:asciiTheme="majorHAnsi" w:eastAsiaTheme="majorEastAsia" w:hAnsiTheme="majorHAnsi" w:cstheme="majorBidi"/>
          <w:bCs/>
          <w:color w:val="000000" w:themeColor="text1"/>
          <w:sz w:val="24"/>
          <w:szCs w:val="24"/>
        </w:rPr>
        <w:t xml:space="preserve">he statute does not explicitly state the purpose of this tax expenditure; however, </w:t>
      </w:r>
      <w:r w:rsidRPr="008971BB">
        <w:rPr>
          <w:rFonts w:asciiTheme="majorHAnsi" w:eastAsiaTheme="majorEastAsia" w:hAnsiTheme="majorHAnsi" w:cstheme="majorBidi"/>
          <w:bCs/>
          <w:color w:val="000000" w:themeColor="text1"/>
          <w:sz w:val="24"/>
          <w:szCs w:val="24"/>
        </w:rPr>
        <w:t>we assume that the purpose is to</w:t>
      </w:r>
      <w:r w:rsidRPr="008971BB">
        <w:rPr>
          <w:rFonts w:asciiTheme="majorHAnsi" w:hAnsiTheme="majorHAnsi"/>
          <w:bCs/>
          <w:sz w:val="24"/>
          <w:szCs w:val="23"/>
        </w:rPr>
        <w:t xml:space="preserve"> </w:t>
      </w:r>
      <w:r>
        <w:rPr>
          <w:rFonts w:asciiTheme="majorHAnsi" w:eastAsiaTheme="majorEastAsia" w:hAnsiTheme="majorHAnsi" w:cstheme="majorBidi"/>
          <w:bCs/>
          <w:color w:val="000000" w:themeColor="text1"/>
          <w:sz w:val="24"/>
          <w:szCs w:val="24"/>
        </w:rPr>
        <w:t xml:space="preserve">encourage investment, job creation and economic </w:t>
      </w:r>
      <w:r w:rsidR="0093545B">
        <w:rPr>
          <w:rFonts w:asciiTheme="majorHAnsi" w:eastAsiaTheme="majorEastAsia" w:hAnsiTheme="majorHAnsi" w:cstheme="majorBidi"/>
          <w:bCs/>
          <w:color w:val="000000" w:themeColor="text1"/>
          <w:sz w:val="24"/>
          <w:szCs w:val="24"/>
        </w:rPr>
        <w:t>development</w:t>
      </w:r>
      <w:r>
        <w:rPr>
          <w:rFonts w:asciiTheme="majorHAnsi" w:eastAsiaTheme="majorEastAsia" w:hAnsiTheme="majorHAnsi" w:cstheme="majorBidi"/>
          <w:bCs/>
          <w:color w:val="000000" w:themeColor="text1"/>
          <w:sz w:val="24"/>
          <w:szCs w:val="24"/>
        </w:rPr>
        <w:t xml:space="preserve"> in Massachusetts, which seem achieved</w:t>
      </w:r>
      <w:r w:rsidR="00813993">
        <w:rPr>
          <w:rFonts w:asciiTheme="majorHAnsi" w:eastAsiaTheme="majorEastAsia" w:hAnsiTheme="majorHAnsi" w:cstheme="majorBidi"/>
          <w:bCs/>
          <w:color w:val="000000" w:themeColor="text1"/>
          <w:sz w:val="24"/>
          <w:szCs w:val="24"/>
        </w:rPr>
        <w:t xml:space="preserve"> according to </w:t>
      </w:r>
      <w:r w:rsidR="00415B66">
        <w:rPr>
          <w:rFonts w:asciiTheme="majorHAnsi" w:eastAsiaTheme="majorEastAsia" w:hAnsiTheme="majorHAnsi" w:cstheme="majorBidi"/>
          <w:bCs/>
          <w:color w:val="000000" w:themeColor="text1"/>
          <w:sz w:val="24"/>
          <w:szCs w:val="24"/>
        </w:rPr>
        <w:t>MOBD’s</w:t>
      </w:r>
      <w:r w:rsidR="00813993">
        <w:rPr>
          <w:rFonts w:asciiTheme="majorHAnsi" w:eastAsiaTheme="majorEastAsia" w:hAnsiTheme="majorHAnsi" w:cstheme="majorBidi"/>
          <w:bCs/>
          <w:color w:val="000000" w:themeColor="text1"/>
          <w:sz w:val="24"/>
          <w:szCs w:val="24"/>
        </w:rPr>
        <w:t xml:space="preserve"> annual report as discussed in the previous section</w:t>
      </w:r>
      <w:r w:rsidRPr="002F4285">
        <w:rPr>
          <w:rFonts w:asciiTheme="majorHAnsi" w:hAnsiTheme="majorHAnsi"/>
          <w:bCs/>
          <w:sz w:val="24"/>
          <w:szCs w:val="23"/>
        </w:rPr>
        <w:t>.</w:t>
      </w:r>
      <w:r w:rsidR="00E869E5">
        <w:rPr>
          <w:rFonts w:asciiTheme="majorHAnsi" w:hAnsiTheme="majorHAnsi"/>
          <w:bCs/>
          <w:sz w:val="24"/>
          <w:szCs w:val="23"/>
        </w:rPr>
        <w:t xml:space="preserve"> See Appendix II for more discussion.</w:t>
      </w:r>
    </w:p>
    <w:p w14:paraId="1E58E6DD" w14:textId="77777777" w:rsidR="00A15A03" w:rsidRDefault="00A15A03" w:rsidP="007D054D">
      <w:pPr>
        <w:tabs>
          <w:tab w:val="left" w:pos="7050"/>
        </w:tabs>
        <w:spacing w:after="0"/>
        <w:rPr>
          <w:rFonts w:asciiTheme="majorHAnsi" w:hAnsiTheme="majorHAnsi"/>
          <w:bCs/>
          <w:sz w:val="24"/>
          <w:szCs w:val="23"/>
        </w:rPr>
      </w:pPr>
    </w:p>
    <w:p w14:paraId="539D6275" w14:textId="77777777" w:rsidR="00D44536" w:rsidRPr="00BB467B" w:rsidRDefault="00D44536" w:rsidP="00291074">
      <w:pPr>
        <w:tabs>
          <w:tab w:val="left" w:pos="7050"/>
        </w:tabs>
        <w:spacing w:after="0"/>
        <w:rPr>
          <w:rFonts w:asciiTheme="majorHAnsi" w:hAnsiTheme="majorHAnsi"/>
          <w:bCs/>
          <w:sz w:val="24"/>
          <w:szCs w:val="24"/>
        </w:rPr>
      </w:pPr>
    </w:p>
    <w:p w14:paraId="57D708DB" w14:textId="77777777" w:rsidR="00F7280D" w:rsidRPr="004C3153" w:rsidRDefault="00F7280D" w:rsidP="008302F8">
      <w:pPr>
        <w:spacing w:after="0"/>
        <w:rPr>
          <w:rFonts w:asciiTheme="majorHAnsi" w:eastAsiaTheme="majorEastAsia" w:hAnsiTheme="majorHAnsi" w:cstheme="majorBidi"/>
          <w:b/>
          <w:bCs/>
          <w:color w:val="E36C0A" w:themeColor="accent6" w:themeShade="BF"/>
          <w:sz w:val="28"/>
          <w:szCs w:val="28"/>
        </w:rPr>
      </w:pPr>
      <w:r w:rsidRPr="004C3153">
        <w:rPr>
          <w:rFonts w:asciiTheme="majorHAnsi" w:eastAsiaTheme="majorEastAsia" w:hAnsiTheme="majorHAnsi" w:cstheme="majorBidi"/>
          <w:b/>
          <w:bCs/>
          <w:color w:val="E36C0A" w:themeColor="accent6" w:themeShade="BF"/>
          <w:sz w:val="28"/>
          <w:szCs w:val="28"/>
        </w:rPr>
        <w:t>Similar Tax Expenditures Offered by Other States</w:t>
      </w:r>
    </w:p>
    <w:p w14:paraId="6F7B980A" w14:textId="77777777" w:rsidR="00F7280D" w:rsidRDefault="008302F8" w:rsidP="00291074">
      <w:pPr>
        <w:tabs>
          <w:tab w:val="left" w:pos="7050"/>
        </w:tabs>
        <w:spacing w:after="0"/>
        <w:rPr>
          <w:rFonts w:asciiTheme="majorHAnsi" w:hAnsiTheme="majorHAnsi"/>
          <w:bCs/>
          <w:sz w:val="24"/>
          <w:szCs w:val="23"/>
        </w:rPr>
      </w:pPr>
      <w:r>
        <w:rPr>
          <w:rFonts w:asciiTheme="majorHAnsi" w:hAnsiTheme="majorHAnsi"/>
          <w:bCs/>
          <w:sz w:val="24"/>
          <w:szCs w:val="23"/>
        </w:rPr>
        <w:t>M</w:t>
      </w:r>
      <w:r w:rsidRPr="008302F8">
        <w:rPr>
          <w:rFonts w:asciiTheme="majorHAnsi" w:hAnsiTheme="majorHAnsi"/>
          <w:bCs/>
          <w:sz w:val="24"/>
          <w:szCs w:val="23"/>
        </w:rPr>
        <w:t>ost states have some form of economic development incentive</w:t>
      </w:r>
      <w:r>
        <w:rPr>
          <w:rFonts w:asciiTheme="majorHAnsi" w:hAnsiTheme="majorHAnsi"/>
          <w:bCs/>
          <w:sz w:val="24"/>
          <w:szCs w:val="23"/>
        </w:rPr>
        <w:t xml:space="preserve">. </w:t>
      </w:r>
      <w:r w:rsidR="00A4347F">
        <w:rPr>
          <w:rFonts w:asciiTheme="majorHAnsi" w:hAnsiTheme="majorHAnsi"/>
          <w:bCs/>
          <w:sz w:val="24"/>
          <w:szCs w:val="23"/>
        </w:rPr>
        <w:t xml:space="preserve"> This is a </w:t>
      </w:r>
      <w:r w:rsidR="0026403C">
        <w:rPr>
          <w:rFonts w:asciiTheme="majorHAnsi" w:hAnsiTheme="majorHAnsi"/>
          <w:bCs/>
          <w:sz w:val="24"/>
          <w:szCs w:val="23"/>
        </w:rPr>
        <w:t xml:space="preserve">widely </w:t>
      </w:r>
      <w:r w:rsidR="00352D2E">
        <w:rPr>
          <w:rFonts w:asciiTheme="majorHAnsi" w:hAnsiTheme="majorHAnsi"/>
          <w:bCs/>
          <w:sz w:val="24"/>
          <w:szCs w:val="23"/>
        </w:rPr>
        <w:t>adopted t</w:t>
      </w:r>
      <w:r w:rsidR="00A4347F">
        <w:rPr>
          <w:rFonts w:asciiTheme="majorHAnsi" w:hAnsiTheme="majorHAnsi"/>
          <w:bCs/>
          <w:sz w:val="24"/>
          <w:szCs w:val="23"/>
        </w:rPr>
        <w:t xml:space="preserve">ax incentive. </w:t>
      </w:r>
    </w:p>
    <w:p w14:paraId="7384B9B5" w14:textId="6584C63D" w:rsidR="00291074" w:rsidRDefault="00291074" w:rsidP="00291074">
      <w:pPr>
        <w:tabs>
          <w:tab w:val="left" w:pos="7050"/>
        </w:tabs>
        <w:spacing w:after="0" w:line="240" w:lineRule="auto"/>
        <w:rPr>
          <w:rFonts w:asciiTheme="majorHAnsi" w:hAnsiTheme="majorHAnsi"/>
          <w:b/>
          <w:sz w:val="23"/>
          <w:szCs w:val="23"/>
        </w:rPr>
      </w:pPr>
    </w:p>
    <w:p w14:paraId="091883D8" w14:textId="77777777" w:rsidR="00FD0EF5" w:rsidRDefault="00FD0EF5" w:rsidP="00291074">
      <w:pPr>
        <w:tabs>
          <w:tab w:val="left" w:pos="7050"/>
        </w:tabs>
        <w:spacing w:after="0" w:line="240" w:lineRule="auto"/>
        <w:rPr>
          <w:rFonts w:asciiTheme="majorHAnsi" w:hAnsiTheme="majorHAnsi"/>
          <w:b/>
          <w:sz w:val="23"/>
          <w:szCs w:val="23"/>
        </w:rPr>
      </w:pPr>
    </w:p>
    <w:p w14:paraId="204C393E" w14:textId="77777777" w:rsidR="00291074" w:rsidRPr="00A07439" w:rsidRDefault="00F51224" w:rsidP="00291074">
      <w:pPr>
        <w:tabs>
          <w:tab w:val="left" w:pos="7050"/>
        </w:tabs>
        <w:spacing w:after="0" w:line="240" w:lineRule="auto"/>
        <w:rPr>
          <w:rFonts w:asciiTheme="majorHAnsi" w:eastAsiaTheme="majorEastAsia" w:hAnsiTheme="majorHAnsi" w:cstheme="majorBidi"/>
          <w:b/>
          <w:bCs/>
          <w:color w:val="E36C0A" w:themeColor="accent6" w:themeShade="BF"/>
          <w:sz w:val="28"/>
          <w:szCs w:val="28"/>
        </w:rPr>
      </w:pPr>
      <w:r>
        <w:rPr>
          <w:rFonts w:asciiTheme="majorHAnsi" w:eastAsiaTheme="majorEastAsia" w:hAnsiTheme="majorHAnsi" w:cstheme="majorBidi"/>
          <w:b/>
          <w:bCs/>
          <w:color w:val="E36C0A" w:themeColor="accent6" w:themeShade="BF"/>
          <w:sz w:val="28"/>
          <w:szCs w:val="28"/>
        </w:rPr>
        <w:t xml:space="preserve">IS THE INCENTIVE </w:t>
      </w:r>
      <w:r w:rsidR="00291074" w:rsidRPr="00A07439">
        <w:rPr>
          <w:rFonts w:asciiTheme="majorHAnsi" w:eastAsiaTheme="majorEastAsia" w:hAnsiTheme="majorHAnsi" w:cstheme="majorBidi"/>
          <w:b/>
          <w:bCs/>
          <w:color w:val="E36C0A" w:themeColor="accent6" w:themeShade="BF"/>
          <w:sz w:val="28"/>
          <w:szCs w:val="28"/>
        </w:rPr>
        <w:t xml:space="preserve">AS DESIGNED ACCOMPLISHING ITS PURPOSE?  </w:t>
      </w:r>
    </w:p>
    <w:p w14:paraId="273CB7B9" w14:textId="77777777" w:rsidR="00BF5CC0" w:rsidRDefault="00BF5CC0" w:rsidP="00BF5CC0">
      <w:pPr>
        <w:tabs>
          <w:tab w:val="left" w:pos="7050"/>
        </w:tabs>
        <w:spacing w:after="0" w:line="240" w:lineRule="auto"/>
        <w:rPr>
          <w:rFonts w:asciiTheme="majorHAnsi" w:eastAsiaTheme="majorEastAsia" w:hAnsiTheme="majorHAnsi" w:cstheme="majorBidi"/>
          <w:bCs/>
          <w:color w:val="000000" w:themeColor="text1"/>
          <w:sz w:val="24"/>
          <w:szCs w:val="24"/>
        </w:rPr>
      </w:pPr>
      <w:bookmarkStart w:id="3" w:name="_Hlk51155631"/>
      <w:r>
        <w:rPr>
          <w:rFonts w:asciiTheme="majorHAnsi" w:eastAsiaTheme="majorEastAsia" w:hAnsiTheme="majorHAnsi" w:cstheme="majorBidi"/>
          <w:bCs/>
          <w:color w:val="000000" w:themeColor="text1"/>
          <w:sz w:val="24"/>
          <w:szCs w:val="24"/>
        </w:rPr>
        <w:t>[FOR TERC TO COMPLETE]</w:t>
      </w:r>
      <w:bookmarkEnd w:id="3"/>
    </w:p>
    <w:p w14:paraId="5F60F086" w14:textId="77777777" w:rsidR="00291074" w:rsidRPr="00DE0DA2" w:rsidRDefault="00291074" w:rsidP="00291074">
      <w:pPr>
        <w:tabs>
          <w:tab w:val="left" w:pos="7050"/>
        </w:tabs>
        <w:spacing w:after="0" w:line="240" w:lineRule="auto"/>
        <w:rPr>
          <w:rFonts w:asciiTheme="majorHAnsi" w:eastAsiaTheme="majorEastAsia" w:hAnsiTheme="majorHAnsi" w:cstheme="majorBidi"/>
          <w:bCs/>
          <w:color w:val="000000" w:themeColor="text1"/>
          <w:sz w:val="20"/>
          <w:szCs w:val="24"/>
          <w:highlight w:val="lightGray"/>
        </w:rPr>
      </w:pPr>
    </w:p>
    <w:p w14:paraId="24F826FD" w14:textId="77777777" w:rsidR="007D054D" w:rsidRDefault="007D054D">
      <w:pPr>
        <w:rPr>
          <w:rFonts w:asciiTheme="majorHAnsi" w:hAnsiTheme="majorHAnsi"/>
          <w:b/>
          <w:sz w:val="24"/>
          <w:szCs w:val="24"/>
        </w:rPr>
      </w:pPr>
    </w:p>
    <w:sdt>
      <w:sdtPr>
        <w:rPr>
          <w:rFonts w:asciiTheme="minorHAnsi" w:eastAsiaTheme="minorHAnsi" w:hAnsiTheme="minorHAnsi" w:cstheme="minorBidi"/>
          <w:color w:val="auto"/>
          <w:sz w:val="22"/>
          <w:szCs w:val="22"/>
        </w:rPr>
        <w:id w:val="-1381235054"/>
        <w:docPartObj>
          <w:docPartGallery w:val="Bibliographies"/>
          <w:docPartUnique/>
        </w:docPartObj>
      </w:sdtPr>
      <w:sdtContent>
        <w:p w14:paraId="5EFC775F" w14:textId="77777777" w:rsidR="007D054D" w:rsidRDefault="007D054D">
          <w:pPr>
            <w:pStyle w:val="Heading1"/>
            <w:rPr>
              <w:color w:val="auto"/>
            </w:rPr>
          </w:pPr>
          <w:r w:rsidRPr="00BF5CC0">
            <w:rPr>
              <w:color w:val="auto"/>
            </w:rPr>
            <w:t>References</w:t>
          </w:r>
        </w:p>
        <w:p w14:paraId="167C71F3" w14:textId="77777777" w:rsidR="00BF5CC0" w:rsidRPr="00BF5CC0" w:rsidRDefault="00BF5CC0" w:rsidP="00BF5CC0">
          <w:pPr>
            <w:spacing w:after="0"/>
            <w:rPr>
              <w:sz w:val="16"/>
              <w:szCs w:val="16"/>
            </w:rPr>
          </w:pPr>
        </w:p>
        <w:p w14:paraId="3F2C231C" w14:textId="77777777" w:rsidR="00F22DD3" w:rsidRPr="00C546F4" w:rsidRDefault="00F22DD3" w:rsidP="00F22DD3">
          <w:pPr>
            <w:pStyle w:val="Bibliography"/>
            <w:ind w:left="720" w:hanging="720"/>
            <w:rPr>
              <w:rFonts w:asciiTheme="majorHAnsi" w:hAnsiTheme="majorHAnsi"/>
              <w:noProof/>
              <w:sz w:val="24"/>
              <w:szCs w:val="24"/>
            </w:rPr>
          </w:pPr>
          <w:r w:rsidRPr="00C546F4">
            <w:rPr>
              <w:rFonts w:asciiTheme="majorHAnsi" w:hAnsiTheme="majorHAnsi"/>
              <w:noProof/>
            </w:rPr>
            <w:t xml:space="preserve">Felix, </w:t>
          </w:r>
          <w:r>
            <w:rPr>
              <w:rFonts w:asciiTheme="majorHAnsi" w:hAnsiTheme="majorHAnsi"/>
              <w:noProof/>
            </w:rPr>
            <w:t>R.</w:t>
          </w:r>
          <w:r w:rsidRPr="00C546F4">
            <w:rPr>
              <w:rFonts w:asciiTheme="majorHAnsi" w:hAnsiTheme="majorHAnsi"/>
              <w:noProof/>
            </w:rPr>
            <w:t xml:space="preserve"> </w:t>
          </w:r>
          <w:r>
            <w:rPr>
              <w:rFonts w:asciiTheme="majorHAnsi" w:hAnsiTheme="majorHAnsi"/>
              <w:noProof/>
            </w:rPr>
            <w:t xml:space="preserve">A. </w:t>
          </w:r>
          <w:r w:rsidRPr="00C546F4">
            <w:rPr>
              <w:rFonts w:asciiTheme="majorHAnsi" w:hAnsiTheme="majorHAnsi"/>
              <w:noProof/>
            </w:rPr>
            <w:t>(2009</w:t>
          </w:r>
          <w:r>
            <w:rPr>
              <w:rFonts w:asciiTheme="majorHAnsi" w:hAnsiTheme="majorHAnsi"/>
              <w:noProof/>
            </w:rPr>
            <w:t>, Second Quarter</w:t>
          </w:r>
          <w:r w:rsidRPr="00C546F4">
            <w:rPr>
              <w:rFonts w:asciiTheme="majorHAnsi" w:hAnsiTheme="majorHAnsi"/>
              <w:noProof/>
            </w:rPr>
            <w:t xml:space="preserve">). </w:t>
          </w:r>
          <w:r w:rsidRPr="00C546F4">
            <w:rPr>
              <w:rFonts w:asciiTheme="majorHAnsi" w:hAnsiTheme="majorHAnsi"/>
              <w:i/>
              <w:iCs/>
              <w:noProof/>
            </w:rPr>
            <w:t>Do State Corporate Income Taxes Reduce Wages?</w:t>
          </w:r>
          <w:r>
            <w:rPr>
              <w:rFonts w:asciiTheme="majorHAnsi" w:hAnsiTheme="majorHAnsi"/>
              <w:i/>
              <w:iCs/>
              <w:noProof/>
            </w:rPr>
            <w:t>,</w:t>
          </w:r>
          <w:r w:rsidRPr="00C546F4">
            <w:rPr>
              <w:rFonts w:asciiTheme="majorHAnsi" w:hAnsiTheme="majorHAnsi"/>
              <w:noProof/>
            </w:rPr>
            <w:t xml:space="preserve"> Economic Review, FEDERAL RESERVE BANK OF KANSAS CITY.</w:t>
          </w:r>
        </w:p>
        <w:sdt>
          <w:sdtPr>
            <w:rPr>
              <w:rFonts w:asciiTheme="majorHAnsi" w:hAnsiTheme="majorHAnsi"/>
            </w:rPr>
            <w:id w:val="-573587230"/>
            <w:bibliography/>
          </w:sdtPr>
          <w:sdtContent>
            <w:p w14:paraId="1B4BCCFB" w14:textId="77777777" w:rsidR="00EC4649" w:rsidRPr="00EC4649" w:rsidRDefault="007D054D" w:rsidP="00EC4649">
              <w:pPr>
                <w:pStyle w:val="Bibliography"/>
                <w:ind w:left="720" w:hanging="720"/>
                <w:rPr>
                  <w:rFonts w:asciiTheme="majorHAnsi" w:hAnsiTheme="majorHAnsi"/>
                  <w:noProof/>
                  <w:sz w:val="24"/>
                  <w:szCs w:val="24"/>
                </w:rPr>
              </w:pPr>
              <w:r w:rsidRPr="00EC4649">
                <w:rPr>
                  <w:rFonts w:asciiTheme="majorHAnsi" w:hAnsiTheme="majorHAnsi"/>
                </w:rPr>
                <w:fldChar w:fldCharType="begin"/>
              </w:r>
              <w:r w:rsidRPr="00EC4649">
                <w:rPr>
                  <w:rFonts w:asciiTheme="majorHAnsi" w:hAnsiTheme="majorHAnsi"/>
                </w:rPr>
                <w:instrText xml:space="preserve"> BIBLIOGRAPHY </w:instrText>
              </w:r>
              <w:r w:rsidRPr="00EC4649">
                <w:rPr>
                  <w:rFonts w:asciiTheme="majorHAnsi" w:hAnsiTheme="majorHAnsi"/>
                </w:rPr>
                <w:fldChar w:fldCharType="separate"/>
              </w:r>
              <w:r w:rsidR="00EC4649" w:rsidRPr="00EC4649">
                <w:rPr>
                  <w:rFonts w:asciiTheme="majorHAnsi" w:hAnsiTheme="majorHAnsi"/>
                  <w:i/>
                  <w:iCs/>
                  <w:noProof/>
                </w:rPr>
                <w:t>Fiscal Year 20</w:t>
              </w:r>
              <w:r w:rsidR="008C58EC">
                <w:rPr>
                  <w:rFonts w:asciiTheme="majorHAnsi" w:hAnsiTheme="majorHAnsi"/>
                  <w:i/>
                  <w:iCs/>
                  <w:noProof/>
                </w:rPr>
                <w:t>20</w:t>
              </w:r>
              <w:r w:rsidR="00EC4649" w:rsidRPr="00EC4649">
                <w:rPr>
                  <w:rFonts w:asciiTheme="majorHAnsi" w:hAnsiTheme="majorHAnsi"/>
                  <w:i/>
                  <w:iCs/>
                  <w:noProof/>
                </w:rPr>
                <w:t xml:space="preserve"> Annual Report: Economic Development Incentive Program (EDIP).</w:t>
              </w:r>
              <w:r w:rsidR="00EC4649" w:rsidRPr="00EC4649">
                <w:rPr>
                  <w:rFonts w:asciiTheme="majorHAnsi" w:hAnsiTheme="majorHAnsi"/>
                  <w:noProof/>
                </w:rPr>
                <w:t xml:space="preserve"> Boston: Massachusetts Office of Business Development.</w:t>
              </w:r>
            </w:p>
            <w:p w14:paraId="46036A90" w14:textId="77777777" w:rsidR="00EC4649" w:rsidRPr="00EC4649" w:rsidRDefault="00EC4649" w:rsidP="00EC4649">
              <w:pPr>
                <w:pStyle w:val="Bibliography"/>
                <w:ind w:left="720" w:hanging="720"/>
                <w:rPr>
                  <w:rFonts w:asciiTheme="majorHAnsi" w:hAnsiTheme="majorHAnsi"/>
                  <w:noProof/>
                </w:rPr>
              </w:pPr>
              <w:r w:rsidRPr="00EC4649">
                <w:rPr>
                  <w:rFonts w:asciiTheme="majorHAnsi" w:hAnsiTheme="majorHAnsi"/>
                  <w:noProof/>
                </w:rPr>
                <w:t xml:space="preserve">Keith R. Ihlanfeldt, David L. Sjoquist. (2001, August). Conducting an Analysis of Georgia’s Economic Development Tax Incentive Program. </w:t>
              </w:r>
              <w:r w:rsidRPr="00EC4649">
                <w:rPr>
                  <w:rFonts w:asciiTheme="majorHAnsi" w:hAnsiTheme="majorHAnsi"/>
                  <w:i/>
                  <w:iCs/>
                  <w:noProof/>
                </w:rPr>
                <w:t>ECONOMIC DEVELOPMENT QUARTERLY, 15</w:t>
              </w:r>
              <w:r w:rsidRPr="00EC4649">
                <w:rPr>
                  <w:rFonts w:asciiTheme="majorHAnsi" w:hAnsiTheme="majorHAnsi"/>
                  <w:noProof/>
                </w:rPr>
                <w:t>(3), 217-228.</w:t>
              </w:r>
            </w:p>
            <w:p w14:paraId="0C1BE4B1" w14:textId="77777777" w:rsidR="00B7173C" w:rsidRPr="008C5582" w:rsidRDefault="00B7173C" w:rsidP="00B7173C">
              <w:pPr>
                <w:pStyle w:val="Bibliography"/>
                <w:ind w:left="720" w:hanging="720"/>
                <w:rPr>
                  <w:rFonts w:asciiTheme="majorHAnsi" w:hAnsiTheme="majorHAnsi"/>
                  <w:noProof/>
                </w:rPr>
              </w:pPr>
              <w:r w:rsidRPr="008C5582">
                <w:rPr>
                  <w:rFonts w:asciiTheme="majorHAnsi" w:hAnsiTheme="majorHAnsi"/>
                  <w:i/>
                  <w:iCs/>
                  <w:noProof/>
                </w:rPr>
                <w:t>MODELS: TAX-PI</w:t>
              </w:r>
              <w:r w:rsidRPr="008C5582">
                <w:rPr>
                  <w:rFonts w:asciiTheme="majorHAnsi" w:hAnsiTheme="majorHAnsi"/>
                  <w:noProof/>
                </w:rPr>
                <w:t>. (n.d.). Retrieved from Regional Economic Models, Inc.: https://www.remi.com/model/tax-pi/</w:t>
              </w:r>
            </w:p>
            <w:p w14:paraId="25210DA1" w14:textId="77777777" w:rsidR="00B7173C" w:rsidRPr="00B7173C" w:rsidRDefault="00B7173C" w:rsidP="00B7173C"/>
            <w:p w14:paraId="00149D3A" w14:textId="77777777" w:rsidR="007D054D" w:rsidRPr="007D054D" w:rsidRDefault="007D054D" w:rsidP="00EC4649">
              <w:pPr>
                <w:rPr>
                  <w:rFonts w:asciiTheme="majorHAnsi" w:hAnsiTheme="majorHAnsi"/>
                </w:rPr>
              </w:pPr>
              <w:r w:rsidRPr="00EC4649">
                <w:rPr>
                  <w:rFonts w:asciiTheme="majorHAnsi" w:hAnsiTheme="majorHAnsi"/>
                  <w:b/>
                  <w:bCs/>
                  <w:noProof/>
                </w:rPr>
                <w:fldChar w:fldCharType="end"/>
              </w:r>
            </w:p>
          </w:sdtContent>
        </w:sdt>
      </w:sdtContent>
    </w:sdt>
    <w:p w14:paraId="31E07557" w14:textId="77777777" w:rsidR="00464D5E" w:rsidRDefault="00464D5E">
      <w:pPr>
        <w:rPr>
          <w:rFonts w:asciiTheme="majorHAnsi" w:hAnsiTheme="majorHAnsi"/>
          <w:b/>
          <w:sz w:val="24"/>
          <w:szCs w:val="24"/>
        </w:rPr>
      </w:pPr>
    </w:p>
    <w:p w14:paraId="0B025816" w14:textId="77777777" w:rsidR="009E0C28" w:rsidRDefault="009E0C28" w:rsidP="00894F36">
      <w:pPr>
        <w:jc w:val="center"/>
        <w:rPr>
          <w:rFonts w:asciiTheme="majorHAnsi" w:hAnsiTheme="majorHAnsi"/>
          <w:b/>
          <w:sz w:val="32"/>
          <w:szCs w:val="32"/>
        </w:rPr>
      </w:pPr>
      <w:r>
        <w:rPr>
          <w:rFonts w:asciiTheme="majorHAnsi" w:hAnsiTheme="majorHAnsi"/>
          <w:b/>
          <w:sz w:val="32"/>
          <w:szCs w:val="32"/>
        </w:rPr>
        <w:br w:type="page"/>
      </w:r>
      <w:r w:rsidRPr="008C67C1">
        <w:rPr>
          <w:rFonts w:asciiTheme="majorHAnsi" w:hAnsiTheme="majorHAnsi"/>
          <w:b/>
          <w:sz w:val="32"/>
          <w:szCs w:val="32"/>
        </w:rPr>
        <w:lastRenderedPageBreak/>
        <w:t>Appendix</w:t>
      </w:r>
      <w:r w:rsidR="00894F36">
        <w:rPr>
          <w:rFonts w:asciiTheme="majorHAnsi" w:hAnsiTheme="majorHAnsi"/>
          <w:b/>
          <w:sz w:val="32"/>
          <w:szCs w:val="32"/>
        </w:rPr>
        <w:t xml:space="preserve"> I</w:t>
      </w:r>
      <w:r w:rsidRPr="008C67C1">
        <w:rPr>
          <w:rFonts w:asciiTheme="majorHAnsi" w:hAnsiTheme="majorHAnsi"/>
          <w:b/>
          <w:sz w:val="32"/>
          <w:szCs w:val="32"/>
        </w:rPr>
        <w:t xml:space="preserve">: </w:t>
      </w:r>
      <w:r w:rsidR="00894F36">
        <w:rPr>
          <w:rFonts w:asciiTheme="majorHAnsi" w:hAnsiTheme="majorHAnsi"/>
          <w:b/>
          <w:sz w:val="32"/>
          <w:szCs w:val="32"/>
        </w:rPr>
        <w:t>More Background Information on EDIP</w:t>
      </w:r>
    </w:p>
    <w:p w14:paraId="73F9FE0F" w14:textId="77777777" w:rsidR="009E0C28" w:rsidRDefault="00894F36" w:rsidP="009E0C28">
      <w:pPr>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 xml:space="preserve">In the text we note that, though the annual cap for the credit is $30 million, the actual claimed amounts for the credit have been lower than the cap and varied by year. </w:t>
      </w:r>
      <w:r w:rsidR="009E0C28">
        <w:rPr>
          <w:rFonts w:asciiTheme="majorHAnsi" w:eastAsiaTheme="majorEastAsia" w:hAnsiTheme="majorHAnsi" w:cstheme="majorBidi"/>
          <w:bCs/>
          <w:color w:val="000000" w:themeColor="text1"/>
          <w:sz w:val="24"/>
          <w:szCs w:val="24"/>
        </w:rPr>
        <w:t xml:space="preserve">To understand why that has occurred, it is necessary to review the history of the credit.  The data and description of credit history in this </w:t>
      </w:r>
      <w:r>
        <w:rPr>
          <w:rFonts w:asciiTheme="majorHAnsi" w:eastAsiaTheme="majorEastAsia" w:hAnsiTheme="majorHAnsi" w:cstheme="majorBidi"/>
          <w:bCs/>
          <w:color w:val="000000" w:themeColor="text1"/>
          <w:sz w:val="24"/>
          <w:szCs w:val="24"/>
        </w:rPr>
        <w:t>appendix</w:t>
      </w:r>
      <w:r w:rsidR="009E0C28">
        <w:rPr>
          <w:rFonts w:asciiTheme="majorHAnsi" w:eastAsiaTheme="majorEastAsia" w:hAnsiTheme="majorHAnsi" w:cstheme="majorBidi"/>
          <w:bCs/>
          <w:color w:val="000000" w:themeColor="text1"/>
          <w:sz w:val="24"/>
          <w:szCs w:val="24"/>
        </w:rPr>
        <w:t xml:space="preserve"> are based on information provided by MOBD. </w:t>
      </w:r>
    </w:p>
    <w:p w14:paraId="58947CE2" w14:textId="77777777" w:rsidR="009E0C28" w:rsidRDefault="009E0C28" w:rsidP="009E0C28">
      <w:pPr>
        <w:spacing w:after="0"/>
        <w:rPr>
          <w:rFonts w:asciiTheme="majorHAnsi" w:eastAsiaTheme="majorEastAsia" w:hAnsiTheme="majorHAnsi" w:cstheme="majorBidi"/>
          <w:bCs/>
          <w:color w:val="000000" w:themeColor="text1"/>
          <w:sz w:val="24"/>
          <w:szCs w:val="24"/>
        </w:rPr>
      </w:pPr>
    </w:p>
    <w:p w14:paraId="5387D89F" w14:textId="517F1A91" w:rsidR="009E0C28" w:rsidRDefault="009E0C28" w:rsidP="009E0C28">
      <w:pPr>
        <w:spacing w:after="0"/>
        <w:rPr>
          <w:rFonts w:asciiTheme="majorHAnsi" w:hAnsiTheme="majorHAnsi"/>
          <w:sz w:val="24"/>
          <w:szCs w:val="24"/>
          <w:highlight w:val="cyan"/>
        </w:rPr>
      </w:pPr>
      <w:r w:rsidRPr="00F72D61">
        <w:rPr>
          <w:rFonts w:asciiTheme="majorHAnsi" w:eastAsiaTheme="majorEastAsia" w:hAnsiTheme="majorHAnsi" w:cstheme="majorBidi"/>
          <w:bCs/>
          <w:color w:val="000000" w:themeColor="text1"/>
          <w:sz w:val="24"/>
          <w:szCs w:val="24"/>
        </w:rPr>
        <w:t xml:space="preserve">The EDIP program was changed significantly </w:t>
      </w:r>
      <w:r>
        <w:rPr>
          <w:rFonts w:asciiTheme="majorHAnsi" w:eastAsiaTheme="majorEastAsia" w:hAnsiTheme="majorHAnsi" w:cstheme="majorBidi"/>
          <w:bCs/>
          <w:color w:val="000000" w:themeColor="text1"/>
          <w:sz w:val="24"/>
          <w:szCs w:val="24"/>
        </w:rPr>
        <w:t>by</w:t>
      </w:r>
      <w:r w:rsidRPr="00F72D61">
        <w:rPr>
          <w:rFonts w:asciiTheme="majorHAnsi" w:eastAsiaTheme="majorEastAsia" w:hAnsiTheme="majorHAnsi" w:cstheme="majorBidi"/>
          <w:bCs/>
          <w:color w:val="000000" w:themeColor="text1"/>
          <w:sz w:val="24"/>
          <w:szCs w:val="24"/>
        </w:rPr>
        <w:t xml:space="preserve"> the Acts of 2009 and was </w:t>
      </w:r>
      <w:r>
        <w:rPr>
          <w:rFonts w:asciiTheme="majorHAnsi" w:eastAsiaTheme="majorEastAsia" w:hAnsiTheme="majorHAnsi" w:cstheme="majorBidi"/>
          <w:bCs/>
          <w:color w:val="000000" w:themeColor="text1"/>
          <w:sz w:val="24"/>
          <w:szCs w:val="24"/>
        </w:rPr>
        <w:t xml:space="preserve">administered </w:t>
      </w:r>
      <w:r w:rsidRPr="00F72D61">
        <w:rPr>
          <w:rFonts w:asciiTheme="majorHAnsi" w:eastAsiaTheme="majorEastAsia" w:hAnsiTheme="majorHAnsi" w:cstheme="majorBidi"/>
          <w:bCs/>
          <w:color w:val="000000" w:themeColor="text1"/>
          <w:sz w:val="24"/>
          <w:szCs w:val="24"/>
        </w:rPr>
        <w:t>on annual budget.  Prior to th</w:t>
      </w:r>
      <w:r>
        <w:rPr>
          <w:rFonts w:asciiTheme="majorHAnsi" w:eastAsiaTheme="majorEastAsia" w:hAnsiTheme="majorHAnsi" w:cstheme="majorBidi"/>
          <w:bCs/>
          <w:color w:val="000000" w:themeColor="text1"/>
          <w:sz w:val="24"/>
          <w:szCs w:val="24"/>
        </w:rPr>
        <w:t>at,</w:t>
      </w:r>
      <w:r w:rsidRPr="00F72D61">
        <w:rPr>
          <w:rFonts w:asciiTheme="majorHAnsi" w:eastAsiaTheme="majorEastAsia" w:hAnsiTheme="majorHAnsi" w:cstheme="majorBidi"/>
          <w:bCs/>
          <w:color w:val="000000" w:themeColor="text1"/>
          <w:sz w:val="24"/>
          <w:szCs w:val="24"/>
        </w:rPr>
        <w:t xml:space="preserve"> there was no limit on the amount of EDIP projects that could </w:t>
      </w:r>
      <w:r>
        <w:rPr>
          <w:rFonts w:asciiTheme="majorHAnsi" w:eastAsiaTheme="majorEastAsia" w:hAnsiTheme="majorHAnsi" w:cstheme="majorBidi"/>
          <w:bCs/>
          <w:color w:val="000000" w:themeColor="text1"/>
          <w:sz w:val="24"/>
          <w:szCs w:val="24"/>
        </w:rPr>
        <w:t xml:space="preserve">be </w:t>
      </w:r>
      <w:r w:rsidRPr="00F72D61">
        <w:rPr>
          <w:rFonts w:asciiTheme="majorHAnsi" w:eastAsiaTheme="majorEastAsia" w:hAnsiTheme="majorHAnsi" w:cstheme="majorBidi"/>
          <w:bCs/>
          <w:color w:val="000000" w:themeColor="text1"/>
          <w:sz w:val="24"/>
          <w:szCs w:val="24"/>
        </w:rPr>
        <w:t>approved</w:t>
      </w:r>
      <w:r>
        <w:rPr>
          <w:rFonts w:asciiTheme="majorHAnsi" w:eastAsiaTheme="majorEastAsia" w:hAnsiTheme="majorHAnsi" w:cstheme="majorBidi"/>
          <w:bCs/>
          <w:color w:val="000000" w:themeColor="text1"/>
          <w:sz w:val="24"/>
          <w:szCs w:val="24"/>
        </w:rPr>
        <w:t>.</w:t>
      </w:r>
      <w:r w:rsidRPr="00F72D61">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 xml:space="preserve">Economic Opportunity Area Credit (EOAC) was </w:t>
      </w:r>
      <w:r w:rsidRPr="00F72D61">
        <w:rPr>
          <w:rFonts w:asciiTheme="majorHAnsi" w:eastAsiaTheme="majorEastAsia" w:hAnsiTheme="majorHAnsi" w:cstheme="majorBidi"/>
          <w:bCs/>
          <w:color w:val="000000" w:themeColor="text1"/>
          <w:sz w:val="24"/>
          <w:szCs w:val="24"/>
        </w:rPr>
        <w:t xml:space="preserve">the tax credit approved prior to </w:t>
      </w:r>
      <w:r w:rsidRPr="00CB283B">
        <w:rPr>
          <w:rFonts w:asciiTheme="majorHAnsi" w:eastAsiaTheme="majorEastAsia" w:hAnsiTheme="majorHAnsi" w:cstheme="majorBidi"/>
          <w:bCs/>
          <w:color w:val="000000" w:themeColor="text1"/>
          <w:sz w:val="24"/>
          <w:szCs w:val="24"/>
        </w:rPr>
        <w:t>tax years beginning on or after January 1, 2010</w:t>
      </w:r>
      <w:r>
        <w:rPr>
          <w:rFonts w:asciiTheme="majorHAnsi" w:eastAsiaTheme="majorEastAsia" w:hAnsiTheme="majorHAnsi" w:cstheme="majorBidi"/>
          <w:bCs/>
          <w:color w:val="000000" w:themeColor="text1"/>
          <w:sz w:val="24"/>
          <w:szCs w:val="24"/>
        </w:rPr>
        <w:t xml:space="preserve">. The amount </w:t>
      </w:r>
      <w:r w:rsidRPr="00CB283B">
        <w:rPr>
          <w:rFonts w:asciiTheme="majorHAnsi" w:eastAsiaTheme="majorEastAsia" w:hAnsiTheme="majorHAnsi" w:cstheme="majorBidi"/>
          <w:bCs/>
          <w:color w:val="000000" w:themeColor="text1"/>
          <w:sz w:val="24"/>
          <w:szCs w:val="24"/>
        </w:rPr>
        <w:t xml:space="preserve">was equal to 5% of the cost of any property that qualified for the </w:t>
      </w:r>
      <w:r>
        <w:rPr>
          <w:rFonts w:asciiTheme="majorHAnsi" w:eastAsiaTheme="majorEastAsia" w:hAnsiTheme="majorHAnsi" w:cstheme="majorBidi"/>
          <w:bCs/>
          <w:color w:val="000000" w:themeColor="text1"/>
          <w:sz w:val="24"/>
          <w:szCs w:val="24"/>
        </w:rPr>
        <w:t>I</w:t>
      </w:r>
      <w:r w:rsidRPr="00CB283B">
        <w:rPr>
          <w:rFonts w:asciiTheme="majorHAnsi" w:eastAsiaTheme="majorEastAsia" w:hAnsiTheme="majorHAnsi" w:cstheme="majorBidi"/>
          <w:bCs/>
          <w:color w:val="000000" w:themeColor="text1"/>
          <w:sz w:val="24"/>
          <w:szCs w:val="24"/>
        </w:rPr>
        <w:t xml:space="preserve">nvestment </w:t>
      </w:r>
      <w:r>
        <w:rPr>
          <w:rFonts w:asciiTheme="majorHAnsi" w:eastAsiaTheme="majorEastAsia" w:hAnsiTheme="majorHAnsi" w:cstheme="majorBidi"/>
          <w:bCs/>
          <w:color w:val="000000" w:themeColor="text1"/>
          <w:sz w:val="24"/>
          <w:szCs w:val="24"/>
        </w:rPr>
        <w:t>T</w:t>
      </w:r>
      <w:r w:rsidRPr="00CB283B">
        <w:rPr>
          <w:rFonts w:asciiTheme="majorHAnsi" w:eastAsiaTheme="majorEastAsia" w:hAnsiTheme="majorHAnsi" w:cstheme="majorBidi"/>
          <w:bCs/>
          <w:color w:val="000000" w:themeColor="text1"/>
          <w:sz w:val="24"/>
          <w:szCs w:val="24"/>
        </w:rPr>
        <w:t xml:space="preserve">ax </w:t>
      </w:r>
      <w:r>
        <w:rPr>
          <w:rFonts w:asciiTheme="majorHAnsi" w:eastAsiaTheme="majorEastAsia" w:hAnsiTheme="majorHAnsi" w:cstheme="majorBidi"/>
          <w:bCs/>
          <w:color w:val="000000" w:themeColor="text1"/>
          <w:sz w:val="24"/>
          <w:szCs w:val="24"/>
        </w:rPr>
        <w:t>C</w:t>
      </w:r>
      <w:r w:rsidRPr="00CB283B">
        <w:rPr>
          <w:rFonts w:asciiTheme="majorHAnsi" w:eastAsiaTheme="majorEastAsia" w:hAnsiTheme="majorHAnsi" w:cstheme="majorBidi"/>
          <w:bCs/>
          <w:color w:val="000000" w:themeColor="text1"/>
          <w:sz w:val="24"/>
          <w:szCs w:val="24"/>
        </w:rPr>
        <w:t xml:space="preserve">redit (ITC) allowed by </w:t>
      </w:r>
      <w:r>
        <w:rPr>
          <w:rFonts w:asciiTheme="majorHAnsi" w:eastAsiaTheme="majorEastAsia" w:hAnsiTheme="majorHAnsi" w:cstheme="majorBidi"/>
          <w:bCs/>
          <w:color w:val="000000" w:themeColor="text1"/>
          <w:sz w:val="24"/>
          <w:szCs w:val="24"/>
        </w:rPr>
        <w:t>M.</w:t>
      </w:r>
      <w:r w:rsidRPr="00CB283B">
        <w:rPr>
          <w:rFonts w:asciiTheme="majorHAnsi" w:eastAsiaTheme="majorEastAsia" w:hAnsiTheme="majorHAnsi" w:cstheme="majorBidi"/>
          <w:bCs/>
          <w:color w:val="000000" w:themeColor="text1"/>
          <w:sz w:val="24"/>
          <w:szCs w:val="24"/>
        </w:rPr>
        <w:t xml:space="preserve">G.L. c. 63, § 31A. </w:t>
      </w:r>
      <w:r>
        <w:rPr>
          <w:rFonts w:asciiTheme="majorHAnsi" w:eastAsiaTheme="majorEastAsia" w:hAnsiTheme="majorHAnsi" w:cstheme="majorBidi"/>
          <w:bCs/>
          <w:color w:val="000000" w:themeColor="text1"/>
          <w:sz w:val="24"/>
          <w:szCs w:val="24"/>
        </w:rPr>
        <w:t xml:space="preserve"> </w:t>
      </w:r>
      <w:r w:rsidRPr="00F72D61">
        <w:rPr>
          <w:rFonts w:asciiTheme="majorHAnsi" w:eastAsiaTheme="majorEastAsia" w:hAnsiTheme="majorHAnsi" w:cstheme="majorBidi"/>
          <w:bCs/>
          <w:color w:val="000000" w:themeColor="text1"/>
          <w:sz w:val="24"/>
          <w:szCs w:val="24"/>
        </w:rPr>
        <w:t xml:space="preserve">EOAC had long carryforward provisions which made </w:t>
      </w:r>
      <w:r>
        <w:rPr>
          <w:rFonts w:asciiTheme="majorHAnsi" w:eastAsiaTheme="majorEastAsia" w:hAnsiTheme="majorHAnsi" w:cstheme="majorBidi"/>
          <w:bCs/>
          <w:color w:val="000000" w:themeColor="text1"/>
          <w:sz w:val="24"/>
          <w:szCs w:val="24"/>
        </w:rPr>
        <w:t xml:space="preserve">the claimed amount very difficult </w:t>
      </w:r>
      <w:r w:rsidRPr="00F72D61">
        <w:rPr>
          <w:rFonts w:asciiTheme="majorHAnsi" w:eastAsiaTheme="majorEastAsia" w:hAnsiTheme="majorHAnsi" w:cstheme="majorBidi"/>
          <w:bCs/>
          <w:color w:val="000000" w:themeColor="text1"/>
          <w:sz w:val="24"/>
          <w:szCs w:val="24"/>
        </w:rPr>
        <w:t xml:space="preserve">to forecast. </w:t>
      </w:r>
      <w:r>
        <w:rPr>
          <w:rFonts w:asciiTheme="majorHAnsi" w:eastAsiaTheme="majorEastAsia" w:hAnsiTheme="majorHAnsi" w:cstheme="majorBidi"/>
          <w:bCs/>
          <w:color w:val="000000" w:themeColor="text1"/>
          <w:sz w:val="24"/>
          <w:szCs w:val="24"/>
        </w:rPr>
        <w:t xml:space="preserve"> </w:t>
      </w:r>
      <w:r w:rsidRPr="00F72D61">
        <w:rPr>
          <w:rFonts w:asciiTheme="majorHAnsi" w:eastAsiaTheme="majorEastAsia" w:hAnsiTheme="majorHAnsi" w:cstheme="majorBidi"/>
          <w:bCs/>
          <w:color w:val="000000" w:themeColor="text1"/>
          <w:sz w:val="24"/>
          <w:szCs w:val="24"/>
        </w:rPr>
        <w:t>In 2010</w:t>
      </w:r>
      <w:r>
        <w:rPr>
          <w:rFonts w:asciiTheme="majorHAnsi" w:eastAsiaTheme="majorEastAsia" w:hAnsiTheme="majorHAnsi" w:cstheme="majorBidi"/>
          <w:bCs/>
          <w:color w:val="000000" w:themeColor="text1"/>
          <w:sz w:val="24"/>
          <w:szCs w:val="24"/>
        </w:rPr>
        <w:t>,</w:t>
      </w:r>
      <w:r w:rsidRPr="00F72D61">
        <w:rPr>
          <w:rFonts w:asciiTheme="majorHAnsi" w:eastAsiaTheme="majorEastAsia" w:hAnsiTheme="majorHAnsi" w:cstheme="majorBidi"/>
          <w:bCs/>
          <w:color w:val="000000" w:themeColor="text1"/>
          <w:sz w:val="24"/>
          <w:szCs w:val="24"/>
        </w:rPr>
        <w:t xml:space="preserve"> the first EDIP</w:t>
      </w:r>
      <w:r>
        <w:rPr>
          <w:rFonts w:asciiTheme="majorHAnsi" w:eastAsiaTheme="majorEastAsia" w:hAnsiTheme="majorHAnsi" w:cstheme="majorBidi"/>
          <w:bCs/>
          <w:color w:val="000000" w:themeColor="text1"/>
          <w:sz w:val="24"/>
          <w:szCs w:val="24"/>
        </w:rPr>
        <w:t xml:space="preserve"> </w:t>
      </w:r>
      <w:r w:rsidRPr="00F72D61">
        <w:rPr>
          <w:rFonts w:asciiTheme="majorHAnsi" w:eastAsiaTheme="majorEastAsia" w:hAnsiTheme="majorHAnsi" w:cstheme="majorBidi"/>
          <w:bCs/>
          <w:color w:val="000000" w:themeColor="text1"/>
          <w:sz w:val="24"/>
          <w:szCs w:val="24"/>
        </w:rPr>
        <w:t>C</w:t>
      </w:r>
      <w:r>
        <w:rPr>
          <w:rFonts w:asciiTheme="majorHAnsi" w:eastAsiaTheme="majorEastAsia" w:hAnsiTheme="majorHAnsi" w:cstheme="majorBidi"/>
          <w:bCs/>
          <w:color w:val="000000" w:themeColor="text1"/>
          <w:sz w:val="24"/>
          <w:szCs w:val="24"/>
        </w:rPr>
        <w:t>redit</w:t>
      </w:r>
      <w:r w:rsidRPr="00F72D61">
        <w:rPr>
          <w:rFonts w:asciiTheme="majorHAnsi" w:eastAsiaTheme="majorEastAsia" w:hAnsiTheme="majorHAnsi" w:cstheme="majorBidi"/>
          <w:bCs/>
          <w:color w:val="000000" w:themeColor="text1"/>
          <w:sz w:val="24"/>
          <w:szCs w:val="24"/>
        </w:rPr>
        <w:t xml:space="preserve">s were granted under entirely new </w:t>
      </w:r>
      <w:r>
        <w:rPr>
          <w:rFonts w:asciiTheme="majorHAnsi" w:eastAsiaTheme="majorEastAsia" w:hAnsiTheme="majorHAnsi" w:cstheme="majorBidi"/>
          <w:bCs/>
          <w:color w:val="000000" w:themeColor="text1"/>
          <w:sz w:val="24"/>
          <w:szCs w:val="24"/>
        </w:rPr>
        <w:t>r</w:t>
      </w:r>
      <w:r w:rsidRPr="00F72D61">
        <w:rPr>
          <w:rFonts w:asciiTheme="majorHAnsi" w:eastAsiaTheme="majorEastAsia" w:hAnsiTheme="majorHAnsi" w:cstheme="majorBidi"/>
          <w:bCs/>
          <w:color w:val="000000" w:themeColor="text1"/>
          <w:sz w:val="24"/>
          <w:szCs w:val="24"/>
        </w:rPr>
        <w:t xml:space="preserve">ules.  </w:t>
      </w:r>
      <w:r w:rsidR="00750977">
        <w:rPr>
          <w:rFonts w:asciiTheme="majorHAnsi" w:eastAsiaTheme="majorEastAsia" w:hAnsiTheme="majorHAnsi" w:cstheme="majorBidi"/>
          <w:bCs/>
          <w:color w:val="000000" w:themeColor="text1"/>
          <w:sz w:val="24"/>
          <w:szCs w:val="24"/>
        </w:rPr>
        <w:t>To reduce the chance</w:t>
      </w:r>
      <w:r w:rsidRPr="00F72D61">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 xml:space="preserve">that </w:t>
      </w:r>
      <w:r w:rsidRPr="00F72D61">
        <w:rPr>
          <w:rFonts w:asciiTheme="majorHAnsi" w:eastAsiaTheme="majorEastAsia" w:hAnsiTheme="majorHAnsi" w:cstheme="majorBidi"/>
          <w:bCs/>
          <w:color w:val="000000" w:themeColor="text1"/>
          <w:sz w:val="24"/>
          <w:szCs w:val="24"/>
        </w:rPr>
        <w:t>EDIP</w:t>
      </w:r>
      <w:r>
        <w:rPr>
          <w:rFonts w:asciiTheme="majorHAnsi" w:eastAsiaTheme="majorEastAsia" w:hAnsiTheme="majorHAnsi" w:cstheme="majorBidi"/>
          <w:bCs/>
          <w:color w:val="000000" w:themeColor="text1"/>
          <w:sz w:val="24"/>
          <w:szCs w:val="24"/>
        </w:rPr>
        <w:t xml:space="preserve">C </w:t>
      </w:r>
      <w:r w:rsidRPr="00F72D61">
        <w:rPr>
          <w:rFonts w:asciiTheme="majorHAnsi" w:eastAsiaTheme="majorEastAsia" w:hAnsiTheme="majorHAnsi" w:cstheme="majorBidi"/>
          <w:bCs/>
          <w:color w:val="000000" w:themeColor="text1"/>
          <w:sz w:val="24"/>
          <w:szCs w:val="24"/>
        </w:rPr>
        <w:t xml:space="preserve">would </w:t>
      </w:r>
      <w:r>
        <w:rPr>
          <w:rFonts w:asciiTheme="majorHAnsi" w:eastAsiaTheme="majorEastAsia" w:hAnsiTheme="majorHAnsi" w:cstheme="majorBidi"/>
          <w:bCs/>
          <w:color w:val="000000" w:themeColor="text1"/>
          <w:sz w:val="24"/>
          <w:szCs w:val="24"/>
        </w:rPr>
        <w:t>exceed</w:t>
      </w:r>
      <w:r w:rsidRPr="00F72D61">
        <w:rPr>
          <w:rFonts w:asciiTheme="majorHAnsi" w:eastAsiaTheme="majorEastAsia" w:hAnsiTheme="majorHAnsi" w:cstheme="majorBidi"/>
          <w:bCs/>
          <w:color w:val="000000" w:themeColor="text1"/>
          <w:sz w:val="24"/>
          <w:szCs w:val="24"/>
        </w:rPr>
        <w:t xml:space="preserve"> budget due to the unknown carryforward liability of EOAC</w:t>
      </w:r>
      <w:r>
        <w:rPr>
          <w:rFonts w:asciiTheme="majorHAnsi" w:eastAsiaTheme="majorEastAsia" w:hAnsiTheme="majorHAnsi" w:cstheme="majorBidi"/>
          <w:bCs/>
          <w:color w:val="000000" w:themeColor="text1"/>
          <w:sz w:val="24"/>
          <w:szCs w:val="24"/>
        </w:rPr>
        <w:t xml:space="preserve">, it was decided that </w:t>
      </w:r>
      <w:r w:rsidRPr="00F72D61">
        <w:rPr>
          <w:rFonts w:asciiTheme="majorHAnsi" w:eastAsiaTheme="majorEastAsia" w:hAnsiTheme="majorHAnsi" w:cstheme="majorBidi"/>
          <w:bCs/>
          <w:color w:val="000000" w:themeColor="text1"/>
          <w:sz w:val="24"/>
          <w:szCs w:val="24"/>
        </w:rPr>
        <w:t xml:space="preserve">EACC would not award the full </w:t>
      </w:r>
      <w:r>
        <w:rPr>
          <w:rFonts w:asciiTheme="majorHAnsi" w:eastAsiaTheme="majorEastAsia" w:hAnsiTheme="majorHAnsi" w:cstheme="majorBidi"/>
          <w:bCs/>
          <w:color w:val="000000" w:themeColor="text1"/>
          <w:sz w:val="24"/>
          <w:szCs w:val="24"/>
        </w:rPr>
        <w:t xml:space="preserve">cap </w:t>
      </w:r>
      <w:r w:rsidRPr="00F72D61">
        <w:rPr>
          <w:rFonts w:asciiTheme="majorHAnsi" w:eastAsiaTheme="majorEastAsia" w:hAnsiTheme="majorHAnsi" w:cstheme="majorBidi"/>
          <w:bCs/>
          <w:color w:val="000000" w:themeColor="text1"/>
          <w:sz w:val="24"/>
          <w:szCs w:val="24"/>
        </w:rPr>
        <w:t xml:space="preserve">amount </w:t>
      </w:r>
      <w:r>
        <w:rPr>
          <w:rFonts w:asciiTheme="majorHAnsi" w:eastAsiaTheme="majorEastAsia" w:hAnsiTheme="majorHAnsi" w:cstheme="majorBidi"/>
          <w:bCs/>
          <w:color w:val="000000" w:themeColor="text1"/>
          <w:sz w:val="24"/>
          <w:szCs w:val="24"/>
        </w:rPr>
        <w:t>of EDIP</w:t>
      </w:r>
      <w:r w:rsidR="00E869E5">
        <w:rPr>
          <w:rFonts w:asciiTheme="majorHAnsi" w:eastAsiaTheme="majorEastAsia" w:hAnsiTheme="majorHAnsi" w:cstheme="majorBidi"/>
          <w:bCs/>
          <w:color w:val="000000" w:themeColor="text1"/>
          <w:sz w:val="24"/>
          <w:szCs w:val="24"/>
        </w:rPr>
        <w:t xml:space="preserve"> credit</w:t>
      </w:r>
      <w:r w:rsidRPr="00F72D61">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As a result, t</w:t>
      </w:r>
      <w:r w:rsidRPr="00F72D61">
        <w:rPr>
          <w:rFonts w:asciiTheme="majorHAnsi" w:eastAsiaTheme="majorEastAsia" w:hAnsiTheme="majorHAnsi" w:cstheme="majorBidi"/>
          <w:bCs/>
          <w:color w:val="000000" w:themeColor="text1"/>
          <w:sz w:val="24"/>
          <w:szCs w:val="24"/>
        </w:rPr>
        <w:t xml:space="preserve">here </w:t>
      </w:r>
      <w:r>
        <w:rPr>
          <w:rFonts w:asciiTheme="majorHAnsi" w:eastAsiaTheme="majorEastAsia" w:hAnsiTheme="majorHAnsi" w:cstheme="majorBidi"/>
          <w:bCs/>
          <w:color w:val="000000" w:themeColor="text1"/>
          <w:sz w:val="24"/>
          <w:szCs w:val="24"/>
        </w:rPr>
        <w:t xml:space="preserve">was always some </w:t>
      </w:r>
      <w:r w:rsidRPr="00F72D61">
        <w:rPr>
          <w:rFonts w:asciiTheme="majorHAnsi" w:eastAsiaTheme="majorEastAsia" w:hAnsiTheme="majorHAnsi" w:cstheme="majorBidi"/>
          <w:bCs/>
          <w:color w:val="000000" w:themeColor="text1"/>
          <w:sz w:val="24"/>
          <w:szCs w:val="24"/>
        </w:rPr>
        <w:t>amount of tax credits withheld to account for the EOAC carryforward liability.  T</w:t>
      </w:r>
      <w:r>
        <w:rPr>
          <w:rFonts w:asciiTheme="majorHAnsi" w:eastAsiaTheme="majorEastAsia" w:hAnsiTheme="majorHAnsi" w:cstheme="majorBidi"/>
          <w:bCs/>
          <w:color w:val="000000" w:themeColor="text1"/>
          <w:sz w:val="24"/>
          <w:szCs w:val="24"/>
        </w:rPr>
        <w:t xml:space="preserve">able </w:t>
      </w:r>
      <w:r w:rsidR="00894F36">
        <w:rPr>
          <w:rFonts w:asciiTheme="majorHAnsi" w:eastAsiaTheme="majorEastAsia" w:hAnsiTheme="majorHAnsi" w:cstheme="majorBidi"/>
          <w:bCs/>
          <w:color w:val="000000" w:themeColor="text1"/>
          <w:sz w:val="24"/>
          <w:szCs w:val="24"/>
        </w:rPr>
        <w:t>A1-1</w:t>
      </w:r>
      <w:r>
        <w:rPr>
          <w:rFonts w:asciiTheme="majorHAnsi" w:eastAsiaTheme="majorEastAsia" w:hAnsiTheme="majorHAnsi" w:cstheme="majorBidi"/>
          <w:bCs/>
          <w:color w:val="000000" w:themeColor="text1"/>
          <w:sz w:val="24"/>
          <w:szCs w:val="24"/>
        </w:rPr>
        <w:t xml:space="preserve"> </w:t>
      </w:r>
      <w:r w:rsidRPr="00F72D61">
        <w:rPr>
          <w:rFonts w:asciiTheme="majorHAnsi" w:eastAsiaTheme="majorEastAsia" w:hAnsiTheme="majorHAnsi" w:cstheme="majorBidi"/>
          <w:bCs/>
          <w:color w:val="000000" w:themeColor="text1"/>
          <w:sz w:val="24"/>
          <w:szCs w:val="24"/>
        </w:rPr>
        <w:t xml:space="preserve">shows how </w:t>
      </w:r>
      <w:r>
        <w:rPr>
          <w:rFonts w:asciiTheme="majorHAnsi" w:eastAsiaTheme="majorEastAsia" w:hAnsiTheme="majorHAnsi" w:cstheme="majorBidi"/>
          <w:bCs/>
          <w:color w:val="000000" w:themeColor="text1"/>
          <w:sz w:val="24"/>
          <w:szCs w:val="24"/>
        </w:rPr>
        <w:t>much the EDIP</w:t>
      </w:r>
      <w:r w:rsidR="00E869E5">
        <w:rPr>
          <w:rFonts w:asciiTheme="majorHAnsi" w:eastAsiaTheme="majorEastAsia" w:hAnsiTheme="majorHAnsi" w:cstheme="majorBidi"/>
          <w:bCs/>
          <w:color w:val="000000" w:themeColor="text1"/>
          <w:sz w:val="24"/>
          <w:szCs w:val="24"/>
        </w:rPr>
        <w:t xml:space="preserve"> credit</w:t>
      </w:r>
      <w:r>
        <w:rPr>
          <w:rFonts w:asciiTheme="majorHAnsi" w:eastAsiaTheme="majorEastAsia" w:hAnsiTheme="majorHAnsi" w:cstheme="majorBidi"/>
          <w:bCs/>
          <w:color w:val="000000" w:themeColor="text1"/>
          <w:sz w:val="24"/>
          <w:szCs w:val="24"/>
        </w:rPr>
        <w:t xml:space="preserve"> </w:t>
      </w:r>
      <w:r w:rsidRPr="00F72D61">
        <w:rPr>
          <w:rFonts w:asciiTheme="majorHAnsi" w:eastAsiaTheme="majorEastAsia" w:hAnsiTheme="majorHAnsi" w:cstheme="majorBidi"/>
          <w:bCs/>
          <w:color w:val="000000" w:themeColor="text1"/>
          <w:sz w:val="24"/>
          <w:szCs w:val="24"/>
        </w:rPr>
        <w:t>w</w:t>
      </w:r>
      <w:r>
        <w:rPr>
          <w:rFonts w:asciiTheme="majorHAnsi" w:eastAsiaTheme="majorEastAsia" w:hAnsiTheme="majorHAnsi" w:cstheme="majorBidi"/>
          <w:bCs/>
          <w:color w:val="000000" w:themeColor="text1"/>
          <w:sz w:val="24"/>
          <w:szCs w:val="24"/>
        </w:rPr>
        <w:t>as</w:t>
      </w:r>
      <w:r w:rsidRPr="00F72D61">
        <w:rPr>
          <w:rFonts w:asciiTheme="majorHAnsi" w:eastAsiaTheme="majorEastAsia" w:hAnsiTheme="majorHAnsi" w:cstheme="majorBidi"/>
          <w:bCs/>
          <w:color w:val="000000" w:themeColor="text1"/>
          <w:sz w:val="24"/>
          <w:szCs w:val="24"/>
        </w:rPr>
        <w:t xml:space="preserve"> held in reserve by year.  </w:t>
      </w:r>
      <w:r>
        <w:rPr>
          <w:rFonts w:asciiTheme="majorHAnsi" w:eastAsiaTheme="majorEastAsia" w:hAnsiTheme="majorHAnsi" w:cstheme="majorBidi"/>
          <w:bCs/>
          <w:color w:val="000000" w:themeColor="text1"/>
          <w:sz w:val="24"/>
          <w:szCs w:val="24"/>
        </w:rPr>
        <w:t xml:space="preserve">The award for </w:t>
      </w:r>
      <w:r w:rsidR="00E869E5">
        <w:rPr>
          <w:rFonts w:asciiTheme="majorHAnsi" w:eastAsiaTheme="majorEastAsia" w:hAnsiTheme="majorHAnsi" w:cstheme="majorBidi"/>
          <w:bCs/>
          <w:color w:val="000000" w:themeColor="text1"/>
          <w:sz w:val="24"/>
          <w:szCs w:val="24"/>
        </w:rPr>
        <w:t>EDIP credit</w:t>
      </w:r>
      <w:r>
        <w:rPr>
          <w:rFonts w:asciiTheme="majorHAnsi" w:eastAsiaTheme="majorEastAsia" w:hAnsiTheme="majorHAnsi" w:cstheme="majorBidi"/>
          <w:bCs/>
          <w:color w:val="000000" w:themeColor="text1"/>
          <w:sz w:val="24"/>
          <w:szCs w:val="24"/>
        </w:rPr>
        <w:t xml:space="preserve"> has been adjusted down by the amount held in reserve each year. </w:t>
      </w:r>
      <w:r w:rsidRPr="00F72D61">
        <w:rPr>
          <w:rFonts w:asciiTheme="majorHAnsi" w:eastAsiaTheme="majorEastAsia" w:hAnsiTheme="majorHAnsi" w:cstheme="majorBidi"/>
          <w:bCs/>
          <w:color w:val="000000" w:themeColor="text1"/>
          <w:sz w:val="24"/>
          <w:szCs w:val="24"/>
        </w:rPr>
        <w:t>This finally expired in 2020.</w:t>
      </w:r>
      <w:r>
        <w:rPr>
          <w:rFonts w:asciiTheme="majorHAnsi" w:eastAsiaTheme="majorEastAsia" w:hAnsiTheme="majorHAnsi" w:cstheme="majorBidi"/>
          <w:bCs/>
          <w:color w:val="000000" w:themeColor="text1"/>
          <w:sz w:val="24"/>
          <w:szCs w:val="24"/>
        </w:rPr>
        <w:t xml:space="preserve"> </w:t>
      </w:r>
    </w:p>
    <w:p w14:paraId="1D8E2288" w14:textId="77777777" w:rsidR="009E0C28" w:rsidRDefault="009E0C28" w:rsidP="009E0C28">
      <w:pPr>
        <w:spacing w:after="0"/>
        <w:rPr>
          <w:rFonts w:asciiTheme="majorHAnsi" w:hAnsiTheme="majorHAnsi"/>
          <w:sz w:val="24"/>
          <w:szCs w:val="24"/>
          <w:highlight w:val="cyan"/>
        </w:rPr>
      </w:pPr>
    </w:p>
    <w:p w14:paraId="70CF7BEB" w14:textId="77777777" w:rsidR="009E0C28" w:rsidRPr="00CA0391" w:rsidRDefault="009E0C28" w:rsidP="009E0C28">
      <w:pPr>
        <w:spacing w:after="0"/>
        <w:jc w:val="center"/>
        <w:rPr>
          <w:rFonts w:asciiTheme="majorHAnsi" w:hAnsiTheme="majorHAnsi"/>
          <w:b/>
          <w:sz w:val="24"/>
          <w:szCs w:val="24"/>
        </w:rPr>
      </w:pPr>
      <w:r w:rsidRPr="00CA0391">
        <w:rPr>
          <w:rFonts w:asciiTheme="majorHAnsi" w:hAnsiTheme="majorHAnsi"/>
          <w:b/>
          <w:sz w:val="24"/>
          <w:szCs w:val="24"/>
        </w:rPr>
        <w:t xml:space="preserve">Table </w:t>
      </w:r>
      <w:r w:rsidR="00894F36">
        <w:rPr>
          <w:rFonts w:asciiTheme="majorHAnsi" w:hAnsiTheme="majorHAnsi"/>
          <w:b/>
          <w:sz w:val="24"/>
          <w:szCs w:val="24"/>
        </w:rPr>
        <w:t>A1-1</w:t>
      </w:r>
      <w:r w:rsidRPr="00CA0391">
        <w:rPr>
          <w:rFonts w:asciiTheme="majorHAnsi" w:hAnsiTheme="majorHAnsi"/>
          <w:b/>
          <w:sz w:val="24"/>
          <w:szCs w:val="24"/>
        </w:rPr>
        <w:t xml:space="preserve">. </w:t>
      </w:r>
      <w:r>
        <w:rPr>
          <w:rFonts w:asciiTheme="majorHAnsi" w:hAnsiTheme="majorHAnsi"/>
          <w:b/>
          <w:sz w:val="24"/>
          <w:szCs w:val="24"/>
        </w:rPr>
        <w:t>The Amount Held in Reserve for EDIP Credit</w:t>
      </w:r>
    </w:p>
    <w:tbl>
      <w:tblPr>
        <w:tblW w:w="6115" w:type="dxa"/>
        <w:jc w:val="center"/>
        <w:tblLook w:val="04A0" w:firstRow="1" w:lastRow="0" w:firstColumn="1" w:lastColumn="0" w:noHBand="0" w:noVBand="1"/>
      </w:tblPr>
      <w:tblGrid>
        <w:gridCol w:w="2695"/>
        <w:gridCol w:w="3420"/>
      </w:tblGrid>
      <w:tr w:rsidR="009E0C28" w:rsidRPr="00F72D61" w14:paraId="52FF794B" w14:textId="77777777" w:rsidTr="00894F36">
        <w:trPr>
          <w:trHeight w:val="20"/>
          <w:jc w:val="center"/>
        </w:trPr>
        <w:tc>
          <w:tcPr>
            <w:tcW w:w="269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62D1CF45" w14:textId="77777777" w:rsidR="009E0C28" w:rsidRPr="00A67BCA" w:rsidRDefault="009E0C28" w:rsidP="00894F36">
            <w:pPr>
              <w:spacing w:after="0" w:line="240" w:lineRule="auto"/>
              <w:jc w:val="center"/>
              <w:rPr>
                <w:rFonts w:ascii="Cambria" w:eastAsia="Times New Roman" w:hAnsi="Cambria" w:cs="Helvetica"/>
                <w:color w:val="000000"/>
                <w:sz w:val="20"/>
                <w:szCs w:val="20"/>
                <w:lang w:eastAsia="ko-KR"/>
              </w:rPr>
            </w:pPr>
            <w:r w:rsidRPr="00A67BCA">
              <w:rPr>
                <w:rFonts w:ascii="Cambria" w:eastAsia="Times New Roman" w:hAnsi="Cambria" w:cs="Helvetica"/>
                <w:color w:val="000000"/>
                <w:sz w:val="20"/>
                <w:szCs w:val="20"/>
                <w:lang w:eastAsia="ko-KR"/>
              </w:rPr>
              <w:t>Year</w:t>
            </w:r>
          </w:p>
        </w:tc>
        <w:tc>
          <w:tcPr>
            <w:tcW w:w="3420"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26096F4C" w14:textId="77777777" w:rsidR="009E0C28" w:rsidRPr="00A67BCA" w:rsidRDefault="009E0C28" w:rsidP="00894F36">
            <w:pPr>
              <w:spacing w:after="0" w:line="240" w:lineRule="auto"/>
              <w:jc w:val="center"/>
              <w:rPr>
                <w:rFonts w:ascii="Cambria" w:eastAsia="Times New Roman" w:hAnsi="Cambria" w:cs="Helvetica"/>
                <w:color w:val="000000"/>
                <w:sz w:val="20"/>
                <w:szCs w:val="20"/>
                <w:lang w:eastAsia="ko-KR"/>
              </w:rPr>
            </w:pPr>
            <w:r w:rsidRPr="00A67BCA">
              <w:rPr>
                <w:rFonts w:ascii="Cambria" w:eastAsia="Times New Roman" w:hAnsi="Cambria" w:cs="Helvetica"/>
                <w:color w:val="000000"/>
                <w:sz w:val="20"/>
                <w:szCs w:val="20"/>
                <w:lang w:eastAsia="ko-KR"/>
              </w:rPr>
              <w:t>Amount Held in Reserve</w:t>
            </w:r>
          </w:p>
        </w:tc>
      </w:tr>
      <w:tr w:rsidR="009E0C28" w:rsidRPr="00F72D61" w14:paraId="15B11732" w14:textId="77777777" w:rsidTr="00894F36">
        <w:trPr>
          <w:trHeight w:val="20"/>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2DDD256A" w14:textId="77777777" w:rsidR="009E0C28" w:rsidRPr="00A67BCA" w:rsidRDefault="009E0C28" w:rsidP="00894F36">
            <w:pPr>
              <w:spacing w:after="0" w:line="240" w:lineRule="auto"/>
              <w:jc w:val="center"/>
              <w:rPr>
                <w:rFonts w:ascii="Cambria" w:eastAsia="Times New Roman" w:hAnsi="Cambria" w:cs="Helvetica"/>
                <w:color w:val="000000"/>
                <w:sz w:val="20"/>
                <w:szCs w:val="20"/>
                <w:lang w:eastAsia="ko-KR"/>
              </w:rPr>
            </w:pPr>
            <w:r w:rsidRPr="00A67BCA">
              <w:rPr>
                <w:rFonts w:ascii="Cambria" w:eastAsia="Times New Roman" w:hAnsi="Cambria" w:cs="Helvetica"/>
                <w:color w:val="000000"/>
                <w:sz w:val="20"/>
                <w:szCs w:val="20"/>
                <w:lang w:eastAsia="ko-KR"/>
              </w:rPr>
              <w:t>2010</w:t>
            </w:r>
          </w:p>
        </w:tc>
        <w:tc>
          <w:tcPr>
            <w:tcW w:w="3420" w:type="dxa"/>
            <w:tcBorders>
              <w:top w:val="nil"/>
              <w:left w:val="nil"/>
              <w:bottom w:val="single" w:sz="4" w:space="0" w:color="auto"/>
              <w:right w:val="single" w:sz="4" w:space="0" w:color="auto"/>
            </w:tcBorders>
            <w:shd w:val="clear" w:color="auto" w:fill="auto"/>
            <w:vAlign w:val="center"/>
            <w:hideMark/>
          </w:tcPr>
          <w:p w14:paraId="17F10DF4" w14:textId="77777777" w:rsidR="009E0C28" w:rsidRPr="00A67BCA" w:rsidRDefault="009E0C28" w:rsidP="00894F36">
            <w:pPr>
              <w:spacing w:after="0" w:line="240" w:lineRule="auto"/>
              <w:jc w:val="center"/>
              <w:rPr>
                <w:rFonts w:ascii="Cambria" w:eastAsia="Times New Roman" w:hAnsi="Cambria" w:cs="Helvetica"/>
                <w:color w:val="000000"/>
                <w:sz w:val="20"/>
                <w:szCs w:val="20"/>
                <w:lang w:eastAsia="ko-KR"/>
              </w:rPr>
            </w:pPr>
            <w:r w:rsidRPr="00A67BCA">
              <w:rPr>
                <w:rFonts w:ascii="Cambria" w:eastAsia="Times New Roman" w:hAnsi="Cambria" w:cs="Helvetica"/>
                <w:color w:val="000000"/>
                <w:sz w:val="20"/>
                <w:szCs w:val="20"/>
                <w:lang w:eastAsia="ko-KR"/>
              </w:rPr>
              <w:t>$              20,016,178</w:t>
            </w:r>
          </w:p>
        </w:tc>
      </w:tr>
      <w:tr w:rsidR="009E0C28" w:rsidRPr="00F72D61" w14:paraId="0BD8A3C1" w14:textId="77777777" w:rsidTr="00894F36">
        <w:trPr>
          <w:trHeight w:val="20"/>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45D38C91" w14:textId="77777777" w:rsidR="009E0C28" w:rsidRPr="00A67BCA" w:rsidRDefault="009E0C28" w:rsidP="00894F36">
            <w:pPr>
              <w:spacing w:after="0" w:line="240" w:lineRule="auto"/>
              <w:jc w:val="center"/>
              <w:rPr>
                <w:rFonts w:ascii="Cambria" w:eastAsia="Times New Roman" w:hAnsi="Cambria" w:cs="Helvetica"/>
                <w:color w:val="000000"/>
                <w:sz w:val="20"/>
                <w:szCs w:val="20"/>
                <w:lang w:eastAsia="ko-KR"/>
              </w:rPr>
            </w:pPr>
            <w:r w:rsidRPr="00A67BCA">
              <w:rPr>
                <w:rFonts w:ascii="Cambria" w:eastAsia="Times New Roman" w:hAnsi="Cambria" w:cs="Helvetica"/>
                <w:color w:val="000000"/>
                <w:sz w:val="20"/>
                <w:szCs w:val="20"/>
                <w:lang w:eastAsia="ko-KR"/>
              </w:rPr>
              <w:t>2011</w:t>
            </w:r>
          </w:p>
        </w:tc>
        <w:tc>
          <w:tcPr>
            <w:tcW w:w="3420" w:type="dxa"/>
            <w:tcBorders>
              <w:top w:val="nil"/>
              <w:left w:val="nil"/>
              <w:bottom w:val="single" w:sz="4" w:space="0" w:color="auto"/>
              <w:right w:val="single" w:sz="4" w:space="0" w:color="auto"/>
            </w:tcBorders>
            <w:shd w:val="clear" w:color="auto" w:fill="auto"/>
            <w:vAlign w:val="center"/>
            <w:hideMark/>
          </w:tcPr>
          <w:p w14:paraId="5FC46161" w14:textId="77777777" w:rsidR="009E0C28" w:rsidRPr="00A67BCA" w:rsidRDefault="009E0C28" w:rsidP="00894F36">
            <w:pPr>
              <w:spacing w:after="0" w:line="240" w:lineRule="auto"/>
              <w:jc w:val="center"/>
              <w:rPr>
                <w:rFonts w:ascii="Cambria" w:eastAsia="Times New Roman" w:hAnsi="Cambria" w:cs="Helvetica"/>
                <w:color w:val="000000"/>
                <w:sz w:val="20"/>
                <w:szCs w:val="20"/>
                <w:lang w:eastAsia="ko-KR"/>
              </w:rPr>
            </w:pPr>
            <w:r w:rsidRPr="00A67BCA">
              <w:rPr>
                <w:rFonts w:ascii="Cambria" w:eastAsia="Times New Roman" w:hAnsi="Cambria" w:cs="Helvetica"/>
                <w:color w:val="000000"/>
                <w:sz w:val="20"/>
                <w:szCs w:val="20"/>
                <w:lang w:eastAsia="ko-KR"/>
              </w:rPr>
              <w:t>$              17,860,953</w:t>
            </w:r>
          </w:p>
        </w:tc>
      </w:tr>
      <w:tr w:rsidR="009E0C28" w:rsidRPr="00F72D61" w14:paraId="508F55ED" w14:textId="77777777" w:rsidTr="00894F36">
        <w:trPr>
          <w:trHeight w:val="20"/>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110ECA9B" w14:textId="77777777" w:rsidR="009E0C28" w:rsidRPr="00A67BCA" w:rsidRDefault="009E0C28" w:rsidP="00894F36">
            <w:pPr>
              <w:spacing w:after="0" w:line="240" w:lineRule="auto"/>
              <w:jc w:val="center"/>
              <w:rPr>
                <w:rFonts w:ascii="Cambria" w:eastAsia="Times New Roman" w:hAnsi="Cambria" w:cs="Helvetica"/>
                <w:color w:val="000000"/>
                <w:sz w:val="20"/>
                <w:szCs w:val="20"/>
                <w:lang w:eastAsia="ko-KR"/>
              </w:rPr>
            </w:pPr>
            <w:r w:rsidRPr="00A67BCA">
              <w:rPr>
                <w:rFonts w:ascii="Cambria" w:eastAsia="Times New Roman" w:hAnsi="Cambria" w:cs="Helvetica"/>
                <w:color w:val="000000"/>
                <w:sz w:val="20"/>
                <w:szCs w:val="20"/>
                <w:lang w:eastAsia="ko-KR"/>
              </w:rPr>
              <w:t>2012</w:t>
            </w:r>
          </w:p>
        </w:tc>
        <w:tc>
          <w:tcPr>
            <w:tcW w:w="3420" w:type="dxa"/>
            <w:tcBorders>
              <w:top w:val="nil"/>
              <w:left w:val="nil"/>
              <w:bottom w:val="single" w:sz="4" w:space="0" w:color="auto"/>
              <w:right w:val="single" w:sz="4" w:space="0" w:color="auto"/>
            </w:tcBorders>
            <w:shd w:val="clear" w:color="auto" w:fill="auto"/>
            <w:vAlign w:val="center"/>
            <w:hideMark/>
          </w:tcPr>
          <w:p w14:paraId="7F7F4537" w14:textId="77777777" w:rsidR="009E0C28" w:rsidRPr="00A67BCA" w:rsidRDefault="009E0C28" w:rsidP="00894F36">
            <w:pPr>
              <w:spacing w:after="0" w:line="240" w:lineRule="auto"/>
              <w:jc w:val="center"/>
              <w:rPr>
                <w:rFonts w:ascii="Cambria" w:eastAsia="Times New Roman" w:hAnsi="Cambria" w:cs="Helvetica"/>
                <w:color w:val="000000"/>
                <w:sz w:val="20"/>
                <w:szCs w:val="20"/>
                <w:lang w:eastAsia="ko-KR"/>
              </w:rPr>
            </w:pPr>
            <w:r w:rsidRPr="00A67BCA">
              <w:rPr>
                <w:rFonts w:ascii="Cambria" w:eastAsia="Times New Roman" w:hAnsi="Cambria" w:cs="Helvetica"/>
                <w:color w:val="000000"/>
                <w:sz w:val="20"/>
                <w:szCs w:val="20"/>
                <w:lang w:eastAsia="ko-KR"/>
              </w:rPr>
              <w:t>$              14,475,661</w:t>
            </w:r>
          </w:p>
        </w:tc>
      </w:tr>
      <w:tr w:rsidR="009E0C28" w:rsidRPr="00F72D61" w14:paraId="6DAE1BA8" w14:textId="77777777" w:rsidTr="00894F36">
        <w:trPr>
          <w:trHeight w:val="20"/>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25E0442F" w14:textId="77777777" w:rsidR="009E0C28" w:rsidRPr="00A67BCA" w:rsidRDefault="009E0C28" w:rsidP="00894F36">
            <w:pPr>
              <w:spacing w:after="0" w:line="240" w:lineRule="auto"/>
              <w:jc w:val="center"/>
              <w:rPr>
                <w:rFonts w:ascii="Cambria" w:eastAsia="Times New Roman" w:hAnsi="Cambria" w:cs="Helvetica"/>
                <w:color w:val="000000"/>
                <w:sz w:val="20"/>
                <w:szCs w:val="20"/>
                <w:lang w:eastAsia="ko-KR"/>
              </w:rPr>
            </w:pPr>
            <w:r w:rsidRPr="00A67BCA">
              <w:rPr>
                <w:rFonts w:ascii="Cambria" w:eastAsia="Times New Roman" w:hAnsi="Cambria" w:cs="Helvetica"/>
                <w:color w:val="000000"/>
                <w:sz w:val="20"/>
                <w:szCs w:val="20"/>
                <w:lang w:eastAsia="ko-KR"/>
              </w:rPr>
              <w:t>2013</w:t>
            </w:r>
          </w:p>
        </w:tc>
        <w:tc>
          <w:tcPr>
            <w:tcW w:w="3420" w:type="dxa"/>
            <w:tcBorders>
              <w:top w:val="nil"/>
              <w:left w:val="nil"/>
              <w:bottom w:val="single" w:sz="4" w:space="0" w:color="auto"/>
              <w:right w:val="single" w:sz="4" w:space="0" w:color="auto"/>
            </w:tcBorders>
            <w:shd w:val="clear" w:color="auto" w:fill="auto"/>
            <w:vAlign w:val="center"/>
            <w:hideMark/>
          </w:tcPr>
          <w:p w14:paraId="27A485CF" w14:textId="77777777" w:rsidR="009E0C28" w:rsidRPr="00A67BCA" w:rsidRDefault="009E0C28" w:rsidP="00894F36">
            <w:pPr>
              <w:spacing w:after="0" w:line="240" w:lineRule="auto"/>
              <w:jc w:val="center"/>
              <w:rPr>
                <w:rFonts w:ascii="Cambria" w:eastAsia="Times New Roman" w:hAnsi="Cambria" w:cs="Helvetica"/>
                <w:color w:val="000000"/>
                <w:sz w:val="20"/>
                <w:szCs w:val="20"/>
                <w:lang w:eastAsia="ko-KR"/>
              </w:rPr>
            </w:pPr>
            <w:r w:rsidRPr="00A67BCA">
              <w:rPr>
                <w:rFonts w:ascii="Cambria" w:eastAsia="Times New Roman" w:hAnsi="Cambria" w:cs="Helvetica"/>
                <w:color w:val="000000"/>
                <w:sz w:val="20"/>
                <w:szCs w:val="20"/>
                <w:lang w:eastAsia="ko-KR"/>
              </w:rPr>
              <w:t>$              11,368,616</w:t>
            </w:r>
          </w:p>
        </w:tc>
      </w:tr>
      <w:tr w:rsidR="009E0C28" w:rsidRPr="00F72D61" w14:paraId="1F4A8463" w14:textId="77777777" w:rsidTr="00894F36">
        <w:trPr>
          <w:trHeight w:val="20"/>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4B67E47B" w14:textId="77777777" w:rsidR="009E0C28" w:rsidRPr="00A67BCA" w:rsidRDefault="009E0C28" w:rsidP="00894F36">
            <w:pPr>
              <w:spacing w:after="0" w:line="240" w:lineRule="auto"/>
              <w:jc w:val="center"/>
              <w:rPr>
                <w:rFonts w:ascii="Cambria" w:eastAsia="Times New Roman" w:hAnsi="Cambria" w:cs="Helvetica"/>
                <w:color w:val="000000"/>
                <w:sz w:val="20"/>
                <w:szCs w:val="20"/>
                <w:lang w:eastAsia="ko-KR"/>
              </w:rPr>
            </w:pPr>
            <w:r w:rsidRPr="00A67BCA">
              <w:rPr>
                <w:rFonts w:ascii="Cambria" w:eastAsia="Times New Roman" w:hAnsi="Cambria" w:cs="Helvetica"/>
                <w:color w:val="000000"/>
                <w:sz w:val="20"/>
                <w:szCs w:val="20"/>
                <w:lang w:eastAsia="ko-KR"/>
              </w:rPr>
              <w:t>2014</w:t>
            </w:r>
          </w:p>
        </w:tc>
        <w:tc>
          <w:tcPr>
            <w:tcW w:w="3420" w:type="dxa"/>
            <w:tcBorders>
              <w:top w:val="nil"/>
              <w:left w:val="nil"/>
              <w:bottom w:val="single" w:sz="4" w:space="0" w:color="auto"/>
              <w:right w:val="single" w:sz="4" w:space="0" w:color="auto"/>
            </w:tcBorders>
            <w:shd w:val="clear" w:color="auto" w:fill="auto"/>
            <w:vAlign w:val="center"/>
            <w:hideMark/>
          </w:tcPr>
          <w:p w14:paraId="6BB5249D" w14:textId="77777777" w:rsidR="009E0C28" w:rsidRPr="00A67BCA" w:rsidRDefault="009E0C28" w:rsidP="00894F36">
            <w:pPr>
              <w:spacing w:after="0" w:line="240" w:lineRule="auto"/>
              <w:jc w:val="center"/>
              <w:rPr>
                <w:rFonts w:ascii="Cambria" w:eastAsia="Times New Roman" w:hAnsi="Cambria" w:cs="Helvetica"/>
                <w:color w:val="000000"/>
                <w:sz w:val="20"/>
                <w:szCs w:val="20"/>
                <w:lang w:eastAsia="ko-KR"/>
              </w:rPr>
            </w:pPr>
            <w:r w:rsidRPr="00A67BCA">
              <w:rPr>
                <w:rFonts w:ascii="Cambria" w:eastAsia="Times New Roman" w:hAnsi="Cambria" w:cs="Helvetica"/>
                <w:color w:val="000000"/>
                <w:sz w:val="20"/>
                <w:szCs w:val="20"/>
                <w:lang w:eastAsia="ko-KR"/>
              </w:rPr>
              <w:t>$                9,745,425</w:t>
            </w:r>
          </w:p>
        </w:tc>
      </w:tr>
      <w:tr w:rsidR="009E0C28" w:rsidRPr="00F72D61" w14:paraId="79D231BA" w14:textId="77777777" w:rsidTr="00894F36">
        <w:trPr>
          <w:trHeight w:val="20"/>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08C58C6E" w14:textId="77777777" w:rsidR="009E0C28" w:rsidRPr="00A67BCA" w:rsidRDefault="009E0C28" w:rsidP="00894F36">
            <w:pPr>
              <w:spacing w:after="0" w:line="240" w:lineRule="auto"/>
              <w:jc w:val="center"/>
              <w:rPr>
                <w:rFonts w:ascii="Cambria" w:eastAsia="Times New Roman" w:hAnsi="Cambria" w:cs="Helvetica"/>
                <w:color w:val="000000"/>
                <w:sz w:val="20"/>
                <w:szCs w:val="20"/>
                <w:lang w:eastAsia="ko-KR"/>
              </w:rPr>
            </w:pPr>
            <w:r w:rsidRPr="00A67BCA">
              <w:rPr>
                <w:rFonts w:ascii="Cambria" w:eastAsia="Times New Roman" w:hAnsi="Cambria" w:cs="Helvetica"/>
                <w:color w:val="000000"/>
                <w:sz w:val="20"/>
                <w:szCs w:val="20"/>
                <w:lang w:eastAsia="ko-KR"/>
              </w:rPr>
              <w:t>2015</w:t>
            </w:r>
          </w:p>
        </w:tc>
        <w:tc>
          <w:tcPr>
            <w:tcW w:w="3420" w:type="dxa"/>
            <w:tcBorders>
              <w:top w:val="nil"/>
              <w:left w:val="nil"/>
              <w:bottom w:val="single" w:sz="4" w:space="0" w:color="auto"/>
              <w:right w:val="single" w:sz="4" w:space="0" w:color="auto"/>
            </w:tcBorders>
            <w:shd w:val="clear" w:color="auto" w:fill="auto"/>
            <w:vAlign w:val="center"/>
            <w:hideMark/>
          </w:tcPr>
          <w:p w14:paraId="1DA90FDC" w14:textId="77777777" w:rsidR="009E0C28" w:rsidRPr="00A67BCA" w:rsidRDefault="009E0C28" w:rsidP="00894F36">
            <w:pPr>
              <w:spacing w:after="0" w:line="240" w:lineRule="auto"/>
              <w:jc w:val="center"/>
              <w:rPr>
                <w:rFonts w:ascii="Cambria" w:eastAsia="Times New Roman" w:hAnsi="Cambria" w:cs="Helvetica"/>
                <w:color w:val="000000"/>
                <w:sz w:val="20"/>
                <w:szCs w:val="20"/>
                <w:lang w:eastAsia="ko-KR"/>
              </w:rPr>
            </w:pPr>
            <w:r w:rsidRPr="00A67BCA">
              <w:rPr>
                <w:rFonts w:ascii="Cambria" w:eastAsia="Times New Roman" w:hAnsi="Cambria" w:cs="Helvetica"/>
                <w:color w:val="000000"/>
                <w:sz w:val="20"/>
                <w:szCs w:val="20"/>
                <w:lang w:eastAsia="ko-KR"/>
              </w:rPr>
              <w:t>$                8,107,788</w:t>
            </w:r>
          </w:p>
        </w:tc>
      </w:tr>
      <w:tr w:rsidR="009E0C28" w:rsidRPr="00F72D61" w14:paraId="080257E9" w14:textId="77777777" w:rsidTr="00894F36">
        <w:trPr>
          <w:trHeight w:val="20"/>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0FCA9F5D" w14:textId="77777777" w:rsidR="009E0C28" w:rsidRPr="00A67BCA" w:rsidRDefault="009E0C28" w:rsidP="00894F36">
            <w:pPr>
              <w:spacing w:after="0" w:line="240" w:lineRule="auto"/>
              <w:jc w:val="center"/>
              <w:rPr>
                <w:rFonts w:ascii="Cambria" w:eastAsia="Times New Roman" w:hAnsi="Cambria" w:cs="Helvetica"/>
                <w:color w:val="000000"/>
                <w:sz w:val="20"/>
                <w:szCs w:val="20"/>
                <w:lang w:eastAsia="ko-KR"/>
              </w:rPr>
            </w:pPr>
            <w:r w:rsidRPr="00A67BCA">
              <w:rPr>
                <w:rFonts w:ascii="Cambria" w:eastAsia="Times New Roman" w:hAnsi="Cambria" w:cs="Helvetica"/>
                <w:color w:val="000000"/>
                <w:sz w:val="20"/>
                <w:szCs w:val="20"/>
                <w:lang w:eastAsia="ko-KR"/>
              </w:rPr>
              <w:t>2016</w:t>
            </w:r>
          </w:p>
        </w:tc>
        <w:tc>
          <w:tcPr>
            <w:tcW w:w="3420" w:type="dxa"/>
            <w:tcBorders>
              <w:top w:val="nil"/>
              <w:left w:val="nil"/>
              <w:bottom w:val="single" w:sz="4" w:space="0" w:color="auto"/>
              <w:right w:val="single" w:sz="4" w:space="0" w:color="auto"/>
            </w:tcBorders>
            <w:shd w:val="clear" w:color="auto" w:fill="auto"/>
            <w:vAlign w:val="center"/>
            <w:hideMark/>
          </w:tcPr>
          <w:p w14:paraId="6B5070C0" w14:textId="77777777" w:rsidR="009E0C28" w:rsidRPr="00A67BCA" w:rsidRDefault="009E0C28" w:rsidP="00894F36">
            <w:pPr>
              <w:spacing w:after="0" w:line="240" w:lineRule="auto"/>
              <w:jc w:val="center"/>
              <w:rPr>
                <w:rFonts w:ascii="Cambria" w:eastAsia="Times New Roman" w:hAnsi="Cambria" w:cs="Helvetica"/>
                <w:color w:val="000000"/>
                <w:sz w:val="20"/>
                <w:szCs w:val="20"/>
                <w:lang w:eastAsia="ko-KR"/>
              </w:rPr>
            </w:pPr>
            <w:r w:rsidRPr="00A67BCA">
              <w:rPr>
                <w:rFonts w:ascii="Cambria" w:eastAsia="Times New Roman" w:hAnsi="Cambria" w:cs="Helvetica"/>
                <w:color w:val="000000"/>
                <w:sz w:val="20"/>
                <w:szCs w:val="20"/>
                <w:lang w:eastAsia="ko-KR"/>
              </w:rPr>
              <w:t>$                6,578,150</w:t>
            </w:r>
          </w:p>
        </w:tc>
      </w:tr>
      <w:tr w:rsidR="009E0C28" w:rsidRPr="00F72D61" w14:paraId="447F5BD6" w14:textId="77777777" w:rsidTr="00894F36">
        <w:trPr>
          <w:trHeight w:val="20"/>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5CF33752" w14:textId="77777777" w:rsidR="009E0C28" w:rsidRPr="00A67BCA" w:rsidRDefault="009E0C28" w:rsidP="00894F36">
            <w:pPr>
              <w:spacing w:after="0" w:line="240" w:lineRule="auto"/>
              <w:jc w:val="center"/>
              <w:rPr>
                <w:rFonts w:ascii="Cambria" w:eastAsia="Times New Roman" w:hAnsi="Cambria" w:cs="Helvetica"/>
                <w:color w:val="000000"/>
                <w:sz w:val="20"/>
                <w:szCs w:val="20"/>
                <w:lang w:eastAsia="ko-KR"/>
              </w:rPr>
            </w:pPr>
            <w:r w:rsidRPr="00A67BCA">
              <w:rPr>
                <w:rFonts w:ascii="Cambria" w:eastAsia="Times New Roman" w:hAnsi="Cambria" w:cs="Helvetica"/>
                <w:color w:val="000000"/>
                <w:sz w:val="20"/>
                <w:szCs w:val="20"/>
                <w:lang w:eastAsia="ko-KR"/>
              </w:rPr>
              <w:t>2017</w:t>
            </w:r>
          </w:p>
        </w:tc>
        <w:tc>
          <w:tcPr>
            <w:tcW w:w="3420" w:type="dxa"/>
            <w:tcBorders>
              <w:top w:val="nil"/>
              <w:left w:val="nil"/>
              <w:bottom w:val="single" w:sz="4" w:space="0" w:color="auto"/>
              <w:right w:val="single" w:sz="4" w:space="0" w:color="auto"/>
            </w:tcBorders>
            <w:shd w:val="clear" w:color="auto" w:fill="auto"/>
            <w:vAlign w:val="center"/>
            <w:hideMark/>
          </w:tcPr>
          <w:p w14:paraId="799E2F09" w14:textId="77777777" w:rsidR="009E0C28" w:rsidRPr="00A67BCA" w:rsidRDefault="009E0C28" w:rsidP="00894F36">
            <w:pPr>
              <w:spacing w:after="0" w:line="240" w:lineRule="auto"/>
              <w:jc w:val="center"/>
              <w:rPr>
                <w:rFonts w:ascii="Cambria" w:eastAsia="Times New Roman" w:hAnsi="Cambria" w:cs="Helvetica"/>
                <w:color w:val="000000"/>
                <w:sz w:val="20"/>
                <w:szCs w:val="20"/>
                <w:lang w:eastAsia="ko-KR"/>
              </w:rPr>
            </w:pPr>
            <w:r w:rsidRPr="00A67BCA">
              <w:rPr>
                <w:rFonts w:ascii="Cambria" w:eastAsia="Times New Roman" w:hAnsi="Cambria" w:cs="Helvetica"/>
                <w:color w:val="000000"/>
                <w:sz w:val="20"/>
                <w:szCs w:val="20"/>
                <w:lang w:eastAsia="ko-KR"/>
              </w:rPr>
              <w:t>$                5,701,478</w:t>
            </w:r>
          </w:p>
        </w:tc>
      </w:tr>
      <w:tr w:rsidR="009E0C28" w:rsidRPr="00F72D61" w14:paraId="5F3CBED7" w14:textId="77777777" w:rsidTr="00894F36">
        <w:trPr>
          <w:trHeight w:val="20"/>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64F30C6A" w14:textId="77777777" w:rsidR="009E0C28" w:rsidRPr="00A67BCA" w:rsidRDefault="009E0C28" w:rsidP="00894F36">
            <w:pPr>
              <w:spacing w:after="0" w:line="240" w:lineRule="auto"/>
              <w:jc w:val="center"/>
              <w:rPr>
                <w:rFonts w:ascii="Cambria" w:eastAsia="Times New Roman" w:hAnsi="Cambria" w:cs="Helvetica"/>
                <w:color w:val="000000"/>
                <w:sz w:val="20"/>
                <w:szCs w:val="20"/>
                <w:lang w:eastAsia="ko-KR"/>
              </w:rPr>
            </w:pPr>
            <w:r w:rsidRPr="00A67BCA">
              <w:rPr>
                <w:rFonts w:ascii="Cambria" w:eastAsia="Times New Roman" w:hAnsi="Cambria" w:cs="Helvetica"/>
                <w:color w:val="000000"/>
                <w:sz w:val="20"/>
                <w:szCs w:val="20"/>
                <w:lang w:eastAsia="ko-KR"/>
              </w:rPr>
              <w:t>2018</w:t>
            </w:r>
          </w:p>
        </w:tc>
        <w:tc>
          <w:tcPr>
            <w:tcW w:w="3420" w:type="dxa"/>
            <w:tcBorders>
              <w:top w:val="nil"/>
              <w:left w:val="nil"/>
              <w:bottom w:val="single" w:sz="4" w:space="0" w:color="auto"/>
              <w:right w:val="single" w:sz="4" w:space="0" w:color="auto"/>
            </w:tcBorders>
            <w:shd w:val="clear" w:color="auto" w:fill="auto"/>
            <w:vAlign w:val="center"/>
            <w:hideMark/>
          </w:tcPr>
          <w:p w14:paraId="5B301905" w14:textId="77777777" w:rsidR="009E0C28" w:rsidRPr="00A67BCA" w:rsidRDefault="009E0C28" w:rsidP="00894F36">
            <w:pPr>
              <w:spacing w:after="0" w:line="240" w:lineRule="auto"/>
              <w:jc w:val="center"/>
              <w:rPr>
                <w:rFonts w:ascii="Cambria" w:eastAsia="Times New Roman" w:hAnsi="Cambria" w:cs="Helvetica"/>
                <w:color w:val="000000"/>
                <w:sz w:val="20"/>
                <w:szCs w:val="20"/>
                <w:lang w:eastAsia="ko-KR"/>
              </w:rPr>
            </w:pPr>
            <w:r w:rsidRPr="00A67BCA">
              <w:rPr>
                <w:rFonts w:ascii="Cambria" w:eastAsia="Times New Roman" w:hAnsi="Cambria" w:cs="Helvetica"/>
                <w:color w:val="000000"/>
                <w:sz w:val="20"/>
                <w:szCs w:val="20"/>
                <w:lang w:eastAsia="ko-KR"/>
              </w:rPr>
              <w:t>$                4,082,960</w:t>
            </w:r>
          </w:p>
        </w:tc>
      </w:tr>
      <w:tr w:rsidR="009E0C28" w:rsidRPr="00F72D61" w14:paraId="37AB90AE" w14:textId="77777777" w:rsidTr="00894F36">
        <w:trPr>
          <w:trHeight w:val="20"/>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387218C5" w14:textId="77777777" w:rsidR="009E0C28" w:rsidRPr="00A67BCA" w:rsidRDefault="009E0C28" w:rsidP="00894F36">
            <w:pPr>
              <w:spacing w:after="0" w:line="240" w:lineRule="auto"/>
              <w:jc w:val="center"/>
              <w:rPr>
                <w:rFonts w:ascii="Cambria" w:eastAsia="Times New Roman" w:hAnsi="Cambria" w:cs="Helvetica"/>
                <w:color w:val="000000"/>
                <w:sz w:val="20"/>
                <w:szCs w:val="20"/>
                <w:lang w:eastAsia="ko-KR"/>
              </w:rPr>
            </w:pPr>
            <w:r w:rsidRPr="00A67BCA">
              <w:rPr>
                <w:rFonts w:ascii="Cambria" w:eastAsia="Times New Roman" w:hAnsi="Cambria" w:cs="Helvetica"/>
                <w:color w:val="000000"/>
                <w:sz w:val="20"/>
                <w:szCs w:val="20"/>
                <w:lang w:eastAsia="ko-KR"/>
              </w:rPr>
              <w:t>2019</w:t>
            </w:r>
          </w:p>
        </w:tc>
        <w:tc>
          <w:tcPr>
            <w:tcW w:w="3420" w:type="dxa"/>
            <w:tcBorders>
              <w:top w:val="nil"/>
              <w:left w:val="nil"/>
              <w:bottom w:val="single" w:sz="4" w:space="0" w:color="auto"/>
              <w:right w:val="single" w:sz="4" w:space="0" w:color="auto"/>
            </w:tcBorders>
            <w:shd w:val="clear" w:color="auto" w:fill="auto"/>
            <w:vAlign w:val="center"/>
            <w:hideMark/>
          </w:tcPr>
          <w:p w14:paraId="0C2D0F2B" w14:textId="77777777" w:rsidR="009E0C28" w:rsidRPr="00A67BCA" w:rsidRDefault="009E0C28" w:rsidP="00894F36">
            <w:pPr>
              <w:spacing w:after="0" w:line="240" w:lineRule="auto"/>
              <w:jc w:val="center"/>
              <w:rPr>
                <w:rFonts w:ascii="Cambria" w:eastAsia="Times New Roman" w:hAnsi="Cambria" w:cs="Helvetica"/>
                <w:color w:val="000000"/>
                <w:sz w:val="20"/>
                <w:szCs w:val="20"/>
                <w:lang w:eastAsia="ko-KR"/>
              </w:rPr>
            </w:pPr>
            <w:r w:rsidRPr="00A67BCA">
              <w:rPr>
                <w:rFonts w:ascii="Cambria" w:eastAsia="Times New Roman" w:hAnsi="Cambria" w:cs="Helvetica"/>
                <w:color w:val="000000"/>
                <w:sz w:val="20"/>
                <w:szCs w:val="20"/>
                <w:lang w:eastAsia="ko-KR"/>
              </w:rPr>
              <w:t>$                1,610,158</w:t>
            </w:r>
          </w:p>
        </w:tc>
      </w:tr>
      <w:tr w:rsidR="009E0C28" w:rsidRPr="00F72D61" w14:paraId="3D72B804" w14:textId="77777777" w:rsidTr="00894F36">
        <w:trPr>
          <w:trHeight w:val="20"/>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4BDA358F" w14:textId="77777777" w:rsidR="009E0C28" w:rsidRPr="00A67BCA" w:rsidRDefault="009E0C28" w:rsidP="00894F36">
            <w:pPr>
              <w:spacing w:after="0" w:line="240" w:lineRule="auto"/>
              <w:jc w:val="center"/>
              <w:rPr>
                <w:rFonts w:ascii="Cambria" w:eastAsia="Times New Roman" w:hAnsi="Cambria" w:cs="Helvetica"/>
                <w:color w:val="000000"/>
                <w:sz w:val="20"/>
                <w:szCs w:val="20"/>
                <w:lang w:eastAsia="ko-KR"/>
              </w:rPr>
            </w:pPr>
            <w:r w:rsidRPr="00A67BCA">
              <w:rPr>
                <w:rFonts w:ascii="Cambria" w:eastAsia="Times New Roman" w:hAnsi="Cambria" w:cs="Helvetica"/>
                <w:color w:val="000000"/>
                <w:sz w:val="20"/>
                <w:szCs w:val="20"/>
                <w:lang w:eastAsia="ko-KR"/>
              </w:rPr>
              <w:t>2020</w:t>
            </w:r>
          </w:p>
        </w:tc>
        <w:tc>
          <w:tcPr>
            <w:tcW w:w="3420" w:type="dxa"/>
            <w:tcBorders>
              <w:top w:val="nil"/>
              <w:left w:val="nil"/>
              <w:bottom w:val="single" w:sz="4" w:space="0" w:color="auto"/>
              <w:right w:val="single" w:sz="4" w:space="0" w:color="auto"/>
            </w:tcBorders>
            <w:shd w:val="clear" w:color="auto" w:fill="auto"/>
            <w:vAlign w:val="center"/>
            <w:hideMark/>
          </w:tcPr>
          <w:p w14:paraId="0D457A55" w14:textId="77777777" w:rsidR="009E0C28" w:rsidRPr="00A67BCA" w:rsidRDefault="009E0C28" w:rsidP="00894F36">
            <w:pPr>
              <w:spacing w:after="0" w:line="240" w:lineRule="auto"/>
              <w:jc w:val="center"/>
              <w:rPr>
                <w:rFonts w:ascii="Cambria" w:eastAsia="Times New Roman" w:hAnsi="Cambria" w:cs="Helvetica"/>
                <w:color w:val="000000"/>
                <w:sz w:val="20"/>
                <w:szCs w:val="20"/>
                <w:lang w:eastAsia="ko-KR"/>
              </w:rPr>
            </w:pPr>
            <w:r w:rsidRPr="00A67BCA">
              <w:rPr>
                <w:rFonts w:ascii="Cambria" w:eastAsia="Times New Roman" w:hAnsi="Cambria" w:cs="Helvetica"/>
                <w:color w:val="000000"/>
                <w:sz w:val="20"/>
                <w:szCs w:val="20"/>
                <w:lang w:eastAsia="ko-KR"/>
              </w:rPr>
              <w:t>$                               0</w:t>
            </w:r>
          </w:p>
        </w:tc>
      </w:tr>
    </w:tbl>
    <w:p w14:paraId="750A4093" w14:textId="77777777" w:rsidR="009E0C28" w:rsidRPr="00A67BCA" w:rsidRDefault="009E0C28" w:rsidP="009E0C28">
      <w:pPr>
        <w:spacing w:after="0"/>
        <w:rPr>
          <w:rFonts w:asciiTheme="majorHAnsi" w:eastAsiaTheme="majorEastAsia" w:hAnsiTheme="majorHAnsi" w:cstheme="majorBidi"/>
          <w:bCs/>
          <w:color w:val="000000" w:themeColor="text1"/>
          <w:sz w:val="18"/>
          <w:szCs w:val="18"/>
        </w:rPr>
      </w:pPr>
      <w:r>
        <w:rPr>
          <w:rFonts w:asciiTheme="majorHAnsi" w:eastAsiaTheme="majorEastAsia" w:hAnsiTheme="majorHAnsi" w:cstheme="majorBidi"/>
          <w:bCs/>
          <w:color w:val="000000" w:themeColor="text1"/>
          <w:sz w:val="18"/>
          <w:szCs w:val="18"/>
        </w:rPr>
        <w:t xml:space="preserve">                                        </w:t>
      </w:r>
      <w:r w:rsidRPr="00A67BCA">
        <w:rPr>
          <w:rFonts w:asciiTheme="majorHAnsi" w:eastAsiaTheme="majorEastAsia" w:hAnsiTheme="majorHAnsi" w:cstheme="majorBidi"/>
          <w:bCs/>
          <w:color w:val="000000" w:themeColor="text1"/>
          <w:sz w:val="18"/>
          <w:szCs w:val="18"/>
        </w:rPr>
        <w:t>Source: Massachusetts Office of Business Development (MOBD)</w:t>
      </w:r>
    </w:p>
    <w:p w14:paraId="255C406A" w14:textId="77777777" w:rsidR="009E0C28" w:rsidRPr="00F72D61" w:rsidRDefault="009E0C28" w:rsidP="009E0C28">
      <w:pPr>
        <w:spacing w:after="0"/>
        <w:rPr>
          <w:rFonts w:asciiTheme="majorHAnsi" w:eastAsiaTheme="majorEastAsia" w:hAnsiTheme="majorHAnsi" w:cstheme="majorBidi"/>
          <w:bCs/>
          <w:color w:val="000000" w:themeColor="text1"/>
          <w:sz w:val="24"/>
          <w:szCs w:val="24"/>
        </w:rPr>
      </w:pPr>
    </w:p>
    <w:p w14:paraId="5F1FE378" w14:textId="74EF555D" w:rsidR="009E0C28" w:rsidRDefault="009E0C28" w:rsidP="009E0C28">
      <w:pPr>
        <w:spacing w:after="0"/>
        <w:rPr>
          <w:rFonts w:asciiTheme="majorHAnsi" w:eastAsiaTheme="majorEastAsia" w:hAnsiTheme="majorHAnsi" w:cstheme="majorBidi"/>
          <w:bCs/>
          <w:color w:val="000000" w:themeColor="text1"/>
          <w:sz w:val="24"/>
          <w:szCs w:val="24"/>
        </w:rPr>
      </w:pPr>
      <w:r w:rsidRPr="00F72D61">
        <w:rPr>
          <w:rFonts w:asciiTheme="majorHAnsi" w:eastAsiaTheme="majorEastAsia" w:hAnsiTheme="majorHAnsi" w:cstheme="majorBidi"/>
          <w:bCs/>
          <w:color w:val="000000" w:themeColor="text1"/>
          <w:sz w:val="24"/>
          <w:szCs w:val="24"/>
        </w:rPr>
        <w:t xml:space="preserve">Additionally, the Acts of 2016 called for every EDIP project ever awarded tax credits to be under contract with the EACC by December 31, 2016.  This was </w:t>
      </w:r>
      <w:r>
        <w:rPr>
          <w:rFonts w:asciiTheme="majorHAnsi" w:eastAsiaTheme="majorEastAsia" w:hAnsiTheme="majorHAnsi" w:cstheme="majorBidi"/>
          <w:bCs/>
          <w:color w:val="000000" w:themeColor="text1"/>
          <w:sz w:val="24"/>
          <w:szCs w:val="24"/>
        </w:rPr>
        <w:t xml:space="preserve">for the purpose </w:t>
      </w:r>
      <w:r w:rsidRPr="00F72D61">
        <w:rPr>
          <w:rFonts w:asciiTheme="majorHAnsi" w:eastAsiaTheme="majorEastAsia" w:hAnsiTheme="majorHAnsi" w:cstheme="majorBidi"/>
          <w:bCs/>
          <w:color w:val="000000" w:themeColor="text1"/>
          <w:sz w:val="24"/>
          <w:szCs w:val="24"/>
        </w:rPr>
        <w:t xml:space="preserve">to </w:t>
      </w:r>
      <w:r>
        <w:rPr>
          <w:rFonts w:asciiTheme="majorHAnsi" w:eastAsiaTheme="majorEastAsia" w:hAnsiTheme="majorHAnsi" w:cstheme="majorBidi"/>
          <w:bCs/>
          <w:color w:val="000000" w:themeColor="text1"/>
          <w:sz w:val="24"/>
          <w:szCs w:val="24"/>
        </w:rPr>
        <w:t xml:space="preserve">estimate </w:t>
      </w:r>
      <w:r w:rsidRPr="00F72D61">
        <w:rPr>
          <w:rFonts w:asciiTheme="majorHAnsi" w:eastAsiaTheme="majorEastAsia" w:hAnsiTheme="majorHAnsi" w:cstheme="majorBidi"/>
          <w:bCs/>
          <w:color w:val="000000" w:themeColor="text1"/>
          <w:sz w:val="24"/>
          <w:szCs w:val="24"/>
        </w:rPr>
        <w:t xml:space="preserve">how much potential EOAC carryforward was still out there.  Any company that did not sign a contract now gets booted from the tax system if they </w:t>
      </w:r>
      <w:r>
        <w:rPr>
          <w:rFonts w:asciiTheme="majorHAnsi" w:eastAsiaTheme="majorEastAsia" w:hAnsiTheme="majorHAnsi" w:cstheme="majorBidi"/>
          <w:bCs/>
          <w:color w:val="000000" w:themeColor="text1"/>
          <w:sz w:val="24"/>
          <w:szCs w:val="24"/>
        </w:rPr>
        <w:t>want</w:t>
      </w:r>
      <w:r w:rsidRPr="00F72D61">
        <w:rPr>
          <w:rFonts w:asciiTheme="majorHAnsi" w:eastAsiaTheme="majorEastAsia" w:hAnsiTheme="majorHAnsi" w:cstheme="majorBidi"/>
          <w:bCs/>
          <w:color w:val="000000" w:themeColor="text1"/>
          <w:sz w:val="24"/>
          <w:szCs w:val="24"/>
        </w:rPr>
        <w:t xml:space="preserve"> to use EOA</w:t>
      </w:r>
      <w:r>
        <w:rPr>
          <w:rFonts w:asciiTheme="majorHAnsi" w:eastAsiaTheme="majorEastAsia" w:hAnsiTheme="majorHAnsi" w:cstheme="majorBidi"/>
          <w:bCs/>
          <w:color w:val="000000" w:themeColor="text1"/>
          <w:sz w:val="24"/>
          <w:szCs w:val="24"/>
        </w:rPr>
        <w:t>C</w:t>
      </w:r>
      <w:r w:rsidRPr="00F72D61">
        <w:rPr>
          <w:rFonts w:asciiTheme="majorHAnsi" w:eastAsiaTheme="majorEastAsia" w:hAnsiTheme="majorHAnsi" w:cstheme="majorBidi"/>
          <w:bCs/>
          <w:color w:val="000000" w:themeColor="text1"/>
          <w:sz w:val="24"/>
          <w:szCs w:val="24"/>
        </w:rPr>
        <w:t xml:space="preserve"> and do not have a contract.  From 2010 to 2014</w:t>
      </w:r>
      <w:r>
        <w:rPr>
          <w:rFonts w:asciiTheme="majorHAnsi" w:eastAsiaTheme="majorEastAsia" w:hAnsiTheme="majorHAnsi" w:cstheme="majorBidi"/>
          <w:bCs/>
          <w:color w:val="000000" w:themeColor="text1"/>
          <w:sz w:val="24"/>
          <w:szCs w:val="24"/>
        </w:rPr>
        <w:t>,</w:t>
      </w:r>
      <w:r w:rsidRPr="00F72D61">
        <w:rPr>
          <w:rFonts w:asciiTheme="majorHAnsi" w:eastAsiaTheme="majorEastAsia" w:hAnsiTheme="majorHAnsi" w:cstheme="majorBidi"/>
          <w:bCs/>
          <w:color w:val="000000" w:themeColor="text1"/>
          <w:sz w:val="24"/>
          <w:szCs w:val="24"/>
        </w:rPr>
        <w:t xml:space="preserve"> the total combined annual calendar year tax credits budget for EDIP and HDIP </w:t>
      </w:r>
      <w:r>
        <w:rPr>
          <w:rFonts w:asciiTheme="majorHAnsi" w:eastAsiaTheme="majorEastAsia" w:hAnsiTheme="majorHAnsi" w:cstheme="majorBidi"/>
          <w:bCs/>
          <w:color w:val="000000" w:themeColor="text1"/>
          <w:sz w:val="24"/>
          <w:szCs w:val="24"/>
        </w:rPr>
        <w:t xml:space="preserve">(Housing Development Incentive Program) </w:t>
      </w:r>
      <w:r w:rsidRPr="00F72D61">
        <w:rPr>
          <w:rFonts w:asciiTheme="majorHAnsi" w:eastAsiaTheme="majorEastAsia" w:hAnsiTheme="majorHAnsi" w:cstheme="majorBidi"/>
          <w:bCs/>
          <w:color w:val="000000" w:themeColor="text1"/>
          <w:sz w:val="24"/>
          <w:szCs w:val="24"/>
        </w:rPr>
        <w:t>was $25 million</w:t>
      </w:r>
      <w:r>
        <w:rPr>
          <w:rFonts w:asciiTheme="majorHAnsi" w:eastAsiaTheme="majorEastAsia" w:hAnsiTheme="majorHAnsi" w:cstheme="majorBidi"/>
          <w:bCs/>
          <w:color w:val="000000" w:themeColor="text1"/>
          <w:sz w:val="24"/>
          <w:szCs w:val="24"/>
        </w:rPr>
        <w:t xml:space="preserve"> in which </w:t>
      </w:r>
      <w:r w:rsidRPr="00F72D61">
        <w:rPr>
          <w:rFonts w:asciiTheme="majorHAnsi" w:eastAsiaTheme="majorEastAsia" w:hAnsiTheme="majorHAnsi" w:cstheme="majorBidi"/>
          <w:bCs/>
          <w:color w:val="000000" w:themeColor="text1"/>
          <w:sz w:val="24"/>
          <w:szCs w:val="24"/>
        </w:rPr>
        <w:lastRenderedPageBreak/>
        <w:t>$20 million was for EDIP and $5 million for HDIP.  In 2015</w:t>
      </w:r>
      <w:r>
        <w:rPr>
          <w:rFonts w:asciiTheme="majorHAnsi" w:eastAsiaTheme="majorEastAsia" w:hAnsiTheme="majorHAnsi" w:cstheme="majorBidi"/>
          <w:bCs/>
          <w:color w:val="000000" w:themeColor="text1"/>
          <w:sz w:val="24"/>
          <w:szCs w:val="24"/>
        </w:rPr>
        <w:t>,</w:t>
      </w:r>
      <w:r w:rsidRPr="00F72D61">
        <w:rPr>
          <w:rFonts w:asciiTheme="majorHAnsi" w:eastAsiaTheme="majorEastAsia" w:hAnsiTheme="majorHAnsi" w:cstheme="majorBidi"/>
          <w:bCs/>
          <w:color w:val="000000" w:themeColor="text1"/>
          <w:sz w:val="24"/>
          <w:szCs w:val="24"/>
        </w:rPr>
        <w:t xml:space="preserve"> the budget became $30 million for both programs combined</w:t>
      </w:r>
      <w:r>
        <w:rPr>
          <w:rFonts w:asciiTheme="majorHAnsi" w:eastAsiaTheme="majorEastAsia" w:hAnsiTheme="majorHAnsi" w:cstheme="majorBidi"/>
          <w:bCs/>
          <w:color w:val="000000" w:themeColor="text1"/>
          <w:sz w:val="24"/>
          <w:szCs w:val="24"/>
        </w:rPr>
        <w:t xml:space="preserve">, and the cap for </w:t>
      </w:r>
      <w:r w:rsidRPr="00F72D61">
        <w:rPr>
          <w:rFonts w:asciiTheme="majorHAnsi" w:eastAsiaTheme="majorEastAsia" w:hAnsiTheme="majorHAnsi" w:cstheme="majorBidi"/>
          <w:bCs/>
          <w:color w:val="000000" w:themeColor="text1"/>
          <w:sz w:val="24"/>
          <w:szCs w:val="24"/>
        </w:rPr>
        <w:t>HDIP was raised to $10 million from $5 million.  The first year HDIP granted awards w</w:t>
      </w:r>
      <w:r>
        <w:rPr>
          <w:rFonts w:asciiTheme="majorHAnsi" w:eastAsiaTheme="majorEastAsia" w:hAnsiTheme="majorHAnsi" w:cstheme="majorBidi"/>
          <w:bCs/>
          <w:color w:val="000000" w:themeColor="text1"/>
          <w:sz w:val="24"/>
          <w:szCs w:val="24"/>
        </w:rPr>
        <w:t>ere</w:t>
      </w:r>
      <w:r w:rsidRPr="00F72D61">
        <w:rPr>
          <w:rFonts w:asciiTheme="majorHAnsi" w:eastAsiaTheme="majorEastAsia" w:hAnsiTheme="majorHAnsi" w:cstheme="majorBidi"/>
          <w:bCs/>
          <w:color w:val="000000" w:themeColor="text1"/>
          <w:sz w:val="24"/>
          <w:szCs w:val="24"/>
        </w:rPr>
        <w:t xml:space="preserve"> in 2014 for $1,167,825.  In 2015</w:t>
      </w:r>
      <w:r>
        <w:rPr>
          <w:rFonts w:asciiTheme="majorHAnsi" w:eastAsiaTheme="majorEastAsia" w:hAnsiTheme="majorHAnsi" w:cstheme="majorBidi"/>
          <w:bCs/>
          <w:color w:val="000000" w:themeColor="text1"/>
          <w:sz w:val="24"/>
          <w:szCs w:val="24"/>
        </w:rPr>
        <w:t>,</w:t>
      </w:r>
      <w:r w:rsidRPr="00F72D61">
        <w:rPr>
          <w:rFonts w:asciiTheme="majorHAnsi" w:eastAsiaTheme="majorEastAsia" w:hAnsiTheme="majorHAnsi" w:cstheme="majorBidi"/>
          <w:bCs/>
          <w:color w:val="000000" w:themeColor="text1"/>
          <w:sz w:val="24"/>
          <w:szCs w:val="24"/>
        </w:rPr>
        <w:t xml:space="preserve"> HDIP made $0 in awards.</w:t>
      </w:r>
      <w:r>
        <w:rPr>
          <w:rFonts w:asciiTheme="majorHAnsi" w:eastAsiaTheme="majorEastAsia" w:hAnsiTheme="majorHAnsi" w:cstheme="majorBidi"/>
          <w:bCs/>
          <w:color w:val="000000" w:themeColor="text1"/>
          <w:sz w:val="24"/>
          <w:szCs w:val="24"/>
        </w:rPr>
        <w:t xml:space="preserve">  </w:t>
      </w:r>
      <w:r w:rsidRPr="00F72D61">
        <w:rPr>
          <w:rFonts w:asciiTheme="majorHAnsi" w:eastAsiaTheme="majorEastAsia" w:hAnsiTheme="majorHAnsi" w:cstheme="majorBidi"/>
          <w:bCs/>
          <w:color w:val="000000" w:themeColor="text1"/>
          <w:sz w:val="24"/>
          <w:szCs w:val="24"/>
        </w:rPr>
        <w:t>In 2016</w:t>
      </w:r>
      <w:r>
        <w:rPr>
          <w:rFonts w:asciiTheme="majorHAnsi" w:eastAsiaTheme="majorEastAsia" w:hAnsiTheme="majorHAnsi" w:cstheme="majorBidi"/>
          <w:bCs/>
          <w:color w:val="000000" w:themeColor="text1"/>
          <w:sz w:val="24"/>
          <w:szCs w:val="24"/>
        </w:rPr>
        <w:t>,</w:t>
      </w:r>
      <w:r w:rsidRPr="00F72D61">
        <w:rPr>
          <w:rFonts w:asciiTheme="majorHAnsi" w:eastAsiaTheme="majorEastAsia" w:hAnsiTheme="majorHAnsi" w:cstheme="majorBidi"/>
          <w:bCs/>
          <w:color w:val="000000" w:themeColor="text1"/>
          <w:sz w:val="24"/>
          <w:szCs w:val="24"/>
        </w:rPr>
        <w:t xml:space="preserve"> the </w:t>
      </w:r>
      <w:r>
        <w:rPr>
          <w:rFonts w:asciiTheme="majorHAnsi" w:eastAsiaTheme="majorEastAsia" w:hAnsiTheme="majorHAnsi" w:cstheme="majorBidi"/>
          <w:bCs/>
          <w:color w:val="000000" w:themeColor="text1"/>
          <w:sz w:val="24"/>
          <w:szCs w:val="24"/>
        </w:rPr>
        <w:t xml:space="preserve">two programs </w:t>
      </w:r>
      <w:r w:rsidRPr="00F72D61">
        <w:rPr>
          <w:rFonts w:asciiTheme="majorHAnsi" w:eastAsiaTheme="majorEastAsia" w:hAnsiTheme="majorHAnsi" w:cstheme="majorBidi"/>
          <w:bCs/>
          <w:color w:val="000000" w:themeColor="text1"/>
          <w:sz w:val="24"/>
          <w:szCs w:val="24"/>
        </w:rPr>
        <w:t>became separated. HDIP funding was clearly $10 million annually</w:t>
      </w:r>
      <w:r>
        <w:rPr>
          <w:rFonts w:asciiTheme="majorHAnsi" w:eastAsiaTheme="majorEastAsia" w:hAnsiTheme="majorHAnsi" w:cstheme="majorBidi"/>
          <w:bCs/>
          <w:color w:val="000000" w:themeColor="text1"/>
          <w:sz w:val="24"/>
          <w:szCs w:val="24"/>
        </w:rPr>
        <w:t xml:space="preserve">. </w:t>
      </w:r>
      <w:r w:rsidRPr="00F72D61">
        <w:rPr>
          <w:rFonts w:asciiTheme="majorHAnsi" w:eastAsiaTheme="majorEastAsia" w:hAnsiTheme="majorHAnsi" w:cstheme="majorBidi"/>
          <w:bCs/>
          <w:color w:val="000000" w:themeColor="text1"/>
          <w:sz w:val="24"/>
          <w:szCs w:val="24"/>
        </w:rPr>
        <w:t>Subsequently</w:t>
      </w:r>
      <w:r>
        <w:rPr>
          <w:rFonts w:asciiTheme="majorHAnsi" w:eastAsiaTheme="majorEastAsia" w:hAnsiTheme="majorHAnsi" w:cstheme="majorBidi"/>
          <w:bCs/>
          <w:color w:val="000000" w:themeColor="text1"/>
          <w:sz w:val="24"/>
          <w:szCs w:val="24"/>
        </w:rPr>
        <w:t>,</w:t>
      </w:r>
      <w:r w:rsidRPr="00F72D61">
        <w:rPr>
          <w:rFonts w:asciiTheme="majorHAnsi" w:eastAsiaTheme="majorEastAsia" w:hAnsiTheme="majorHAnsi" w:cstheme="majorBidi"/>
          <w:bCs/>
          <w:color w:val="000000" w:themeColor="text1"/>
          <w:sz w:val="24"/>
          <w:szCs w:val="24"/>
        </w:rPr>
        <w:t xml:space="preserve"> the statute was revisited and </w:t>
      </w:r>
      <w:r>
        <w:rPr>
          <w:rFonts w:asciiTheme="majorHAnsi" w:eastAsiaTheme="majorEastAsia" w:hAnsiTheme="majorHAnsi" w:cstheme="majorBidi"/>
          <w:bCs/>
          <w:color w:val="000000" w:themeColor="text1"/>
          <w:sz w:val="24"/>
          <w:szCs w:val="24"/>
        </w:rPr>
        <w:t xml:space="preserve">the annual cap for </w:t>
      </w:r>
      <w:r w:rsidRPr="00F72D61">
        <w:rPr>
          <w:rFonts w:asciiTheme="majorHAnsi" w:eastAsiaTheme="majorEastAsia" w:hAnsiTheme="majorHAnsi" w:cstheme="majorBidi"/>
          <w:bCs/>
          <w:color w:val="000000" w:themeColor="text1"/>
          <w:sz w:val="24"/>
          <w:szCs w:val="24"/>
        </w:rPr>
        <w:t xml:space="preserve">EDIP </w:t>
      </w:r>
      <w:r>
        <w:rPr>
          <w:rFonts w:asciiTheme="majorHAnsi" w:eastAsiaTheme="majorEastAsia" w:hAnsiTheme="majorHAnsi" w:cstheme="majorBidi"/>
          <w:bCs/>
          <w:color w:val="000000" w:themeColor="text1"/>
          <w:sz w:val="24"/>
          <w:szCs w:val="24"/>
        </w:rPr>
        <w:t xml:space="preserve">increased </w:t>
      </w:r>
      <w:r w:rsidRPr="00F72D61">
        <w:rPr>
          <w:rFonts w:asciiTheme="majorHAnsi" w:eastAsiaTheme="majorEastAsia" w:hAnsiTheme="majorHAnsi" w:cstheme="majorBidi"/>
          <w:bCs/>
          <w:color w:val="000000" w:themeColor="text1"/>
          <w:sz w:val="24"/>
          <w:szCs w:val="24"/>
        </w:rPr>
        <w:t>to $30 million</w:t>
      </w:r>
      <w:r>
        <w:rPr>
          <w:rFonts w:asciiTheme="majorHAnsi" w:eastAsiaTheme="majorEastAsia" w:hAnsiTheme="majorHAnsi" w:cstheme="majorBidi"/>
          <w:bCs/>
          <w:color w:val="000000" w:themeColor="text1"/>
          <w:sz w:val="24"/>
          <w:szCs w:val="24"/>
        </w:rPr>
        <w:t xml:space="preserve">. However, </w:t>
      </w:r>
      <w:r w:rsidR="00F31371">
        <w:rPr>
          <w:rFonts w:asciiTheme="majorHAnsi" w:eastAsiaTheme="majorEastAsia" w:hAnsiTheme="majorHAnsi" w:cstheme="majorBidi"/>
          <w:bCs/>
          <w:color w:val="000000" w:themeColor="text1"/>
          <w:sz w:val="24"/>
          <w:szCs w:val="24"/>
        </w:rPr>
        <w:t>the Administration &amp; Finance (</w:t>
      </w:r>
      <w:r>
        <w:rPr>
          <w:rFonts w:asciiTheme="majorHAnsi" w:eastAsiaTheme="majorEastAsia" w:hAnsiTheme="majorHAnsi" w:cstheme="majorBidi"/>
          <w:bCs/>
          <w:color w:val="000000" w:themeColor="text1"/>
          <w:sz w:val="24"/>
          <w:szCs w:val="24"/>
        </w:rPr>
        <w:t>A&amp;F</w:t>
      </w:r>
      <w:r w:rsidR="00F31371">
        <w:rPr>
          <w:rFonts w:asciiTheme="majorHAnsi" w:eastAsiaTheme="majorEastAsia" w:hAnsiTheme="majorHAnsi" w:cstheme="majorBidi"/>
          <w:bCs/>
          <w:color w:val="000000" w:themeColor="text1"/>
          <w:sz w:val="24"/>
          <w:szCs w:val="24"/>
        </w:rPr>
        <w:t>)</w:t>
      </w:r>
      <w:r>
        <w:rPr>
          <w:rFonts w:asciiTheme="majorHAnsi" w:eastAsiaTheme="majorEastAsia" w:hAnsiTheme="majorHAnsi" w:cstheme="majorBidi"/>
          <w:bCs/>
          <w:color w:val="000000" w:themeColor="text1"/>
          <w:sz w:val="24"/>
          <w:szCs w:val="24"/>
        </w:rPr>
        <w:t xml:space="preserve"> dictated that EACC </w:t>
      </w:r>
      <w:r w:rsidRPr="00F72D61">
        <w:rPr>
          <w:rFonts w:asciiTheme="majorHAnsi" w:eastAsiaTheme="majorEastAsia" w:hAnsiTheme="majorHAnsi" w:cstheme="majorBidi"/>
          <w:bCs/>
          <w:color w:val="000000" w:themeColor="text1"/>
          <w:sz w:val="24"/>
          <w:szCs w:val="24"/>
        </w:rPr>
        <w:t xml:space="preserve">could </w:t>
      </w:r>
      <w:r>
        <w:rPr>
          <w:rFonts w:asciiTheme="majorHAnsi" w:eastAsiaTheme="majorEastAsia" w:hAnsiTheme="majorHAnsi" w:cstheme="majorBidi"/>
          <w:bCs/>
          <w:color w:val="000000" w:themeColor="text1"/>
          <w:sz w:val="24"/>
          <w:szCs w:val="24"/>
        </w:rPr>
        <w:t xml:space="preserve">award only </w:t>
      </w:r>
      <w:r w:rsidRPr="00F72D61">
        <w:rPr>
          <w:rFonts w:asciiTheme="majorHAnsi" w:eastAsiaTheme="majorEastAsia" w:hAnsiTheme="majorHAnsi" w:cstheme="majorBidi"/>
          <w:bCs/>
          <w:color w:val="000000" w:themeColor="text1"/>
          <w:sz w:val="24"/>
          <w:szCs w:val="24"/>
        </w:rPr>
        <w:t>$20 million annually</w:t>
      </w:r>
      <w:r>
        <w:rPr>
          <w:rFonts w:asciiTheme="majorHAnsi" w:eastAsiaTheme="majorEastAsia" w:hAnsiTheme="majorHAnsi" w:cstheme="majorBidi"/>
          <w:bCs/>
          <w:color w:val="000000" w:themeColor="text1"/>
          <w:sz w:val="24"/>
          <w:szCs w:val="24"/>
        </w:rPr>
        <w:t xml:space="preserve"> regardless of the statutory cap of $30 million</w:t>
      </w:r>
      <w:r w:rsidRPr="00F72D61">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 xml:space="preserve">EACC </w:t>
      </w:r>
      <w:r w:rsidRPr="00F72D61">
        <w:rPr>
          <w:rFonts w:asciiTheme="majorHAnsi" w:eastAsiaTheme="majorEastAsia" w:hAnsiTheme="majorHAnsi" w:cstheme="majorBidi"/>
          <w:bCs/>
          <w:color w:val="000000" w:themeColor="text1"/>
          <w:sz w:val="24"/>
          <w:szCs w:val="24"/>
        </w:rPr>
        <w:t>continue</w:t>
      </w:r>
      <w:r>
        <w:rPr>
          <w:rFonts w:asciiTheme="majorHAnsi" w:eastAsiaTheme="majorEastAsia" w:hAnsiTheme="majorHAnsi" w:cstheme="majorBidi"/>
          <w:bCs/>
          <w:color w:val="000000" w:themeColor="text1"/>
          <w:sz w:val="24"/>
          <w:szCs w:val="24"/>
        </w:rPr>
        <w:t>s</w:t>
      </w:r>
      <w:r w:rsidRPr="00F72D61">
        <w:rPr>
          <w:rFonts w:asciiTheme="majorHAnsi" w:eastAsiaTheme="majorEastAsia" w:hAnsiTheme="majorHAnsi" w:cstheme="majorBidi"/>
          <w:bCs/>
          <w:color w:val="000000" w:themeColor="text1"/>
          <w:sz w:val="24"/>
          <w:szCs w:val="24"/>
        </w:rPr>
        <w:t xml:space="preserve"> to </w:t>
      </w:r>
      <w:r>
        <w:rPr>
          <w:rFonts w:asciiTheme="majorHAnsi" w:eastAsiaTheme="majorEastAsia" w:hAnsiTheme="majorHAnsi" w:cstheme="majorBidi"/>
          <w:bCs/>
          <w:color w:val="000000" w:themeColor="text1"/>
          <w:sz w:val="24"/>
          <w:szCs w:val="24"/>
        </w:rPr>
        <w:t xml:space="preserve">award </w:t>
      </w:r>
      <w:r w:rsidRPr="00F72D61">
        <w:rPr>
          <w:rFonts w:asciiTheme="majorHAnsi" w:eastAsiaTheme="majorEastAsia" w:hAnsiTheme="majorHAnsi" w:cstheme="majorBidi"/>
          <w:bCs/>
          <w:color w:val="000000" w:themeColor="text1"/>
          <w:sz w:val="24"/>
          <w:szCs w:val="24"/>
        </w:rPr>
        <w:t xml:space="preserve">only $20 million </w:t>
      </w:r>
      <w:r>
        <w:rPr>
          <w:rFonts w:asciiTheme="majorHAnsi" w:eastAsiaTheme="majorEastAsia" w:hAnsiTheme="majorHAnsi" w:cstheme="majorBidi"/>
          <w:bCs/>
          <w:color w:val="000000" w:themeColor="text1"/>
          <w:sz w:val="24"/>
          <w:szCs w:val="24"/>
        </w:rPr>
        <w:t xml:space="preserve">of </w:t>
      </w:r>
      <w:r w:rsidRPr="00F72D61">
        <w:rPr>
          <w:rFonts w:asciiTheme="majorHAnsi" w:eastAsiaTheme="majorEastAsia" w:hAnsiTheme="majorHAnsi" w:cstheme="majorBidi"/>
          <w:bCs/>
          <w:color w:val="000000" w:themeColor="text1"/>
          <w:sz w:val="24"/>
          <w:szCs w:val="24"/>
        </w:rPr>
        <w:t>EDIP</w:t>
      </w:r>
      <w:r>
        <w:rPr>
          <w:rFonts w:asciiTheme="majorHAnsi" w:eastAsiaTheme="majorEastAsia" w:hAnsiTheme="majorHAnsi" w:cstheme="majorBidi"/>
          <w:bCs/>
          <w:color w:val="000000" w:themeColor="text1"/>
          <w:sz w:val="24"/>
          <w:szCs w:val="24"/>
        </w:rPr>
        <w:t xml:space="preserve">C </w:t>
      </w:r>
      <w:r w:rsidRPr="00F72D61">
        <w:rPr>
          <w:rFonts w:asciiTheme="majorHAnsi" w:eastAsiaTheme="majorEastAsia" w:hAnsiTheme="majorHAnsi" w:cstheme="majorBidi"/>
          <w:bCs/>
          <w:color w:val="000000" w:themeColor="text1"/>
          <w:sz w:val="24"/>
          <w:szCs w:val="24"/>
        </w:rPr>
        <w:t>to this day.</w:t>
      </w:r>
    </w:p>
    <w:p w14:paraId="65665EF0" w14:textId="77777777" w:rsidR="009E0C28" w:rsidRDefault="009E0C28" w:rsidP="009E0C28">
      <w:pPr>
        <w:spacing w:after="0"/>
        <w:rPr>
          <w:rFonts w:asciiTheme="majorHAnsi" w:eastAsiaTheme="majorEastAsia" w:hAnsiTheme="majorHAnsi" w:cstheme="majorBidi"/>
          <w:bCs/>
          <w:color w:val="000000" w:themeColor="text1"/>
          <w:sz w:val="24"/>
          <w:szCs w:val="24"/>
        </w:rPr>
      </w:pPr>
    </w:p>
    <w:p w14:paraId="2355100E" w14:textId="77777777" w:rsidR="009E0C28" w:rsidRDefault="009E0C28" w:rsidP="009E0C28">
      <w:pPr>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 xml:space="preserve">A reform of the EDIP credit occurred in 2017 for the purposes of more accountability, increased flexibility, and wiser investment of public funds. We will not discuss every detail of the reform in this report but will highlight key points of the EDIP reform before and after the 2017 reform in Table </w:t>
      </w:r>
      <w:r w:rsidR="00894F36">
        <w:rPr>
          <w:rFonts w:asciiTheme="majorHAnsi" w:eastAsiaTheme="majorEastAsia" w:hAnsiTheme="majorHAnsi" w:cstheme="majorBidi"/>
          <w:bCs/>
          <w:color w:val="000000" w:themeColor="text1"/>
          <w:sz w:val="24"/>
          <w:szCs w:val="24"/>
        </w:rPr>
        <w:t>A1-2</w:t>
      </w:r>
      <w:r>
        <w:rPr>
          <w:rFonts w:asciiTheme="majorHAnsi" w:eastAsiaTheme="majorEastAsia" w:hAnsiTheme="majorHAnsi" w:cstheme="majorBidi"/>
          <w:bCs/>
          <w:color w:val="000000" w:themeColor="text1"/>
          <w:sz w:val="24"/>
          <w:szCs w:val="24"/>
        </w:rPr>
        <w:t xml:space="preserve"> below.  We expect the credit to be used closely to the cap going forward. </w:t>
      </w:r>
    </w:p>
    <w:p w14:paraId="1155AE06" w14:textId="77777777" w:rsidR="009E0C28" w:rsidRDefault="009E0C28" w:rsidP="009E0C28">
      <w:pPr>
        <w:spacing w:after="0"/>
        <w:rPr>
          <w:rFonts w:asciiTheme="majorHAnsi" w:eastAsiaTheme="majorEastAsia" w:hAnsiTheme="majorHAnsi" w:cstheme="majorBidi"/>
          <w:bCs/>
          <w:color w:val="000000" w:themeColor="text1"/>
          <w:sz w:val="24"/>
          <w:szCs w:val="24"/>
        </w:rPr>
      </w:pPr>
    </w:p>
    <w:p w14:paraId="1F01D3DB" w14:textId="77777777" w:rsidR="009E0C28" w:rsidRPr="002F3E67" w:rsidRDefault="009E0C28" w:rsidP="009E0C28">
      <w:pPr>
        <w:spacing w:after="0"/>
        <w:jc w:val="center"/>
        <w:rPr>
          <w:rFonts w:asciiTheme="majorHAnsi" w:hAnsiTheme="majorHAnsi"/>
          <w:b/>
          <w:sz w:val="24"/>
          <w:szCs w:val="24"/>
        </w:rPr>
      </w:pPr>
      <w:r w:rsidRPr="00CA0391">
        <w:rPr>
          <w:rFonts w:asciiTheme="majorHAnsi" w:hAnsiTheme="majorHAnsi"/>
          <w:b/>
          <w:sz w:val="24"/>
          <w:szCs w:val="24"/>
        </w:rPr>
        <w:t xml:space="preserve">Table </w:t>
      </w:r>
      <w:r w:rsidR="00894F36">
        <w:rPr>
          <w:rFonts w:asciiTheme="majorHAnsi" w:hAnsiTheme="majorHAnsi"/>
          <w:b/>
          <w:sz w:val="24"/>
          <w:szCs w:val="24"/>
        </w:rPr>
        <w:t>A1-2</w:t>
      </w:r>
      <w:r w:rsidRPr="00CA0391">
        <w:rPr>
          <w:rFonts w:asciiTheme="majorHAnsi" w:hAnsiTheme="majorHAnsi"/>
          <w:b/>
          <w:sz w:val="24"/>
          <w:szCs w:val="24"/>
        </w:rPr>
        <w:t xml:space="preserve">. </w:t>
      </w:r>
      <w:r>
        <w:rPr>
          <w:rFonts w:asciiTheme="majorHAnsi" w:hAnsiTheme="majorHAnsi"/>
          <w:b/>
          <w:sz w:val="24"/>
          <w:szCs w:val="24"/>
        </w:rPr>
        <w:t>EDIP before the 2017 reform and after the 2017 reform</w:t>
      </w:r>
    </w:p>
    <w:tbl>
      <w:tblPr>
        <w:tblW w:w="8960" w:type="dxa"/>
        <w:tblLook w:val="04A0" w:firstRow="1" w:lastRow="0" w:firstColumn="1" w:lastColumn="0" w:noHBand="0" w:noVBand="1"/>
      </w:tblPr>
      <w:tblGrid>
        <w:gridCol w:w="4340"/>
        <w:gridCol w:w="4620"/>
      </w:tblGrid>
      <w:tr w:rsidR="009E0C28" w:rsidRPr="00E367E3" w14:paraId="1B9B153D" w14:textId="77777777" w:rsidTr="00894F36">
        <w:trPr>
          <w:trHeight w:val="530"/>
        </w:trPr>
        <w:tc>
          <w:tcPr>
            <w:tcW w:w="434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14:paraId="24292A76" w14:textId="77777777" w:rsidR="009E0C28" w:rsidRPr="00FA779E" w:rsidRDefault="009E0C28" w:rsidP="00894F36">
            <w:pPr>
              <w:spacing w:after="0" w:line="240" w:lineRule="auto"/>
              <w:jc w:val="center"/>
              <w:rPr>
                <w:rFonts w:asciiTheme="majorHAnsi" w:eastAsia="Times New Roman" w:hAnsiTheme="majorHAnsi" w:cs="Helvetica"/>
                <w:b/>
                <w:bCs/>
                <w:sz w:val="20"/>
                <w:szCs w:val="20"/>
                <w:lang w:eastAsia="ko-KR"/>
              </w:rPr>
            </w:pPr>
            <w:r w:rsidRPr="00FA779E">
              <w:rPr>
                <w:rFonts w:asciiTheme="majorHAnsi" w:eastAsia="Times New Roman" w:hAnsiTheme="majorHAnsi" w:cs="Helvetica"/>
                <w:b/>
                <w:bCs/>
                <w:sz w:val="20"/>
                <w:szCs w:val="20"/>
                <w:lang w:eastAsia="ko-KR"/>
              </w:rPr>
              <w:t>Before the reform</w:t>
            </w:r>
          </w:p>
        </w:tc>
        <w:tc>
          <w:tcPr>
            <w:tcW w:w="4620" w:type="dxa"/>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14:paraId="5A4EC9A8" w14:textId="77777777" w:rsidR="009E0C28" w:rsidRPr="00FA779E" w:rsidRDefault="009E0C28" w:rsidP="00894F36">
            <w:pPr>
              <w:spacing w:after="0" w:line="240" w:lineRule="auto"/>
              <w:jc w:val="center"/>
              <w:rPr>
                <w:rFonts w:asciiTheme="majorHAnsi" w:eastAsia="Times New Roman" w:hAnsiTheme="majorHAnsi" w:cs="Helvetica"/>
                <w:b/>
                <w:bCs/>
                <w:sz w:val="20"/>
                <w:szCs w:val="20"/>
                <w:lang w:eastAsia="ko-KR"/>
              </w:rPr>
            </w:pPr>
            <w:r w:rsidRPr="00FA779E">
              <w:rPr>
                <w:rFonts w:asciiTheme="majorHAnsi" w:eastAsia="Times New Roman" w:hAnsiTheme="majorHAnsi" w:cs="Helvetica"/>
                <w:b/>
                <w:bCs/>
                <w:sz w:val="20"/>
                <w:szCs w:val="20"/>
                <w:lang w:eastAsia="ko-KR"/>
              </w:rPr>
              <w:t>After the reform</w:t>
            </w:r>
          </w:p>
        </w:tc>
      </w:tr>
      <w:tr w:rsidR="009E0C28" w:rsidRPr="00E367E3" w14:paraId="5A8AD84D" w14:textId="77777777" w:rsidTr="00894F36">
        <w:trPr>
          <w:trHeight w:val="750"/>
        </w:trPr>
        <w:tc>
          <w:tcPr>
            <w:tcW w:w="4340" w:type="dxa"/>
            <w:tcBorders>
              <w:top w:val="nil"/>
              <w:left w:val="single" w:sz="4" w:space="0" w:color="auto"/>
              <w:bottom w:val="single" w:sz="4" w:space="0" w:color="auto"/>
              <w:right w:val="single" w:sz="4" w:space="0" w:color="auto"/>
            </w:tcBorders>
            <w:shd w:val="clear" w:color="auto" w:fill="auto"/>
            <w:vAlign w:val="center"/>
            <w:hideMark/>
          </w:tcPr>
          <w:p w14:paraId="278A8B85" w14:textId="77777777" w:rsidR="009E0C28" w:rsidRPr="00E367E3" w:rsidRDefault="009E0C28" w:rsidP="00894F36">
            <w:pPr>
              <w:spacing w:after="0" w:line="240" w:lineRule="auto"/>
              <w:jc w:val="center"/>
              <w:rPr>
                <w:rFonts w:ascii="Cambria" w:eastAsia="Times New Roman" w:hAnsi="Cambria" w:cs="Helvetica"/>
                <w:sz w:val="20"/>
                <w:szCs w:val="20"/>
                <w:lang w:eastAsia="ko-KR"/>
              </w:rPr>
            </w:pPr>
            <w:r w:rsidRPr="00E367E3">
              <w:rPr>
                <w:rFonts w:ascii="Cambria" w:eastAsia="Times New Roman" w:hAnsi="Cambria" w:cs="Helvetica"/>
                <w:sz w:val="20"/>
                <w:szCs w:val="20"/>
                <w:lang w:eastAsia="ko-KR"/>
              </w:rPr>
              <w:t>Certified projects had to meet the criteria for one of four kinds of projects: EP, EEP, MRP and JCP.</w:t>
            </w:r>
          </w:p>
        </w:tc>
        <w:tc>
          <w:tcPr>
            <w:tcW w:w="4620" w:type="dxa"/>
            <w:tcBorders>
              <w:top w:val="nil"/>
              <w:left w:val="nil"/>
              <w:bottom w:val="single" w:sz="4" w:space="0" w:color="auto"/>
              <w:right w:val="single" w:sz="4" w:space="0" w:color="auto"/>
            </w:tcBorders>
            <w:shd w:val="clear" w:color="auto" w:fill="auto"/>
            <w:vAlign w:val="center"/>
            <w:hideMark/>
          </w:tcPr>
          <w:p w14:paraId="0917364D" w14:textId="77777777" w:rsidR="009E0C28" w:rsidRPr="00E367E3" w:rsidRDefault="009E0C28" w:rsidP="00894F36">
            <w:pPr>
              <w:spacing w:after="0" w:line="240" w:lineRule="auto"/>
              <w:jc w:val="center"/>
              <w:rPr>
                <w:rFonts w:ascii="Cambria" w:eastAsia="Times New Roman" w:hAnsi="Cambria" w:cs="Helvetica"/>
                <w:sz w:val="20"/>
                <w:szCs w:val="20"/>
                <w:lang w:eastAsia="ko-KR"/>
              </w:rPr>
            </w:pPr>
            <w:r w:rsidRPr="00E367E3">
              <w:rPr>
                <w:rFonts w:ascii="Cambria" w:eastAsia="Times New Roman" w:hAnsi="Cambria" w:cs="Helvetica"/>
                <w:sz w:val="20"/>
                <w:szCs w:val="20"/>
                <w:lang w:eastAsia="ko-KR"/>
              </w:rPr>
              <w:t xml:space="preserve">One category: certified project. </w:t>
            </w:r>
          </w:p>
        </w:tc>
      </w:tr>
      <w:tr w:rsidR="009E0C28" w:rsidRPr="00E367E3" w14:paraId="4F993454" w14:textId="77777777" w:rsidTr="00894F36">
        <w:trPr>
          <w:trHeight w:val="750"/>
        </w:trPr>
        <w:tc>
          <w:tcPr>
            <w:tcW w:w="4340" w:type="dxa"/>
            <w:tcBorders>
              <w:top w:val="nil"/>
              <w:left w:val="single" w:sz="4" w:space="0" w:color="auto"/>
              <w:bottom w:val="single" w:sz="4" w:space="0" w:color="auto"/>
              <w:right w:val="single" w:sz="4" w:space="0" w:color="auto"/>
            </w:tcBorders>
            <w:shd w:val="clear" w:color="auto" w:fill="auto"/>
            <w:vAlign w:val="center"/>
            <w:hideMark/>
          </w:tcPr>
          <w:p w14:paraId="1B98E1E2" w14:textId="77777777" w:rsidR="009E0C28" w:rsidRPr="00E367E3" w:rsidRDefault="009E0C28" w:rsidP="00894F36">
            <w:pPr>
              <w:spacing w:after="0" w:line="240" w:lineRule="auto"/>
              <w:jc w:val="center"/>
              <w:rPr>
                <w:rFonts w:ascii="Cambria" w:eastAsia="Times New Roman" w:hAnsi="Cambria" w:cs="Helvetica"/>
                <w:sz w:val="20"/>
                <w:szCs w:val="20"/>
                <w:lang w:eastAsia="ko-KR"/>
              </w:rPr>
            </w:pPr>
            <w:r w:rsidRPr="00E367E3">
              <w:rPr>
                <w:rFonts w:ascii="Cambria" w:eastAsia="Times New Roman" w:hAnsi="Cambria" w:cs="Helvetica"/>
                <w:sz w:val="20"/>
                <w:szCs w:val="20"/>
                <w:lang w:eastAsia="ko-KR"/>
              </w:rPr>
              <w:t>For most project categories, the amount of credit was limited by the company’s capital expenditures.</w:t>
            </w:r>
          </w:p>
        </w:tc>
        <w:tc>
          <w:tcPr>
            <w:tcW w:w="4620" w:type="dxa"/>
            <w:tcBorders>
              <w:top w:val="nil"/>
              <w:left w:val="nil"/>
              <w:bottom w:val="single" w:sz="4" w:space="0" w:color="auto"/>
              <w:right w:val="single" w:sz="4" w:space="0" w:color="auto"/>
            </w:tcBorders>
            <w:shd w:val="clear" w:color="auto" w:fill="auto"/>
            <w:vAlign w:val="center"/>
            <w:hideMark/>
          </w:tcPr>
          <w:p w14:paraId="531E61C2" w14:textId="77777777" w:rsidR="009E0C28" w:rsidRPr="00E367E3" w:rsidRDefault="009E0C28" w:rsidP="00894F36">
            <w:pPr>
              <w:spacing w:after="0" w:line="240" w:lineRule="auto"/>
              <w:jc w:val="center"/>
              <w:rPr>
                <w:rFonts w:ascii="Cambria" w:eastAsia="Times New Roman" w:hAnsi="Cambria" w:cs="Helvetica"/>
                <w:sz w:val="20"/>
                <w:szCs w:val="20"/>
                <w:lang w:eastAsia="ko-KR"/>
              </w:rPr>
            </w:pPr>
            <w:r w:rsidRPr="00E367E3">
              <w:rPr>
                <w:rFonts w:ascii="Cambria" w:eastAsia="Times New Roman" w:hAnsi="Cambria" w:cs="Helvetica"/>
                <w:sz w:val="20"/>
                <w:szCs w:val="20"/>
                <w:lang w:eastAsia="ko-KR"/>
              </w:rPr>
              <w:t xml:space="preserve">Amount of credit is determined by the EACC based on job creation and other relevant considerations. </w:t>
            </w:r>
          </w:p>
        </w:tc>
      </w:tr>
      <w:tr w:rsidR="009E0C28" w:rsidRPr="00E367E3" w14:paraId="4B075FFD" w14:textId="77777777" w:rsidTr="00894F36">
        <w:trPr>
          <w:trHeight w:val="750"/>
        </w:trPr>
        <w:tc>
          <w:tcPr>
            <w:tcW w:w="4340" w:type="dxa"/>
            <w:tcBorders>
              <w:top w:val="nil"/>
              <w:left w:val="single" w:sz="4" w:space="0" w:color="auto"/>
              <w:bottom w:val="single" w:sz="4" w:space="0" w:color="auto"/>
              <w:right w:val="single" w:sz="4" w:space="0" w:color="auto"/>
            </w:tcBorders>
            <w:shd w:val="clear" w:color="auto" w:fill="auto"/>
            <w:vAlign w:val="center"/>
            <w:hideMark/>
          </w:tcPr>
          <w:p w14:paraId="43796716" w14:textId="77777777" w:rsidR="009E0C28" w:rsidRPr="00E367E3" w:rsidRDefault="009E0C28" w:rsidP="00894F36">
            <w:pPr>
              <w:spacing w:after="0" w:line="240" w:lineRule="auto"/>
              <w:jc w:val="center"/>
              <w:rPr>
                <w:rFonts w:ascii="Cambria" w:eastAsia="Times New Roman" w:hAnsi="Cambria" w:cs="Helvetica"/>
                <w:sz w:val="20"/>
                <w:szCs w:val="20"/>
                <w:lang w:eastAsia="ko-KR"/>
              </w:rPr>
            </w:pPr>
            <w:r w:rsidRPr="00E367E3">
              <w:rPr>
                <w:rFonts w:ascii="Cambria" w:eastAsia="Times New Roman" w:hAnsi="Cambria" w:cs="Helvetica"/>
                <w:sz w:val="20"/>
                <w:szCs w:val="20"/>
                <w:lang w:eastAsia="ko-KR"/>
              </w:rPr>
              <w:t xml:space="preserve">Local incentives were required for some projects. </w:t>
            </w:r>
          </w:p>
        </w:tc>
        <w:tc>
          <w:tcPr>
            <w:tcW w:w="4620" w:type="dxa"/>
            <w:tcBorders>
              <w:top w:val="nil"/>
              <w:left w:val="nil"/>
              <w:bottom w:val="single" w:sz="4" w:space="0" w:color="auto"/>
              <w:right w:val="single" w:sz="4" w:space="0" w:color="auto"/>
            </w:tcBorders>
            <w:shd w:val="clear" w:color="auto" w:fill="auto"/>
            <w:vAlign w:val="center"/>
            <w:hideMark/>
          </w:tcPr>
          <w:p w14:paraId="23749867" w14:textId="77777777" w:rsidR="009E0C28" w:rsidRPr="00E367E3" w:rsidRDefault="009E0C28" w:rsidP="00894F36">
            <w:pPr>
              <w:spacing w:after="0" w:line="240" w:lineRule="auto"/>
              <w:jc w:val="center"/>
              <w:rPr>
                <w:rFonts w:ascii="Cambria" w:eastAsia="Times New Roman" w:hAnsi="Cambria" w:cs="Helvetica"/>
                <w:sz w:val="20"/>
                <w:szCs w:val="20"/>
                <w:lang w:eastAsia="ko-KR"/>
              </w:rPr>
            </w:pPr>
            <w:r w:rsidRPr="00E367E3">
              <w:rPr>
                <w:rFonts w:ascii="Cambria" w:eastAsia="Times New Roman" w:hAnsi="Cambria" w:cs="Helvetica"/>
                <w:sz w:val="20"/>
                <w:szCs w:val="20"/>
                <w:lang w:eastAsia="ko-KR"/>
              </w:rPr>
              <w:t xml:space="preserve"> A local incentive is optional for all projects; and there is more flexibility for the amount of a local incentive. </w:t>
            </w:r>
          </w:p>
        </w:tc>
      </w:tr>
      <w:tr w:rsidR="009E0C28" w:rsidRPr="00E367E3" w14:paraId="135937F0" w14:textId="77777777" w:rsidTr="00894F36">
        <w:trPr>
          <w:trHeight w:val="1000"/>
        </w:trPr>
        <w:tc>
          <w:tcPr>
            <w:tcW w:w="4340" w:type="dxa"/>
            <w:tcBorders>
              <w:top w:val="nil"/>
              <w:left w:val="single" w:sz="4" w:space="0" w:color="auto"/>
              <w:bottom w:val="single" w:sz="4" w:space="0" w:color="auto"/>
              <w:right w:val="single" w:sz="4" w:space="0" w:color="auto"/>
            </w:tcBorders>
            <w:shd w:val="clear" w:color="auto" w:fill="auto"/>
            <w:vAlign w:val="center"/>
            <w:hideMark/>
          </w:tcPr>
          <w:p w14:paraId="74FA4C11" w14:textId="77777777" w:rsidR="009E0C28" w:rsidRPr="00E367E3" w:rsidRDefault="009E0C28" w:rsidP="00894F36">
            <w:pPr>
              <w:spacing w:after="0" w:line="240" w:lineRule="auto"/>
              <w:jc w:val="center"/>
              <w:rPr>
                <w:rFonts w:ascii="Cambria" w:eastAsia="Times New Roman" w:hAnsi="Cambria" w:cs="Helvetica"/>
                <w:sz w:val="20"/>
                <w:szCs w:val="20"/>
                <w:lang w:eastAsia="ko-KR"/>
              </w:rPr>
            </w:pPr>
            <w:r w:rsidRPr="00E367E3">
              <w:rPr>
                <w:rFonts w:ascii="Cambria" w:eastAsia="Times New Roman" w:hAnsi="Cambria" w:cs="Helvetica"/>
                <w:sz w:val="20"/>
                <w:szCs w:val="20"/>
                <w:lang w:eastAsia="ko-KR"/>
              </w:rPr>
              <w:t>Project certification could be revoked if there was a “material variance” from projections; revocation was required where a company created less than half of the new jobs promised</w:t>
            </w:r>
          </w:p>
        </w:tc>
        <w:tc>
          <w:tcPr>
            <w:tcW w:w="4620" w:type="dxa"/>
            <w:tcBorders>
              <w:top w:val="nil"/>
              <w:left w:val="nil"/>
              <w:bottom w:val="single" w:sz="4" w:space="0" w:color="auto"/>
              <w:right w:val="single" w:sz="4" w:space="0" w:color="auto"/>
            </w:tcBorders>
            <w:shd w:val="clear" w:color="auto" w:fill="auto"/>
            <w:vAlign w:val="center"/>
            <w:hideMark/>
          </w:tcPr>
          <w:p w14:paraId="41451C3D" w14:textId="77777777" w:rsidR="009E0C28" w:rsidRPr="00E367E3" w:rsidRDefault="009E0C28" w:rsidP="00894F36">
            <w:pPr>
              <w:spacing w:after="0" w:line="240" w:lineRule="auto"/>
              <w:jc w:val="center"/>
              <w:rPr>
                <w:rFonts w:ascii="Cambria" w:eastAsia="Times New Roman" w:hAnsi="Cambria" w:cs="Helvetica"/>
                <w:sz w:val="20"/>
                <w:szCs w:val="20"/>
                <w:lang w:eastAsia="ko-KR"/>
              </w:rPr>
            </w:pPr>
            <w:r w:rsidRPr="00E367E3">
              <w:rPr>
                <w:rFonts w:ascii="Cambria" w:eastAsia="Times New Roman" w:hAnsi="Cambria" w:cs="Helvetica"/>
                <w:sz w:val="20"/>
                <w:szCs w:val="20"/>
                <w:lang w:eastAsia="ko-KR"/>
              </w:rPr>
              <w:t xml:space="preserve">EACC has more discretion to decertify a nonperforming project; and upon decertification, the loss of tax credits may be proportional to actual job creation. </w:t>
            </w:r>
          </w:p>
        </w:tc>
      </w:tr>
      <w:tr w:rsidR="009E0C28" w:rsidRPr="00E367E3" w14:paraId="632D5350" w14:textId="77777777" w:rsidTr="00894F36">
        <w:trPr>
          <w:trHeight w:val="500"/>
        </w:trPr>
        <w:tc>
          <w:tcPr>
            <w:tcW w:w="4340" w:type="dxa"/>
            <w:tcBorders>
              <w:top w:val="nil"/>
              <w:left w:val="single" w:sz="4" w:space="0" w:color="auto"/>
              <w:bottom w:val="single" w:sz="4" w:space="0" w:color="auto"/>
              <w:right w:val="single" w:sz="4" w:space="0" w:color="auto"/>
            </w:tcBorders>
            <w:shd w:val="clear" w:color="auto" w:fill="auto"/>
            <w:vAlign w:val="center"/>
            <w:hideMark/>
          </w:tcPr>
          <w:p w14:paraId="60C3BB9E" w14:textId="77777777" w:rsidR="009E0C28" w:rsidRPr="00E367E3" w:rsidRDefault="009E0C28" w:rsidP="00894F36">
            <w:pPr>
              <w:spacing w:after="0" w:line="240" w:lineRule="auto"/>
              <w:jc w:val="center"/>
              <w:rPr>
                <w:rFonts w:ascii="Cambria" w:eastAsia="Times New Roman" w:hAnsi="Cambria" w:cs="Helvetica"/>
                <w:sz w:val="20"/>
                <w:szCs w:val="20"/>
                <w:lang w:eastAsia="ko-KR"/>
              </w:rPr>
            </w:pPr>
            <w:r w:rsidRPr="00E367E3">
              <w:rPr>
                <w:rFonts w:ascii="Cambria" w:eastAsia="Times New Roman" w:hAnsi="Cambria" w:cs="Helvetica"/>
                <w:sz w:val="20"/>
                <w:szCs w:val="20"/>
                <w:lang w:eastAsia="ko-KR"/>
              </w:rPr>
              <w:t>Difficult for DOR to recapture tax credits that were claimed but not earned</w:t>
            </w:r>
          </w:p>
        </w:tc>
        <w:tc>
          <w:tcPr>
            <w:tcW w:w="4620" w:type="dxa"/>
            <w:tcBorders>
              <w:top w:val="nil"/>
              <w:left w:val="nil"/>
              <w:bottom w:val="single" w:sz="4" w:space="0" w:color="auto"/>
              <w:right w:val="single" w:sz="4" w:space="0" w:color="auto"/>
            </w:tcBorders>
            <w:shd w:val="clear" w:color="auto" w:fill="auto"/>
            <w:vAlign w:val="center"/>
            <w:hideMark/>
          </w:tcPr>
          <w:p w14:paraId="50017689" w14:textId="77777777" w:rsidR="009E0C28" w:rsidRPr="00E367E3" w:rsidRDefault="009E0C28" w:rsidP="00894F36">
            <w:pPr>
              <w:spacing w:after="0" w:line="240" w:lineRule="auto"/>
              <w:jc w:val="center"/>
              <w:rPr>
                <w:rFonts w:ascii="Cambria" w:eastAsia="Times New Roman" w:hAnsi="Cambria" w:cs="Helvetica"/>
                <w:sz w:val="20"/>
                <w:szCs w:val="20"/>
                <w:lang w:eastAsia="ko-KR"/>
              </w:rPr>
            </w:pPr>
            <w:r w:rsidRPr="00E367E3">
              <w:rPr>
                <w:rFonts w:ascii="Cambria" w:eastAsia="Times New Roman" w:hAnsi="Cambria" w:cs="Helvetica"/>
                <w:sz w:val="20"/>
                <w:szCs w:val="20"/>
                <w:lang w:eastAsia="ko-KR"/>
              </w:rPr>
              <w:t xml:space="preserve">DOR has better tools to recoup credits the company claimed but did not earn. </w:t>
            </w:r>
          </w:p>
        </w:tc>
      </w:tr>
    </w:tbl>
    <w:p w14:paraId="5CE21354" w14:textId="77777777" w:rsidR="009E0C28" w:rsidRDefault="009E0C28" w:rsidP="009E0C28">
      <w:pPr>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 xml:space="preserve">Source: </w:t>
      </w:r>
      <w:r w:rsidRPr="00995D40">
        <w:rPr>
          <w:rFonts w:asciiTheme="majorHAnsi" w:eastAsiaTheme="majorEastAsia" w:hAnsiTheme="majorHAnsi" w:cstheme="majorBidi"/>
          <w:bCs/>
          <w:color w:val="000000" w:themeColor="text1"/>
          <w:sz w:val="24"/>
          <w:szCs w:val="24"/>
        </w:rPr>
        <w:t>Massachusetts Office of Business Development</w:t>
      </w:r>
      <w:r>
        <w:rPr>
          <w:rFonts w:asciiTheme="majorHAnsi" w:eastAsiaTheme="majorEastAsia" w:hAnsiTheme="majorHAnsi" w:cstheme="majorBidi"/>
          <w:bCs/>
          <w:color w:val="000000" w:themeColor="text1"/>
          <w:sz w:val="24"/>
          <w:szCs w:val="24"/>
        </w:rPr>
        <w:t xml:space="preserve"> </w:t>
      </w:r>
      <w:r w:rsidRPr="00995D40">
        <w:rPr>
          <w:rFonts w:asciiTheme="majorHAnsi" w:eastAsiaTheme="majorEastAsia" w:hAnsiTheme="majorHAnsi" w:cstheme="majorBidi"/>
          <w:bCs/>
          <w:color w:val="000000" w:themeColor="text1"/>
          <w:sz w:val="24"/>
          <w:szCs w:val="24"/>
        </w:rPr>
        <w:t>(MOBD)</w:t>
      </w:r>
    </w:p>
    <w:p w14:paraId="680C739A" w14:textId="77777777" w:rsidR="009E0C28" w:rsidRDefault="009E0C28">
      <w:pPr>
        <w:rPr>
          <w:rFonts w:asciiTheme="majorHAnsi" w:hAnsiTheme="majorHAnsi"/>
          <w:b/>
          <w:sz w:val="32"/>
          <w:szCs w:val="32"/>
        </w:rPr>
      </w:pPr>
      <w:r>
        <w:rPr>
          <w:rFonts w:asciiTheme="majorHAnsi" w:hAnsiTheme="majorHAnsi"/>
          <w:b/>
          <w:sz w:val="32"/>
          <w:szCs w:val="32"/>
        </w:rPr>
        <w:br w:type="page"/>
      </w:r>
    </w:p>
    <w:p w14:paraId="40BBBEFA" w14:textId="77777777" w:rsidR="00464D5E" w:rsidRPr="008C67C1" w:rsidRDefault="00464D5E" w:rsidP="00464D5E">
      <w:pPr>
        <w:jc w:val="center"/>
        <w:rPr>
          <w:rFonts w:asciiTheme="majorHAnsi" w:hAnsiTheme="majorHAnsi"/>
          <w:b/>
          <w:sz w:val="32"/>
          <w:szCs w:val="32"/>
        </w:rPr>
      </w:pPr>
      <w:r w:rsidRPr="008C67C1">
        <w:rPr>
          <w:rFonts w:asciiTheme="majorHAnsi" w:hAnsiTheme="majorHAnsi"/>
          <w:b/>
          <w:sz w:val="32"/>
          <w:szCs w:val="32"/>
        </w:rPr>
        <w:lastRenderedPageBreak/>
        <w:t>Appendix</w:t>
      </w:r>
      <w:r w:rsidR="00894F36">
        <w:rPr>
          <w:rFonts w:asciiTheme="majorHAnsi" w:hAnsiTheme="majorHAnsi"/>
          <w:b/>
          <w:sz w:val="32"/>
          <w:szCs w:val="32"/>
        </w:rPr>
        <w:t xml:space="preserve"> II</w:t>
      </w:r>
      <w:r w:rsidRPr="008C67C1">
        <w:rPr>
          <w:rFonts w:asciiTheme="majorHAnsi" w:hAnsiTheme="majorHAnsi"/>
          <w:b/>
          <w:sz w:val="32"/>
          <w:szCs w:val="32"/>
        </w:rPr>
        <w:t xml:space="preserve">: </w:t>
      </w:r>
      <w:r>
        <w:rPr>
          <w:rFonts w:asciiTheme="majorHAnsi" w:hAnsiTheme="majorHAnsi"/>
          <w:b/>
          <w:sz w:val="32"/>
          <w:szCs w:val="32"/>
        </w:rPr>
        <w:t>Further</w:t>
      </w:r>
      <w:r w:rsidRPr="008C67C1">
        <w:rPr>
          <w:rFonts w:asciiTheme="majorHAnsi" w:hAnsiTheme="majorHAnsi"/>
          <w:b/>
          <w:sz w:val="32"/>
          <w:szCs w:val="32"/>
        </w:rPr>
        <w:t xml:space="preserve"> Discussion on Costs and Benefits</w:t>
      </w:r>
    </w:p>
    <w:p w14:paraId="7D9A431A" w14:textId="77777777" w:rsidR="00464D5E" w:rsidRDefault="00464D5E" w:rsidP="00464D5E">
      <w:pPr>
        <w:rPr>
          <w:rFonts w:asciiTheme="majorHAnsi" w:hAnsiTheme="majorHAnsi"/>
          <w:bCs/>
          <w:sz w:val="24"/>
          <w:szCs w:val="24"/>
        </w:rPr>
      </w:pPr>
      <w:r>
        <w:rPr>
          <w:rFonts w:asciiTheme="majorHAnsi" w:hAnsiTheme="majorHAnsi"/>
          <w:bCs/>
          <w:sz w:val="24"/>
          <w:szCs w:val="24"/>
        </w:rPr>
        <w:t>The text of the report discusses the direct costs (to the Commonwealth, or more specifically, to the Massachusetts residents or businesses who benefit from state expenditures</w:t>
      </w:r>
      <w:r>
        <w:rPr>
          <w:rStyle w:val="FootnoteReference"/>
          <w:rFonts w:asciiTheme="majorHAnsi" w:hAnsiTheme="majorHAnsi"/>
          <w:bCs/>
          <w:sz w:val="24"/>
          <w:szCs w:val="24"/>
        </w:rPr>
        <w:footnoteReference w:id="9"/>
      </w:r>
      <w:r>
        <w:rPr>
          <w:rFonts w:asciiTheme="majorHAnsi" w:hAnsiTheme="majorHAnsi"/>
          <w:bCs/>
          <w:sz w:val="24"/>
          <w:szCs w:val="24"/>
        </w:rPr>
        <w:t>) and direct benefits (to taxpayers who claim the benefits) of this tax expenditure. It also summarizes indirect and induced costs and benefits associated with this tax expenditure.  This appendix will discuss the indirect and induced, as well as other costs and benefits in more detail.</w:t>
      </w:r>
    </w:p>
    <w:p w14:paraId="220D24D3" w14:textId="77777777" w:rsidR="00464D5E" w:rsidRDefault="00464D5E" w:rsidP="00464D5E">
      <w:pPr>
        <w:rPr>
          <w:rFonts w:asciiTheme="majorHAnsi" w:hAnsiTheme="majorHAnsi"/>
          <w:b/>
          <w:sz w:val="24"/>
          <w:szCs w:val="24"/>
        </w:rPr>
      </w:pPr>
      <w:r w:rsidRPr="00782E31">
        <w:rPr>
          <w:rFonts w:asciiTheme="majorHAnsi" w:hAnsiTheme="majorHAnsi"/>
          <w:b/>
          <w:sz w:val="24"/>
          <w:szCs w:val="24"/>
        </w:rPr>
        <w:t>Other costs</w:t>
      </w:r>
      <w:r>
        <w:rPr>
          <w:rFonts w:asciiTheme="majorHAnsi" w:hAnsiTheme="majorHAnsi"/>
          <w:b/>
          <w:sz w:val="24"/>
          <w:szCs w:val="24"/>
        </w:rPr>
        <w:t xml:space="preserve"> and benefits</w:t>
      </w:r>
      <w:r w:rsidRPr="00A046B8">
        <w:rPr>
          <w:rFonts w:asciiTheme="majorHAnsi" w:hAnsiTheme="majorHAnsi"/>
          <w:b/>
          <w:sz w:val="24"/>
          <w:szCs w:val="24"/>
        </w:rPr>
        <w:t>:  Indirect and Induced</w:t>
      </w:r>
    </w:p>
    <w:p w14:paraId="6D4A672D" w14:textId="77777777" w:rsidR="00464D5E" w:rsidRPr="00EB68D5" w:rsidRDefault="00464D5E" w:rsidP="00464D5E">
      <w:pPr>
        <w:spacing w:after="0"/>
        <w:rPr>
          <w:rFonts w:asciiTheme="majorHAnsi" w:eastAsiaTheme="majorEastAsia" w:hAnsiTheme="majorHAnsi" w:cstheme="majorBidi"/>
          <w:bCs/>
          <w:i/>
          <w:iCs/>
          <w:color w:val="000000" w:themeColor="text1"/>
          <w:sz w:val="24"/>
          <w:szCs w:val="24"/>
        </w:rPr>
      </w:pPr>
      <w:r w:rsidRPr="00EB68D5">
        <w:rPr>
          <w:rFonts w:asciiTheme="majorHAnsi" w:eastAsiaTheme="majorEastAsia" w:hAnsiTheme="majorHAnsi" w:cstheme="majorBidi"/>
          <w:bCs/>
          <w:i/>
          <w:iCs/>
          <w:color w:val="000000" w:themeColor="text1"/>
          <w:sz w:val="24"/>
          <w:szCs w:val="24"/>
        </w:rPr>
        <w:t>Indirect and Induced Costs</w:t>
      </w:r>
    </w:p>
    <w:p w14:paraId="5A650FD9" w14:textId="77777777" w:rsidR="00464D5E" w:rsidRDefault="00464D5E" w:rsidP="00464D5E">
      <w:pPr>
        <w:spacing w:after="0"/>
        <w:rPr>
          <w:rFonts w:asciiTheme="majorHAnsi" w:eastAsiaTheme="majorEastAsia" w:hAnsiTheme="majorHAnsi" w:cstheme="majorBidi"/>
          <w:bCs/>
          <w:color w:val="000000" w:themeColor="text1"/>
          <w:sz w:val="24"/>
          <w:szCs w:val="24"/>
        </w:rPr>
      </w:pPr>
      <w:r w:rsidRPr="00DF1213">
        <w:rPr>
          <w:rFonts w:asciiTheme="majorHAnsi" w:eastAsiaTheme="majorEastAsia" w:hAnsiTheme="majorHAnsi" w:cstheme="majorBidi"/>
          <w:bCs/>
          <w:color w:val="000000" w:themeColor="text1"/>
          <w:sz w:val="24"/>
          <w:szCs w:val="24"/>
        </w:rPr>
        <w:t xml:space="preserve">Regardless of its size, </w:t>
      </w:r>
      <w:r>
        <w:rPr>
          <w:rFonts w:asciiTheme="majorHAnsi" w:eastAsiaTheme="majorEastAsia" w:hAnsiTheme="majorHAnsi" w:cstheme="majorBidi"/>
          <w:bCs/>
          <w:color w:val="000000" w:themeColor="text1"/>
          <w:sz w:val="24"/>
          <w:szCs w:val="24"/>
        </w:rPr>
        <w:t xml:space="preserve">the existence of </w:t>
      </w:r>
      <w:r w:rsidRPr="00DF1213">
        <w:rPr>
          <w:rFonts w:asciiTheme="majorHAnsi" w:eastAsiaTheme="majorEastAsia" w:hAnsiTheme="majorHAnsi" w:cstheme="majorBidi"/>
          <w:bCs/>
          <w:color w:val="000000" w:themeColor="text1"/>
          <w:sz w:val="24"/>
          <w:szCs w:val="24"/>
        </w:rPr>
        <w:t xml:space="preserve">a specific tax incentive means less </w:t>
      </w:r>
      <w:r>
        <w:rPr>
          <w:rFonts w:asciiTheme="majorHAnsi" w:eastAsiaTheme="majorEastAsia" w:hAnsiTheme="majorHAnsi" w:cstheme="majorBidi"/>
          <w:bCs/>
          <w:color w:val="000000" w:themeColor="text1"/>
          <w:sz w:val="24"/>
          <w:szCs w:val="24"/>
        </w:rPr>
        <w:t xml:space="preserve">revenue for other </w:t>
      </w:r>
      <w:r w:rsidRPr="00DF1213">
        <w:rPr>
          <w:rFonts w:asciiTheme="majorHAnsi" w:eastAsiaTheme="majorEastAsia" w:hAnsiTheme="majorHAnsi" w:cstheme="majorBidi"/>
          <w:bCs/>
          <w:color w:val="000000" w:themeColor="text1"/>
          <w:sz w:val="24"/>
          <w:szCs w:val="24"/>
        </w:rPr>
        <w:t xml:space="preserve">spending </w:t>
      </w:r>
      <w:r>
        <w:rPr>
          <w:rFonts w:asciiTheme="majorHAnsi" w:eastAsiaTheme="majorEastAsia" w:hAnsiTheme="majorHAnsi" w:cstheme="majorBidi"/>
          <w:bCs/>
          <w:color w:val="000000" w:themeColor="text1"/>
          <w:sz w:val="24"/>
          <w:szCs w:val="24"/>
        </w:rPr>
        <w:t>given</w:t>
      </w:r>
      <w:r w:rsidRPr="00DF1213">
        <w:rPr>
          <w:rFonts w:asciiTheme="majorHAnsi" w:eastAsiaTheme="majorEastAsia" w:hAnsiTheme="majorHAnsi" w:cstheme="majorBidi"/>
          <w:bCs/>
          <w:color w:val="000000" w:themeColor="text1"/>
          <w:sz w:val="24"/>
          <w:szCs w:val="24"/>
        </w:rPr>
        <w:t xml:space="preserve"> the Commonwealth</w:t>
      </w:r>
      <w:r>
        <w:rPr>
          <w:rFonts w:asciiTheme="majorHAnsi" w:eastAsiaTheme="majorEastAsia" w:hAnsiTheme="majorHAnsi" w:cstheme="majorBidi"/>
          <w:bCs/>
          <w:color w:val="000000" w:themeColor="text1"/>
          <w:sz w:val="24"/>
          <w:szCs w:val="24"/>
        </w:rPr>
        <w:t>’s</w:t>
      </w:r>
      <w:r w:rsidRPr="009A02FB">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balanced budget requirement, assuming that there is no increase in state revenues. R</w:t>
      </w:r>
      <w:r w:rsidRPr="00DF1213">
        <w:rPr>
          <w:rFonts w:asciiTheme="majorHAnsi" w:eastAsiaTheme="majorEastAsia" w:hAnsiTheme="majorHAnsi" w:cstheme="majorBidi"/>
          <w:bCs/>
          <w:color w:val="000000" w:themeColor="text1"/>
          <w:sz w:val="24"/>
          <w:szCs w:val="24"/>
        </w:rPr>
        <w:t xml:space="preserve">educed spending on </w:t>
      </w:r>
      <w:r>
        <w:rPr>
          <w:rFonts w:asciiTheme="majorHAnsi" w:eastAsiaTheme="majorEastAsia" w:hAnsiTheme="majorHAnsi" w:cstheme="majorBidi"/>
          <w:bCs/>
          <w:color w:val="000000" w:themeColor="text1"/>
          <w:sz w:val="24"/>
          <w:szCs w:val="24"/>
        </w:rPr>
        <w:t>other</w:t>
      </w:r>
      <w:r w:rsidRPr="00DF1213">
        <w:rPr>
          <w:rFonts w:asciiTheme="majorHAnsi" w:eastAsiaTheme="majorEastAsia" w:hAnsiTheme="majorHAnsi" w:cstheme="majorBidi"/>
          <w:bCs/>
          <w:color w:val="000000" w:themeColor="text1"/>
          <w:sz w:val="24"/>
          <w:szCs w:val="24"/>
        </w:rPr>
        <w:t xml:space="preserve"> expenditure </w:t>
      </w:r>
      <w:r>
        <w:rPr>
          <w:rFonts w:asciiTheme="majorHAnsi" w:eastAsiaTheme="majorEastAsia" w:hAnsiTheme="majorHAnsi" w:cstheme="majorBidi"/>
          <w:bCs/>
          <w:color w:val="000000" w:themeColor="text1"/>
          <w:sz w:val="24"/>
          <w:szCs w:val="24"/>
        </w:rPr>
        <w:t>items</w:t>
      </w:r>
      <w:r w:rsidRPr="00DF1213">
        <w:rPr>
          <w:rFonts w:asciiTheme="majorHAnsi" w:eastAsiaTheme="majorEastAsia" w:hAnsiTheme="majorHAnsi" w:cstheme="majorBidi"/>
          <w:bCs/>
          <w:color w:val="000000" w:themeColor="text1"/>
          <w:sz w:val="24"/>
          <w:szCs w:val="24"/>
        </w:rPr>
        <w:t xml:space="preserve"> means forgone benefits from </w:t>
      </w:r>
      <w:r>
        <w:rPr>
          <w:rFonts w:asciiTheme="majorHAnsi" w:eastAsiaTheme="majorEastAsia" w:hAnsiTheme="majorHAnsi" w:cstheme="majorBidi"/>
          <w:bCs/>
          <w:color w:val="000000" w:themeColor="text1"/>
          <w:sz w:val="24"/>
          <w:szCs w:val="24"/>
        </w:rPr>
        <w:t>those</w:t>
      </w:r>
      <w:r w:rsidRPr="00DF1213">
        <w:rPr>
          <w:rFonts w:asciiTheme="majorHAnsi" w:eastAsiaTheme="majorEastAsia" w:hAnsiTheme="majorHAnsi" w:cstheme="majorBidi"/>
          <w:bCs/>
          <w:color w:val="000000" w:themeColor="text1"/>
          <w:sz w:val="24"/>
          <w:szCs w:val="24"/>
        </w:rPr>
        <w:t xml:space="preserve"> items. This is an </w:t>
      </w:r>
      <w:r w:rsidRPr="00AF6539">
        <w:rPr>
          <w:rFonts w:asciiTheme="majorHAnsi" w:eastAsiaTheme="majorEastAsia" w:hAnsiTheme="majorHAnsi" w:cstheme="majorBidi"/>
          <w:b/>
          <w:color w:val="000000" w:themeColor="text1"/>
          <w:sz w:val="24"/>
          <w:szCs w:val="24"/>
        </w:rPr>
        <w:t>“</w:t>
      </w:r>
      <w:r w:rsidRPr="002E73F2">
        <w:rPr>
          <w:rFonts w:asciiTheme="majorHAnsi" w:eastAsiaTheme="majorEastAsia" w:hAnsiTheme="majorHAnsi" w:cstheme="majorBidi"/>
          <w:b/>
          <w:color w:val="000000" w:themeColor="text1"/>
          <w:sz w:val="24"/>
          <w:szCs w:val="24"/>
        </w:rPr>
        <w:t>opportunity cost</w:t>
      </w:r>
      <w:r>
        <w:rPr>
          <w:rFonts w:asciiTheme="majorHAnsi" w:eastAsiaTheme="majorEastAsia" w:hAnsiTheme="majorHAnsi" w:cstheme="majorBidi"/>
          <w:b/>
          <w:color w:val="000000" w:themeColor="text1"/>
          <w:sz w:val="24"/>
          <w:szCs w:val="24"/>
        </w:rPr>
        <w:t>”</w:t>
      </w:r>
      <w:r w:rsidRPr="00DF1213">
        <w:rPr>
          <w:rFonts w:asciiTheme="majorHAnsi" w:eastAsiaTheme="majorEastAsia" w:hAnsiTheme="majorHAnsi" w:cstheme="majorBidi"/>
          <w:bCs/>
          <w:color w:val="000000" w:themeColor="text1"/>
          <w:sz w:val="24"/>
          <w:szCs w:val="24"/>
        </w:rPr>
        <w:t xml:space="preserve"> to the Commonwealth. </w:t>
      </w:r>
      <w:r>
        <w:rPr>
          <w:rFonts w:asciiTheme="majorHAnsi" w:eastAsiaTheme="majorEastAsia" w:hAnsiTheme="majorHAnsi" w:cstheme="majorBidi"/>
          <w:bCs/>
          <w:color w:val="000000" w:themeColor="text1"/>
          <w:sz w:val="24"/>
          <w:szCs w:val="24"/>
        </w:rPr>
        <w:t>The opportunity cost to the state includes not only the impact on the businesses and their employees that directly benefit from those expenditure items (this is called “direct impact”), but also the indirect impact on the chain of businesses that provide intermediate products and services to the directly impacted businesses (this is called “indirect impact”).  In addition, there is the cost to the chain of businesses that benefit when the employees working for the directly impacted businesses spend their wages and salaries to buy goods and services (this is called “induced impact”). The total forgone benefits to the whole economy are larger than the initial forgone benefits. This phenomenon is called the “Multiplier Effect”.</w:t>
      </w:r>
      <w:r>
        <w:rPr>
          <w:rStyle w:val="FootnoteReference"/>
          <w:rFonts w:asciiTheme="majorHAnsi" w:eastAsiaTheme="majorEastAsia" w:hAnsiTheme="majorHAnsi"/>
          <w:bCs/>
          <w:color w:val="000000" w:themeColor="text1"/>
          <w:sz w:val="24"/>
          <w:szCs w:val="24"/>
        </w:rPr>
        <w:footnoteReference w:id="10"/>
      </w:r>
      <w:r>
        <w:rPr>
          <w:rFonts w:asciiTheme="majorHAnsi" w:eastAsiaTheme="majorEastAsia" w:hAnsiTheme="majorHAnsi" w:cstheme="majorBidi"/>
          <w:bCs/>
          <w:color w:val="000000" w:themeColor="text1"/>
          <w:sz w:val="24"/>
          <w:szCs w:val="24"/>
        </w:rPr>
        <w:t xml:space="preserve"> </w:t>
      </w:r>
    </w:p>
    <w:p w14:paraId="721DE440" w14:textId="77777777" w:rsidR="00464D5E" w:rsidRDefault="00464D5E" w:rsidP="00464D5E">
      <w:pPr>
        <w:spacing w:after="0"/>
        <w:rPr>
          <w:rFonts w:asciiTheme="majorHAnsi" w:eastAsiaTheme="majorEastAsia" w:hAnsiTheme="majorHAnsi" w:cstheme="majorBidi"/>
          <w:bCs/>
          <w:color w:val="000000" w:themeColor="text1"/>
          <w:sz w:val="24"/>
          <w:szCs w:val="24"/>
        </w:rPr>
      </w:pPr>
    </w:p>
    <w:p w14:paraId="7FCA6514" w14:textId="77777777" w:rsidR="00464D5E" w:rsidRDefault="00464D5E" w:rsidP="00464D5E">
      <w:pPr>
        <w:spacing w:after="0"/>
        <w:rPr>
          <w:rFonts w:asciiTheme="majorHAnsi" w:eastAsiaTheme="majorEastAsia" w:hAnsiTheme="majorHAnsi" w:cstheme="majorBidi"/>
          <w:bCs/>
          <w:color w:val="000000" w:themeColor="text1"/>
          <w:sz w:val="24"/>
          <w:szCs w:val="24"/>
        </w:rPr>
      </w:pPr>
      <w:r w:rsidRPr="00DF1213">
        <w:rPr>
          <w:rFonts w:asciiTheme="majorHAnsi" w:eastAsiaTheme="majorEastAsia" w:hAnsiTheme="majorHAnsi" w:cstheme="majorBidi"/>
          <w:bCs/>
          <w:color w:val="000000" w:themeColor="text1"/>
          <w:sz w:val="24"/>
          <w:szCs w:val="24"/>
        </w:rPr>
        <w:t xml:space="preserve">To estimate the </w:t>
      </w:r>
      <w:r>
        <w:rPr>
          <w:rFonts w:asciiTheme="majorHAnsi" w:eastAsiaTheme="majorEastAsia" w:hAnsiTheme="majorHAnsi" w:cstheme="majorBidi"/>
          <w:bCs/>
          <w:color w:val="000000" w:themeColor="text1"/>
          <w:sz w:val="24"/>
          <w:szCs w:val="24"/>
        </w:rPr>
        <w:t xml:space="preserve">total </w:t>
      </w:r>
      <w:r w:rsidRPr="00DF1213">
        <w:rPr>
          <w:rFonts w:asciiTheme="majorHAnsi" w:eastAsiaTheme="majorEastAsia" w:hAnsiTheme="majorHAnsi" w:cstheme="majorBidi"/>
          <w:bCs/>
          <w:color w:val="000000" w:themeColor="text1"/>
          <w:sz w:val="24"/>
          <w:szCs w:val="24"/>
        </w:rPr>
        <w:t xml:space="preserve">forgone </w:t>
      </w:r>
      <w:r>
        <w:rPr>
          <w:rFonts w:asciiTheme="majorHAnsi" w:eastAsiaTheme="majorEastAsia" w:hAnsiTheme="majorHAnsi" w:cstheme="majorBidi"/>
          <w:bCs/>
          <w:color w:val="000000" w:themeColor="text1"/>
          <w:sz w:val="24"/>
          <w:szCs w:val="24"/>
        </w:rPr>
        <w:t>benefits</w:t>
      </w:r>
      <w:r w:rsidRPr="00DF1213">
        <w:rPr>
          <w:rFonts w:asciiTheme="majorHAnsi" w:eastAsiaTheme="majorEastAsia" w:hAnsiTheme="majorHAnsi" w:cstheme="majorBidi"/>
          <w:bCs/>
          <w:color w:val="000000" w:themeColor="text1"/>
          <w:sz w:val="24"/>
          <w:szCs w:val="24"/>
        </w:rPr>
        <w:t xml:space="preserve"> of the reduced spending, we employed Tax-PI</w:t>
      </w:r>
      <w:r>
        <w:rPr>
          <w:rFonts w:asciiTheme="majorHAnsi" w:eastAsiaTheme="majorEastAsia" w:hAnsiTheme="majorHAnsi" w:cstheme="majorBidi"/>
          <w:bCs/>
          <w:color w:val="000000" w:themeColor="text1"/>
          <w:sz w:val="24"/>
          <w:szCs w:val="24"/>
        </w:rPr>
        <w:t xml:space="preserve">, an economic analysis </w:t>
      </w:r>
      <w:r w:rsidRPr="00DF1213">
        <w:rPr>
          <w:rFonts w:asciiTheme="majorHAnsi" w:eastAsiaTheme="majorEastAsia" w:hAnsiTheme="majorHAnsi" w:cstheme="majorBidi"/>
          <w:bCs/>
          <w:color w:val="000000" w:themeColor="text1"/>
          <w:sz w:val="24"/>
          <w:szCs w:val="24"/>
        </w:rPr>
        <w:t xml:space="preserve">tool for evaluating the total fiscal and economic effects of tax policy changes. Tax-PI is built on over 30 years of experience in modeling the economic effects of tax policy changes, according to MODELS: TAX-PI in the reference. The popularity of the model has grown substantially since it was introduced.  Note that while the tax incentive </w:t>
      </w:r>
      <w:r>
        <w:rPr>
          <w:rFonts w:asciiTheme="majorHAnsi" w:eastAsiaTheme="majorEastAsia" w:hAnsiTheme="majorHAnsi" w:cstheme="majorBidi"/>
          <w:bCs/>
          <w:color w:val="000000" w:themeColor="text1"/>
          <w:sz w:val="24"/>
          <w:szCs w:val="24"/>
        </w:rPr>
        <w:t>has a</w:t>
      </w:r>
      <w:r w:rsidRPr="00DF1213">
        <w:rPr>
          <w:rFonts w:asciiTheme="majorHAnsi" w:eastAsiaTheme="majorEastAsia" w:hAnsiTheme="majorHAnsi" w:cstheme="majorBidi"/>
          <w:bCs/>
          <w:color w:val="000000" w:themeColor="text1"/>
          <w:sz w:val="24"/>
          <w:szCs w:val="24"/>
        </w:rPr>
        <w:t xml:space="preserve"> specific</w:t>
      </w:r>
      <w:r>
        <w:rPr>
          <w:rFonts w:asciiTheme="majorHAnsi" w:eastAsiaTheme="majorEastAsia" w:hAnsiTheme="majorHAnsi" w:cstheme="majorBidi"/>
          <w:bCs/>
          <w:color w:val="000000" w:themeColor="text1"/>
          <w:sz w:val="24"/>
          <w:szCs w:val="24"/>
        </w:rPr>
        <w:t xml:space="preserve"> purpose</w:t>
      </w:r>
      <w:r w:rsidRPr="00DF1213">
        <w:rPr>
          <w:rFonts w:asciiTheme="majorHAnsi" w:eastAsiaTheme="majorEastAsia" w:hAnsiTheme="majorHAnsi" w:cstheme="majorBidi"/>
          <w:bCs/>
          <w:color w:val="000000" w:themeColor="text1"/>
          <w:sz w:val="24"/>
          <w:szCs w:val="24"/>
        </w:rPr>
        <w:t>, the reduced spending is assumed to be</w:t>
      </w:r>
      <w:r>
        <w:rPr>
          <w:rFonts w:asciiTheme="majorHAnsi" w:eastAsiaTheme="majorEastAsia" w:hAnsiTheme="majorHAnsi" w:cstheme="majorBidi"/>
          <w:bCs/>
          <w:color w:val="000000" w:themeColor="text1"/>
          <w:sz w:val="24"/>
          <w:szCs w:val="24"/>
        </w:rPr>
        <w:t xml:space="preserve"> proportionally distributed across</w:t>
      </w:r>
      <w:r w:rsidRPr="00DF1213">
        <w:rPr>
          <w:rFonts w:asciiTheme="majorHAnsi" w:eastAsiaTheme="majorEastAsia" w:hAnsiTheme="majorHAnsi" w:cstheme="majorBidi"/>
          <w:bCs/>
          <w:color w:val="000000" w:themeColor="text1"/>
          <w:sz w:val="24"/>
          <w:szCs w:val="24"/>
        </w:rPr>
        <w:t xml:space="preserve"> the Commonwealth’s </w:t>
      </w:r>
      <w:r>
        <w:rPr>
          <w:rFonts w:asciiTheme="majorHAnsi" w:eastAsiaTheme="majorEastAsia" w:hAnsiTheme="majorHAnsi" w:cstheme="majorBidi"/>
          <w:bCs/>
          <w:color w:val="000000" w:themeColor="text1"/>
          <w:sz w:val="24"/>
          <w:szCs w:val="24"/>
        </w:rPr>
        <w:t xml:space="preserve">current </w:t>
      </w:r>
      <w:r w:rsidRPr="00DF1213">
        <w:rPr>
          <w:rFonts w:asciiTheme="majorHAnsi" w:eastAsiaTheme="majorEastAsia" w:hAnsiTheme="majorHAnsi" w:cstheme="majorBidi"/>
          <w:bCs/>
          <w:color w:val="000000" w:themeColor="text1"/>
          <w:sz w:val="24"/>
          <w:szCs w:val="24"/>
        </w:rPr>
        <w:t>expenditure</w:t>
      </w:r>
      <w:r>
        <w:rPr>
          <w:rFonts w:asciiTheme="majorHAnsi" w:eastAsiaTheme="majorEastAsia" w:hAnsiTheme="majorHAnsi" w:cstheme="majorBidi"/>
          <w:bCs/>
          <w:color w:val="000000" w:themeColor="text1"/>
          <w:sz w:val="24"/>
          <w:szCs w:val="24"/>
        </w:rPr>
        <w:t>s</w:t>
      </w:r>
      <w:r w:rsidRPr="00DF1213">
        <w:rPr>
          <w:rFonts w:asciiTheme="majorHAnsi" w:eastAsiaTheme="majorEastAsia" w:hAnsiTheme="majorHAnsi" w:cstheme="majorBidi"/>
          <w:bCs/>
          <w:color w:val="000000" w:themeColor="text1"/>
          <w:sz w:val="24"/>
          <w:szCs w:val="24"/>
        </w:rPr>
        <w:t>.</w:t>
      </w:r>
    </w:p>
    <w:p w14:paraId="1294BDF5" w14:textId="77777777" w:rsidR="00464D5E" w:rsidRDefault="00464D5E" w:rsidP="00464D5E">
      <w:pPr>
        <w:spacing w:after="0"/>
        <w:rPr>
          <w:rFonts w:asciiTheme="majorHAnsi" w:eastAsiaTheme="majorEastAsia" w:hAnsiTheme="majorHAnsi" w:cstheme="majorBidi"/>
          <w:bCs/>
          <w:color w:val="000000" w:themeColor="text1"/>
          <w:sz w:val="24"/>
          <w:szCs w:val="24"/>
        </w:rPr>
      </w:pPr>
    </w:p>
    <w:p w14:paraId="6F48260F" w14:textId="77777777" w:rsidR="00464D5E" w:rsidRPr="00E0511F" w:rsidRDefault="00464D5E" w:rsidP="00464D5E">
      <w:pPr>
        <w:spacing w:after="0"/>
        <w:rPr>
          <w:rFonts w:asciiTheme="majorHAnsi" w:eastAsiaTheme="majorEastAsia" w:hAnsiTheme="majorHAnsi" w:cstheme="majorBidi"/>
          <w:bCs/>
          <w:i/>
          <w:iCs/>
          <w:color w:val="000000" w:themeColor="text1"/>
          <w:sz w:val="24"/>
          <w:szCs w:val="24"/>
        </w:rPr>
      </w:pPr>
      <w:r w:rsidRPr="00E0511F">
        <w:rPr>
          <w:rFonts w:asciiTheme="majorHAnsi" w:eastAsiaTheme="majorEastAsia" w:hAnsiTheme="majorHAnsi" w:cstheme="majorBidi"/>
          <w:bCs/>
          <w:i/>
          <w:iCs/>
          <w:color w:val="000000" w:themeColor="text1"/>
          <w:sz w:val="24"/>
          <w:szCs w:val="24"/>
        </w:rPr>
        <w:lastRenderedPageBreak/>
        <w:t xml:space="preserve">Quantifying </w:t>
      </w:r>
      <w:r>
        <w:rPr>
          <w:rFonts w:asciiTheme="majorHAnsi" w:eastAsiaTheme="majorEastAsia" w:hAnsiTheme="majorHAnsi" w:cstheme="majorBidi"/>
          <w:bCs/>
          <w:i/>
          <w:iCs/>
          <w:color w:val="000000" w:themeColor="text1"/>
          <w:sz w:val="24"/>
          <w:szCs w:val="24"/>
        </w:rPr>
        <w:t>total</w:t>
      </w:r>
      <w:r w:rsidRPr="00E0511F">
        <w:rPr>
          <w:rFonts w:asciiTheme="majorHAnsi" w:eastAsiaTheme="majorEastAsia" w:hAnsiTheme="majorHAnsi" w:cstheme="majorBidi"/>
          <w:bCs/>
          <w:i/>
          <w:iCs/>
          <w:color w:val="000000" w:themeColor="text1"/>
          <w:sz w:val="24"/>
          <w:szCs w:val="24"/>
        </w:rPr>
        <w:t xml:space="preserve"> costs </w:t>
      </w:r>
      <w:r>
        <w:rPr>
          <w:rFonts w:asciiTheme="majorHAnsi" w:eastAsiaTheme="majorEastAsia" w:hAnsiTheme="majorHAnsi" w:cstheme="majorBidi"/>
          <w:bCs/>
          <w:i/>
          <w:iCs/>
          <w:color w:val="000000" w:themeColor="text1"/>
          <w:sz w:val="24"/>
          <w:szCs w:val="24"/>
        </w:rPr>
        <w:t>(direct, indirect and induced)</w:t>
      </w:r>
    </w:p>
    <w:p w14:paraId="3DE90748" w14:textId="77777777" w:rsidR="00464D5E" w:rsidRDefault="00464D5E" w:rsidP="00464D5E">
      <w:pPr>
        <w:spacing w:after="0"/>
        <w:rPr>
          <w:rFonts w:asciiTheme="majorHAnsi" w:eastAsiaTheme="majorEastAsia" w:hAnsiTheme="majorHAnsi" w:cstheme="majorBidi"/>
          <w:bCs/>
          <w:color w:val="000000" w:themeColor="text1"/>
          <w:sz w:val="24"/>
          <w:szCs w:val="24"/>
        </w:rPr>
      </w:pPr>
      <w:r w:rsidRPr="00537A8B">
        <w:rPr>
          <w:rFonts w:asciiTheme="majorHAnsi" w:eastAsiaTheme="majorEastAsia" w:hAnsiTheme="majorHAnsi" w:cstheme="majorBidi"/>
          <w:bCs/>
          <w:color w:val="000000" w:themeColor="text1"/>
          <w:sz w:val="24"/>
          <w:szCs w:val="24"/>
        </w:rPr>
        <w:t xml:space="preserve">The period of study is limited to </w:t>
      </w:r>
      <w:r>
        <w:rPr>
          <w:rFonts w:asciiTheme="majorHAnsi" w:eastAsiaTheme="majorEastAsia" w:hAnsiTheme="majorHAnsi" w:cstheme="majorBidi"/>
          <w:bCs/>
          <w:color w:val="000000" w:themeColor="text1"/>
          <w:sz w:val="24"/>
          <w:szCs w:val="24"/>
        </w:rPr>
        <w:t xml:space="preserve">the </w:t>
      </w:r>
      <w:r w:rsidRPr="00537A8B">
        <w:rPr>
          <w:rFonts w:asciiTheme="majorHAnsi" w:eastAsiaTheme="majorEastAsia" w:hAnsiTheme="majorHAnsi" w:cstheme="majorBidi"/>
          <w:bCs/>
          <w:color w:val="000000" w:themeColor="text1"/>
          <w:sz w:val="24"/>
          <w:szCs w:val="24"/>
        </w:rPr>
        <w:t xml:space="preserve">five years from 2018 through 2022, for which we prepared input data to run the model. Tables </w:t>
      </w:r>
      <w:r>
        <w:rPr>
          <w:rFonts w:asciiTheme="majorHAnsi" w:eastAsiaTheme="majorEastAsia" w:hAnsiTheme="majorHAnsi" w:cstheme="majorBidi"/>
          <w:bCs/>
          <w:color w:val="000000" w:themeColor="text1"/>
          <w:sz w:val="24"/>
          <w:szCs w:val="24"/>
        </w:rPr>
        <w:t>A</w:t>
      </w:r>
      <w:r w:rsidR="000F2E6D">
        <w:rPr>
          <w:rFonts w:asciiTheme="majorHAnsi" w:eastAsiaTheme="majorEastAsia" w:hAnsiTheme="majorHAnsi" w:cstheme="majorBidi"/>
          <w:bCs/>
          <w:color w:val="000000" w:themeColor="text1"/>
          <w:sz w:val="24"/>
          <w:szCs w:val="24"/>
        </w:rPr>
        <w:t>2-</w:t>
      </w:r>
      <w:r>
        <w:rPr>
          <w:rFonts w:asciiTheme="majorHAnsi" w:eastAsiaTheme="majorEastAsia" w:hAnsiTheme="majorHAnsi" w:cstheme="majorBidi"/>
          <w:bCs/>
          <w:color w:val="000000" w:themeColor="text1"/>
          <w:sz w:val="24"/>
          <w:szCs w:val="24"/>
        </w:rPr>
        <w:t>1</w:t>
      </w:r>
      <w:r w:rsidRPr="00537A8B">
        <w:rPr>
          <w:rFonts w:asciiTheme="majorHAnsi" w:eastAsiaTheme="majorEastAsia" w:hAnsiTheme="majorHAnsi" w:cstheme="majorBidi"/>
          <w:bCs/>
          <w:color w:val="000000" w:themeColor="text1"/>
          <w:sz w:val="24"/>
          <w:szCs w:val="24"/>
        </w:rPr>
        <w:t xml:space="preserve"> and </w:t>
      </w:r>
      <w:r>
        <w:rPr>
          <w:rFonts w:asciiTheme="majorHAnsi" w:eastAsiaTheme="majorEastAsia" w:hAnsiTheme="majorHAnsi" w:cstheme="majorBidi"/>
          <w:bCs/>
          <w:color w:val="000000" w:themeColor="text1"/>
          <w:sz w:val="24"/>
          <w:szCs w:val="24"/>
        </w:rPr>
        <w:t>A</w:t>
      </w:r>
      <w:r w:rsidR="000F2E6D">
        <w:rPr>
          <w:rFonts w:asciiTheme="majorHAnsi" w:eastAsiaTheme="majorEastAsia" w:hAnsiTheme="majorHAnsi" w:cstheme="majorBidi"/>
          <w:bCs/>
          <w:color w:val="000000" w:themeColor="text1"/>
          <w:sz w:val="24"/>
          <w:szCs w:val="24"/>
        </w:rPr>
        <w:t>2-</w:t>
      </w:r>
      <w:r>
        <w:rPr>
          <w:rFonts w:asciiTheme="majorHAnsi" w:eastAsiaTheme="majorEastAsia" w:hAnsiTheme="majorHAnsi" w:cstheme="majorBidi"/>
          <w:bCs/>
          <w:color w:val="000000" w:themeColor="text1"/>
          <w:sz w:val="24"/>
          <w:szCs w:val="24"/>
        </w:rPr>
        <w:t>2</w:t>
      </w:r>
      <w:r w:rsidRPr="00537A8B">
        <w:rPr>
          <w:rFonts w:asciiTheme="majorHAnsi" w:eastAsiaTheme="majorEastAsia" w:hAnsiTheme="majorHAnsi" w:cstheme="majorBidi"/>
          <w:bCs/>
          <w:color w:val="000000" w:themeColor="text1"/>
          <w:sz w:val="24"/>
          <w:szCs w:val="24"/>
        </w:rPr>
        <w:t xml:space="preserve"> report </w:t>
      </w:r>
      <w:r>
        <w:rPr>
          <w:rFonts w:asciiTheme="majorHAnsi" w:eastAsiaTheme="majorEastAsia" w:hAnsiTheme="majorHAnsi" w:cstheme="majorBidi"/>
          <w:bCs/>
          <w:color w:val="000000" w:themeColor="text1"/>
          <w:sz w:val="24"/>
          <w:szCs w:val="24"/>
        </w:rPr>
        <w:t xml:space="preserve">the model </w:t>
      </w:r>
      <w:r w:rsidRPr="00537A8B">
        <w:rPr>
          <w:rFonts w:asciiTheme="majorHAnsi" w:eastAsiaTheme="majorEastAsia" w:hAnsiTheme="majorHAnsi" w:cstheme="majorBidi"/>
          <w:bCs/>
          <w:color w:val="000000" w:themeColor="text1"/>
          <w:sz w:val="24"/>
          <w:szCs w:val="24"/>
        </w:rPr>
        <w:t xml:space="preserve">results. </w:t>
      </w:r>
      <w:r w:rsidRPr="001F3681">
        <w:rPr>
          <w:rFonts w:asciiTheme="majorHAnsi" w:eastAsiaTheme="majorEastAsia" w:hAnsiTheme="majorHAnsi" w:cstheme="majorBidi"/>
          <w:bCs/>
          <w:color w:val="000000" w:themeColor="text1"/>
          <w:sz w:val="24"/>
          <w:szCs w:val="24"/>
        </w:rPr>
        <w:t xml:space="preserve">The figures for 2018 and 2019 are estimates of forgone benefits (opportunity costs) that the Massachusetts economy </w:t>
      </w:r>
      <w:r>
        <w:rPr>
          <w:rFonts w:asciiTheme="majorHAnsi" w:eastAsiaTheme="majorEastAsia" w:hAnsiTheme="majorHAnsi" w:cstheme="majorBidi"/>
          <w:bCs/>
          <w:color w:val="000000" w:themeColor="text1"/>
          <w:sz w:val="24"/>
          <w:szCs w:val="24"/>
        </w:rPr>
        <w:t xml:space="preserve">experienced due to having the expenditure, </w:t>
      </w:r>
      <w:r w:rsidRPr="001F3681">
        <w:rPr>
          <w:rFonts w:asciiTheme="majorHAnsi" w:eastAsiaTheme="majorEastAsia" w:hAnsiTheme="majorHAnsi" w:cstheme="majorBidi"/>
          <w:bCs/>
          <w:color w:val="000000" w:themeColor="text1"/>
          <w:sz w:val="24"/>
          <w:szCs w:val="24"/>
        </w:rPr>
        <w:t xml:space="preserve">and those for 2020, 2021 and 2022 are </w:t>
      </w:r>
      <w:r>
        <w:rPr>
          <w:rFonts w:asciiTheme="majorHAnsi" w:eastAsiaTheme="majorEastAsia" w:hAnsiTheme="majorHAnsi" w:cstheme="majorBidi"/>
          <w:bCs/>
          <w:color w:val="000000" w:themeColor="text1"/>
          <w:sz w:val="24"/>
          <w:szCs w:val="24"/>
        </w:rPr>
        <w:t>projections</w:t>
      </w:r>
      <w:r w:rsidRPr="001F3681">
        <w:rPr>
          <w:rFonts w:asciiTheme="majorHAnsi" w:eastAsiaTheme="majorEastAsia" w:hAnsiTheme="majorHAnsi" w:cstheme="majorBidi"/>
          <w:bCs/>
          <w:color w:val="000000" w:themeColor="text1"/>
          <w:sz w:val="24"/>
          <w:szCs w:val="24"/>
        </w:rPr>
        <w:t xml:space="preserve"> of forgone benefits that the Massachusetts economy </w:t>
      </w:r>
      <w:r>
        <w:rPr>
          <w:rFonts w:asciiTheme="majorHAnsi" w:eastAsiaTheme="majorEastAsia" w:hAnsiTheme="majorHAnsi" w:cstheme="majorBidi"/>
          <w:bCs/>
          <w:color w:val="000000" w:themeColor="text1"/>
          <w:sz w:val="24"/>
          <w:szCs w:val="24"/>
        </w:rPr>
        <w:t>will</w:t>
      </w:r>
      <w:r w:rsidRPr="001F3681">
        <w:rPr>
          <w:rFonts w:asciiTheme="majorHAnsi" w:eastAsiaTheme="majorEastAsia" w:hAnsiTheme="majorHAnsi" w:cstheme="majorBidi"/>
          <w:bCs/>
          <w:color w:val="000000" w:themeColor="text1"/>
          <w:sz w:val="24"/>
          <w:szCs w:val="24"/>
        </w:rPr>
        <w:t xml:space="preserve"> experience going forward.  </w:t>
      </w:r>
      <w:r>
        <w:rPr>
          <w:rFonts w:asciiTheme="majorHAnsi" w:eastAsiaTheme="majorEastAsia" w:hAnsiTheme="majorHAnsi" w:cstheme="majorBidi"/>
          <w:bCs/>
          <w:color w:val="000000" w:themeColor="text1"/>
          <w:sz w:val="24"/>
          <w:szCs w:val="24"/>
        </w:rPr>
        <w:t>The effects are displayed as negative numbers as reduced spending has a negative impact on the state economy.</w:t>
      </w:r>
    </w:p>
    <w:p w14:paraId="2FC93C7C" w14:textId="77777777" w:rsidR="00464D5E" w:rsidRDefault="00464D5E" w:rsidP="00464D5E">
      <w:pPr>
        <w:spacing w:after="0"/>
        <w:rPr>
          <w:rFonts w:asciiTheme="majorHAnsi" w:hAnsiTheme="majorHAnsi"/>
          <w:bCs/>
          <w:sz w:val="24"/>
          <w:szCs w:val="24"/>
        </w:rPr>
      </w:pPr>
    </w:p>
    <w:p w14:paraId="56222707" w14:textId="77777777" w:rsidR="00464D5E" w:rsidRDefault="00464D5E" w:rsidP="00464D5E">
      <w:pPr>
        <w:spacing w:after="0"/>
        <w:rPr>
          <w:rFonts w:asciiTheme="majorHAnsi" w:eastAsiaTheme="majorEastAsia" w:hAnsiTheme="majorHAnsi" w:cstheme="majorBidi"/>
          <w:bCs/>
          <w:color w:val="000000" w:themeColor="text1"/>
          <w:sz w:val="24"/>
          <w:szCs w:val="24"/>
        </w:rPr>
      </w:pPr>
      <w:r w:rsidRPr="00D86973">
        <w:rPr>
          <w:rFonts w:asciiTheme="majorHAnsi" w:eastAsiaTheme="majorEastAsia" w:hAnsiTheme="majorHAnsi" w:cstheme="majorBidi"/>
          <w:bCs/>
          <w:color w:val="000000" w:themeColor="text1"/>
          <w:sz w:val="24"/>
          <w:szCs w:val="24"/>
        </w:rPr>
        <w:t xml:space="preserve">Tables </w:t>
      </w:r>
      <w:r>
        <w:rPr>
          <w:rFonts w:asciiTheme="majorHAnsi" w:eastAsiaTheme="majorEastAsia" w:hAnsiTheme="majorHAnsi" w:cstheme="majorBidi"/>
          <w:bCs/>
          <w:color w:val="000000" w:themeColor="text1"/>
          <w:sz w:val="24"/>
          <w:szCs w:val="24"/>
        </w:rPr>
        <w:t>A</w:t>
      </w:r>
      <w:r w:rsidR="000F2E6D">
        <w:rPr>
          <w:rFonts w:asciiTheme="majorHAnsi" w:eastAsiaTheme="majorEastAsia" w:hAnsiTheme="majorHAnsi" w:cstheme="majorBidi"/>
          <w:bCs/>
          <w:color w:val="000000" w:themeColor="text1"/>
          <w:sz w:val="24"/>
          <w:szCs w:val="24"/>
        </w:rPr>
        <w:t>2-</w:t>
      </w:r>
      <w:r>
        <w:rPr>
          <w:rFonts w:asciiTheme="majorHAnsi" w:eastAsiaTheme="majorEastAsia" w:hAnsiTheme="majorHAnsi" w:cstheme="majorBidi"/>
          <w:bCs/>
          <w:color w:val="000000" w:themeColor="text1"/>
          <w:sz w:val="24"/>
          <w:szCs w:val="24"/>
        </w:rPr>
        <w:t>1</w:t>
      </w:r>
      <w:r w:rsidRPr="00D86973">
        <w:rPr>
          <w:rFonts w:asciiTheme="majorHAnsi" w:eastAsiaTheme="majorEastAsia" w:hAnsiTheme="majorHAnsi" w:cstheme="majorBidi"/>
          <w:bCs/>
          <w:color w:val="000000" w:themeColor="text1"/>
          <w:sz w:val="24"/>
          <w:szCs w:val="24"/>
        </w:rPr>
        <w:t xml:space="preserve"> and </w:t>
      </w:r>
      <w:r>
        <w:rPr>
          <w:rFonts w:asciiTheme="majorHAnsi" w:eastAsiaTheme="majorEastAsia" w:hAnsiTheme="majorHAnsi" w:cstheme="majorBidi"/>
          <w:bCs/>
          <w:color w:val="000000" w:themeColor="text1"/>
          <w:sz w:val="24"/>
          <w:szCs w:val="24"/>
        </w:rPr>
        <w:t>A</w:t>
      </w:r>
      <w:r w:rsidR="000F2E6D">
        <w:rPr>
          <w:rFonts w:asciiTheme="majorHAnsi" w:eastAsiaTheme="majorEastAsia" w:hAnsiTheme="majorHAnsi" w:cstheme="majorBidi"/>
          <w:bCs/>
          <w:color w:val="000000" w:themeColor="text1"/>
          <w:sz w:val="24"/>
          <w:szCs w:val="24"/>
        </w:rPr>
        <w:t>2-</w:t>
      </w:r>
      <w:r>
        <w:rPr>
          <w:rFonts w:asciiTheme="majorHAnsi" w:eastAsiaTheme="majorEastAsia" w:hAnsiTheme="majorHAnsi" w:cstheme="majorBidi"/>
          <w:bCs/>
          <w:color w:val="000000" w:themeColor="text1"/>
          <w:sz w:val="24"/>
          <w:szCs w:val="24"/>
        </w:rPr>
        <w:t>2</w:t>
      </w:r>
      <w:r w:rsidRPr="00D86973">
        <w:rPr>
          <w:rFonts w:asciiTheme="majorHAnsi" w:eastAsiaTheme="majorEastAsia" w:hAnsiTheme="majorHAnsi" w:cstheme="majorBidi"/>
          <w:bCs/>
          <w:color w:val="000000" w:themeColor="text1"/>
          <w:sz w:val="24"/>
          <w:szCs w:val="24"/>
        </w:rPr>
        <w:t xml:space="preserve"> show that the </w:t>
      </w:r>
      <w:r>
        <w:rPr>
          <w:rFonts w:asciiTheme="majorHAnsi" w:eastAsiaTheme="majorEastAsia" w:hAnsiTheme="majorHAnsi" w:cstheme="majorBidi"/>
          <w:bCs/>
          <w:color w:val="000000" w:themeColor="text1"/>
          <w:sz w:val="24"/>
          <w:szCs w:val="24"/>
        </w:rPr>
        <w:t>reduction</w:t>
      </w:r>
      <w:r w:rsidRPr="00D86973">
        <w:rPr>
          <w:rFonts w:asciiTheme="majorHAnsi" w:eastAsiaTheme="majorEastAsia" w:hAnsiTheme="majorHAnsi" w:cstheme="majorBidi"/>
          <w:bCs/>
          <w:color w:val="000000" w:themeColor="text1"/>
          <w:sz w:val="24"/>
          <w:szCs w:val="24"/>
        </w:rPr>
        <w:t xml:space="preserve"> in state government spending results in lost economic activit</w:t>
      </w:r>
      <w:r>
        <w:rPr>
          <w:rFonts w:asciiTheme="majorHAnsi" w:eastAsiaTheme="majorEastAsia" w:hAnsiTheme="majorHAnsi" w:cstheme="majorBidi"/>
          <w:bCs/>
          <w:color w:val="000000" w:themeColor="text1"/>
          <w:sz w:val="24"/>
          <w:szCs w:val="24"/>
        </w:rPr>
        <w:t>y</w:t>
      </w:r>
      <w:r w:rsidRPr="00D86973">
        <w:rPr>
          <w:rFonts w:asciiTheme="majorHAnsi" w:eastAsiaTheme="majorEastAsia" w:hAnsiTheme="majorHAnsi" w:cstheme="majorBidi"/>
          <w:bCs/>
          <w:color w:val="000000" w:themeColor="text1"/>
          <w:sz w:val="24"/>
          <w:szCs w:val="24"/>
        </w:rPr>
        <w:t xml:space="preserve">, with real state GDP declining </w:t>
      </w:r>
      <w:r>
        <w:rPr>
          <w:rFonts w:asciiTheme="majorHAnsi" w:eastAsiaTheme="majorEastAsia" w:hAnsiTheme="majorHAnsi" w:cstheme="majorBidi"/>
          <w:bCs/>
          <w:color w:val="000000" w:themeColor="text1"/>
          <w:sz w:val="24"/>
          <w:szCs w:val="24"/>
        </w:rPr>
        <w:t xml:space="preserve">by </w:t>
      </w:r>
      <w:r w:rsidRPr="00857C1A">
        <w:rPr>
          <w:rFonts w:asciiTheme="majorHAnsi" w:eastAsiaTheme="majorEastAsia" w:hAnsiTheme="majorHAnsi" w:cstheme="majorBidi"/>
          <w:bCs/>
          <w:color w:val="000000" w:themeColor="text1"/>
          <w:sz w:val="24"/>
          <w:szCs w:val="24"/>
        </w:rPr>
        <w:t>$</w:t>
      </w:r>
      <w:r w:rsidR="001262F8">
        <w:rPr>
          <w:rFonts w:asciiTheme="majorHAnsi" w:eastAsiaTheme="majorEastAsia" w:hAnsiTheme="majorHAnsi" w:cstheme="majorBidi"/>
          <w:bCs/>
          <w:color w:val="000000" w:themeColor="text1"/>
          <w:sz w:val="24"/>
          <w:szCs w:val="24"/>
        </w:rPr>
        <w:t>42</w:t>
      </w:r>
      <w:r w:rsidRPr="00857C1A">
        <w:rPr>
          <w:rFonts w:asciiTheme="majorHAnsi" w:eastAsiaTheme="majorEastAsia" w:hAnsiTheme="majorHAnsi" w:cstheme="majorBidi"/>
          <w:bCs/>
          <w:color w:val="000000" w:themeColor="text1"/>
          <w:sz w:val="24"/>
          <w:szCs w:val="24"/>
        </w:rPr>
        <w:t xml:space="preserve"> million</w:t>
      </w:r>
      <w:r>
        <w:rPr>
          <w:rFonts w:asciiTheme="majorHAnsi" w:eastAsiaTheme="majorEastAsia" w:hAnsiTheme="majorHAnsi" w:cstheme="majorBidi"/>
          <w:bCs/>
          <w:color w:val="000000" w:themeColor="text1"/>
          <w:sz w:val="24"/>
          <w:szCs w:val="24"/>
        </w:rPr>
        <w:t xml:space="preserve"> </w:t>
      </w:r>
      <w:r w:rsidRPr="00857C1A">
        <w:rPr>
          <w:rFonts w:asciiTheme="majorHAnsi" w:eastAsiaTheme="majorEastAsia" w:hAnsiTheme="majorHAnsi" w:cstheme="majorBidi"/>
          <w:bCs/>
          <w:color w:val="000000" w:themeColor="text1"/>
          <w:sz w:val="24"/>
          <w:szCs w:val="24"/>
        </w:rPr>
        <w:t>-</w:t>
      </w:r>
      <w:r>
        <w:rPr>
          <w:rFonts w:asciiTheme="majorHAnsi" w:eastAsiaTheme="majorEastAsia" w:hAnsiTheme="majorHAnsi" w:cstheme="majorBidi"/>
          <w:bCs/>
          <w:color w:val="000000" w:themeColor="text1"/>
          <w:sz w:val="24"/>
          <w:szCs w:val="24"/>
        </w:rPr>
        <w:t xml:space="preserve"> </w:t>
      </w:r>
      <w:r w:rsidRPr="00857C1A">
        <w:rPr>
          <w:rFonts w:asciiTheme="majorHAnsi" w:eastAsiaTheme="majorEastAsia" w:hAnsiTheme="majorHAnsi" w:cstheme="majorBidi"/>
          <w:bCs/>
          <w:color w:val="000000" w:themeColor="text1"/>
          <w:sz w:val="24"/>
          <w:szCs w:val="24"/>
        </w:rPr>
        <w:t>$</w:t>
      </w:r>
      <w:r>
        <w:rPr>
          <w:rFonts w:asciiTheme="majorHAnsi" w:eastAsiaTheme="majorEastAsia" w:hAnsiTheme="majorHAnsi" w:cstheme="majorBidi"/>
          <w:bCs/>
          <w:color w:val="000000" w:themeColor="text1"/>
          <w:sz w:val="24"/>
          <w:szCs w:val="24"/>
        </w:rPr>
        <w:t>4</w:t>
      </w:r>
      <w:r w:rsidR="001262F8">
        <w:rPr>
          <w:rFonts w:asciiTheme="majorHAnsi" w:eastAsiaTheme="majorEastAsia" w:hAnsiTheme="majorHAnsi" w:cstheme="majorBidi"/>
          <w:bCs/>
          <w:color w:val="000000" w:themeColor="text1"/>
          <w:sz w:val="24"/>
          <w:szCs w:val="24"/>
        </w:rPr>
        <w:t>6</w:t>
      </w:r>
      <w:r w:rsidRPr="00857C1A">
        <w:rPr>
          <w:rFonts w:asciiTheme="majorHAnsi" w:eastAsiaTheme="majorEastAsia" w:hAnsiTheme="majorHAnsi" w:cstheme="majorBidi"/>
          <w:bCs/>
          <w:color w:val="000000" w:themeColor="text1"/>
          <w:sz w:val="24"/>
          <w:szCs w:val="24"/>
        </w:rPr>
        <w:t xml:space="preserve"> </w:t>
      </w:r>
      <w:r w:rsidRPr="00D86973">
        <w:rPr>
          <w:rFonts w:asciiTheme="majorHAnsi" w:eastAsiaTheme="majorEastAsia" w:hAnsiTheme="majorHAnsi" w:cstheme="majorBidi"/>
          <w:bCs/>
          <w:color w:val="000000" w:themeColor="text1"/>
          <w:sz w:val="24"/>
          <w:szCs w:val="24"/>
        </w:rPr>
        <w:t xml:space="preserve">million and total employment declining </w:t>
      </w:r>
      <w:r>
        <w:rPr>
          <w:rFonts w:asciiTheme="majorHAnsi" w:eastAsiaTheme="majorEastAsia" w:hAnsiTheme="majorHAnsi" w:cstheme="majorBidi"/>
          <w:bCs/>
          <w:color w:val="000000" w:themeColor="text1"/>
          <w:sz w:val="24"/>
          <w:szCs w:val="24"/>
        </w:rPr>
        <w:t xml:space="preserve">by </w:t>
      </w:r>
      <w:r w:rsidRPr="006B5573">
        <w:rPr>
          <w:rFonts w:asciiTheme="majorHAnsi" w:eastAsiaTheme="majorEastAsia" w:hAnsiTheme="majorHAnsi" w:cstheme="majorBidi"/>
          <w:bCs/>
          <w:color w:val="000000" w:themeColor="text1"/>
          <w:sz w:val="24"/>
          <w:szCs w:val="24"/>
        </w:rPr>
        <w:t>464</w:t>
      </w:r>
      <w:r w:rsidRPr="00857C1A">
        <w:rPr>
          <w:rFonts w:asciiTheme="majorHAnsi" w:eastAsiaTheme="majorEastAsia" w:hAnsiTheme="majorHAnsi" w:cstheme="majorBidi"/>
          <w:bCs/>
          <w:color w:val="000000" w:themeColor="text1"/>
          <w:sz w:val="24"/>
          <w:szCs w:val="24"/>
        </w:rPr>
        <w:t>-</w:t>
      </w:r>
      <w:r>
        <w:rPr>
          <w:rFonts w:asciiTheme="majorHAnsi" w:eastAsiaTheme="majorEastAsia" w:hAnsiTheme="majorHAnsi" w:cstheme="majorBidi"/>
          <w:bCs/>
          <w:color w:val="000000" w:themeColor="text1"/>
          <w:sz w:val="24"/>
          <w:szCs w:val="24"/>
        </w:rPr>
        <w:t xml:space="preserve"> </w:t>
      </w:r>
      <w:r w:rsidR="001262F8">
        <w:rPr>
          <w:rFonts w:asciiTheme="majorHAnsi" w:eastAsiaTheme="majorEastAsia" w:hAnsiTheme="majorHAnsi" w:cstheme="majorBidi"/>
          <w:bCs/>
          <w:color w:val="000000" w:themeColor="text1"/>
          <w:sz w:val="24"/>
          <w:szCs w:val="24"/>
        </w:rPr>
        <w:t>526</w:t>
      </w:r>
      <w:r w:rsidRPr="006B5573">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 xml:space="preserve">jobs </w:t>
      </w:r>
      <w:r w:rsidRPr="00D86973">
        <w:rPr>
          <w:rFonts w:asciiTheme="majorHAnsi" w:eastAsiaTheme="majorEastAsia" w:hAnsiTheme="majorHAnsi" w:cstheme="majorBidi"/>
          <w:bCs/>
          <w:color w:val="000000" w:themeColor="text1"/>
          <w:sz w:val="24"/>
          <w:szCs w:val="24"/>
        </w:rPr>
        <w:t>annually. Lost economic activit</w:t>
      </w:r>
      <w:r>
        <w:rPr>
          <w:rFonts w:asciiTheme="majorHAnsi" w:eastAsiaTheme="majorEastAsia" w:hAnsiTheme="majorHAnsi" w:cstheme="majorBidi"/>
          <w:bCs/>
          <w:color w:val="000000" w:themeColor="text1"/>
          <w:sz w:val="24"/>
          <w:szCs w:val="24"/>
        </w:rPr>
        <w:t>y</w:t>
      </w:r>
      <w:r w:rsidRPr="00D86973">
        <w:rPr>
          <w:rFonts w:asciiTheme="majorHAnsi" w:eastAsiaTheme="majorEastAsia" w:hAnsiTheme="majorHAnsi" w:cstheme="majorBidi"/>
          <w:bCs/>
          <w:color w:val="000000" w:themeColor="text1"/>
          <w:sz w:val="24"/>
          <w:szCs w:val="24"/>
        </w:rPr>
        <w:t xml:space="preserve"> result</w:t>
      </w:r>
      <w:r>
        <w:rPr>
          <w:rFonts w:asciiTheme="majorHAnsi" w:eastAsiaTheme="majorEastAsia" w:hAnsiTheme="majorHAnsi" w:cstheme="majorBidi"/>
          <w:bCs/>
          <w:color w:val="000000" w:themeColor="text1"/>
          <w:sz w:val="24"/>
          <w:szCs w:val="24"/>
        </w:rPr>
        <w:t>s</w:t>
      </w:r>
      <w:r w:rsidRPr="00D86973">
        <w:rPr>
          <w:rFonts w:asciiTheme="majorHAnsi" w:eastAsiaTheme="majorEastAsia" w:hAnsiTheme="majorHAnsi" w:cstheme="majorBidi"/>
          <w:bCs/>
          <w:color w:val="000000" w:themeColor="text1"/>
          <w:sz w:val="24"/>
          <w:szCs w:val="24"/>
        </w:rPr>
        <w:t xml:space="preserve"> in further loss </w:t>
      </w:r>
      <w:r>
        <w:rPr>
          <w:rFonts w:asciiTheme="majorHAnsi" w:eastAsiaTheme="majorEastAsia" w:hAnsiTheme="majorHAnsi" w:cstheme="majorBidi"/>
          <w:bCs/>
          <w:color w:val="000000" w:themeColor="text1"/>
          <w:sz w:val="24"/>
          <w:szCs w:val="24"/>
        </w:rPr>
        <w:t>of</w:t>
      </w:r>
      <w:r w:rsidRPr="00D86973">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 xml:space="preserve">state </w:t>
      </w:r>
      <w:r w:rsidRPr="00D86973">
        <w:rPr>
          <w:rFonts w:asciiTheme="majorHAnsi" w:eastAsiaTheme="majorEastAsia" w:hAnsiTheme="majorHAnsi" w:cstheme="majorBidi"/>
          <w:bCs/>
          <w:color w:val="000000" w:themeColor="text1"/>
          <w:sz w:val="24"/>
          <w:szCs w:val="24"/>
        </w:rPr>
        <w:t xml:space="preserve">revenues, ranging from </w:t>
      </w:r>
      <w:r w:rsidRPr="00857C1A">
        <w:rPr>
          <w:rFonts w:asciiTheme="majorHAnsi" w:eastAsiaTheme="majorEastAsia" w:hAnsiTheme="majorHAnsi" w:cstheme="majorBidi"/>
          <w:bCs/>
          <w:color w:val="000000" w:themeColor="text1"/>
          <w:sz w:val="24"/>
          <w:szCs w:val="24"/>
        </w:rPr>
        <w:t>$</w:t>
      </w:r>
      <w:r w:rsidR="001262F8">
        <w:rPr>
          <w:rFonts w:asciiTheme="majorHAnsi" w:eastAsiaTheme="majorEastAsia" w:hAnsiTheme="majorHAnsi" w:cstheme="majorBidi"/>
          <w:bCs/>
          <w:color w:val="000000" w:themeColor="text1"/>
          <w:sz w:val="24"/>
          <w:szCs w:val="24"/>
        </w:rPr>
        <w:t>0.9</w:t>
      </w:r>
      <w:r w:rsidRPr="00857C1A">
        <w:rPr>
          <w:rFonts w:asciiTheme="majorHAnsi" w:eastAsiaTheme="majorEastAsia" w:hAnsiTheme="majorHAnsi" w:cstheme="majorBidi"/>
          <w:bCs/>
          <w:color w:val="000000" w:themeColor="text1"/>
          <w:sz w:val="24"/>
          <w:szCs w:val="24"/>
        </w:rPr>
        <w:t xml:space="preserve"> million to $</w:t>
      </w:r>
      <w:r>
        <w:rPr>
          <w:rFonts w:asciiTheme="majorHAnsi" w:eastAsiaTheme="majorEastAsia" w:hAnsiTheme="majorHAnsi" w:cstheme="majorBidi"/>
          <w:bCs/>
          <w:color w:val="000000" w:themeColor="text1"/>
          <w:sz w:val="24"/>
          <w:szCs w:val="24"/>
        </w:rPr>
        <w:t>2.</w:t>
      </w:r>
      <w:r w:rsidR="001262F8">
        <w:rPr>
          <w:rFonts w:asciiTheme="majorHAnsi" w:eastAsiaTheme="majorEastAsia" w:hAnsiTheme="majorHAnsi" w:cstheme="majorBidi"/>
          <w:bCs/>
          <w:color w:val="000000" w:themeColor="text1"/>
          <w:sz w:val="24"/>
          <w:szCs w:val="24"/>
        </w:rPr>
        <w:t>4</w:t>
      </w:r>
      <w:r w:rsidRPr="00857C1A">
        <w:rPr>
          <w:rFonts w:asciiTheme="majorHAnsi" w:eastAsiaTheme="majorEastAsia" w:hAnsiTheme="majorHAnsi" w:cstheme="majorBidi"/>
          <w:bCs/>
          <w:color w:val="000000" w:themeColor="text1"/>
          <w:sz w:val="24"/>
          <w:szCs w:val="24"/>
        </w:rPr>
        <w:t xml:space="preserve"> </w:t>
      </w:r>
      <w:r w:rsidRPr="00D86973">
        <w:rPr>
          <w:rFonts w:asciiTheme="majorHAnsi" w:eastAsiaTheme="majorEastAsia" w:hAnsiTheme="majorHAnsi" w:cstheme="majorBidi"/>
          <w:bCs/>
          <w:color w:val="000000" w:themeColor="text1"/>
          <w:sz w:val="24"/>
          <w:szCs w:val="24"/>
        </w:rPr>
        <w:t xml:space="preserve">million annually. </w:t>
      </w:r>
      <w:r>
        <w:rPr>
          <w:rFonts w:asciiTheme="majorHAnsi" w:eastAsiaTheme="majorEastAsia" w:hAnsiTheme="majorHAnsi" w:cstheme="majorBidi"/>
          <w:bCs/>
          <w:color w:val="000000" w:themeColor="text1"/>
          <w:sz w:val="24"/>
          <w:szCs w:val="24"/>
        </w:rPr>
        <w:t>Note that the revenue impact reported in Table A</w:t>
      </w:r>
      <w:r w:rsidR="001262F8">
        <w:rPr>
          <w:rFonts w:asciiTheme="majorHAnsi" w:eastAsiaTheme="majorEastAsia" w:hAnsiTheme="majorHAnsi" w:cstheme="majorBidi"/>
          <w:bCs/>
          <w:color w:val="000000" w:themeColor="text1"/>
          <w:sz w:val="24"/>
          <w:szCs w:val="24"/>
        </w:rPr>
        <w:t>2-</w:t>
      </w:r>
      <w:r>
        <w:rPr>
          <w:rFonts w:asciiTheme="majorHAnsi" w:eastAsiaTheme="majorEastAsia" w:hAnsiTheme="majorHAnsi" w:cstheme="majorBidi"/>
          <w:bCs/>
          <w:color w:val="000000" w:themeColor="text1"/>
          <w:sz w:val="24"/>
          <w:szCs w:val="24"/>
        </w:rPr>
        <w:t xml:space="preserve">1 does not include the estimated direct impact of the tax expenditure from Table </w:t>
      </w:r>
      <w:r w:rsidR="001262F8">
        <w:rPr>
          <w:rFonts w:asciiTheme="majorHAnsi" w:eastAsiaTheme="majorEastAsia" w:hAnsiTheme="majorHAnsi" w:cstheme="majorBidi"/>
          <w:bCs/>
          <w:color w:val="000000" w:themeColor="text1"/>
          <w:sz w:val="24"/>
          <w:szCs w:val="24"/>
        </w:rPr>
        <w:t>1</w:t>
      </w:r>
      <w:r>
        <w:rPr>
          <w:rFonts w:asciiTheme="majorHAnsi" w:eastAsiaTheme="majorEastAsia" w:hAnsiTheme="majorHAnsi" w:cstheme="majorBidi"/>
          <w:bCs/>
          <w:color w:val="000000" w:themeColor="text1"/>
          <w:sz w:val="24"/>
          <w:szCs w:val="24"/>
        </w:rPr>
        <w:t>, but only the additional indirect/induced impact.</w:t>
      </w:r>
    </w:p>
    <w:p w14:paraId="77402A68" w14:textId="77777777" w:rsidR="00464D5E" w:rsidRDefault="00464D5E" w:rsidP="00464D5E">
      <w:pPr>
        <w:spacing w:after="0"/>
        <w:rPr>
          <w:rFonts w:asciiTheme="majorHAnsi" w:hAnsiTheme="majorHAnsi"/>
          <w:bCs/>
          <w:sz w:val="24"/>
          <w:szCs w:val="24"/>
        </w:rPr>
      </w:pPr>
    </w:p>
    <w:p w14:paraId="73A7C313" w14:textId="77777777" w:rsidR="00464D5E" w:rsidRDefault="00464D5E" w:rsidP="00464D5E">
      <w:pPr>
        <w:spacing w:after="0"/>
        <w:jc w:val="center"/>
        <w:rPr>
          <w:rFonts w:asciiTheme="majorHAnsi" w:eastAsiaTheme="majorEastAsia" w:hAnsiTheme="majorHAnsi" w:cstheme="majorBidi"/>
          <w:b/>
          <w:color w:val="000000" w:themeColor="text1"/>
          <w:sz w:val="24"/>
          <w:szCs w:val="24"/>
        </w:rPr>
      </w:pPr>
      <w:r w:rsidRPr="00366FFC">
        <w:rPr>
          <w:rFonts w:asciiTheme="majorHAnsi" w:eastAsiaTheme="majorEastAsia" w:hAnsiTheme="majorHAnsi" w:cstheme="majorBidi"/>
          <w:b/>
          <w:color w:val="000000" w:themeColor="text1"/>
          <w:sz w:val="24"/>
          <w:szCs w:val="24"/>
        </w:rPr>
        <w:t xml:space="preserve">Table </w:t>
      </w:r>
      <w:r>
        <w:rPr>
          <w:rFonts w:asciiTheme="majorHAnsi" w:eastAsiaTheme="majorEastAsia" w:hAnsiTheme="majorHAnsi" w:cstheme="majorBidi"/>
          <w:b/>
          <w:color w:val="000000" w:themeColor="text1"/>
          <w:sz w:val="24"/>
          <w:szCs w:val="24"/>
        </w:rPr>
        <w:t>A</w:t>
      </w:r>
      <w:r w:rsidR="001262F8">
        <w:rPr>
          <w:rFonts w:asciiTheme="majorHAnsi" w:eastAsiaTheme="majorEastAsia" w:hAnsiTheme="majorHAnsi" w:cstheme="majorBidi"/>
          <w:b/>
          <w:color w:val="000000" w:themeColor="text1"/>
          <w:sz w:val="24"/>
          <w:szCs w:val="24"/>
        </w:rPr>
        <w:t>2-</w:t>
      </w:r>
      <w:r>
        <w:rPr>
          <w:rFonts w:asciiTheme="majorHAnsi" w:eastAsiaTheme="majorEastAsia" w:hAnsiTheme="majorHAnsi" w:cstheme="majorBidi"/>
          <w:b/>
          <w:color w:val="000000" w:themeColor="text1"/>
          <w:sz w:val="24"/>
          <w:szCs w:val="24"/>
        </w:rPr>
        <w:t>1</w:t>
      </w:r>
      <w:r w:rsidRPr="00366FFC">
        <w:rPr>
          <w:rFonts w:asciiTheme="majorHAnsi" w:eastAsiaTheme="majorEastAsia" w:hAnsiTheme="majorHAnsi" w:cstheme="majorBidi"/>
          <w:b/>
          <w:color w:val="000000" w:themeColor="text1"/>
          <w:sz w:val="24"/>
          <w:szCs w:val="24"/>
        </w:rPr>
        <w:t xml:space="preserve">. </w:t>
      </w:r>
      <w:r>
        <w:rPr>
          <w:rFonts w:asciiTheme="majorHAnsi" w:eastAsiaTheme="majorEastAsia" w:hAnsiTheme="majorHAnsi" w:cstheme="majorBidi"/>
          <w:b/>
          <w:color w:val="000000" w:themeColor="text1"/>
          <w:sz w:val="24"/>
          <w:szCs w:val="24"/>
        </w:rPr>
        <w:t xml:space="preserve">Additional Revenue Impact due to Decreased Government Spending* </w:t>
      </w:r>
    </w:p>
    <w:tbl>
      <w:tblPr>
        <w:tblW w:w="9350" w:type="dxa"/>
        <w:jc w:val="center"/>
        <w:tblLook w:val="04A0" w:firstRow="1" w:lastRow="0" w:firstColumn="1" w:lastColumn="0" w:noHBand="0" w:noVBand="1"/>
      </w:tblPr>
      <w:tblGrid>
        <w:gridCol w:w="3655"/>
        <w:gridCol w:w="1139"/>
        <w:gridCol w:w="1139"/>
        <w:gridCol w:w="1139"/>
        <w:gridCol w:w="1139"/>
        <w:gridCol w:w="1139"/>
      </w:tblGrid>
      <w:tr w:rsidR="00464D5E" w:rsidRPr="008B33E0" w14:paraId="6B8B80BB" w14:textId="77777777" w:rsidTr="00464D5E">
        <w:trPr>
          <w:trHeight w:val="500"/>
          <w:jc w:val="center"/>
        </w:trPr>
        <w:tc>
          <w:tcPr>
            <w:tcW w:w="3655"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05F3B44E" w14:textId="77777777" w:rsidR="00464D5E" w:rsidRPr="008B33E0" w:rsidRDefault="00464D5E" w:rsidP="00464D5E">
            <w:pPr>
              <w:spacing w:after="0" w:line="240" w:lineRule="auto"/>
              <w:jc w:val="center"/>
              <w:rPr>
                <w:rFonts w:ascii="Cambria" w:eastAsia="Times New Roman" w:hAnsi="Cambria" w:cs="Helvetica"/>
                <w:sz w:val="20"/>
                <w:szCs w:val="20"/>
                <w:lang w:eastAsia="ko-KR"/>
              </w:rPr>
            </w:pPr>
            <w:r w:rsidRPr="008B33E0">
              <w:rPr>
                <w:rFonts w:ascii="Cambria" w:eastAsia="Times New Roman" w:hAnsi="Cambria" w:cs="Helvetica"/>
                <w:sz w:val="20"/>
                <w:szCs w:val="20"/>
                <w:lang w:eastAsia="ko-KR"/>
              </w:rPr>
              <w:t>Fiscal Year</w:t>
            </w:r>
          </w:p>
        </w:tc>
        <w:tc>
          <w:tcPr>
            <w:tcW w:w="1139" w:type="dxa"/>
            <w:tcBorders>
              <w:top w:val="single" w:sz="4" w:space="0" w:color="auto"/>
              <w:left w:val="nil"/>
              <w:bottom w:val="single" w:sz="4" w:space="0" w:color="auto"/>
              <w:right w:val="single" w:sz="4" w:space="0" w:color="auto"/>
            </w:tcBorders>
            <w:shd w:val="clear" w:color="000000" w:fill="B7DEE8"/>
            <w:noWrap/>
            <w:vAlign w:val="center"/>
            <w:hideMark/>
          </w:tcPr>
          <w:p w14:paraId="7158C64F" w14:textId="77777777" w:rsidR="00464D5E" w:rsidRPr="008B33E0" w:rsidRDefault="00464D5E" w:rsidP="00464D5E">
            <w:pPr>
              <w:spacing w:after="0" w:line="240" w:lineRule="auto"/>
              <w:jc w:val="center"/>
              <w:rPr>
                <w:rFonts w:ascii="Cambria" w:eastAsia="Times New Roman" w:hAnsi="Cambria" w:cs="Helvetica"/>
                <w:sz w:val="20"/>
                <w:szCs w:val="20"/>
                <w:lang w:eastAsia="ko-KR"/>
              </w:rPr>
            </w:pPr>
            <w:r w:rsidRPr="008B33E0">
              <w:rPr>
                <w:rFonts w:ascii="Cambria" w:eastAsia="Times New Roman" w:hAnsi="Cambria" w:cs="Helvetica"/>
                <w:sz w:val="20"/>
                <w:szCs w:val="20"/>
                <w:lang w:eastAsia="ko-KR"/>
              </w:rPr>
              <w:t>2018</w:t>
            </w:r>
          </w:p>
        </w:tc>
        <w:tc>
          <w:tcPr>
            <w:tcW w:w="1139" w:type="dxa"/>
            <w:tcBorders>
              <w:top w:val="single" w:sz="4" w:space="0" w:color="auto"/>
              <w:left w:val="nil"/>
              <w:bottom w:val="single" w:sz="4" w:space="0" w:color="auto"/>
              <w:right w:val="single" w:sz="4" w:space="0" w:color="auto"/>
            </w:tcBorders>
            <w:shd w:val="clear" w:color="000000" w:fill="B7DEE8"/>
            <w:noWrap/>
            <w:vAlign w:val="center"/>
            <w:hideMark/>
          </w:tcPr>
          <w:p w14:paraId="75BCCAD1" w14:textId="77777777" w:rsidR="00464D5E" w:rsidRPr="008B33E0" w:rsidRDefault="00464D5E" w:rsidP="00464D5E">
            <w:pPr>
              <w:spacing w:after="0" w:line="240" w:lineRule="auto"/>
              <w:jc w:val="center"/>
              <w:rPr>
                <w:rFonts w:ascii="Cambria" w:eastAsia="Times New Roman" w:hAnsi="Cambria" w:cs="Helvetica"/>
                <w:sz w:val="20"/>
                <w:szCs w:val="20"/>
                <w:lang w:eastAsia="ko-KR"/>
              </w:rPr>
            </w:pPr>
            <w:r w:rsidRPr="008B33E0">
              <w:rPr>
                <w:rFonts w:ascii="Cambria" w:eastAsia="Times New Roman" w:hAnsi="Cambria" w:cs="Helvetica"/>
                <w:sz w:val="20"/>
                <w:szCs w:val="20"/>
                <w:lang w:eastAsia="ko-KR"/>
              </w:rPr>
              <w:t>2019</w:t>
            </w:r>
          </w:p>
        </w:tc>
        <w:tc>
          <w:tcPr>
            <w:tcW w:w="1139" w:type="dxa"/>
            <w:tcBorders>
              <w:top w:val="single" w:sz="4" w:space="0" w:color="auto"/>
              <w:left w:val="nil"/>
              <w:bottom w:val="single" w:sz="4" w:space="0" w:color="auto"/>
              <w:right w:val="single" w:sz="4" w:space="0" w:color="auto"/>
            </w:tcBorders>
            <w:shd w:val="clear" w:color="000000" w:fill="B7DEE8"/>
            <w:noWrap/>
            <w:vAlign w:val="center"/>
            <w:hideMark/>
          </w:tcPr>
          <w:p w14:paraId="66BDB985" w14:textId="77777777" w:rsidR="00464D5E" w:rsidRPr="008B33E0" w:rsidRDefault="00464D5E" w:rsidP="00464D5E">
            <w:pPr>
              <w:spacing w:after="0" w:line="240" w:lineRule="auto"/>
              <w:jc w:val="center"/>
              <w:rPr>
                <w:rFonts w:ascii="Cambria" w:eastAsia="Times New Roman" w:hAnsi="Cambria" w:cs="Helvetica"/>
                <w:sz w:val="20"/>
                <w:szCs w:val="20"/>
                <w:lang w:eastAsia="ko-KR"/>
              </w:rPr>
            </w:pPr>
            <w:r w:rsidRPr="008B33E0">
              <w:rPr>
                <w:rFonts w:ascii="Cambria" w:eastAsia="Times New Roman" w:hAnsi="Cambria" w:cs="Helvetica"/>
                <w:sz w:val="20"/>
                <w:szCs w:val="20"/>
                <w:lang w:eastAsia="ko-KR"/>
              </w:rPr>
              <w:t>2020</w:t>
            </w:r>
          </w:p>
        </w:tc>
        <w:tc>
          <w:tcPr>
            <w:tcW w:w="1139" w:type="dxa"/>
            <w:tcBorders>
              <w:top w:val="single" w:sz="4" w:space="0" w:color="auto"/>
              <w:left w:val="nil"/>
              <w:bottom w:val="single" w:sz="4" w:space="0" w:color="auto"/>
              <w:right w:val="single" w:sz="4" w:space="0" w:color="auto"/>
            </w:tcBorders>
            <w:shd w:val="clear" w:color="000000" w:fill="B7DEE8"/>
            <w:noWrap/>
            <w:vAlign w:val="center"/>
            <w:hideMark/>
          </w:tcPr>
          <w:p w14:paraId="17831E6D" w14:textId="77777777" w:rsidR="00464D5E" w:rsidRPr="008B33E0" w:rsidRDefault="00464D5E" w:rsidP="00464D5E">
            <w:pPr>
              <w:spacing w:after="0" w:line="240" w:lineRule="auto"/>
              <w:jc w:val="center"/>
              <w:rPr>
                <w:rFonts w:ascii="Cambria" w:eastAsia="Times New Roman" w:hAnsi="Cambria" w:cs="Helvetica"/>
                <w:sz w:val="20"/>
                <w:szCs w:val="20"/>
                <w:lang w:eastAsia="ko-KR"/>
              </w:rPr>
            </w:pPr>
            <w:r w:rsidRPr="008B33E0">
              <w:rPr>
                <w:rFonts w:ascii="Cambria" w:eastAsia="Times New Roman" w:hAnsi="Cambria" w:cs="Helvetica"/>
                <w:sz w:val="20"/>
                <w:szCs w:val="20"/>
                <w:lang w:eastAsia="ko-KR"/>
              </w:rPr>
              <w:t>2021</w:t>
            </w:r>
          </w:p>
        </w:tc>
        <w:tc>
          <w:tcPr>
            <w:tcW w:w="1139" w:type="dxa"/>
            <w:tcBorders>
              <w:top w:val="single" w:sz="4" w:space="0" w:color="auto"/>
              <w:left w:val="nil"/>
              <w:bottom w:val="single" w:sz="4" w:space="0" w:color="auto"/>
              <w:right w:val="single" w:sz="4" w:space="0" w:color="auto"/>
            </w:tcBorders>
            <w:shd w:val="clear" w:color="000000" w:fill="B7DEE8"/>
            <w:noWrap/>
            <w:vAlign w:val="center"/>
            <w:hideMark/>
          </w:tcPr>
          <w:p w14:paraId="1C32FFC9" w14:textId="77777777" w:rsidR="00464D5E" w:rsidRPr="008B33E0" w:rsidRDefault="00464D5E" w:rsidP="00464D5E">
            <w:pPr>
              <w:spacing w:after="0" w:line="240" w:lineRule="auto"/>
              <w:jc w:val="center"/>
              <w:rPr>
                <w:rFonts w:ascii="Cambria" w:eastAsia="Times New Roman" w:hAnsi="Cambria" w:cs="Helvetica"/>
                <w:sz w:val="20"/>
                <w:szCs w:val="20"/>
                <w:lang w:eastAsia="ko-KR"/>
              </w:rPr>
            </w:pPr>
            <w:r w:rsidRPr="008B33E0">
              <w:rPr>
                <w:rFonts w:ascii="Cambria" w:eastAsia="Times New Roman" w:hAnsi="Cambria" w:cs="Helvetica"/>
                <w:sz w:val="20"/>
                <w:szCs w:val="20"/>
                <w:lang w:eastAsia="ko-KR"/>
              </w:rPr>
              <w:t>2022</w:t>
            </w:r>
          </w:p>
        </w:tc>
      </w:tr>
      <w:tr w:rsidR="004935C6" w:rsidRPr="008B33E0" w14:paraId="4DEAF4B2" w14:textId="77777777" w:rsidTr="00464D5E">
        <w:trPr>
          <w:trHeight w:val="500"/>
          <w:jc w:val="center"/>
        </w:trPr>
        <w:tc>
          <w:tcPr>
            <w:tcW w:w="3655" w:type="dxa"/>
            <w:tcBorders>
              <w:top w:val="nil"/>
              <w:left w:val="single" w:sz="4" w:space="0" w:color="auto"/>
              <w:bottom w:val="single" w:sz="4" w:space="0" w:color="auto"/>
              <w:right w:val="single" w:sz="4" w:space="0" w:color="auto"/>
            </w:tcBorders>
            <w:shd w:val="clear" w:color="auto" w:fill="auto"/>
            <w:noWrap/>
            <w:vAlign w:val="center"/>
            <w:hideMark/>
          </w:tcPr>
          <w:p w14:paraId="61D68768" w14:textId="77777777" w:rsidR="004935C6" w:rsidRPr="008B33E0" w:rsidRDefault="004935C6" w:rsidP="004935C6">
            <w:pPr>
              <w:spacing w:after="0" w:line="240" w:lineRule="auto"/>
              <w:jc w:val="center"/>
              <w:rPr>
                <w:rFonts w:ascii="Cambria" w:eastAsia="Times New Roman" w:hAnsi="Cambria" w:cs="Helvetica"/>
                <w:sz w:val="20"/>
                <w:szCs w:val="20"/>
                <w:lang w:eastAsia="ko-KR"/>
              </w:rPr>
            </w:pPr>
            <w:r>
              <w:rPr>
                <w:rFonts w:ascii="Cambria" w:eastAsia="Times New Roman" w:hAnsi="Cambria" w:cs="Helvetica"/>
                <w:sz w:val="20"/>
                <w:szCs w:val="20"/>
                <w:lang w:eastAsia="ko-KR"/>
              </w:rPr>
              <w:t>Additional r</w:t>
            </w:r>
            <w:r w:rsidRPr="008B33E0">
              <w:rPr>
                <w:rFonts w:ascii="Cambria" w:eastAsia="Times New Roman" w:hAnsi="Cambria" w:cs="Helvetica"/>
                <w:sz w:val="20"/>
                <w:szCs w:val="20"/>
                <w:lang w:eastAsia="ko-KR"/>
              </w:rPr>
              <w:t xml:space="preserve">evenue </w:t>
            </w:r>
            <w:r>
              <w:rPr>
                <w:rFonts w:ascii="Cambria" w:eastAsia="Times New Roman" w:hAnsi="Cambria" w:cs="Helvetica"/>
                <w:sz w:val="20"/>
                <w:szCs w:val="20"/>
                <w:lang w:eastAsia="ko-KR"/>
              </w:rPr>
              <w:t xml:space="preserve">impact </w:t>
            </w:r>
            <w:r w:rsidRPr="008B33E0">
              <w:rPr>
                <w:rFonts w:ascii="Cambria" w:eastAsia="Times New Roman" w:hAnsi="Cambria" w:cs="Helvetica"/>
                <w:sz w:val="20"/>
                <w:szCs w:val="20"/>
                <w:lang w:eastAsia="ko-KR"/>
              </w:rPr>
              <w:t>($000)</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59C2F" w14:textId="77777777" w:rsidR="004935C6" w:rsidRPr="008B33E0" w:rsidRDefault="004935C6" w:rsidP="004935C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-$941</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14:paraId="1E15BD7F" w14:textId="77777777" w:rsidR="004935C6" w:rsidRPr="008B33E0" w:rsidRDefault="004935C6" w:rsidP="004935C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-$2,047</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14:paraId="431385E1" w14:textId="77777777" w:rsidR="004935C6" w:rsidRPr="008B33E0" w:rsidRDefault="004935C6" w:rsidP="004935C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-$2,266</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14:paraId="5F03F349" w14:textId="77777777" w:rsidR="004935C6" w:rsidRPr="008B33E0" w:rsidRDefault="004935C6" w:rsidP="004935C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-$2,406</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14:paraId="35991C99" w14:textId="77777777" w:rsidR="004935C6" w:rsidRPr="008B33E0" w:rsidRDefault="004935C6" w:rsidP="004935C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-$2,438</w:t>
            </w:r>
          </w:p>
        </w:tc>
      </w:tr>
    </w:tbl>
    <w:p w14:paraId="49BA25B5" w14:textId="77777777" w:rsidR="00464D5E" w:rsidRPr="00304366" w:rsidRDefault="00464D5E" w:rsidP="00464D5E">
      <w:pPr>
        <w:spacing w:after="0"/>
        <w:rPr>
          <w:rFonts w:asciiTheme="majorHAnsi" w:eastAsiaTheme="majorEastAsia" w:hAnsiTheme="majorHAnsi" w:cstheme="majorBidi"/>
          <w:bCs/>
          <w:color w:val="000000" w:themeColor="text1"/>
          <w:sz w:val="20"/>
          <w:szCs w:val="20"/>
        </w:rPr>
      </w:pPr>
      <w:r w:rsidRPr="00304366">
        <w:rPr>
          <w:rFonts w:asciiTheme="majorHAnsi" w:eastAsiaTheme="majorEastAsia" w:hAnsiTheme="majorHAnsi" w:cstheme="majorBidi"/>
          <w:bCs/>
          <w:color w:val="000000" w:themeColor="text1"/>
          <w:sz w:val="20"/>
          <w:szCs w:val="20"/>
        </w:rPr>
        <w:t>*</w:t>
      </w:r>
      <w:r w:rsidRPr="001E30CF">
        <w:rPr>
          <w:rFonts w:asciiTheme="majorHAnsi" w:eastAsiaTheme="majorEastAsia" w:hAnsiTheme="majorHAnsi" w:cstheme="majorBidi"/>
          <w:bCs/>
          <w:color w:val="000000" w:themeColor="text1"/>
          <w:sz w:val="20"/>
          <w:szCs w:val="20"/>
        </w:rPr>
        <w:t xml:space="preserve"> </w:t>
      </w:r>
      <w:r w:rsidRPr="00304366">
        <w:rPr>
          <w:rFonts w:asciiTheme="majorHAnsi" w:eastAsiaTheme="majorEastAsia" w:hAnsiTheme="majorHAnsi" w:cstheme="majorBidi"/>
          <w:bCs/>
          <w:color w:val="000000" w:themeColor="text1"/>
          <w:sz w:val="20"/>
          <w:szCs w:val="20"/>
        </w:rPr>
        <w:t>This table report</w:t>
      </w:r>
      <w:r>
        <w:rPr>
          <w:rFonts w:asciiTheme="majorHAnsi" w:eastAsiaTheme="majorEastAsia" w:hAnsiTheme="majorHAnsi" w:cstheme="majorBidi"/>
          <w:bCs/>
          <w:color w:val="000000" w:themeColor="text1"/>
          <w:sz w:val="20"/>
          <w:szCs w:val="20"/>
        </w:rPr>
        <w:t>s</w:t>
      </w:r>
      <w:r w:rsidRPr="00304366">
        <w:rPr>
          <w:rFonts w:asciiTheme="majorHAnsi" w:eastAsiaTheme="majorEastAsia" w:hAnsiTheme="majorHAnsi" w:cstheme="majorBidi"/>
          <w:bCs/>
          <w:color w:val="000000" w:themeColor="text1"/>
          <w:sz w:val="20"/>
          <w:szCs w:val="20"/>
        </w:rPr>
        <w:t xml:space="preserve"> the lost revenues from the foregone economic activit</w:t>
      </w:r>
      <w:r>
        <w:rPr>
          <w:rFonts w:asciiTheme="majorHAnsi" w:eastAsiaTheme="majorEastAsia" w:hAnsiTheme="majorHAnsi" w:cstheme="majorBidi"/>
          <w:bCs/>
          <w:color w:val="000000" w:themeColor="text1"/>
          <w:sz w:val="20"/>
          <w:szCs w:val="20"/>
        </w:rPr>
        <w:t>y</w:t>
      </w:r>
      <w:r w:rsidRPr="00304366">
        <w:rPr>
          <w:rFonts w:asciiTheme="majorHAnsi" w:eastAsiaTheme="majorEastAsia" w:hAnsiTheme="majorHAnsi" w:cstheme="majorBidi"/>
          <w:bCs/>
          <w:color w:val="000000" w:themeColor="text1"/>
          <w:sz w:val="20"/>
          <w:szCs w:val="20"/>
        </w:rPr>
        <w:t xml:space="preserve"> as the state </w:t>
      </w:r>
      <w:r>
        <w:rPr>
          <w:rFonts w:asciiTheme="majorHAnsi" w:eastAsiaTheme="majorEastAsia" w:hAnsiTheme="majorHAnsi" w:cstheme="majorBidi"/>
          <w:bCs/>
          <w:color w:val="000000" w:themeColor="text1"/>
          <w:sz w:val="20"/>
          <w:szCs w:val="20"/>
        </w:rPr>
        <w:t>reduced</w:t>
      </w:r>
      <w:r w:rsidRPr="00304366">
        <w:rPr>
          <w:rFonts w:asciiTheme="majorHAnsi" w:eastAsiaTheme="majorEastAsia" w:hAnsiTheme="majorHAnsi" w:cstheme="majorBidi"/>
          <w:bCs/>
          <w:color w:val="000000" w:themeColor="text1"/>
          <w:sz w:val="20"/>
          <w:szCs w:val="20"/>
        </w:rPr>
        <w:t xml:space="preserve"> government spending to finance the </w:t>
      </w:r>
      <w:r w:rsidR="001262F8">
        <w:rPr>
          <w:rFonts w:asciiTheme="majorHAnsi" w:eastAsiaTheme="majorEastAsia" w:hAnsiTheme="majorHAnsi" w:cstheme="majorBidi"/>
          <w:bCs/>
          <w:color w:val="000000" w:themeColor="text1"/>
          <w:sz w:val="20"/>
          <w:szCs w:val="20"/>
        </w:rPr>
        <w:t>EDIP credit</w:t>
      </w:r>
      <w:r w:rsidRPr="00304366">
        <w:rPr>
          <w:rFonts w:asciiTheme="majorHAnsi" w:eastAsiaTheme="majorEastAsia" w:hAnsiTheme="majorHAnsi" w:cstheme="majorBidi"/>
          <w:bCs/>
          <w:color w:val="000000" w:themeColor="text1"/>
          <w:sz w:val="20"/>
          <w:szCs w:val="20"/>
        </w:rPr>
        <w:t>.</w:t>
      </w:r>
    </w:p>
    <w:p w14:paraId="054570D1" w14:textId="77777777" w:rsidR="00464D5E" w:rsidRDefault="00464D5E" w:rsidP="00464D5E">
      <w:pPr>
        <w:spacing w:after="0"/>
        <w:rPr>
          <w:rFonts w:asciiTheme="majorHAnsi" w:eastAsiaTheme="majorEastAsia" w:hAnsiTheme="majorHAnsi" w:cstheme="majorBidi"/>
          <w:bCs/>
          <w:color w:val="000000" w:themeColor="text1"/>
          <w:sz w:val="24"/>
          <w:szCs w:val="24"/>
        </w:rPr>
      </w:pPr>
    </w:p>
    <w:p w14:paraId="5405B028" w14:textId="77777777" w:rsidR="00464D5E" w:rsidRDefault="00464D5E" w:rsidP="00464D5E">
      <w:pPr>
        <w:spacing w:after="0"/>
        <w:jc w:val="center"/>
        <w:rPr>
          <w:rFonts w:asciiTheme="majorHAnsi" w:eastAsiaTheme="majorEastAsia" w:hAnsiTheme="majorHAnsi" w:cstheme="majorBidi"/>
          <w:b/>
          <w:color w:val="000000" w:themeColor="text1"/>
          <w:sz w:val="24"/>
          <w:szCs w:val="24"/>
        </w:rPr>
      </w:pPr>
      <w:r w:rsidRPr="00366FFC">
        <w:rPr>
          <w:rFonts w:asciiTheme="majorHAnsi" w:eastAsiaTheme="majorEastAsia" w:hAnsiTheme="majorHAnsi" w:cstheme="majorBidi"/>
          <w:b/>
          <w:color w:val="000000" w:themeColor="text1"/>
          <w:sz w:val="24"/>
          <w:szCs w:val="24"/>
        </w:rPr>
        <w:t xml:space="preserve">Table </w:t>
      </w:r>
      <w:r>
        <w:rPr>
          <w:rFonts w:asciiTheme="majorHAnsi" w:eastAsiaTheme="majorEastAsia" w:hAnsiTheme="majorHAnsi" w:cstheme="majorBidi"/>
          <w:b/>
          <w:color w:val="000000" w:themeColor="text1"/>
          <w:sz w:val="24"/>
          <w:szCs w:val="24"/>
        </w:rPr>
        <w:t>A2</w:t>
      </w:r>
      <w:r w:rsidRPr="00366FFC">
        <w:rPr>
          <w:rFonts w:asciiTheme="majorHAnsi" w:eastAsiaTheme="majorEastAsia" w:hAnsiTheme="majorHAnsi" w:cstheme="majorBidi"/>
          <w:b/>
          <w:color w:val="000000" w:themeColor="text1"/>
          <w:sz w:val="24"/>
          <w:szCs w:val="24"/>
        </w:rPr>
        <w:t xml:space="preserve">. </w:t>
      </w:r>
      <w:r>
        <w:rPr>
          <w:rFonts w:asciiTheme="majorHAnsi" w:eastAsiaTheme="majorEastAsia" w:hAnsiTheme="majorHAnsi" w:cstheme="majorBidi"/>
          <w:b/>
          <w:color w:val="000000" w:themeColor="text1"/>
          <w:sz w:val="24"/>
          <w:szCs w:val="24"/>
        </w:rPr>
        <w:t>Economic Impacts due to Decreased Government Spending by Selected Economic Measure*</w:t>
      </w:r>
    </w:p>
    <w:tbl>
      <w:tblPr>
        <w:tblW w:w="9265" w:type="dxa"/>
        <w:jc w:val="center"/>
        <w:tblLook w:val="04A0" w:firstRow="1" w:lastRow="0" w:firstColumn="1" w:lastColumn="0" w:noHBand="0" w:noVBand="1"/>
      </w:tblPr>
      <w:tblGrid>
        <w:gridCol w:w="2735"/>
        <w:gridCol w:w="1323"/>
        <w:gridCol w:w="1323"/>
        <w:gridCol w:w="1323"/>
        <w:gridCol w:w="1323"/>
        <w:gridCol w:w="1238"/>
      </w:tblGrid>
      <w:tr w:rsidR="00464D5E" w:rsidRPr="00DC336F" w14:paraId="343A669C" w14:textId="77777777" w:rsidTr="00464D5E">
        <w:trPr>
          <w:trHeight w:val="380"/>
          <w:jc w:val="center"/>
        </w:trPr>
        <w:tc>
          <w:tcPr>
            <w:tcW w:w="2735"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7943CB24" w14:textId="77777777" w:rsidR="00464D5E" w:rsidRPr="00DC336F" w:rsidRDefault="00464D5E" w:rsidP="00464D5E">
            <w:pPr>
              <w:spacing w:after="0" w:line="240" w:lineRule="auto"/>
              <w:jc w:val="center"/>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Calendar Year</w:t>
            </w:r>
          </w:p>
        </w:tc>
        <w:tc>
          <w:tcPr>
            <w:tcW w:w="1323" w:type="dxa"/>
            <w:tcBorders>
              <w:top w:val="single" w:sz="4" w:space="0" w:color="auto"/>
              <w:left w:val="nil"/>
              <w:bottom w:val="single" w:sz="4" w:space="0" w:color="auto"/>
              <w:right w:val="single" w:sz="4" w:space="0" w:color="auto"/>
            </w:tcBorders>
            <w:shd w:val="clear" w:color="000000" w:fill="B7DEE8"/>
            <w:noWrap/>
            <w:vAlign w:val="center"/>
            <w:hideMark/>
          </w:tcPr>
          <w:p w14:paraId="38D51166" w14:textId="77777777" w:rsidR="00464D5E" w:rsidRPr="00DC336F" w:rsidRDefault="00464D5E" w:rsidP="00464D5E">
            <w:pPr>
              <w:spacing w:after="0" w:line="240" w:lineRule="auto"/>
              <w:jc w:val="center"/>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2018</w:t>
            </w:r>
          </w:p>
        </w:tc>
        <w:tc>
          <w:tcPr>
            <w:tcW w:w="1323" w:type="dxa"/>
            <w:tcBorders>
              <w:top w:val="single" w:sz="4" w:space="0" w:color="auto"/>
              <w:left w:val="nil"/>
              <w:bottom w:val="single" w:sz="4" w:space="0" w:color="auto"/>
              <w:right w:val="single" w:sz="4" w:space="0" w:color="auto"/>
            </w:tcBorders>
            <w:shd w:val="clear" w:color="000000" w:fill="B7DEE8"/>
            <w:noWrap/>
            <w:vAlign w:val="center"/>
            <w:hideMark/>
          </w:tcPr>
          <w:p w14:paraId="6109507E" w14:textId="77777777" w:rsidR="00464D5E" w:rsidRPr="00DC336F" w:rsidRDefault="00464D5E" w:rsidP="00464D5E">
            <w:pPr>
              <w:spacing w:after="0" w:line="240" w:lineRule="auto"/>
              <w:jc w:val="center"/>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2019</w:t>
            </w:r>
          </w:p>
        </w:tc>
        <w:tc>
          <w:tcPr>
            <w:tcW w:w="1323" w:type="dxa"/>
            <w:tcBorders>
              <w:top w:val="single" w:sz="4" w:space="0" w:color="auto"/>
              <w:left w:val="nil"/>
              <w:bottom w:val="single" w:sz="4" w:space="0" w:color="auto"/>
              <w:right w:val="single" w:sz="4" w:space="0" w:color="auto"/>
            </w:tcBorders>
            <w:shd w:val="clear" w:color="000000" w:fill="B7DEE8"/>
            <w:noWrap/>
            <w:vAlign w:val="center"/>
            <w:hideMark/>
          </w:tcPr>
          <w:p w14:paraId="3D61D4D4" w14:textId="77777777" w:rsidR="00464D5E" w:rsidRPr="00DC336F" w:rsidRDefault="00464D5E" w:rsidP="00464D5E">
            <w:pPr>
              <w:spacing w:after="0" w:line="240" w:lineRule="auto"/>
              <w:jc w:val="center"/>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2020</w:t>
            </w:r>
          </w:p>
        </w:tc>
        <w:tc>
          <w:tcPr>
            <w:tcW w:w="1323" w:type="dxa"/>
            <w:tcBorders>
              <w:top w:val="single" w:sz="4" w:space="0" w:color="auto"/>
              <w:left w:val="nil"/>
              <w:bottom w:val="single" w:sz="4" w:space="0" w:color="auto"/>
              <w:right w:val="single" w:sz="4" w:space="0" w:color="auto"/>
            </w:tcBorders>
            <w:shd w:val="clear" w:color="000000" w:fill="B7DEE8"/>
            <w:noWrap/>
            <w:vAlign w:val="center"/>
            <w:hideMark/>
          </w:tcPr>
          <w:p w14:paraId="6D2EA7CC" w14:textId="77777777" w:rsidR="00464D5E" w:rsidRPr="00DC336F" w:rsidRDefault="00464D5E" w:rsidP="00464D5E">
            <w:pPr>
              <w:spacing w:after="0" w:line="240" w:lineRule="auto"/>
              <w:jc w:val="center"/>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2021</w:t>
            </w:r>
          </w:p>
        </w:tc>
        <w:tc>
          <w:tcPr>
            <w:tcW w:w="1238" w:type="dxa"/>
            <w:tcBorders>
              <w:top w:val="single" w:sz="4" w:space="0" w:color="auto"/>
              <w:left w:val="nil"/>
              <w:bottom w:val="single" w:sz="4" w:space="0" w:color="auto"/>
              <w:right w:val="single" w:sz="4" w:space="0" w:color="auto"/>
            </w:tcBorders>
            <w:shd w:val="clear" w:color="000000" w:fill="B7DEE8"/>
            <w:noWrap/>
            <w:vAlign w:val="center"/>
            <w:hideMark/>
          </w:tcPr>
          <w:p w14:paraId="31E834B2" w14:textId="77777777" w:rsidR="00464D5E" w:rsidRPr="00DC336F" w:rsidRDefault="00464D5E" w:rsidP="00464D5E">
            <w:pPr>
              <w:spacing w:after="0" w:line="240" w:lineRule="auto"/>
              <w:jc w:val="center"/>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2022</w:t>
            </w:r>
          </w:p>
        </w:tc>
      </w:tr>
      <w:tr w:rsidR="004935C6" w:rsidRPr="00DC336F" w14:paraId="53E998FC" w14:textId="77777777" w:rsidTr="00464D5E">
        <w:trPr>
          <w:trHeight w:val="540"/>
          <w:jc w:val="center"/>
        </w:trPr>
        <w:tc>
          <w:tcPr>
            <w:tcW w:w="2735" w:type="dxa"/>
            <w:tcBorders>
              <w:top w:val="nil"/>
              <w:left w:val="single" w:sz="4" w:space="0" w:color="auto"/>
              <w:bottom w:val="single" w:sz="4" w:space="0" w:color="auto"/>
              <w:right w:val="single" w:sz="4" w:space="0" w:color="auto"/>
            </w:tcBorders>
            <w:shd w:val="clear" w:color="auto" w:fill="auto"/>
            <w:vAlign w:val="center"/>
            <w:hideMark/>
          </w:tcPr>
          <w:p w14:paraId="3F7F2F43" w14:textId="77777777" w:rsidR="004935C6" w:rsidRPr="00DC336F" w:rsidRDefault="004935C6" w:rsidP="004935C6">
            <w:pPr>
              <w:spacing w:after="0" w:line="240" w:lineRule="auto"/>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Impact on total employment</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4E6D9" w14:textId="77777777" w:rsidR="004935C6" w:rsidRPr="00DC336F" w:rsidRDefault="004935C6" w:rsidP="004935C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-511</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2758CD94" w14:textId="77777777" w:rsidR="004935C6" w:rsidRPr="00DC336F" w:rsidRDefault="004935C6" w:rsidP="004935C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-518</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14D369D4" w14:textId="77777777" w:rsidR="004935C6" w:rsidRPr="00DC336F" w:rsidRDefault="004935C6" w:rsidP="004935C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-526</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0D8FB34D" w14:textId="77777777" w:rsidR="004935C6" w:rsidRPr="00DC336F" w:rsidRDefault="004935C6" w:rsidP="004935C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-498</w:t>
            </w: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E36CF" w14:textId="77777777" w:rsidR="004935C6" w:rsidRPr="00DC336F" w:rsidRDefault="004935C6" w:rsidP="004935C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-464</w:t>
            </w:r>
          </w:p>
        </w:tc>
      </w:tr>
      <w:tr w:rsidR="004935C6" w:rsidRPr="00DC336F" w14:paraId="4684798B" w14:textId="77777777" w:rsidTr="00464D5E">
        <w:trPr>
          <w:trHeight w:val="500"/>
          <w:jc w:val="center"/>
        </w:trPr>
        <w:tc>
          <w:tcPr>
            <w:tcW w:w="2735" w:type="dxa"/>
            <w:tcBorders>
              <w:top w:val="nil"/>
              <w:left w:val="single" w:sz="4" w:space="0" w:color="auto"/>
              <w:bottom w:val="single" w:sz="4" w:space="0" w:color="auto"/>
              <w:right w:val="single" w:sz="4" w:space="0" w:color="auto"/>
            </w:tcBorders>
            <w:shd w:val="clear" w:color="auto" w:fill="auto"/>
            <w:vAlign w:val="center"/>
            <w:hideMark/>
          </w:tcPr>
          <w:p w14:paraId="439EEA11" w14:textId="77777777" w:rsidR="004935C6" w:rsidRPr="00DC336F" w:rsidRDefault="004935C6" w:rsidP="004935C6">
            <w:pPr>
              <w:spacing w:after="0" w:line="240" w:lineRule="auto"/>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Impact on private non-farm employment</w:t>
            </w:r>
          </w:p>
        </w:tc>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428664F1" w14:textId="77777777" w:rsidR="004935C6" w:rsidRPr="00DC336F" w:rsidRDefault="004935C6" w:rsidP="004935C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-282</w:t>
            </w:r>
          </w:p>
        </w:tc>
        <w:tc>
          <w:tcPr>
            <w:tcW w:w="1323" w:type="dxa"/>
            <w:tcBorders>
              <w:top w:val="nil"/>
              <w:left w:val="nil"/>
              <w:bottom w:val="single" w:sz="4" w:space="0" w:color="auto"/>
              <w:right w:val="single" w:sz="4" w:space="0" w:color="auto"/>
            </w:tcBorders>
            <w:shd w:val="clear" w:color="auto" w:fill="auto"/>
            <w:noWrap/>
            <w:vAlign w:val="center"/>
            <w:hideMark/>
          </w:tcPr>
          <w:p w14:paraId="38DB586E" w14:textId="77777777" w:rsidR="004935C6" w:rsidRPr="00DC336F" w:rsidRDefault="004935C6" w:rsidP="004935C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-285</w:t>
            </w:r>
          </w:p>
        </w:tc>
        <w:tc>
          <w:tcPr>
            <w:tcW w:w="1323" w:type="dxa"/>
            <w:tcBorders>
              <w:top w:val="nil"/>
              <w:left w:val="nil"/>
              <w:bottom w:val="single" w:sz="4" w:space="0" w:color="auto"/>
              <w:right w:val="single" w:sz="4" w:space="0" w:color="auto"/>
            </w:tcBorders>
            <w:shd w:val="clear" w:color="auto" w:fill="auto"/>
            <w:noWrap/>
            <w:vAlign w:val="center"/>
            <w:hideMark/>
          </w:tcPr>
          <w:p w14:paraId="51DC367F" w14:textId="77777777" w:rsidR="004935C6" w:rsidRPr="00DC336F" w:rsidRDefault="004935C6" w:rsidP="004935C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-291</w:t>
            </w:r>
          </w:p>
        </w:tc>
        <w:tc>
          <w:tcPr>
            <w:tcW w:w="1323" w:type="dxa"/>
            <w:tcBorders>
              <w:top w:val="nil"/>
              <w:left w:val="nil"/>
              <w:bottom w:val="single" w:sz="4" w:space="0" w:color="auto"/>
              <w:right w:val="single" w:sz="4" w:space="0" w:color="auto"/>
            </w:tcBorders>
            <w:shd w:val="clear" w:color="auto" w:fill="auto"/>
            <w:noWrap/>
            <w:vAlign w:val="center"/>
            <w:hideMark/>
          </w:tcPr>
          <w:p w14:paraId="08238B5E" w14:textId="77777777" w:rsidR="004935C6" w:rsidRPr="00DC336F" w:rsidRDefault="004935C6" w:rsidP="004935C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-271</w:t>
            </w:r>
          </w:p>
        </w:tc>
        <w:tc>
          <w:tcPr>
            <w:tcW w:w="1238" w:type="dxa"/>
            <w:tcBorders>
              <w:top w:val="nil"/>
              <w:left w:val="single" w:sz="4" w:space="0" w:color="auto"/>
              <w:bottom w:val="single" w:sz="4" w:space="0" w:color="auto"/>
              <w:right w:val="single" w:sz="4" w:space="0" w:color="auto"/>
            </w:tcBorders>
            <w:shd w:val="clear" w:color="auto" w:fill="auto"/>
            <w:noWrap/>
            <w:vAlign w:val="center"/>
            <w:hideMark/>
          </w:tcPr>
          <w:p w14:paraId="56A657D5" w14:textId="77777777" w:rsidR="004935C6" w:rsidRPr="00DC336F" w:rsidRDefault="004935C6" w:rsidP="004935C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-246</w:t>
            </w:r>
          </w:p>
        </w:tc>
      </w:tr>
      <w:tr w:rsidR="004935C6" w:rsidRPr="00DC336F" w14:paraId="197613E7" w14:textId="77777777" w:rsidTr="00464D5E">
        <w:trPr>
          <w:trHeight w:val="500"/>
          <w:jc w:val="center"/>
        </w:trPr>
        <w:tc>
          <w:tcPr>
            <w:tcW w:w="2735" w:type="dxa"/>
            <w:tcBorders>
              <w:top w:val="nil"/>
              <w:left w:val="single" w:sz="4" w:space="0" w:color="auto"/>
              <w:bottom w:val="single" w:sz="4" w:space="0" w:color="auto"/>
              <w:right w:val="single" w:sz="4" w:space="0" w:color="auto"/>
            </w:tcBorders>
            <w:shd w:val="clear" w:color="auto" w:fill="auto"/>
            <w:vAlign w:val="center"/>
            <w:hideMark/>
          </w:tcPr>
          <w:p w14:paraId="6337AA4D" w14:textId="77777777" w:rsidR="004935C6" w:rsidRPr="00DC336F" w:rsidRDefault="004935C6" w:rsidP="004935C6">
            <w:pPr>
              <w:spacing w:after="0" w:line="240" w:lineRule="auto"/>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Impact on GDP ($000), real dollars (2012)</w:t>
            </w:r>
          </w:p>
        </w:tc>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698D3FE2" w14:textId="77777777" w:rsidR="004935C6" w:rsidRPr="00DC336F" w:rsidRDefault="004935C6" w:rsidP="004935C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-$44,000</w:t>
            </w:r>
          </w:p>
        </w:tc>
        <w:tc>
          <w:tcPr>
            <w:tcW w:w="1323" w:type="dxa"/>
            <w:tcBorders>
              <w:top w:val="nil"/>
              <w:left w:val="nil"/>
              <w:bottom w:val="single" w:sz="4" w:space="0" w:color="auto"/>
              <w:right w:val="single" w:sz="4" w:space="0" w:color="auto"/>
            </w:tcBorders>
            <w:shd w:val="clear" w:color="auto" w:fill="auto"/>
            <w:noWrap/>
            <w:vAlign w:val="center"/>
            <w:hideMark/>
          </w:tcPr>
          <w:p w14:paraId="6AD8C13A" w14:textId="77777777" w:rsidR="004935C6" w:rsidRPr="00DC336F" w:rsidRDefault="004935C6" w:rsidP="004935C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-$45,000</w:t>
            </w:r>
          </w:p>
        </w:tc>
        <w:tc>
          <w:tcPr>
            <w:tcW w:w="1323" w:type="dxa"/>
            <w:tcBorders>
              <w:top w:val="nil"/>
              <w:left w:val="nil"/>
              <w:bottom w:val="single" w:sz="4" w:space="0" w:color="auto"/>
              <w:right w:val="single" w:sz="4" w:space="0" w:color="auto"/>
            </w:tcBorders>
            <w:shd w:val="clear" w:color="auto" w:fill="auto"/>
            <w:noWrap/>
            <w:vAlign w:val="center"/>
            <w:hideMark/>
          </w:tcPr>
          <w:p w14:paraId="1879BF24" w14:textId="77777777" w:rsidR="004935C6" w:rsidRPr="00DC336F" w:rsidRDefault="004935C6" w:rsidP="004935C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-$46,000</w:t>
            </w:r>
          </w:p>
        </w:tc>
        <w:tc>
          <w:tcPr>
            <w:tcW w:w="1323" w:type="dxa"/>
            <w:tcBorders>
              <w:top w:val="nil"/>
              <w:left w:val="nil"/>
              <w:bottom w:val="single" w:sz="4" w:space="0" w:color="auto"/>
              <w:right w:val="single" w:sz="4" w:space="0" w:color="auto"/>
            </w:tcBorders>
            <w:shd w:val="clear" w:color="auto" w:fill="auto"/>
            <w:noWrap/>
            <w:vAlign w:val="center"/>
            <w:hideMark/>
          </w:tcPr>
          <w:p w14:paraId="11A67F4E" w14:textId="77777777" w:rsidR="004935C6" w:rsidRPr="00DC336F" w:rsidRDefault="004935C6" w:rsidP="004935C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-$44,000</w:t>
            </w:r>
          </w:p>
        </w:tc>
        <w:tc>
          <w:tcPr>
            <w:tcW w:w="1238" w:type="dxa"/>
            <w:tcBorders>
              <w:top w:val="nil"/>
              <w:left w:val="single" w:sz="4" w:space="0" w:color="auto"/>
              <w:bottom w:val="single" w:sz="4" w:space="0" w:color="auto"/>
              <w:right w:val="single" w:sz="4" w:space="0" w:color="auto"/>
            </w:tcBorders>
            <w:shd w:val="clear" w:color="auto" w:fill="auto"/>
            <w:noWrap/>
            <w:vAlign w:val="center"/>
            <w:hideMark/>
          </w:tcPr>
          <w:p w14:paraId="3B6E81CB" w14:textId="77777777" w:rsidR="004935C6" w:rsidRPr="00DC336F" w:rsidRDefault="004935C6" w:rsidP="004935C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-$42,000</w:t>
            </w:r>
          </w:p>
        </w:tc>
      </w:tr>
      <w:tr w:rsidR="004935C6" w:rsidRPr="00DC336F" w14:paraId="3E4CE8C8" w14:textId="77777777" w:rsidTr="00464D5E">
        <w:trPr>
          <w:trHeight w:val="500"/>
          <w:jc w:val="center"/>
        </w:trPr>
        <w:tc>
          <w:tcPr>
            <w:tcW w:w="2735" w:type="dxa"/>
            <w:tcBorders>
              <w:top w:val="nil"/>
              <w:left w:val="single" w:sz="4" w:space="0" w:color="auto"/>
              <w:bottom w:val="single" w:sz="4" w:space="0" w:color="auto"/>
              <w:right w:val="single" w:sz="4" w:space="0" w:color="auto"/>
            </w:tcBorders>
            <w:shd w:val="clear" w:color="auto" w:fill="auto"/>
            <w:vAlign w:val="center"/>
            <w:hideMark/>
          </w:tcPr>
          <w:p w14:paraId="61E63F83" w14:textId="77777777" w:rsidR="004935C6" w:rsidRPr="00DC336F" w:rsidRDefault="004935C6" w:rsidP="004935C6">
            <w:pPr>
              <w:spacing w:after="0" w:line="240" w:lineRule="auto"/>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Impact on personal income ($000)</w:t>
            </w:r>
          </w:p>
        </w:tc>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591F6013" w14:textId="77777777" w:rsidR="004935C6" w:rsidRPr="00DC336F" w:rsidRDefault="004935C6" w:rsidP="004935C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-$37,000</w:t>
            </w:r>
          </w:p>
        </w:tc>
        <w:tc>
          <w:tcPr>
            <w:tcW w:w="1323" w:type="dxa"/>
            <w:tcBorders>
              <w:top w:val="nil"/>
              <w:left w:val="nil"/>
              <w:bottom w:val="single" w:sz="4" w:space="0" w:color="auto"/>
              <w:right w:val="single" w:sz="4" w:space="0" w:color="auto"/>
            </w:tcBorders>
            <w:shd w:val="clear" w:color="auto" w:fill="auto"/>
            <w:noWrap/>
            <w:vAlign w:val="center"/>
            <w:hideMark/>
          </w:tcPr>
          <w:p w14:paraId="23B5B0CA" w14:textId="77777777" w:rsidR="004935C6" w:rsidRPr="00DC336F" w:rsidRDefault="004935C6" w:rsidP="004935C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-$41,000</w:t>
            </w:r>
          </w:p>
        </w:tc>
        <w:tc>
          <w:tcPr>
            <w:tcW w:w="1323" w:type="dxa"/>
            <w:tcBorders>
              <w:top w:val="nil"/>
              <w:left w:val="nil"/>
              <w:bottom w:val="single" w:sz="4" w:space="0" w:color="auto"/>
              <w:right w:val="single" w:sz="4" w:space="0" w:color="auto"/>
            </w:tcBorders>
            <w:shd w:val="clear" w:color="auto" w:fill="auto"/>
            <w:noWrap/>
            <w:vAlign w:val="center"/>
            <w:hideMark/>
          </w:tcPr>
          <w:p w14:paraId="0C4C00D7" w14:textId="77777777" w:rsidR="004935C6" w:rsidRPr="00DC336F" w:rsidRDefault="004935C6" w:rsidP="004935C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-$46,000</w:t>
            </w:r>
          </w:p>
        </w:tc>
        <w:tc>
          <w:tcPr>
            <w:tcW w:w="1323" w:type="dxa"/>
            <w:tcBorders>
              <w:top w:val="nil"/>
              <w:left w:val="nil"/>
              <w:bottom w:val="single" w:sz="4" w:space="0" w:color="auto"/>
              <w:right w:val="single" w:sz="4" w:space="0" w:color="auto"/>
            </w:tcBorders>
            <w:shd w:val="clear" w:color="auto" w:fill="auto"/>
            <w:noWrap/>
            <w:vAlign w:val="center"/>
            <w:hideMark/>
          </w:tcPr>
          <w:p w14:paraId="5AC8E835" w14:textId="77777777" w:rsidR="004935C6" w:rsidRPr="00DC336F" w:rsidRDefault="004935C6" w:rsidP="004935C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-$47,000</w:t>
            </w:r>
          </w:p>
        </w:tc>
        <w:tc>
          <w:tcPr>
            <w:tcW w:w="1238" w:type="dxa"/>
            <w:tcBorders>
              <w:top w:val="nil"/>
              <w:left w:val="single" w:sz="4" w:space="0" w:color="auto"/>
              <w:bottom w:val="single" w:sz="4" w:space="0" w:color="auto"/>
              <w:right w:val="single" w:sz="4" w:space="0" w:color="auto"/>
            </w:tcBorders>
            <w:shd w:val="clear" w:color="auto" w:fill="auto"/>
            <w:noWrap/>
            <w:vAlign w:val="center"/>
            <w:hideMark/>
          </w:tcPr>
          <w:p w14:paraId="68812A9E" w14:textId="77777777" w:rsidR="004935C6" w:rsidRPr="00DC336F" w:rsidRDefault="004935C6" w:rsidP="004935C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-$47,000</w:t>
            </w:r>
          </w:p>
        </w:tc>
      </w:tr>
    </w:tbl>
    <w:p w14:paraId="278B2463" w14:textId="77777777" w:rsidR="00464D5E" w:rsidRPr="00304366" w:rsidRDefault="00464D5E" w:rsidP="00464D5E">
      <w:pPr>
        <w:spacing w:after="0"/>
        <w:rPr>
          <w:rFonts w:asciiTheme="majorHAnsi" w:eastAsiaTheme="majorEastAsia" w:hAnsiTheme="majorHAnsi" w:cstheme="majorBidi"/>
          <w:bCs/>
          <w:color w:val="000000" w:themeColor="text1"/>
          <w:sz w:val="20"/>
          <w:szCs w:val="20"/>
        </w:rPr>
      </w:pPr>
      <w:r w:rsidRPr="008A3AB7">
        <w:rPr>
          <w:rFonts w:asciiTheme="majorHAnsi" w:eastAsiaTheme="majorEastAsia" w:hAnsiTheme="majorHAnsi" w:cstheme="majorBidi"/>
          <w:bCs/>
          <w:color w:val="000000" w:themeColor="text1"/>
          <w:sz w:val="20"/>
          <w:szCs w:val="20"/>
        </w:rPr>
        <w:t>*This table report</w:t>
      </w:r>
      <w:r>
        <w:rPr>
          <w:rFonts w:asciiTheme="majorHAnsi" w:eastAsiaTheme="majorEastAsia" w:hAnsiTheme="majorHAnsi" w:cstheme="majorBidi"/>
          <w:bCs/>
          <w:color w:val="000000" w:themeColor="text1"/>
          <w:sz w:val="20"/>
          <w:szCs w:val="20"/>
        </w:rPr>
        <w:t>s</w:t>
      </w:r>
      <w:r w:rsidRPr="008A3AB7">
        <w:rPr>
          <w:rFonts w:asciiTheme="majorHAnsi" w:eastAsiaTheme="majorEastAsia" w:hAnsiTheme="majorHAnsi" w:cstheme="majorBidi"/>
          <w:bCs/>
          <w:color w:val="000000" w:themeColor="text1"/>
          <w:sz w:val="20"/>
          <w:szCs w:val="20"/>
        </w:rPr>
        <w:t xml:space="preserve"> the </w:t>
      </w:r>
      <w:r>
        <w:rPr>
          <w:rFonts w:asciiTheme="majorHAnsi" w:eastAsiaTheme="majorEastAsia" w:hAnsiTheme="majorHAnsi" w:cstheme="majorBidi"/>
          <w:bCs/>
          <w:color w:val="000000" w:themeColor="text1"/>
          <w:sz w:val="20"/>
          <w:szCs w:val="20"/>
        </w:rPr>
        <w:t>lost</w:t>
      </w:r>
      <w:r w:rsidRPr="008A3AB7">
        <w:rPr>
          <w:rFonts w:asciiTheme="majorHAnsi" w:eastAsiaTheme="majorEastAsia" w:hAnsiTheme="majorHAnsi" w:cstheme="majorBidi"/>
          <w:bCs/>
          <w:color w:val="000000" w:themeColor="text1"/>
          <w:sz w:val="20"/>
          <w:szCs w:val="20"/>
        </w:rPr>
        <w:t xml:space="preserve"> economic activit</w:t>
      </w:r>
      <w:r>
        <w:rPr>
          <w:rFonts w:asciiTheme="majorHAnsi" w:eastAsiaTheme="majorEastAsia" w:hAnsiTheme="majorHAnsi" w:cstheme="majorBidi"/>
          <w:bCs/>
          <w:color w:val="000000" w:themeColor="text1"/>
          <w:sz w:val="20"/>
          <w:szCs w:val="20"/>
        </w:rPr>
        <w:t>y</w:t>
      </w:r>
      <w:r w:rsidRPr="008A3AB7">
        <w:rPr>
          <w:rFonts w:asciiTheme="majorHAnsi" w:eastAsiaTheme="majorEastAsia" w:hAnsiTheme="majorHAnsi" w:cstheme="majorBidi"/>
          <w:bCs/>
          <w:color w:val="000000" w:themeColor="text1"/>
          <w:sz w:val="20"/>
          <w:szCs w:val="20"/>
        </w:rPr>
        <w:t xml:space="preserve"> as the state </w:t>
      </w:r>
      <w:r>
        <w:rPr>
          <w:rFonts w:asciiTheme="majorHAnsi" w:eastAsiaTheme="majorEastAsia" w:hAnsiTheme="majorHAnsi" w:cstheme="majorBidi"/>
          <w:bCs/>
          <w:color w:val="000000" w:themeColor="text1"/>
          <w:sz w:val="20"/>
          <w:szCs w:val="20"/>
        </w:rPr>
        <w:t>reduced</w:t>
      </w:r>
      <w:r w:rsidRPr="008A3AB7">
        <w:rPr>
          <w:rFonts w:asciiTheme="majorHAnsi" w:eastAsiaTheme="majorEastAsia" w:hAnsiTheme="majorHAnsi" w:cstheme="majorBidi"/>
          <w:bCs/>
          <w:color w:val="000000" w:themeColor="text1"/>
          <w:sz w:val="20"/>
          <w:szCs w:val="20"/>
        </w:rPr>
        <w:t xml:space="preserve"> government spending to finance </w:t>
      </w:r>
      <w:r w:rsidRPr="00304366">
        <w:rPr>
          <w:rFonts w:asciiTheme="majorHAnsi" w:eastAsiaTheme="majorEastAsia" w:hAnsiTheme="majorHAnsi" w:cstheme="majorBidi"/>
          <w:bCs/>
          <w:color w:val="000000" w:themeColor="text1"/>
          <w:sz w:val="20"/>
          <w:szCs w:val="20"/>
        </w:rPr>
        <w:t xml:space="preserve">the </w:t>
      </w:r>
      <w:r w:rsidR="001262F8">
        <w:rPr>
          <w:rFonts w:asciiTheme="majorHAnsi" w:eastAsiaTheme="majorEastAsia" w:hAnsiTheme="majorHAnsi" w:cstheme="majorBidi"/>
          <w:bCs/>
          <w:color w:val="000000" w:themeColor="text1"/>
          <w:sz w:val="20"/>
          <w:szCs w:val="20"/>
        </w:rPr>
        <w:t>EDIP</w:t>
      </w:r>
      <w:r w:rsidRPr="00304366">
        <w:rPr>
          <w:rFonts w:asciiTheme="majorHAnsi" w:eastAsiaTheme="majorEastAsia" w:hAnsiTheme="majorHAnsi" w:cstheme="majorBidi"/>
          <w:bCs/>
          <w:color w:val="000000" w:themeColor="text1"/>
          <w:sz w:val="20"/>
          <w:szCs w:val="20"/>
        </w:rPr>
        <w:t>.</w:t>
      </w:r>
    </w:p>
    <w:p w14:paraId="1FFFBABD" w14:textId="77777777" w:rsidR="00464D5E" w:rsidRPr="008A3AB7" w:rsidRDefault="00464D5E" w:rsidP="00464D5E">
      <w:pPr>
        <w:spacing w:after="0"/>
        <w:rPr>
          <w:rFonts w:asciiTheme="majorHAnsi" w:eastAsiaTheme="majorEastAsia" w:hAnsiTheme="majorHAnsi" w:cstheme="majorBidi"/>
          <w:bCs/>
          <w:color w:val="000000" w:themeColor="text1"/>
          <w:sz w:val="20"/>
          <w:szCs w:val="20"/>
        </w:rPr>
      </w:pPr>
    </w:p>
    <w:p w14:paraId="30ABB728" w14:textId="77777777" w:rsidR="00464D5E" w:rsidRDefault="00464D5E" w:rsidP="00464D5E">
      <w:pPr>
        <w:rPr>
          <w:rFonts w:asciiTheme="majorHAnsi" w:hAnsiTheme="majorHAnsi"/>
          <w:bCs/>
          <w:sz w:val="24"/>
          <w:szCs w:val="24"/>
        </w:rPr>
      </w:pPr>
    </w:p>
    <w:p w14:paraId="469E52D8" w14:textId="77777777" w:rsidR="00464D5E" w:rsidRPr="00782E31" w:rsidRDefault="00464D5E" w:rsidP="00464D5E">
      <w:pPr>
        <w:rPr>
          <w:rFonts w:asciiTheme="majorHAnsi" w:hAnsiTheme="majorHAnsi"/>
          <w:b/>
          <w:sz w:val="24"/>
          <w:szCs w:val="24"/>
        </w:rPr>
      </w:pPr>
      <w:r w:rsidRPr="00924C01">
        <w:rPr>
          <w:rFonts w:asciiTheme="majorHAnsi" w:eastAsiaTheme="majorEastAsia" w:hAnsiTheme="majorHAnsi" w:cstheme="majorBidi"/>
          <w:bCs/>
          <w:i/>
          <w:iCs/>
          <w:color w:val="000000" w:themeColor="text1"/>
          <w:sz w:val="24"/>
          <w:szCs w:val="24"/>
        </w:rPr>
        <w:t xml:space="preserve">Indirect and Induced </w:t>
      </w:r>
      <w:r w:rsidRPr="00EB68D5">
        <w:rPr>
          <w:rFonts w:asciiTheme="majorHAnsi" w:eastAsiaTheme="majorEastAsia" w:hAnsiTheme="majorHAnsi" w:cstheme="majorBidi"/>
          <w:bCs/>
          <w:i/>
          <w:iCs/>
          <w:color w:val="000000" w:themeColor="text1"/>
          <w:sz w:val="24"/>
          <w:szCs w:val="24"/>
        </w:rPr>
        <w:t>Benefits</w:t>
      </w:r>
    </w:p>
    <w:p w14:paraId="42DD1617" w14:textId="142AFAFB" w:rsidR="00464D5E" w:rsidRDefault="00464D5E" w:rsidP="00464D5E">
      <w:pPr>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 xml:space="preserve">The cost savings due to the </w:t>
      </w:r>
      <w:r w:rsidR="001262F8">
        <w:rPr>
          <w:rFonts w:asciiTheme="majorHAnsi" w:eastAsiaTheme="majorEastAsia" w:hAnsiTheme="majorHAnsi" w:cstheme="majorBidi"/>
          <w:bCs/>
          <w:color w:val="000000" w:themeColor="text1"/>
          <w:sz w:val="24"/>
          <w:szCs w:val="24"/>
        </w:rPr>
        <w:t>EDIP credit</w:t>
      </w:r>
      <w:r>
        <w:rPr>
          <w:rFonts w:asciiTheme="majorHAnsi" w:eastAsiaTheme="majorEastAsia" w:hAnsiTheme="majorHAnsi" w:cstheme="majorBidi"/>
          <w:bCs/>
          <w:color w:val="000000" w:themeColor="text1"/>
          <w:sz w:val="24"/>
          <w:szCs w:val="24"/>
        </w:rPr>
        <w:t xml:space="preserve"> encourage the directly affected businesses to invest, expand, hire additional workers, etc. Such decisions would increase demand for goods and </w:t>
      </w:r>
      <w:r>
        <w:rPr>
          <w:rFonts w:asciiTheme="majorHAnsi" w:eastAsiaTheme="majorEastAsia" w:hAnsiTheme="majorHAnsi" w:cstheme="majorBidi"/>
          <w:bCs/>
          <w:color w:val="000000" w:themeColor="text1"/>
          <w:sz w:val="24"/>
          <w:szCs w:val="24"/>
        </w:rPr>
        <w:lastRenderedPageBreak/>
        <w:t xml:space="preserve">services provided by other individuals and businesses in the economy, or put another way, generate a “Multiplier Effect” (see discussion in the previous section) from the initial or direct benefits as reported in the text. As a result, the total benefits of the </w:t>
      </w:r>
      <w:r w:rsidR="001262F8">
        <w:rPr>
          <w:rFonts w:asciiTheme="majorHAnsi" w:eastAsiaTheme="majorEastAsia" w:hAnsiTheme="majorHAnsi" w:cstheme="majorBidi"/>
          <w:bCs/>
          <w:color w:val="000000" w:themeColor="text1"/>
          <w:sz w:val="24"/>
          <w:szCs w:val="24"/>
        </w:rPr>
        <w:t>EDIP credit</w:t>
      </w:r>
      <w:r>
        <w:rPr>
          <w:rFonts w:asciiTheme="majorHAnsi" w:eastAsiaTheme="majorEastAsia" w:hAnsiTheme="majorHAnsi" w:cstheme="majorBidi"/>
          <w:bCs/>
          <w:color w:val="000000" w:themeColor="text1"/>
          <w:sz w:val="24"/>
          <w:szCs w:val="24"/>
        </w:rPr>
        <w:t xml:space="preserve"> would be larger than the initial or direct benefits.</w:t>
      </w:r>
    </w:p>
    <w:p w14:paraId="36A5403B" w14:textId="77777777" w:rsidR="00464D5E" w:rsidRDefault="00464D5E" w:rsidP="00464D5E">
      <w:pPr>
        <w:spacing w:after="0"/>
        <w:rPr>
          <w:rFonts w:asciiTheme="majorHAnsi" w:eastAsiaTheme="majorEastAsia" w:hAnsiTheme="majorHAnsi" w:cstheme="majorBidi"/>
          <w:bCs/>
          <w:color w:val="000000" w:themeColor="text1"/>
          <w:sz w:val="24"/>
          <w:szCs w:val="24"/>
        </w:rPr>
      </w:pPr>
    </w:p>
    <w:p w14:paraId="7C9DE308" w14:textId="77777777" w:rsidR="00464D5E" w:rsidRDefault="00464D5E" w:rsidP="00464D5E">
      <w:pPr>
        <w:spacing w:after="0"/>
        <w:rPr>
          <w:rFonts w:asciiTheme="majorHAnsi" w:eastAsiaTheme="majorEastAsia" w:hAnsiTheme="majorHAnsi" w:cstheme="majorBidi"/>
          <w:bCs/>
          <w:color w:val="000000" w:themeColor="text1"/>
          <w:sz w:val="24"/>
          <w:szCs w:val="24"/>
        </w:rPr>
      </w:pPr>
      <w:r w:rsidRPr="00E0511F">
        <w:rPr>
          <w:rFonts w:asciiTheme="majorHAnsi" w:eastAsiaTheme="majorEastAsia" w:hAnsiTheme="majorHAnsi" w:cstheme="majorBidi"/>
          <w:bCs/>
          <w:i/>
          <w:iCs/>
          <w:color w:val="000000" w:themeColor="text1"/>
          <w:sz w:val="24"/>
          <w:szCs w:val="24"/>
        </w:rPr>
        <w:t>Quantifying t</w:t>
      </w:r>
      <w:r>
        <w:rPr>
          <w:rFonts w:asciiTheme="majorHAnsi" w:eastAsiaTheme="majorEastAsia" w:hAnsiTheme="majorHAnsi" w:cstheme="majorBidi"/>
          <w:bCs/>
          <w:i/>
          <w:iCs/>
          <w:color w:val="000000" w:themeColor="text1"/>
          <w:sz w:val="24"/>
          <w:szCs w:val="24"/>
        </w:rPr>
        <w:t>otal</w:t>
      </w:r>
      <w:r w:rsidRPr="00E0511F">
        <w:rPr>
          <w:rFonts w:asciiTheme="majorHAnsi" w:eastAsiaTheme="majorEastAsia" w:hAnsiTheme="majorHAnsi" w:cstheme="majorBidi"/>
          <w:bCs/>
          <w:i/>
          <w:iCs/>
          <w:color w:val="000000" w:themeColor="text1"/>
          <w:sz w:val="24"/>
          <w:szCs w:val="24"/>
        </w:rPr>
        <w:t xml:space="preserve"> </w:t>
      </w:r>
      <w:r>
        <w:rPr>
          <w:rFonts w:asciiTheme="majorHAnsi" w:eastAsiaTheme="majorEastAsia" w:hAnsiTheme="majorHAnsi" w:cstheme="majorBidi"/>
          <w:bCs/>
          <w:i/>
          <w:iCs/>
          <w:color w:val="000000" w:themeColor="text1"/>
          <w:sz w:val="24"/>
          <w:szCs w:val="24"/>
        </w:rPr>
        <w:t>benefits (direct, indirect and induced)</w:t>
      </w:r>
    </w:p>
    <w:p w14:paraId="501BB4AC" w14:textId="77777777" w:rsidR="00464D5E" w:rsidRDefault="00464D5E" w:rsidP="00464D5E">
      <w:pPr>
        <w:spacing w:after="0"/>
        <w:rPr>
          <w:rFonts w:asciiTheme="majorHAnsi" w:eastAsiaTheme="majorEastAsia" w:hAnsiTheme="majorHAnsi" w:cstheme="majorBidi"/>
          <w:noProof/>
          <w:color w:val="000000" w:themeColor="text1"/>
          <w:sz w:val="24"/>
          <w:szCs w:val="24"/>
        </w:rPr>
      </w:pPr>
      <w:r>
        <w:rPr>
          <w:rFonts w:asciiTheme="majorHAnsi" w:eastAsiaTheme="majorEastAsia" w:hAnsiTheme="majorHAnsi" w:cstheme="majorBidi"/>
          <w:bCs/>
          <w:color w:val="000000" w:themeColor="text1"/>
          <w:sz w:val="24"/>
          <w:szCs w:val="24"/>
        </w:rPr>
        <w:t xml:space="preserve">To quantify the total benefits, including indirect/induced benefits, we again employed Tax-PI.  A summary of the revenue impact of the </w:t>
      </w:r>
      <w:r w:rsidR="001262F8">
        <w:rPr>
          <w:rFonts w:asciiTheme="majorHAnsi" w:eastAsiaTheme="majorEastAsia" w:hAnsiTheme="majorHAnsi" w:cstheme="majorBidi"/>
          <w:bCs/>
          <w:color w:val="000000" w:themeColor="text1"/>
          <w:sz w:val="24"/>
          <w:szCs w:val="24"/>
        </w:rPr>
        <w:t xml:space="preserve">EDIP credit </w:t>
      </w:r>
      <w:r>
        <w:rPr>
          <w:rFonts w:asciiTheme="majorHAnsi" w:eastAsiaTheme="majorEastAsia" w:hAnsiTheme="majorHAnsi" w:cstheme="majorBidi"/>
          <w:noProof/>
          <w:color w:val="000000" w:themeColor="text1"/>
          <w:sz w:val="24"/>
          <w:szCs w:val="24"/>
        </w:rPr>
        <w:t>is reported in Table A</w:t>
      </w:r>
      <w:r w:rsidR="001262F8">
        <w:rPr>
          <w:rFonts w:asciiTheme="majorHAnsi" w:eastAsiaTheme="majorEastAsia" w:hAnsiTheme="majorHAnsi" w:cstheme="majorBidi"/>
          <w:noProof/>
          <w:color w:val="000000" w:themeColor="text1"/>
          <w:sz w:val="24"/>
          <w:szCs w:val="24"/>
        </w:rPr>
        <w:t>2-</w:t>
      </w:r>
      <w:r>
        <w:rPr>
          <w:rFonts w:asciiTheme="majorHAnsi" w:eastAsiaTheme="majorEastAsia" w:hAnsiTheme="majorHAnsi" w:cstheme="majorBidi"/>
          <w:noProof/>
          <w:color w:val="000000" w:themeColor="text1"/>
          <w:sz w:val="24"/>
          <w:szCs w:val="24"/>
        </w:rPr>
        <w:t xml:space="preserve">3, and the economic benefit from the </w:t>
      </w:r>
      <w:r w:rsidR="001262F8">
        <w:rPr>
          <w:rFonts w:asciiTheme="majorHAnsi" w:eastAsiaTheme="majorEastAsia" w:hAnsiTheme="majorHAnsi" w:cstheme="majorBidi"/>
          <w:bCs/>
          <w:color w:val="000000" w:themeColor="text1"/>
          <w:sz w:val="24"/>
          <w:szCs w:val="24"/>
        </w:rPr>
        <w:t xml:space="preserve">EDIP credit </w:t>
      </w:r>
      <w:r>
        <w:rPr>
          <w:rFonts w:asciiTheme="majorHAnsi" w:eastAsiaTheme="majorEastAsia" w:hAnsiTheme="majorHAnsi" w:cstheme="majorBidi"/>
          <w:noProof/>
          <w:color w:val="000000" w:themeColor="text1"/>
          <w:sz w:val="24"/>
          <w:szCs w:val="24"/>
        </w:rPr>
        <w:t>is reflected in Table A</w:t>
      </w:r>
      <w:r w:rsidR="001262F8">
        <w:rPr>
          <w:rFonts w:asciiTheme="majorHAnsi" w:eastAsiaTheme="majorEastAsia" w:hAnsiTheme="majorHAnsi" w:cstheme="majorBidi"/>
          <w:noProof/>
          <w:color w:val="000000" w:themeColor="text1"/>
          <w:sz w:val="24"/>
          <w:szCs w:val="24"/>
        </w:rPr>
        <w:t>2-</w:t>
      </w:r>
      <w:r>
        <w:rPr>
          <w:rFonts w:asciiTheme="majorHAnsi" w:eastAsiaTheme="majorEastAsia" w:hAnsiTheme="majorHAnsi" w:cstheme="majorBidi"/>
          <w:noProof/>
          <w:color w:val="000000" w:themeColor="text1"/>
          <w:sz w:val="24"/>
          <w:szCs w:val="24"/>
        </w:rPr>
        <w:t xml:space="preserve">4 below. The figures for 2018 and 2019 are estimates of benefits that the Massachusetts economy experienced and those for 2020, 2021 and 2022 are projections of the benefits that the Massachusetts economy will experience going forward.  </w:t>
      </w:r>
    </w:p>
    <w:p w14:paraId="51EF139C" w14:textId="77777777" w:rsidR="00464D5E" w:rsidRDefault="00464D5E" w:rsidP="00464D5E">
      <w:pPr>
        <w:spacing w:after="0"/>
        <w:rPr>
          <w:rFonts w:asciiTheme="majorHAnsi" w:eastAsiaTheme="majorEastAsia" w:hAnsiTheme="majorHAnsi" w:cstheme="majorBidi"/>
          <w:bCs/>
          <w:color w:val="000000" w:themeColor="text1"/>
          <w:sz w:val="24"/>
          <w:szCs w:val="24"/>
        </w:rPr>
      </w:pPr>
    </w:p>
    <w:p w14:paraId="5BD01B71" w14:textId="77777777" w:rsidR="00464D5E" w:rsidRDefault="00464D5E" w:rsidP="00464D5E">
      <w:pPr>
        <w:spacing w:after="0"/>
        <w:rPr>
          <w:rFonts w:asciiTheme="majorHAnsi" w:eastAsiaTheme="majorEastAsia" w:hAnsiTheme="majorHAnsi" w:cstheme="majorBidi"/>
          <w:bCs/>
          <w:color w:val="000000" w:themeColor="text1"/>
          <w:sz w:val="24"/>
          <w:szCs w:val="24"/>
        </w:rPr>
      </w:pPr>
      <w:r w:rsidRPr="009E0158">
        <w:rPr>
          <w:rFonts w:asciiTheme="majorHAnsi" w:eastAsiaTheme="majorEastAsia" w:hAnsiTheme="majorHAnsi" w:cstheme="majorBidi"/>
          <w:bCs/>
          <w:color w:val="000000" w:themeColor="text1"/>
          <w:sz w:val="24"/>
          <w:szCs w:val="24"/>
        </w:rPr>
        <w:t xml:space="preserve">Tables </w:t>
      </w:r>
      <w:r>
        <w:rPr>
          <w:rFonts w:asciiTheme="majorHAnsi" w:eastAsiaTheme="majorEastAsia" w:hAnsiTheme="majorHAnsi" w:cstheme="majorBidi"/>
          <w:bCs/>
          <w:color w:val="000000" w:themeColor="text1"/>
          <w:sz w:val="24"/>
          <w:szCs w:val="24"/>
        </w:rPr>
        <w:t>A</w:t>
      </w:r>
      <w:r w:rsidR="001262F8">
        <w:rPr>
          <w:rFonts w:asciiTheme="majorHAnsi" w:eastAsiaTheme="majorEastAsia" w:hAnsiTheme="majorHAnsi" w:cstheme="majorBidi"/>
          <w:bCs/>
          <w:color w:val="000000" w:themeColor="text1"/>
          <w:sz w:val="24"/>
          <w:szCs w:val="24"/>
        </w:rPr>
        <w:t>2-</w:t>
      </w:r>
      <w:r>
        <w:rPr>
          <w:rFonts w:asciiTheme="majorHAnsi" w:eastAsiaTheme="majorEastAsia" w:hAnsiTheme="majorHAnsi" w:cstheme="majorBidi"/>
          <w:bCs/>
          <w:color w:val="000000" w:themeColor="text1"/>
          <w:sz w:val="24"/>
          <w:szCs w:val="24"/>
        </w:rPr>
        <w:t>3</w:t>
      </w:r>
      <w:r w:rsidRPr="009E0158">
        <w:rPr>
          <w:rFonts w:asciiTheme="majorHAnsi" w:eastAsiaTheme="majorEastAsia" w:hAnsiTheme="majorHAnsi" w:cstheme="majorBidi"/>
          <w:bCs/>
          <w:color w:val="000000" w:themeColor="text1"/>
          <w:sz w:val="24"/>
          <w:szCs w:val="24"/>
        </w:rPr>
        <w:t xml:space="preserve"> and </w:t>
      </w:r>
      <w:r>
        <w:rPr>
          <w:rFonts w:asciiTheme="majorHAnsi" w:eastAsiaTheme="majorEastAsia" w:hAnsiTheme="majorHAnsi" w:cstheme="majorBidi"/>
          <w:bCs/>
          <w:color w:val="000000" w:themeColor="text1"/>
          <w:sz w:val="24"/>
          <w:szCs w:val="24"/>
        </w:rPr>
        <w:t>A</w:t>
      </w:r>
      <w:r w:rsidR="001262F8">
        <w:rPr>
          <w:rFonts w:asciiTheme="majorHAnsi" w:eastAsiaTheme="majorEastAsia" w:hAnsiTheme="majorHAnsi" w:cstheme="majorBidi"/>
          <w:bCs/>
          <w:color w:val="000000" w:themeColor="text1"/>
          <w:sz w:val="24"/>
          <w:szCs w:val="24"/>
        </w:rPr>
        <w:t>2-</w:t>
      </w:r>
      <w:r>
        <w:rPr>
          <w:rFonts w:asciiTheme="majorHAnsi" w:eastAsiaTheme="majorEastAsia" w:hAnsiTheme="majorHAnsi" w:cstheme="majorBidi"/>
          <w:bCs/>
          <w:color w:val="000000" w:themeColor="text1"/>
          <w:sz w:val="24"/>
          <w:szCs w:val="24"/>
        </w:rPr>
        <w:t>4</w:t>
      </w:r>
      <w:r w:rsidRPr="009E0158">
        <w:rPr>
          <w:rFonts w:asciiTheme="majorHAnsi" w:eastAsiaTheme="majorEastAsia" w:hAnsiTheme="majorHAnsi" w:cstheme="majorBidi"/>
          <w:bCs/>
          <w:color w:val="000000" w:themeColor="text1"/>
          <w:sz w:val="24"/>
          <w:szCs w:val="24"/>
        </w:rPr>
        <w:t xml:space="preserve"> show that, the </w:t>
      </w:r>
      <w:r w:rsidR="001262F8">
        <w:rPr>
          <w:rFonts w:asciiTheme="majorHAnsi" w:eastAsiaTheme="majorEastAsia" w:hAnsiTheme="majorHAnsi" w:cstheme="majorBidi"/>
          <w:bCs/>
          <w:color w:val="000000" w:themeColor="text1"/>
          <w:sz w:val="24"/>
          <w:szCs w:val="24"/>
        </w:rPr>
        <w:t xml:space="preserve">EDIP credit </w:t>
      </w:r>
      <w:r w:rsidRPr="009E0158">
        <w:rPr>
          <w:rFonts w:asciiTheme="majorHAnsi" w:eastAsiaTheme="majorEastAsia" w:hAnsiTheme="majorHAnsi" w:cstheme="majorBidi"/>
          <w:bCs/>
          <w:color w:val="000000" w:themeColor="text1"/>
          <w:sz w:val="24"/>
          <w:szCs w:val="24"/>
        </w:rPr>
        <w:t>results in more economic activit</w:t>
      </w:r>
      <w:r>
        <w:rPr>
          <w:rFonts w:asciiTheme="majorHAnsi" w:eastAsiaTheme="majorEastAsia" w:hAnsiTheme="majorHAnsi" w:cstheme="majorBidi"/>
          <w:bCs/>
          <w:color w:val="000000" w:themeColor="text1"/>
          <w:sz w:val="24"/>
          <w:szCs w:val="24"/>
        </w:rPr>
        <w:t>y</w:t>
      </w:r>
      <w:r w:rsidRPr="009E0158">
        <w:rPr>
          <w:rFonts w:asciiTheme="majorHAnsi" w:eastAsiaTheme="majorEastAsia" w:hAnsiTheme="majorHAnsi" w:cstheme="majorBidi"/>
          <w:bCs/>
          <w:color w:val="000000" w:themeColor="text1"/>
          <w:sz w:val="24"/>
          <w:szCs w:val="24"/>
        </w:rPr>
        <w:t xml:space="preserve">, with real state GDP increasing </w:t>
      </w:r>
      <w:r>
        <w:rPr>
          <w:rFonts w:asciiTheme="majorHAnsi" w:eastAsiaTheme="majorEastAsia" w:hAnsiTheme="majorHAnsi" w:cstheme="majorBidi"/>
          <w:bCs/>
          <w:color w:val="000000" w:themeColor="text1"/>
          <w:sz w:val="24"/>
          <w:szCs w:val="24"/>
        </w:rPr>
        <w:t xml:space="preserve">by </w:t>
      </w:r>
      <w:r w:rsidRPr="009E0158">
        <w:rPr>
          <w:rFonts w:asciiTheme="majorHAnsi" w:eastAsiaTheme="majorEastAsia" w:hAnsiTheme="majorHAnsi" w:cstheme="majorBidi"/>
          <w:bCs/>
          <w:color w:val="000000" w:themeColor="text1"/>
          <w:sz w:val="24"/>
          <w:szCs w:val="24"/>
        </w:rPr>
        <w:t>$</w:t>
      </w:r>
      <w:r>
        <w:rPr>
          <w:rFonts w:asciiTheme="majorHAnsi" w:eastAsiaTheme="majorEastAsia" w:hAnsiTheme="majorHAnsi" w:cstheme="majorBidi"/>
          <w:bCs/>
          <w:color w:val="000000" w:themeColor="text1"/>
          <w:sz w:val="24"/>
          <w:szCs w:val="24"/>
        </w:rPr>
        <w:t>23</w:t>
      </w:r>
      <w:r w:rsidRPr="009E0158">
        <w:rPr>
          <w:rFonts w:asciiTheme="majorHAnsi" w:eastAsiaTheme="majorEastAsia" w:hAnsiTheme="majorHAnsi" w:cstheme="majorBidi"/>
          <w:bCs/>
          <w:color w:val="000000" w:themeColor="text1"/>
          <w:sz w:val="24"/>
          <w:szCs w:val="24"/>
        </w:rPr>
        <w:t xml:space="preserve"> million</w:t>
      </w:r>
      <w:r>
        <w:rPr>
          <w:rFonts w:asciiTheme="majorHAnsi" w:eastAsiaTheme="majorEastAsia" w:hAnsiTheme="majorHAnsi" w:cstheme="majorBidi"/>
          <w:bCs/>
          <w:color w:val="000000" w:themeColor="text1"/>
          <w:sz w:val="24"/>
          <w:szCs w:val="24"/>
        </w:rPr>
        <w:t xml:space="preserve"> </w:t>
      </w:r>
      <w:r w:rsidRPr="009E0158">
        <w:rPr>
          <w:rFonts w:asciiTheme="majorHAnsi" w:eastAsiaTheme="majorEastAsia" w:hAnsiTheme="majorHAnsi" w:cstheme="majorBidi"/>
          <w:bCs/>
          <w:color w:val="000000" w:themeColor="text1"/>
          <w:sz w:val="24"/>
          <w:szCs w:val="24"/>
        </w:rPr>
        <w:t>-</w:t>
      </w:r>
      <w:r>
        <w:rPr>
          <w:rFonts w:asciiTheme="majorHAnsi" w:eastAsiaTheme="majorEastAsia" w:hAnsiTheme="majorHAnsi" w:cstheme="majorBidi"/>
          <w:bCs/>
          <w:color w:val="000000" w:themeColor="text1"/>
          <w:sz w:val="24"/>
          <w:szCs w:val="24"/>
        </w:rPr>
        <w:t xml:space="preserve"> </w:t>
      </w:r>
      <w:r w:rsidRPr="009E0158">
        <w:rPr>
          <w:rFonts w:asciiTheme="majorHAnsi" w:eastAsiaTheme="majorEastAsia" w:hAnsiTheme="majorHAnsi" w:cstheme="majorBidi"/>
          <w:bCs/>
          <w:color w:val="000000" w:themeColor="text1"/>
          <w:sz w:val="24"/>
          <w:szCs w:val="24"/>
        </w:rPr>
        <w:t>$</w:t>
      </w:r>
      <w:r w:rsidR="001262F8">
        <w:rPr>
          <w:rFonts w:asciiTheme="majorHAnsi" w:eastAsiaTheme="majorEastAsia" w:hAnsiTheme="majorHAnsi" w:cstheme="majorBidi"/>
          <w:bCs/>
          <w:color w:val="000000" w:themeColor="text1"/>
          <w:sz w:val="24"/>
          <w:szCs w:val="24"/>
        </w:rPr>
        <w:t>45</w:t>
      </w:r>
      <w:r w:rsidRPr="009E0158">
        <w:rPr>
          <w:rFonts w:asciiTheme="majorHAnsi" w:eastAsiaTheme="majorEastAsia" w:hAnsiTheme="majorHAnsi" w:cstheme="majorBidi"/>
          <w:bCs/>
          <w:color w:val="000000" w:themeColor="text1"/>
          <w:sz w:val="24"/>
          <w:szCs w:val="24"/>
        </w:rPr>
        <w:t xml:space="preserve"> million and total employment increasing </w:t>
      </w:r>
      <w:r>
        <w:rPr>
          <w:rFonts w:asciiTheme="majorHAnsi" w:eastAsiaTheme="majorEastAsia" w:hAnsiTheme="majorHAnsi" w:cstheme="majorBidi"/>
          <w:bCs/>
          <w:color w:val="000000" w:themeColor="text1"/>
          <w:sz w:val="24"/>
          <w:szCs w:val="24"/>
        </w:rPr>
        <w:t>by 2</w:t>
      </w:r>
      <w:r w:rsidR="001262F8">
        <w:rPr>
          <w:rFonts w:asciiTheme="majorHAnsi" w:eastAsiaTheme="majorEastAsia" w:hAnsiTheme="majorHAnsi" w:cstheme="majorBidi"/>
          <w:bCs/>
          <w:color w:val="000000" w:themeColor="text1"/>
          <w:sz w:val="24"/>
          <w:szCs w:val="24"/>
        </w:rPr>
        <w:t>37</w:t>
      </w:r>
      <w:r>
        <w:rPr>
          <w:rFonts w:asciiTheme="majorHAnsi" w:eastAsiaTheme="majorEastAsia" w:hAnsiTheme="majorHAnsi" w:cstheme="majorBidi"/>
          <w:bCs/>
          <w:color w:val="000000" w:themeColor="text1"/>
          <w:sz w:val="24"/>
          <w:szCs w:val="24"/>
        </w:rPr>
        <w:t xml:space="preserve"> – 3</w:t>
      </w:r>
      <w:r w:rsidR="001262F8">
        <w:rPr>
          <w:rFonts w:asciiTheme="majorHAnsi" w:eastAsiaTheme="majorEastAsia" w:hAnsiTheme="majorHAnsi" w:cstheme="majorBidi"/>
          <w:bCs/>
          <w:color w:val="000000" w:themeColor="text1"/>
          <w:sz w:val="24"/>
          <w:szCs w:val="24"/>
        </w:rPr>
        <w:t>86</w:t>
      </w:r>
      <w:r w:rsidRPr="009E0158">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 xml:space="preserve">jobs </w:t>
      </w:r>
      <w:r w:rsidRPr="009E0158">
        <w:rPr>
          <w:rFonts w:asciiTheme="majorHAnsi" w:eastAsiaTheme="majorEastAsia" w:hAnsiTheme="majorHAnsi" w:cstheme="majorBidi"/>
          <w:bCs/>
          <w:color w:val="000000" w:themeColor="text1"/>
          <w:sz w:val="24"/>
          <w:szCs w:val="24"/>
        </w:rPr>
        <w:t>annually. More economic activit</w:t>
      </w:r>
      <w:r>
        <w:rPr>
          <w:rFonts w:asciiTheme="majorHAnsi" w:eastAsiaTheme="majorEastAsia" w:hAnsiTheme="majorHAnsi" w:cstheme="majorBidi"/>
          <w:bCs/>
          <w:color w:val="000000" w:themeColor="text1"/>
          <w:sz w:val="24"/>
          <w:szCs w:val="24"/>
        </w:rPr>
        <w:t>y</w:t>
      </w:r>
      <w:r w:rsidRPr="009E0158">
        <w:rPr>
          <w:rFonts w:asciiTheme="majorHAnsi" w:eastAsiaTheme="majorEastAsia" w:hAnsiTheme="majorHAnsi" w:cstheme="majorBidi"/>
          <w:bCs/>
          <w:color w:val="000000" w:themeColor="text1"/>
          <w:sz w:val="24"/>
          <w:szCs w:val="24"/>
        </w:rPr>
        <w:t xml:space="preserve"> result</w:t>
      </w:r>
      <w:r>
        <w:rPr>
          <w:rFonts w:asciiTheme="majorHAnsi" w:eastAsiaTheme="majorEastAsia" w:hAnsiTheme="majorHAnsi" w:cstheme="majorBidi"/>
          <w:bCs/>
          <w:color w:val="000000" w:themeColor="text1"/>
          <w:sz w:val="24"/>
          <w:szCs w:val="24"/>
        </w:rPr>
        <w:t>s</w:t>
      </w:r>
      <w:r w:rsidRPr="009E0158">
        <w:rPr>
          <w:rFonts w:asciiTheme="majorHAnsi" w:eastAsiaTheme="majorEastAsia" w:hAnsiTheme="majorHAnsi" w:cstheme="majorBidi"/>
          <w:bCs/>
          <w:color w:val="000000" w:themeColor="text1"/>
          <w:sz w:val="24"/>
          <w:szCs w:val="24"/>
        </w:rPr>
        <w:t xml:space="preserve"> in more </w:t>
      </w:r>
      <w:r>
        <w:rPr>
          <w:rFonts w:asciiTheme="majorHAnsi" w:eastAsiaTheme="majorEastAsia" w:hAnsiTheme="majorHAnsi" w:cstheme="majorBidi"/>
          <w:bCs/>
          <w:color w:val="000000" w:themeColor="text1"/>
          <w:sz w:val="24"/>
          <w:szCs w:val="24"/>
        </w:rPr>
        <w:t xml:space="preserve">state </w:t>
      </w:r>
      <w:r w:rsidRPr="009E0158">
        <w:rPr>
          <w:rFonts w:asciiTheme="majorHAnsi" w:eastAsiaTheme="majorEastAsia" w:hAnsiTheme="majorHAnsi" w:cstheme="majorBidi"/>
          <w:bCs/>
          <w:color w:val="000000" w:themeColor="text1"/>
          <w:sz w:val="24"/>
          <w:szCs w:val="24"/>
        </w:rPr>
        <w:t>revenues, ranging from $</w:t>
      </w:r>
      <w:r w:rsidR="001262F8">
        <w:rPr>
          <w:rFonts w:asciiTheme="majorHAnsi" w:eastAsiaTheme="majorEastAsia" w:hAnsiTheme="majorHAnsi" w:cstheme="majorBidi"/>
          <w:bCs/>
          <w:color w:val="000000" w:themeColor="text1"/>
          <w:sz w:val="24"/>
          <w:szCs w:val="24"/>
        </w:rPr>
        <w:t>0.</w:t>
      </w:r>
      <w:r w:rsidR="005830AF">
        <w:rPr>
          <w:rFonts w:asciiTheme="majorHAnsi" w:eastAsiaTheme="majorEastAsia" w:hAnsiTheme="majorHAnsi" w:cstheme="majorBidi"/>
          <w:bCs/>
          <w:color w:val="000000" w:themeColor="text1"/>
          <w:sz w:val="24"/>
          <w:szCs w:val="24"/>
        </w:rPr>
        <w:t>6</w:t>
      </w:r>
      <w:r w:rsidRPr="009E0158">
        <w:rPr>
          <w:rFonts w:asciiTheme="majorHAnsi" w:eastAsiaTheme="majorEastAsia" w:hAnsiTheme="majorHAnsi" w:cstheme="majorBidi"/>
          <w:bCs/>
          <w:color w:val="000000" w:themeColor="text1"/>
          <w:sz w:val="24"/>
          <w:szCs w:val="24"/>
        </w:rPr>
        <w:t xml:space="preserve"> million to $</w:t>
      </w:r>
      <w:r w:rsidR="001262F8">
        <w:rPr>
          <w:rFonts w:asciiTheme="majorHAnsi" w:eastAsiaTheme="majorEastAsia" w:hAnsiTheme="majorHAnsi" w:cstheme="majorBidi"/>
          <w:bCs/>
          <w:color w:val="000000" w:themeColor="text1"/>
          <w:sz w:val="24"/>
          <w:szCs w:val="24"/>
        </w:rPr>
        <w:t>2</w:t>
      </w:r>
      <w:r>
        <w:rPr>
          <w:rFonts w:asciiTheme="majorHAnsi" w:eastAsiaTheme="majorEastAsia" w:hAnsiTheme="majorHAnsi" w:cstheme="majorBidi"/>
          <w:bCs/>
          <w:color w:val="000000" w:themeColor="text1"/>
          <w:sz w:val="24"/>
          <w:szCs w:val="24"/>
        </w:rPr>
        <w:t>.3</w:t>
      </w:r>
      <w:r w:rsidRPr="009E0158">
        <w:rPr>
          <w:rFonts w:asciiTheme="majorHAnsi" w:eastAsiaTheme="majorEastAsia" w:hAnsiTheme="majorHAnsi" w:cstheme="majorBidi"/>
          <w:bCs/>
          <w:color w:val="000000" w:themeColor="text1"/>
          <w:sz w:val="24"/>
          <w:szCs w:val="24"/>
        </w:rPr>
        <w:t xml:space="preserve"> million annually, which partially offset</w:t>
      </w:r>
      <w:r>
        <w:rPr>
          <w:rFonts w:asciiTheme="majorHAnsi" w:eastAsiaTheme="majorEastAsia" w:hAnsiTheme="majorHAnsi" w:cstheme="majorBidi"/>
          <w:bCs/>
          <w:color w:val="000000" w:themeColor="text1"/>
          <w:sz w:val="24"/>
          <w:szCs w:val="24"/>
        </w:rPr>
        <w:t>s</w:t>
      </w:r>
      <w:r w:rsidRPr="009E0158">
        <w:rPr>
          <w:rFonts w:asciiTheme="majorHAnsi" w:eastAsiaTheme="majorEastAsia" w:hAnsiTheme="majorHAnsi" w:cstheme="majorBidi"/>
          <w:bCs/>
          <w:color w:val="000000" w:themeColor="text1"/>
          <w:sz w:val="24"/>
          <w:szCs w:val="24"/>
        </w:rPr>
        <w:t xml:space="preserve"> the </w:t>
      </w:r>
      <w:r>
        <w:rPr>
          <w:rFonts w:asciiTheme="majorHAnsi" w:eastAsiaTheme="majorEastAsia" w:hAnsiTheme="majorHAnsi" w:cstheme="majorBidi"/>
          <w:bCs/>
          <w:color w:val="000000" w:themeColor="text1"/>
          <w:sz w:val="24"/>
          <w:szCs w:val="24"/>
        </w:rPr>
        <w:t xml:space="preserve">cost of </w:t>
      </w:r>
      <w:r w:rsidRPr="009E0158">
        <w:rPr>
          <w:rFonts w:asciiTheme="majorHAnsi" w:eastAsiaTheme="majorEastAsia" w:hAnsiTheme="majorHAnsi" w:cstheme="majorBidi"/>
          <w:bCs/>
          <w:color w:val="000000" w:themeColor="text1"/>
          <w:sz w:val="24"/>
          <w:szCs w:val="24"/>
        </w:rPr>
        <w:t>this tax incentive.</w:t>
      </w:r>
    </w:p>
    <w:p w14:paraId="59B99ABC" w14:textId="77777777" w:rsidR="00464D5E" w:rsidRDefault="00464D5E" w:rsidP="00464D5E">
      <w:pPr>
        <w:spacing w:after="0"/>
        <w:rPr>
          <w:rFonts w:asciiTheme="majorHAnsi" w:eastAsiaTheme="majorEastAsia" w:hAnsiTheme="majorHAnsi" w:cstheme="majorBidi"/>
          <w:bCs/>
          <w:color w:val="000000" w:themeColor="text1"/>
          <w:sz w:val="24"/>
          <w:szCs w:val="24"/>
        </w:rPr>
      </w:pPr>
    </w:p>
    <w:p w14:paraId="40721296" w14:textId="77777777" w:rsidR="00464D5E" w:rsidRDefault="00464D5E" w:rsidP="00464D5E">
      <w:pPr>
        <w:spacing w:after="0"/>
        <w:jc w:val="center"/>
        <w:rPr>
          <w:rFonts w:asciiTheme="majorHAnsi" w:eastAsiaTheme="majorEastAsia" w:hAnsiTheme="majorHAnsi" w:cstheme="majorBidi"/>
          <w:b/>
          <w:color w:val="000000" w:themeColor="text1"/>
          <w:sz w:val="24"/>
          <w:szCs w:val="24"/>
        </w:rPr>
      </w:pPr>
      <w:r w:rsidRPr="00366FFC">
        <w:rPr>
          <w:rFonts w:asciiTheme="majorHAnsi" w:eastAsiaTheme="majorEastAsia" w:hAnsiTheme="majorHAnsi" w:cstheme="majorBidi"/>
          <w:b/>
          <w:color w:val="000000" w:themeColor="text1"/>
          <w:sz w:val="24"/>
          <w:szCs w:val="24"/>
        </w:rPr>
        <w:t xml:space="preserve">Table </w:t>
      </w:r>
      <w:r>
        <w:rPr>
          <w:rFonts w:asciiTheme="majorHAnsi" w:eastAsiaTheme="majorEastAsia" w:hAnsiTheme="majorHAnsi" w:cstheme="majorBidi"/>
          <w:b/>
          <w:color w:val="000000" w:themeColor="text1"/>
          <w:sz w:val="24"/>
          <w:szCs w:val="24"/>
        </w:rPr>
        <w:t>A</w:t>
      </w:r>
      <w:r w:rsidR="005830AF">
        <w:rPr>
          <w:rFonts w:asciiTheme="majorHAnsi" w:eastAsiaTheme="majorEastAsia" w:hAnsiTheme="majorHAnsi" w:cstheme="majorBidi"/>
          <w:b/>
          <w:color w:val="000000" w:themeColor="text1"/>
          <w:sz w:val="24"/>
          <w:szCs w:val="24"/>
        </w:rPr>
        <w:t>2-</w:t>
      </w:r>
      <w:r>
        <w:rPr>
          <w:rFonts w:asciiTheme="majorHAnsi" w:eastAsiaTheme="majorEastAsia" w:hAnsiTheme="majorHAnsi" w:cstheme="majorBidi"/>
          <w:b/>
          <w:color w:val="000000" w:themeColor="text1"/>
          <w:sz w:val="24"/>
          <w:szCs w:val="24"/>
        </w:rPr>
        <w:t>3</w:t>
      </w:r>
      <w:r w:rsidRPr="00366FFC">
        <w:rPr>
          <w:rFonts w:asciiTheme="majorHAnsi" w:eastAsiaTheme="majorEastAsia" w:hAnsiTheme="majorHAnsi" w:cstheme="majorBidi"/>
          <w:b/>
          <w:color w:val="000000" w:themeColor="text1"/>
          <w:sz w:val="24"/>
          <w:szCs w:val="24"/>
        </w:rPr>
        <w:t xml:space="preserve">. </w:t>
      </w:r>
      <w:r>
        <w:rPr>
          <w:rFonts w:asciiTheme="majorHAnsi" w:eastAsiaTheme="majorEastAsia" w:hAnsiTheme="majorHAnsi" w:cstheme="majorBidi"/>
          <w:b/>
          <w:color w:val="000000" w:themeColor="text1"/>
          <w:sz w:val="24"/>
          <w:szCs w:val="24"/>
        </w:rPr>
        <w:t xml:space="preserve"> Additional Revenue Impact of </w:t>
      </w:r>
      <w:r w:rsidR="005830AF">
        <w:rPr>
          <w:rFonts w:asciiTheme="majorHAnsi" w:eastAsiaTheme="majorEastAsia" w:hAnsiTheme="majorHAnsi" w:cstheme="majorBidi"/>
          <w:b/>
          <w:color w:val="000000" w:themeColor="text1"/>
          <w:sz w:val="24"/>
          <w:szCs w:val="24"/>
        </w:rPr>
        <w:t>EDIP Credit</w:t>
      </w:r>
    </w:p>
    <w:tbl>
      <w:tblPr>
        <w:tblW w:w="9157" w:type="dxa"/>
        <w:tblInd w:w="108" w:type="dxa"/>
        <w:tblLook w:val="04A0" w:firstRow="1" w:lastRow="0" w:firstColumn="1" w:lastColumn="0" w:noHBand="0" w:noVBand="1"/>
      </w:tblPr>
      <w:tblGrid>
        <w:gridCol w:w="3692"/>
        <w:gridCol w:w="1093"/>
        <w:gridCol w:w="1093"/>
        <w:gridCol w:w="1093"/>
        <w:gridCol w:w="1093"/>
        <w:gridCol w:w="1093"/>
      </w:tblGrid>
      <w:tr w:rsidR="00464D5E" w:rsidRPr="006809CE" w14:paraId="0C87C627" w14:textId="77777777" w:rsidTr="00F108F4">
        <w:trPr>
          <w:trHeight w:val="500"/>
        </w:trPr>
        <w:tc>
          <w:tcPr>
            <w:tcW w:w="3692"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733FDABB" w14:textId="77777777" w:rsidR="00464D5E" w:rsidRPr="006809CE" w:rsidRDefault="00464D5E" w:rsidP="00464D5E">
            <w:pPr>
              <w:spacing w:after="0" w:line="240" w:lineRule="auto"/>
              <w:jc w:val="center"/>
              <w:rPr>
                <w:rFonts w:ascii="Cambria" w:eastAsia="Times New Roman" w:hAnsi="Cambria" w:cs="Helvetica"/>
                <w:sz w:val="20"/>
                <w:szCs w:val="20"/>
                <w:lang w:eastAsia="ko-KR"/>
              </w:rPr>
            </w:pPr>
            <w:r>
              <w:rPr>
                <w:rFonts w:ascii="Cambria" w:eastAsia="Times New Roman" w:hAnsi="Cambria" w:cs="Helvetica"/>
                <w:sz w:val="20"/>
                <w:szCs w:val="20"/>
                <w:lang w:eastAsia="ko-KR"/>
              </w:rPr>
              <w:t xml:space="preserve">Fiscal </w:t>
            </w:r>
            <w:r w:rsidRPr="006809CE">
              <w:rPr>
                <w:rFonts w:ascii="Cambria" w:eastAsia="Times New Roman" w:hAnsi="Cambria" w:cs="Helvetica"/>
                <w:sz w:val="20"/>
                <w:szCs w:val="20"/>
                <w:lang w:eastAsia="ko-KR"/>
              </w:rPr>
              <w:t>Year</w:t>
            </w:r>
          </w:p>
        </w:tc>
        <w:tc>
          <w:tcPr>
            <w:tcW w:w="1093" w:type="dxa"/>
            <w:tcBorders>
              <w:top w:val="single" w:sz="4" w:space="0" w:color="auto"/>
              <w:left w:val="nil"/>
              <w:bottom w:val="single" w:sz="4" w:space="0" w:color="auto"/>
              <w:right w:val="single" w:sz="4" w:space="0" w:color="auto"/>
            </w:tcBorders>
            <w:shd w:val="clear" w:color="000000" w:fill="B7DEE8"/>
            <w:noWrap/>
            <w:vAlign w:val="center"/>
            <w:hideMark/>
          </w:tcPr>
          <w:p w14:paraId="73B73AC1" w14:textId="77777777" w:rsidR="00464D5E" w:rsidRPr="006809CE" w:rsidRDefault="00464D5E" w:rsidP="00464D5E">
            <w:pPr>
              <w:spacing w:after="0" w:line="240" w:lineRule="auto"/>
              <w:jc w:val="center"/>
              <w:rPr>
                <w:rFonts w:ascii="Cambria" w:eastAsia="Times New Roman" w:hAnsi="Cambria" w:cs="Helvetica"/>
                <w:sz w:val="20"/>
                <w:szCs w:val="20"/>
                <w:lang w:eastAsia="ko-KR"/>
              </w:rPr>
            </w:pPr>
            <w:r w:rsidRPr="006809CE">
              <w:rPr>
                <w:rFonts w:ascii="Cambria" w:eastAsia="Times New Roman" w:hAnsi="Cambria" w:cs="Helvetica"/>
                <w:sz w:val="20"/>
                <w:szCs w:val="20"/>
                <w:lang w:eastAsia="ko-KR"/>
              </w:rPr>
              <w:t>2018</w:t>
            </w:r>
          </w:p>
        </w:tc>
        <w:tc>
          <w:tcPr>
            <w:tcW w:w="1093" w:type="dxa"/>
            <w:tcBorders>
              <w:top w:val="single" w:sz="4" w:space="0" w:color="auto"/>
              <w:left w:val="nil"/>
              <w:bottom w:val="single" w:sz="4" w:space="0" w:color="auto"/>
              <w:right w:val="single" w:sz="4" w:space="0" w:color="auto"/>
            </w:tcBorders>
            <w:shd w:val="clear" w:color="000000" w:fill="B7DEE8"/>
            <w:noWrap/>
            <w:vAlign w:val="center"/>
            <w:hideMark/>
          </w:tcPr>
          <w:p w14:paraId="57560402" w14:textId="77777777" w:rsidR="00464D5E" w:rsidRPr="006809CE" w:rsidRDefault="00464D5E" w:rsidP="00464D5E">
            <w:pPr>
              <w:spacing w:after="0" w:line="240" w:lineRule="auto"/>
              <w:jc w:val="center"/>
              <w:rPr>
                <w:rFonts w:ascii="Cambria" w:eastAsia="Times New Roman" w:hAnsi="Cambria" w:cs="Helvetica"/>
                <w:sz w:val="20"/>
                <w:szCs w:val="20"/>
                <w:lang w:eastAsia="ko-KR"/>
              </w:rPr>
            </w:pPr>
            <w:r w:rsidRPr="006809CE">
              <w:rPr>
                <w:rFonts w:ascii="Cambria" w:eastAsia="Times New Roman" w:hAnsi="Cambria" w:cs="Helvetica"/>
                <w:sz w:val="20"/>
                <w:szCs w:val="20"/>
                <w:lang w:eastAsia="ko-KR"/>
              </w:rPr>
              <w:t>2019</w:t>
            </w:r>
          </w:p>
        </w:tc>
        <w:tc>
          <w:tcPr>
            <w:tcW w:w="1093" w:type="dxa"/>
            <w:tcBorders>
              <w:top w:val="single" w:sz="4" w:space="0" w:color="auto"/>
              <w:left w:val="nil"/>
              <w:bottom w:val="single" w:sz="4" w:space="0" w:color="auto"/>
              <w:right w:val="single" w:sz="4" w:space="0" w:color="auto"/>
            </w:tcBorders>
            <w:shd w:val="clear" w:color="000000" w:fill="B7DEE8"/>
            <w:noWrap/>
            <w:vAlign w:val="center"/>
            <w:hideMark/>
          </w:tcPr>
          <w:p w14:paraId="19E4B159" w14:textId="77777777" w:rsidR="00464D5E" w:rsidRPr="006809CE" w:rsidRDefault="00464D5E" w:rsidP="00464D5E">
            <w:pPr>
              <w:spacing w:after="0" w:line="240" w:lineRule="auto"/>
              <w:jc w:val="center"/>
              <w:rPr>
                <w:rFonts w:ascii="Cambria" w:eastAsia="Times New Roman" w:hAnsi="Cambria" w:cs="Helvetica"/>
                <w:sz w:val="20"/>
                <w:szCs w:val="20"/>
                <w:lang w:eastAsia="ko-KR"/>
              </w:rPr>
            </w:pPr>
            <w:r w:rsidRPr="006809CE">
              <w:rPr>
                <w:rFonts w:ascii="Cambria" w:eastAsia="Times New Roman" w:hAnsi="Cambria" w:cs="Helvetica"/>
                <w:sz w:val="20"/>
                <w:szCs w:val="20"/>
                <w:lang w:eastAsia="ko-KR"/>
              </w:rPr>
              <w:t>2020</w:t>
            </w:r>
          </w:p>
        </w:tc>
        <w:tc>
          <w:tcPr>
            <w:tcW w:w="1093" w:type="dxa"/>
            <w:tcBorders>
              <w:top w:val="single" w:sz="4" w:space="0" w:color="auto"/>
              <w:left w:val="nil"/>
              <w:bottom w:val="single" w:sz="4" w:space="0" w:color="auto"/>
              <w:right w:val="single" w:sz="4" w:space="0" w:color="auto"/>
            </w:tcBorders>
            <w:shd w:val="clear" w:color="000000" w:fill="B7DEE8"/>
            <w:noWrap/>
            <w:vAlign w:val="center"/>
            <w:hideMark/>
          </w:tcPr>
          <w:p w14:paraId="75745708" w14:textId="77777777" w:rsidR="00464D5E" w:rsidRPr="006809CE" w:rsidRDefault="00464D5E" w:rsidP="00464D5E">
            <w:pPr>
              <w:spacing w:after="0" w:line="240" w:lineRule="auto"/>
              <w:jc w:val="center"/>
              <w:rPr>
                <w:rFonts w:ascii="Cambria" w:eastAsia="Times New Roman" w:hAnsi="Cambria" w:cs="Helvetica"/>
                <w:sz w:val="20"/>
                <w:szCs w:val="20"/>
                <w:lang w:eastAsia="ko-KR"/>
              </w:rPr>
            </w:pPr>
            <w:r w:rsidRPr="006809CE">
              <w:rPr>
                <w:rFonts w:ascii="Cambria" w:eastAsia="Times New Roman" w:hAnsi="Cambria" w:cs="Helvetica"/>
                <w:sz w:val="20"/>
                <w:szCs w:val="20"/>
                <w:lang w:eastAsia="ko-KR"/>
              </w:rPr>
              <w:t>2021</w:t>
            </w:r>
          </w:p>
        </w:tc>
        <w:tc>
          <w:tcPr>
            <w:tcW w:w="1093" w:type="dxa"/>
            <w:tcBorders>
              <w:top w:val="single" w:sz="4" w:space="0" w:color="auto"/>
              <w:left w:val="nil"/>
              <w:bottom w:val="single" w:sz="4" w:space="0" w:color="auto"/>
              <w:right w:val="single" w:sz="4" w:space="0" w:color="auto"/>
            </w:tcBorders>
            <w:shd w:val="clear" w:color="000000" w:fill="B7DEE8"/>
            <w:noWrap/>
            <w:vAlign w:val="center"/>
            <w:hideMark/>
          </w:tcPr>
          <w:p w14:paraId="0B3BB47D" w14:textId="77777777" w:rsidR="00464D5E" w:rsidRPr="006809CE" w:rsidRDefault="00464D5E" w:rsidP="00464D5E">
            <w:pPr>
              <w:spacing w:after="0" w:line="240" w:lineRule="auto"/>
              <w:jc w:val="center"/>
              <w:rPr>
                <w:rFonts w:ascii="Cambria" w:eastAsia="Times New Roman" w:hAnsi="Cambria" w:cs="Helvetica"/>
                <w:sz w:val="20"/>
                <w:szCs w:val="20"/>
                <w:lang w:eastAsia="ko-KR"/>
              </w:rPr>
            </w:pPr>
            <w:r w:rsidRPr="006809CE">
              <w:rPr>
                <w:rFonts w:ascii="Cambria" w:eastAsia="Times New Roman" w:hAnsi="Cambria" w:cs="Helvetica"/>
                <w:sz w:val="20"/>
                <w:szCs w:val="20"/>
                <w:lang w:eastAsia="ko-KR"/>
              </w:rPr>
              <w:t>2022</w:t>
            </w:r>
          </w:p>
        </w:tc>
      </w:tr>
      <w:tr w:rsidR="004935C6" w:rsidRPr="006809CE" w14:paraId="341EBC66" w14:textId="77777777" w:rsidTr="00F108F4">
        <w:trPr>
          <w:trHeight w:val="500"/>
        </w:trPr>
        <w:tc>
          <w:tcPr>
            <w:tcW w:w="3692" w:type="dxa"/>
            <w:tcBorders>
              <w:top w:val="nil"/>
              <w:left w:val="single" w:sz="4" w:space="0" w:color="auto"/>
              <w:bottom w:val="single" w:sz="4" w:space="0" w:color="auto"/>
              <w:right w:val="single" w:sz="4" w:space="0" w:color="auto"/>
            </w:tcBorders>
            <w:shd w:val="clear" w:color="auto" w:fill="auto"/>
            <w:vAlign w:val="center"/>
            <w:hideMark/>
          </w:tcPr>
          <w:p w14:paraId="4FC9761F" w14:textId="77777777" w:rsidR="004935C6" w:rsidRPr="006809CE" w:rsidRDefault="004935C6" w:rsidP="004935C6">
            <w:pPr>
              <w:spacing w:after="0" w:line="240" w:lineRule="auto"/>
              <w:jc w:val="center"/>
              <w:rPr>
                <w:rFonts w:ascii="Cambria" w:eastAsia="Times New Roman" w:hAnsi="Cambria" w:cs="Helvetica"/>
                <w:sz w:val="20"/>
                <w:szCs w:val="20"/>
                <w:lang w:eastAsia="ko-KR"/>
              </w:rPr>
            </w:pPr>
            <w:r>
              <w:rPr>
                <w:rFonts w:ascii="Cambria" w:eastAsia="Times New Roman" w:hAnsi="Cambria" w:cs="Helvetica"/>
                <w:sz w:val="20"/>
                <w:szCs w:val="20"/>
                <w:lang w:eastAsia="ko-KR"/>
              </w:rPr>
              <w:t>A</w:t>
            </w:r>
            <w:r w:rsidRPr="006809CE">
              <w:rPr>
                <w:rFonts w:ascii="Cambria" w:eastAsia="Times New Roman" w:hAnsi="Cambria" w:cs="Helvetica"/>
                <w:sz w:val="20"/>
                <w:szCs w:val="20"/>
                <w:lang w:eastAsia="ko-KR"/>
              </w:rPr>
              <w:t>dditional revenue impact ($000)</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566B0" w14:textId="77777777" w:rsidR="004935C6" w:rsidRPr="006809CE" w:rsidRDefault="004935C6" w:rsidP="004935C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$553</w:t>
            </w:r>
          </w:p>
        </w:tc>
        <w:tc>
          <w:tcPr>
            <w:tcW w:w="1093" w:type="dxa"/>
            <w:tcBorders>
              <w:top w:val="single" w:sz="4" w:space="0" w:color="auto"/>
              <w:left w:val="nil"/>
              <w:bottom w:val="single" w:sz="4" w:space="0" w:color="auto"/>
              <w:right w:val="single" w:sz="4" w:space="0" w:color="auto"/>
            </w:tcBorders>
            <w:shd w:val="clear" w:color="auto" w:fill="auto"/>
            <w:noWrap/>
            <w:vAlign w:val="center"/>
            <w:hideMark/>
          </w:tcPr>
          <w:p w14:paraId="76016F8F" w14:textId="77777777" w:rsidR="004935C6" w:rsidRPr="006809CE" w:rsidRDefault="004935C6" w:rsidP="004935C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$1,353</w:t>
            </w:r>
          </w:p>
        </w:tc>
        <w:tc>
          <w:tcPr>
            <w:tcW w:w="1093" w:type="dxa"/>
            <w:tcBorders>
              <w:top w:val="single" w:sz="4" w:space="0" w:color="auto"/>
              <w:left w:val="nil"/>
              <w:bottom w:val="single" w:sz="4" w:space="0" w:color="auto"/>
              <w:right w:val="single" w:sz="4" w:space="0" w:color="auto"/>
            </w:tcBorders>
            <w:shd w:val="clear" w:color="auto" w:fill="auto"/>
            <w:noWrap/>
            <w:vAlign w:val="center"/>
            <w:hideMark/>
          </w:tcPr>
          <w:p w14:paraId="3021CA72" w14:textId="77777777" w:rsidR="004935C6" w:rsidRPr="006809CE" w:rsidRDefault="004935C6" w:rsidP="004935C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$1,772</w:t>
            </w:r>
          </w:p>
        </w:tc>
        <w:tc>
          <w:tcPr>
            <w:tcW w:w="1093" w:type="dxa"/>
            <w:tcBorders>
              <w:top w:val="single" w:sz="4" w:space="0" w:color="auto"/>
              <w:left w:val="nil"/>
              <w:bottom w:val="single" w:sz="4" w:space="0" w:color="auto"/>
              <w:right w:val="single" w:sz="4" w:space="0" w:color="auto"/>
            </w:tcBorders>
            <w:shd w:val="clear" w:color="auto" w:fill="auto"/>
            <w:noWrap/>
            <w:vAlign w:val="center"/>
            <w:hideMark/>
          </w:tcPr>
          <w:p w14:paraId="1B6036E2" w14:textId="77777777" w:rsidR="004935C6" w:rsidRPr="006809CE" w:rsidRDefault="004935C6" w:rsidP="004935C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$2,098</w:t>
            </w:r>
          </w:p>
        </w:tc>
        <w:tc>
          <w:tcPr>
            <w:tcW w:w="1093" w:type="dxa"/>
            <w:tcBorders>
              <w:top w:val="single" w:sz="4" w:space="0" w:color="auto"/>
              <w:left w:val="nil"/>
              <w:bottom w:val="single" w:sz="4" w:space="0" w:color="auto"/>
              <w:right w:val="single" w:sz="4" w:space="0" w:color="auto"/>
            </w:tcBorders>
            <w:shd w:val="clear" w:color="auto" w:fill="auto"/>
            <w:noWrap/>
            <w:vAlign w:val="center"/>
            <w:hideMark/>
          </w:tcPr>
          <w:p w14:paraId="552629CF" w14:textId="77777777" w:rsidR="004935C6" w:rsidRPr="006809CE" w:rsidRDefault="004935C6" w:rsidP="004935C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$2,301</w:t>
            </w:r>
          </w:p>
        </w:tc>
      </w:tr>
    </w:tbl>
    <w:p w14:paraId="1A2E5280" w14:textId="77777777" w:rsidR="00464D5E" w:rsidRDefault="00464D5E" w:rsidP="00464D5E">
      <w:pPr>
        <w:tabs>
          <w:tab w:val="left" w:pos="7050"/>
        </w:tabs>
        <w:spacing w:after="0"/>
        <w:rPr>
          <w:rFonts w:asciiTheme="majorHAnsi" w:hAnsiTheme="majorHAnsi"/>
          <w:sz w:val="24"/>
          <w:szCs w:val="24"/>
        </w:rPr>
      </w:pPr>
    </w:p>
    <w:p w14:paraId="7E1FA9E0" w14:textId="77777777" w:rsidR="00464D5E" w:rsidRDefault="00464D5E" w:rsidP="00464D5E">
      <w:pPr>
        <w:spacing w:after="0"/>
        <w:jc w:val="center"/>
        <w:rPr>
          <w:rFonts w:asciiTheme="majorHAnsi" w:eastAsiaTheme="majorEastAsia" w:hAnsiTheme="majorHAnsi" w:cstheme="majorBidi"/>
          <w:b/>
          <w:color w:val="000000" w:themeColor="text1"/>
          <w:sz w:val="24"/>
          <w:szCs w:val="24"/>
        </w:rPr>
      </w:pPr>
      <w:r w:rsidRPr="00366FFC">
        <w:rPr>
          <w:rFonts w:asciiTheme="majorHAnsi" w:eastAsiaTheme="majorEastAsia" w:hAnsiTheme="majorHAnsi" w:cstheme="majorBidi"/>
          <w:b/>
          <w:color w:val="000000" w:themeColor="text1"/>
          <w:sz w:val="24"/>
          <w:szCs w:val="24"/>
        </w:rPr>
        <w:t xml:space="preserve">Table </w:t>
      </w:r>
      <w:r>
        <w:rPr>
          <w:rFonts w:asciiTheme="majorHAnsi" w:eastAsiaTheme="majorEastAsia" w:hAnsiTheme="majorHAnsi" w:cstheme="majorBidi"/>
          <w:b/>
          <w:color w:val="000000" w:themeColor="text1"/>
          <w:sz w:val="24"/>
          <w:szCs w:val="24"/>
        </w:rPr>
        <w:t>A</w:t>
      </w:r>
      <w:r w:rsidR="005830AF">
        <w:rPr>
          <w:rFonts w:asciiTheme="majorHAnsi" w:eastAsiaTheme="majorEastAsia" w:hAnsiTheme="majorHAnsi" w:cstheme="majorBidi"/>
          <w:b/>
          <w:color w:val="000000" w:themeColor="text1"/>
          <w:sz w:val="24"/>
          <w:szCs w:val="24"/>
        </w:rPr>
        <w:t>2-</w:t>
      </w:r>
      <w:r>
        <w:rPr>
          <w:rFonts w:asciiTheme="majorHAnsi" w:eastAsiaTheme="majorEastAsia" w:hAnsiTheme="majorHAnsi" w:cstheme="majorBidi"/>
          <w:b/>
          <w:color w:val="000000" w:themeColor="text1"/>
          <w:sz w:val="24"/>
          <w:szCs w:val="24"/>
        </w:rPr>
        <w:t>4</w:t>
      </w:r>
      <w:r w:rsidRPr="00366FFC">
        <w:rPr>
          <w:rFonts w:asciiTheme="majorHAnsi" w:eastAsiaTheme="majorEastAsia" w:hAnsiTheme="majorHAnsi" w:cstheme="majorBidi"/>
          <w:b/>
          <w:color w:val="000000" w:themeColor="text1"/>
          <w:sz w:val="24"/>
          <w:szCs w:val="24"/>
        </w:rPr>
        <w:t xml:space="preserve">. </w:t>
      </w:r>
      <w:r>
        <w:rPr>
          <w:rFonts w:asciiTheme="majorHAnsi" w:eastAsiaTheme="majorEastAsia" w:hAnsiTheme="majorHAnsi" w:cstheme="majorBidi"/>
          <w:b/>
          <w:color w:val="000000" w:themeColor="text1"/>
          <w:sz w:val="24"/>
          <w:szCs w:val="24"/>
        </w:rPr>
        <w:t xml:space="preserve">Economic Impacts of </w:t>
      </w:r>
      <w:r w:rsidR="005830AF">
        <w:rPr>
          <w:rFonts w:asciiTheme="majorHAnsi" w:eastAsiaTheme="majorEastAsia" w:hAnsiTheme="majorHAnsi" w:cstheme="majorBidi"/>
          <w:b/>
          <w:color w:val="000000" w:themeColor="text1"/>
          <w:sz w:val="24"/>
          <w:szCs w:val="24"/>
        </w:rPr>
        <w:t xml:space="preserve">EDIP Credit </w:t>
      </w:r>
      <w:r>
        <w:rPr>
          <w:rFonts w:asciiTheme="majorHAnsi" w:eastAsiaTheme="majorEastAsia" w:hAnsiTheme="majorHAnsi" w:cstheme="majorBidi"/>
          <w:b/>
          <w:color w:val="000000" w:themeColor="text1"/>
          <w:sz w:val="24"/>
          <w:szCs w:val="24"/>
        </w:rPr>
        <w:t>by Selected Economic Measure</w:t>
      </w:r>
    </w:p>
    <w:tbl>
      <w:tblPr>
        <w:tblW w:w="9242" w:type="dxa"/>
        <w:tblInd w:w="108" w:type="dxa"/>
        <w:tblLook w:val="04A0" w:firstRow="1" w:lastRow="0" w:firstColumn="1" w:lastColumn="0" w:noHBand="0" w:noVBand="1"/>
      </w:tblPr>
      <w:tblGrid>
        <w:gridCol w:w="3772"/>
        <w:gridCol w:w="1094"/>
        <w:gridCol w:w="1094"/>
        <w:gridCol w:w="1094"/>
        <w:gridCol w:w="1094"/>
        <w:gridCol w:w="1094"/>
      </w:tblGrid>
      <w:tr w:rsidR="00464D5E" w:rsidRPr="00A94F48" w14:paraId="5AB10AE1" w14:textId="77777777" w:rsidTr="00F108F4">
        <w:trPr>
          <w:trHeight w:val="380"/>
        </w:trPr>
        <w:tc>
          <w:tcPr>
            <w:tcW w:w="3772"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1FC4EB1E" w14:textId="77777777" w:rsidR="00464D5E" w:rsidRPr="00A94F48" w:rsidRDefault="00464D5E" w:rsidP="00464D5E">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Calendar Year</w:t>
            </w:r>
          </w:p>
        </w:tc>
        <w:tc>
          <w:tcPr>
            <w:tcW w:w="1094" w:type="dxa"/>
            <w:tcBorders>
              <w:top w:val="single" w:sz="4" w:space="0" w:color="auto"/>
              <w:left w:val="nil"/>
              <w:bottom w:val="single" w:sz="4" w:space="0" w:color="auto"/>
              <w:right w:val="single" w:sz="4" w:space="0" w:color="auto"/>
            </w:tcBorders>
            <w:shd w:val="clear" w:color="000000" w:fill="B7DEE8"/>
            <w:noWrap/>
            <w:vAlign w:val="center"/>
            <w:hideMark/>
          </w:tcPr>
          <w:p w14:paraId="607C915F" w14:textId="77777777" w:rsidR="00464D5E" w:rsidRPr="00A94F48" w:rsidRDefault="00464D5E" w:rsidP="00464D5E">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2018</w:t>
            </w:r>
          </w:p>
        </w:tc>
        <w:tc>
          <w:tcPr>
            <w:tcW w:w="1094" w:type="dxa"/>
            <w:tcBorders>
              <w:top w:val="single" w:sz="4" w:space="0" w:color="auto"/>
              <w:left w:val="nil"/>
              <w:bottom w:val="single" w:sz="4" w:space="0" w:color="auto"/>
              <w:right w:val="single" w:sz="4" w:space="0" w:color="auto"/>
            </w:tcBorders>
            <w:shd w:val="clear" w:color="000000" w:fill="B7DEE8"/>
            <w:noWrap/>
            <w:vAlign w:val="center"/>
            <w:hideMark/>
          </w:tcPr>
          <w:p w14:paraId="25E1E18C" w14:textId="77777777" w:rsidR="00464D5E" w:rsidRPr="00A94F48" w:rsidRDefault="00464D5E" w:rsidP="00464D5E">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2019</w:t>
            </w:r>
          </w:p>
        </w:tc>
        <w:tc>
          <w:tcPr>
            <w:tcW w:w="1094" w:type="dxa"/>
            <w:tcBorders>
              <w:top w:val="single" w:sz="4" w:space="0" w:color="auto"/>
              <w:left w:val="nil"/>
              <w:bottom w:val="single" w:sz="4" w:space="0" w:color="auto"/>
              <w:right w:val="single" w:sz="4" w:space="0" w:color="auto"/>
            </w:tcBorders>
            <w:shd w:val="clear" w:color="000000" w:fill="B7DEE8"/>
            <w:noWrap/>
            <w:vAlign w:val="center"/>
            <w:hideMark/>
          </w:tcPr>
          <w:p w14:paraId="6596913F" w14:textId="77777777" w:rsidR="00464D5E" w:rsidRPr="00A94F48" w:rsidRDefault="00464D5E" w:rsidP="00464D5E">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2020</w:t>
            </w:r>
          </w:p>
        </w:tc>
        <w:tc>
          <w:tcPr>
            <w:tcW w:w="1094" w:type="dxa"/>
            <w:tcBorders>
              <w:top w:val="single" w:sz="4" w:space="0" w:color="auto"/>
              <w:left w:val="nil"/>
              <w:bottom w:val="single" w:sz="4" w:space="0" w:color="auto"/>
              <w:right w:val="single" w:sz="4" w:space="0" w:color="auto"/>
            </w:tcBorders>
            <w:shd w:val="clear" w:color="000000" w:fill="B7DEE8"/>
            <w:noWrap/>
            <w:vAlign w:val="center"/>
            <w:hideMark/>
          </w:tcPr>
          <w:p w14:paraId="5C4F1279" w14:textId="77777777" w:rsidR="00464D5E" w:rsidRPr="00A94F48" w:rsidRDefault="00464D5E" w:rsidP="00464D5E">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2021</w:t>
            </w:r>
          </w:p>
        </w:tc>
        <w:tc>
          <w:tcPr>
            <w:tcW w:w="1094" w:type="dxa"/>
            <w:tcBorders>
              <w:top w:val="single" w:sz="4" w:space="0" w:color="auto"/>
              <w:left w:val="nil"/>
              <w:bottom w:val="single" w:sz="4" w:space="0" w:color="auto"/>
              <w:right w:val="single" w:sz="4" w:space="0" w:color="auto"/>
            </w:tcBorders>
            <w:shd w:val="clear" w:color="000000" w:fill="B7DEE8"/>
            <w:noWrap/>
            <w:vAlign w:val="center"/>
            <w:hideMark/>
          </w:tcPr>
          <w:p w14:paraId="60849E12" w14:textId="77777777" w:rsidR="00464D5E" w:rsidRPr="00A94F48" w:rsidRDefault="00464D5E" w:rsidP="00464D5E">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2022</w:t>
            </w:r>
          </w:p>
        </w:tc>
      </w:tr>
      <w:tr w:rsidR="004935C6" w:rsidRPr="00A94F48" w14:paraId="7FC5E037" w14:textId="77777777" w:rsidTr="00F108F4">
        <w:trPr>
          <w:trHeight w:val="410"/>
        </w:trPr>
        <w:tc>
          <w:tcPr>
            <w:tcW w:w="3772" w:type="dxa"/>
            <w:tcBorders>
              <w:top w:val="nil"/>
              <w:left w:val="single" w:sz="4" w:space="0" w:color="auto"/>
              <w:bottom w:val="single" w:sz="4" w:space="0" w:color="auto"/>
              <w:right w:val="single" w:sz="4" w:space="0" w:color="auto"/>
            </w:tcBorders>
            <w:shd w:val="clear" w:color="auto" w:fill="auto"/>
            <w:vAlign w:val="center"/>
            <w:hideMark/>
          </w:tcPr>
          <w:p w14:paraId="54FB3A9F" w14:textId="77777777" w:rsidR="004935C6" w:rsidRPr="00A94F48" w:rsidRDefault="004935C6" w:rsidP="004935C6">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Impact on total employment</w:t>
            </w: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4BA48" w14:textId="77777777" w:rsidR="004935C6" w:rsidRPr="00A94F48" w:rsidRDefault="004935C6" w:rsidP="004935C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237</w:t>
            </w:r>
          </w:p>
        </w:tc>
        <w:tc>
          <w:tcPr>
            <w:tcW w:w="1094" w:type="dxa"/>
            <w:tcBorders>
              <w:top w:val="single" w:sz="4" w:space="0" w:color="auto"/>
              <w:left w:val="nil"/>
              <w:bottom w:val="single" w:sz="4" w:space="0" w:color="auto"/>
              <w:right w:val="single" w:sz="4" w:space="0" w:color="auto"/>
            </w:tcBorders>
            <w:shd w:val="clear" w:color="auto" w:fill="auto"/>
            <w:noWrap/>
            <w:vAlign w:val="center"/>
            <w:hideMark/>
          </w:tcPr>
          <w:p w14:paraId="616B31CC" w14:textId="77777777" w:rsidR="004935C6" w:rsidRPr="00A94F48" w:rsidRDefault="004935C6" w:rsidP="004935C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312</w:t>
            </w:r>
          </w:p>
        </w:tc>
        <w:tc>
          <w:tcPr>
            <w:tcW w:w="1094" w:type="dxa"/>
            <w:tcBorders>
              <w:top w:val="single" w:sz="4" w:space="0" w:color="auto"/>
              <w:left w:val="nil"/>
              <w:bottom w:val="single" w:sz="4" w:space="0" w:color="auto"/>
              <w:right w:val="single" w:sz="4" w:space="0" w:color="auto"/>
            </w:tcBorders>
            <w:shd w:val="clear" w:color="auto" w:fill="auto"/>
            <w:noWrap/>
            <w:vAlign w:val="center"/>
            <w:hideMark/>
          </w:tcPr>
          <w:p w14:paraId="6862508C" w14:textId="77777777" w:rsidR="004935C6" w:rsidRPr="00A94F48" w:rsidRDefault="004935C6" w:rsidP="004935C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370</w:t>
            </w:r>
          </w:p>
        </w:tc>
        <w:tc>
          <w:tcPr>
            <w:tcW w:w="1094" w:type="dxa"/>
            <w:tcBorders>
              <w:top w:val="single" w:sz="4" w:space="0" w:color="auto"/>
              <w:left w:val="nil"/>
              <w:bottom w:val="single" w:sz="4" w:space="0" w:color="auto"/>
              <w:right w:val="single" w:sz="4" w:space="0" w:color="auto"/>
            </w:tcBorders>
            <w:shd w:val="clear" w:color="auto" w:fill="auto"/>
            <w:noWrap/>
            <w:vAlign w:val="center"/>
            <w:hideMark/>
          </w:tcPr>
          <w:p w14:paraId="1EB90B37" w14:textId="77777777" w:rsidR="004935C6" w:rsidRPr="00A94F48" w:rsidRDefault="004935C6" w:rsidP="004935C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386</w:t>
            </w: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FF63A" w14:textId="77777777" w:rsidR="004935C6" w:rsidRPr="00A94F48" w:rsidRDefault="004935C6" w:rsidP="004935C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384</w:t>
            </w:r>
          </w:p>
        </w:tc>
      </w:tr>
      <w:tr w:rsidR="004935C6" w:rsidRPr="00A94F48" w14:paraId="3B3E5A41" w14:textId="77777777" w:rsidTr="00F108F4">
        <w:trPr>
          <w:trHeight w:val="500"/>
        </w:trPr>
        <w:tc>
          <w:tcPr>
            <w:tcW w:w="3772" w:type="dxa"/>
            <w:tcBorders>
              <w:top w:val="nil"/>
              <w:left w:val="single" w:sz="4" w:space="0" w:color="auto"/>
              <w:bottom w:val="single" w:sz="4" w:space="0" w:color="auto"/>
              <w:right w:val="single" w:sz="4" w:space="0" w:color="auto"/>
            </w:tcBorders>
            <w:shd w:val="clear" w:color="auto" w:fill="auto"/>
            <w:vAlign w:val="center"/>
            <w:hideMark/>
          </w:tcPr>
          <w:p w14:paraId="65379351" w14:textId="77777777" w:rsidR="004935C6" w:rsidRPr="00A94F48" w:rsidRDefault="004935C6" w:rsidP="004935C6">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Impact on private non-farm employment</w:t>
            </w:r>
          </w:p>
        </w:tc>
        <w:tc>
          <w:tcPr>
            <w:tcW w:w="1094" w:type="dxa"/>
            <w:tcBorders>
              <w:top w:val="nil"/>
              <w:left w:val="single" w:sz="4" w:space="0" w:color="auto"/>
              <w:bottom w:val="single" w:sz="4" w:space="0" w:color="auto"/>
              <w:right w:val="single" w:sz="4" w:space="0" w:color="auto"/>
            </w:tcBorders>
            <w:shd w:val="clear" w:color="auto" w:fill="auto"/>
            <w:noWrap/>
            <w:vAlign w:val="center"/>
            <w:hideMark/>
          </w:tcPr>
          <w:p w14:paraId="201B75A7" w14:textId="77777777" w:rsidR="004935C6" w:rsidRPr="00A94F48" w:rsidRDefault="004935C6" w:rsidP="004935C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228</w:t>
            </w:r>
          </w:p>
        </w:tc>
        <w:tc>
          <w:tcPr>
            <w:tcW w:w="1094" w:type="dxa"/>
            <w:tcBorders>
              <w:top w:val="nil"/>
              <w:left w:val="nil"/>
              <w:bottom w:val="single" w:sz="4" w:space="0" w:color="auto"/>
              <w:right w:val="single" w:sz="4" w:space="0" w:color="auto"/>
            </w:tcBorders>
            <w:shd w:val="clear" w:color="auto" w:fill="auto"/>
            <w:noWrap/>
            <w:vAlign w:val="center"/>
            <w:hideMark/>
          </w:tcPr>
          <w:p w14:paraId="587D385F" w14:textId="77777777" w:rsidR="004935C6" w:rsidRPr="00A94F48" w:rsidRDefault="004935C6" w:rsidP="004935C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295</w:t>
            </w:r>
          </w:p>
        </w:tc>
        <w:tc>
          <w:tcPr>
            <w:tcW w:w="1094" w:type="dxa"/>
            <w:tcBorders>
              <w:top w:val="nil"/>
              <w:left w:val="nil"/>
              <w:bottom w:val="single" w:sz="4" w:space="0" w:color="auto"/>
              <w:right w:val="single" w:sz="4" w:space="0" w:color="auto"/>
            </w:tcBorders>
            <w:shd w:val="clear" w:color="auto" w:fill="auto"/>
            <w:noWrap/>
            <w:vAlign w:val="center"/>
            <w:hideMark/>
          </w:tcPr>
          <w:p w14:paraId="56E870E6" w14:textId="77777777" w:rsidR="004935C6" w:rsidRPr="00A94F48" w:rsidRDefault="004935C6" w:rsidP="004935C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342</w:t>
            </w:r>
          </w:p>
        </w:tc>
        <w:tc>
          <w:tcPr>
            <w:tcW w:w="1094" w:type="dxa"/>
            <w:tcBorders>
              <w:top w:val="nil"/>
              <w:left w:val="nil"/>
              <w:bottom w:val="single" w:sz="4" w:space="0" w:color="auto"/>
              <w:right w:val="single" w:sz="4" w:space="0" w:color="auto"/>
            </w:tcBorders>
            <w:shd w:val="clear" w:color="auto" w:fill="auto"/>
            <w:noWrap/>
            <w:vAlign w:val="center"/>
            <w:hideMark/>
          </w:tcPr>
          <w:p w14:paraId="2E3FFFF9" w14:textId="77777777" w:rsidR="004935C6" w:rsidRPr="00A94F48" w:rsidRDefault="004935C6" w:rsidP="004935C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356</w:t>
            </w:r>
          </w:p>
        </w:tc>
        <w:tc>
          <w:tcPr>
            <w:tcW w:w="1094" w:type="dxa"/>
            <w:tcBorders>
              <w:top w:val="nil"/>
              <w:left w:val="single" w:sz="4" w:space="0" w:color="auto"/>
              <w:bottom w:val="single" w:sz="4" w:space="0" w:color="auto"/>
              <w:right w:val="single" w:sz="4" w:space="0" w:color="auto"/>
            </w:tcBorders>
            <w:shd w:val="clear" w:color="auto" w:fill="auto"/>
            <w:noWrap/>
            <w:vAlign w:val="center"/>
            <w:hideMark/>
          </w:tcPr>
          <w:p w14:paraId="684BB3D1" w14:textId="77777777" w:rsidR="004935C6" w:rsidRPr="00A94F48" w:rsidRDefault="004935C6" w:rsidP="004935C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352</w:t>
            </w:r>
          </w:p>
        </w:tc>
      </w:tr>
      <w:tr w:rsidR="004935C6" w:rsidRPr="00A94F48" w14:paraId="36461E2A" w14:textId="77777777" w:rsidTr="00F108F4">
        <w:trPr>
          <w:trHeight w:val="500"/>
        </w:trPr>
        <w:tc>
          <w:tcPr>
            <w:tcW w:w="3772" w:type="dxa"/>
            <w:tcBorders>
              <w:top w:val="nil"/>
              <w:left w:val="single" w:sz="4" w:space="0" w:color="auto"/>
              <w:bottom w:val="single" w:sz="4" w:space="0" w:color="auto"/>
              <w:right w:val="single" w:sz="4" w:space="0" w:color="auto"/>
            </w:tcBorders>
            <w:shd w:val="clear" w:color="auto" w:fill="auto"/>
            <w:vAlign w:val="center"/>
            <w:hideMark/>
          </w:tcPr>
          <w:p w14:paraId="621936B8" w14:textId="77777777" w:rsidR="004935C6" w:rsidRPr="00A94F48" w:rsidRDefault="004935C6" w:rsidP="004935C6">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Impact on GDP ($000), real dollars (2012)</w:t>
            </w:r>
          </w:p>
        </w:tc>
        <w:tc>
          <w:tcPr>
            <w:tcW w:w="1094" w:type="dxa"/>
            <w:tcBorders>
              <w:top w:val="nil"/>
              <w:left w:val="single" w:sz="4" w:space="0" w:color="auto"/>
              <w:bottom w:val="single" w:sz="4" w:space="0" w:color="auto"/>
              <w:right w:val="single" w:sz="4" w:space="0" w:color="auto"/>
            </w:tcBorders>
            <w:shd w:val="clear" w:color="auto" w:fill="auto"/>
            <w:noWrap/>
            <w:vAlign w:val="center"/>
            <w:hideMark/>
          </w:tcPr>
          <w:p w14:paraId="7C551924" w14:textId="77777777" w:rsidR="004935C6" w:rsidRPr="00A94F48" w:rsidRDefault="004935C6" w:rsidP="004935C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$23,000</w:t>
            </w:r>
          </w:p>
        </w:tc>
        <w:tc>
          <w:tcPr>
            <w:tcW w:w="1094" w:type="dxa"/>
            <w:tcBorders>
              <w:top w:val="nil"/>
              <w:left w:val="nil"/>
              <w:bottom w:val="single" w:sz="4" w:space="0" w:color="auto"/>
              <w:right w:val="single" w:sz="4" w:space="0" w:color="auto"/>
            </w:tcBorders>
            <w:shd w:val="clear" w:color="auto" w:fill="auto"/>
            <w:noWrap/>
            <w:vAlign w:val="center"/>
            <w:hideMark/>
          </w:tcPr>
          <w:p w14:paraId="67B27449" w14:textId="77777777" w:rsidR="004935C6" w:rsidRPr="00A94F48" w:rsidRDefault="004935C6" w:rsidP="004935C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$32,000</w:t>
            </w:r>
          </w:p>
        </w:tc>
        <w:tc>
          <w:tcPr>
            <w:tcW w:w="1094" w:type="dxa"/>
            <w:tcBorders>
              <w:top w:val="nil"/>
              <w:left w:val="nil"/>
              <w:bottom w:val="single" w:sz="4" w:space="0" w:color="auto"/>
              <w:right w:val="single" w:sz="4" w:space="0" w:color="auto"/>
            </w:tcBorders>
            <w:shd w:val="clear" w:color="auto" w:fill="auto"/>
            <w:noWrap/>
            <w:vAlign w:val="center"/>
            <w:hideMark/>
          </w:tcPr>
          <w:p w14:paraId="4423F840" w14:textId="77777777" w:rsidR="004935C6" w:rsidRPr="00A94F48" w:rsidRDefault="004935C6" w:rsidP="004935C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$39,000</w:t>
            </w:r>
          </w:p>
        </w:tc>
        <w:tc>
          <w:tcPr>
            <w:tcW w:w="1094" w:type="dxa"/>
            <w:tcBorders>
              <w:top w:val="nil"/>
              <w:left w:val="nil"/>
              <w:bottom w:val="single" w:sz="4" w:space="0" w:color="auto"/>
              <w:right w:val="single" w:sz="4" w:space="0" w:color="auto"/>
            </w:tcBorders>
            <w:shd w:val="clear" w:color="auto" w:fill="auto"/>
            <w:noWrap/>
            <w:vAlign w:val="center"/>
            <w:hideMark/>
          </w:tcPr>
          <w:p w14:paraId="32F78006" w14:textId="77777777" w:rsidR="004935C6" w:rsidRPr="00A94F48" w:rsidRDefault="004935C6" w:rsidP="004935C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$43,000</w:t>
            </w:r>
          </w:p>
        </w:tc>
        <w:tc>
          <w:tcPr>
            <w:tcW w:w="1094" w:type="dxa"/>
            <w:tcBorders>
              <w:top w:val="nil"/>
              <w:left w:val="single" w:sz="4" w:space="0" w:color="auto"/>
              <w:bottom w:val="single" w:sz="4" w:space="0" w:color="auto"/>
              <w:right w:val="single" w:sz="4" w:space="0" w:color="auto"/>
            </w:tcBorders>
            <w:shd w:val="clear" w:color="auto" w:fill="auto"/>
            <w:noWrap/>
            <w:vAlign w:val="center"/>
            <w:hideMark/>
          </w:tcPr>
          <w:p w14:paraId="5BF738AD" w14:textId="77777777" w:rsidR="004935C6" w:rsidRPr="00A94F48" w:rsidRDefault="004935C6" w:rsidP="004935C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$45,000</w:t>
            </w:r>
          </w:p>
        </w:tc>
      </w:tr>
      <w:tr w:rsidR="004935C6" w:rsidRPr="00A94F48" w14:paraId="6BBB4761" w14:textId="77777777" w:rsidTr="00F108F4">
        <w:trPr>
          <w:trHeight w:val="500"/>
        </w:trPr>
        <w:tc>
          <w:tcPr>
            <w:tcW w:w="3772" w:type="dxa"/>
            <w:tcBorders>
              <w:top w:val="nil"/>
              <w:left w:val="single" w:sz="4" w:space="0" w:color="auto"/>
              <w:bottom w:val="single" w:sz="4" w:space="0" w:color="auto"/>
              <w:right w:val="single" w:sz="4" w:space="0" w:color="auto"/>
            </w:tcBorders>
            <w:shd w:val="clear" w:color="auto" w:fill="auto"/>
            <w:vAlign w:val="center"/>
            <w:hideMark/>
          </w:tcPr>
          <w:p w14:paraId="3AFFF884" w14:textId="77777777" w:rsidR="004935C6" w:rsidRPr="00A94F48" w:rsidRDefault="004935C6" w:rsidP="004935C6">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Impact on personal income ($000)</w:t>
            </w:r>
          </w:p>
        </w:tc>
        <w:tc>
          <w:tcPr>
            <w:tcW w:w="1094" w:type="dxa"/>
            <w:tcBorders>
              <w:top w:val="nil"/>
              <w:left w:val="single" w:sz="4" w:space="0" w:color="auto"/>
              <w:bottom w:val="single" w:sz="4" w:space="0" w:color="auto"/>
              <w:right w:val="single" w:sz="4" w:space="0" w:color="auto"/>
            </w:tcBorders>
            <w:shd w:val="clear" w:color="auto" w:fill="auto"/>
            <w:noWrap/>
            <w:vAlign w:val="center"/>
            <w:hideMark/>
          </w:tcPr>
          <w:p w14:paraId="08EDAFD5" w14:textId="77777777" w:rsidR="004935C6" w:rsidRPr="00A94F48" w:rsidRDefault="004935C6" w:rsidP="004935C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$17,000</w:t>
            </w:r>
          </w:p>
        </w:tc>
        <w:tc>
          <w:tcPr>
            <w:tcW w:w="1094" w:type="dxa"/>
            <w:tcBorders>
              <w:top w:val="nil"/>
              <w:left w:val="nil"/>
              <w:bottom w:val="single" w:sz="4" w:space="0" w:color="auto"/>
              <w:right w:val="single" w:sz="4" w:space="0" w:color="auto"/>
            </w:tcBorders>
            <w:shd w:val="clear" w:color="auto" w:fill="auto"/>
            <w:noWrap/>
            <w:vAlign w:val="center"/>
            <w:hideMark/>
          </w:tcPr>
          <w:p w14:paraId="217F239F" w14:textId="77777777" w:rsidR="004935C6" w:rsidRPr="00A94F48" w:rsidRDefault="004935C6" w:rsidP="004935C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$25,000</w:t>
            </w:r>
          </w:p>
        </w:tc>
        <w:tc>
          <w:tcPr>
            <w:tcW w:w="1094" w:type="dxa"/>
            <w:tcBorders>
              <w:top w:val="nil"/>
              <w:left w:val="nil"/>
              <w:bottom w:val="single" w:sz="4" w:space="0" w:color="auto"/>
              <w:right w:val="single" w:sz="4" w:space="0" w:color="auto"/>
            </w:tcBorders>
            <w:shd w:val="clear" w:color="auto" w:fill="auto"/>
            <w:noWrap/>
            <w:vAlign w:val="center"/>
            <w:hideMark/>
          </w:tcPr>
          <w:p w14:paraId="258648CE" w14:textId="77777777" w:rsidR="004935C6" w:rsidRPr="00A94F48" w:rsidRDefault="004935C6" w:rsidP="004935C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$32,000</w:t>
            </w:r>
          </w:p>
        </w:tc>
        <w:tc>
          <w:tcPr>
            <w:tcW w:w="1094" w:type="dxa"/>
            <w:tcBorders>
              <w:top w:val="nil"/>
              <w:left w:val="nil"/>
              <w:bottom w:val="single" w:sz="4" w:space="0" w:color="auto"/>
              <w:right w:val="single" w:sz="4" w:space="0" w:color="auto"/>
            </w:tcBorders>
            <w:shd w:val="clear" w:color="auto" w:fill="auto"/>
            <w:noWrap/>
            <w:vAlign w:val="center"/>
            <w:hideMark/>
          </w:tcPr>
          <w:p w14:paraId="2BA3C999" w14:textId="77777777" w:rsidR="004935C6" w:rsidRPr="00A94F48" w:rsidRDefault="004935C6" w:rsidP="004935C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$37,000</w:t>
            </w:r>
          </w:p>
        </w:tc>
        <w:tc>
          <w:tcPr>
            <w:tcW w:w="1094" w:type="dxa"/>
            <w:tcBorders>
              <w:top w:val="nil"/>
              <w:left w:val="single" w:sz="4" w:space="0" w:color="auto"/>
              <w:bottom w:val="single" w:sz="4" w:space="0" w:color="auto"/>
              <w:right w:val="single" w:sz="4" w:space="0" w:color="auto"/>
            </w:tcBorders>
            <w:shd w:val="clear" w:color="auto" w:fill="auto"/>
            <w:noWrap/>
            <w:vAlign w:val="center"/>
            <w:hideMark/>
          </w:tcPr>
          <w:p w14:paraId="4579C65A" w14:textId="77777777" w:rsidR="004935C6" w:rsidRPr="00A94F48" w:rsidRDefault="004935C6" w:rsidP="004935C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$40,000</w:t>
            </w:r>
          </w:p>
        </w:tc>
      </w:tr>
    </w:tbl>
    <w:p w14:paraId="0AAE4888" w14:textId="77777777" w:rsidR="00464D5E" w:rsidRDefault="00464D5E" w:rsidP="00464D5E">
      <w:pPr>
        <w:rPr>
          <w:rFonts w:asciiTheme="majorHAnsi" w:hAnsiTheme="majorHAnsi"/>
          <w:bCs/>
          <w:sz w:val="24"/>
          <w:szCs w:val="24"/>
        </w:rPr>
      </w:pPr>
    </w:p>
    <w:p w14:paraId="5B213949" w14:textId="77777777" w:rsidR="006F47A8" w:rsidRDefault="006F47A8" w:rsidP="00464D5E">
      <w:pPr>
        <w:rPr>
          <w:rFonts w:asciiTheme="majorHAnsi" w:hAnsiTheme="majorHAnsi"/>
          <w:bCs/>
          <w:sz w:val="24"/>
          <w:szCs w:val="24"/>
        </w:rPr>
      </w:pPr>
      <w:r>
        <w:rPr>
          <w:rFonts w:asciiTheme="majorHAnsi" w:hAnsiTheme="majorHAnsi"/>
          <w:bCs/>
          <w:sz w:val="24"/>
          <w:szCs w:val="24"/>
        </w:rPr>
        <w:t>Note that the overall economic impact reported in this section, especially job creation, is much smaller than the job creation reported in MOBD’s EDIP FY2020 annual report. The reasons for such big difference</w:t>
      </w:r>
      <w:r w:rsidR="00594743">
        <w:rPr>
          <w:rFonts w:asciiTheme="majorHAnsi" w:hAnsiTheme="majorHAnsi"/>
          <w:bCs/>
          <w:sz w:val="24"/>
          <w:szCs w:val="24"/>
        </w:rPr>
        <w:t>s</w:t>
      </w:r>
      <w:r>
        <w:rPr>
          <w:rFonts w:asciiTheme="majorHAnsi" w:hAnsiTheme="majorHAnsi"/>
          <w:bCs/>
          <w:sz w:val="24"/>
          <w:szCs w:val="24"/>
        </w:rPr>
        <w:t xml:space="preserve"> may include: (1) In this analysis, REMI Tax-PI model captures </w:t>
      </w:r>
      <w:r w:rsidR="00594743">
        <w:rPr>
          <w:rFonts w:asciiTheme="majorHAnsi" w:hAnsiTheme="majorHAnsi"/>
          <w:bCs/>
          <w:sz w:val="24"/>
          <w:szCs w:val="24"/>
        </w:rPr>
        <w:t xml:space="preserve">only </w:t>
      </w:r>
      <w:r>
        <w:rPr>
          <w:rFonts w:asciiTheme="majorHAnsi" w:hAnsiTheme="majorHAnsi"/>
          <w:bCs/>
          <w:sz w:val="24"/>
          <w:szCs w:val="24"/>
        </w:rPr>
        <w:t xml:space="preserve">the businesses’ </w:t>
      </w:r>
      <w:r w:rsidR="00E869E5">
        <w:rPr>
          <w:rFonts w:asciiTheme="majorHAnsi" w:hAnsiTheme="majorHAnsi"/>
          <w:bCs/>
          <w:sz w:val="24"/>
          <w:szCs w:val="24"/>
        </w:rPr>
        <w:t xml:space="preserve">general </w:t>
      </w:r>
      <w:r>
        <w:rPr>
          <w:rFonts w:asciiTheme="majorHAnsi" w:hAnsiTheme="majorHAnsi"/>
          <w:bCs/>
          <w:sz w:val="24"/>
          <w:szCs w:val="24"/>
        </w:rPr>
        <w:t>response to cost saving due to EDIP credits</w:t>
      </w:r>
      <w:r w:rsidR="00E869E5">
        <w:rPr>
          <w:rFonts w:asciiTheme="majorHAnsi" w:hAnsiTheme="majorHAnsi"/>
          <w:bCs/>
          <w:sz w:val="24"/>
          <w:szCs w:val="24"/>
        </w:rPr>
        <w:t xml:space="preserve"> (</w:t>
      </w:r>
      <w:r w:rsidR="00E01CEE">
        <w:rPr>
          <w:rFonts w:asciiTheme="majorHAnsi" w:hAnsiTheme="majorHAnsi"/>
          <w:bCs/>
          <w:sz w:val="24"/>
          <w:szCs w:val="24"/>
        </w:rPr>
        <w:t>but not specific features of the EDIP program)</w:t>
      </w:r>
      <w:r>
        <w:rPr>
          <w:rFonts w:asciiTheme="majorHAnsi" w:hAnsiTheme="majorHAnsi"/>
          <w:bCs/>
          <w:sz w:val="24"/>
          <w:szCs w:val="24"/>
        </w:rPr>
        <w:t xml:space="preserve"> whereas </w:t>
      </w:r>
      <w:r w:rsidR="00594743">
        <w:rPr>
          <w:rFonts w:asciiTheme="majorHAnsi" w:hAnsiTheme="majorHAnsi"/>
          <w:bCs/>
          <w:sz w:val="24"/>
          <w:szCs w:val="24"/>
        </w:rPr>
        <w:t xml:space="preserve">in real world </w:t>
      </w:r>
      <w:r>
        <w:rPr>
          <w:rFonts w:asciiTheme="majorHAnsi" w:hAnsiTheme="majorHAnsi"/>
          <w:bCs/>
          <w:sz w:val="24"/>
          <w:szCs w:val="24"/>
        </w:rPr>
        <w:t xml:space="preserve">other </w:t>
      </w:r>
      <w:r w:rsidR="00E01CEE">
        <w:rPr>
          <w:rFonts w:asciiTheme="majorHAnsi" w:hAnsiTheme="majorHAnsi"/>
          <w:bCs/>
          <w:sz w:val="24"/>
          <w:szCs w:val="24"/>
        </w:rPr>
        <w:t>components of</w:t>
      </w:r>
      <w:r>
        <w:rPr>
          <w:rFonts w:asciiTheme="majorHAnsi" w:hAnsiTheme="majorHAnsi"/>
          <w:bCs/>
          <w:sz w:val="24"/>
          <w:szCs w:val="24"/>
        </w:rPr>
        <w:t xml:space="preserve"> the EDIP program</w:t>
      </w:r>
      <w:r w:rsidR="00594743">
        <w:rPr>
          <w:rFonts w:asciiTheme="majorHAnsi" w:hAnsiTheme="majorHAnsi"/>
          <w:bCs/>
          <w:sz w:val="24"/>
          <w:szCs w:val="24"/>
        </w:rPr>
        <w:t xml:space="preserve"> </w:t>
      </w:r>
      <w:r w:rsidR="00E01CEE">
        <w:rPr>
          <w:rFonts w:asciiTheme="majorHAnsi" w:hAnsiTheme="majorHAnsi"/>
          <w:bCs/>
          <w:sz w:val="24"/>
          <w:szCs w:val="24"/>
        </w:rPr>
        <w:t>may be</w:t>
      </w:r>
      <w:r w:rsidR="00594743">
        <w:rPr>
          <w:rFonts w:asciiTheme="majorHAnsi" w:hAnsiTheme="majorHAnsi"/>
          <w:bCs/>
          <w:sz w:val="24"/>
          <w:szCs w:val="24"/>
        </w:rPr>
        <w:t xml:space="preserve"> also important, such as </w:t>
      </w:r>
      <w:r w:rsidR="00E01CEE">
        <w:rPr>
          <w:rFonts w:asciiTheme="majorHAnsi" w:hAnsiTheme="majorHAnsi"/>
          <w:bCs/>
          <w:sz w:val="24"/>
          <w:szCs w:val="24"/>
        </w:rPr>
        <w:t>facilitation to resources (</w:t>
      </w:r>
      <w:r w:rsidR="00594743">
        <w:rPr>
          <w:rFonts w:asciiTheme="majorHAnsi" w:hAnsiTheme="majorHAnsi"/>
          <w:bCs/>
          <w:sz w:val="24"/>
          <w:szCs w:val="24"/>
        </w:rPr>
        <w:t xml:space="preserve">workforce training, </w:t>
      </w:r>
      <w:r w:rsidR="00594743">
        <w:rPr>
          <w:rFonts w:asciiTheme="majorHAnsi" w:hAnsiTheme="majorHAnsi"/>
          <w:bCs/>
          <w:sz w:val="24"/>
          <w:szCs w:val="24"/>
        </w:rPr>
        <w:lastRenderedPageBreak/>
        <w:t>financing, export assistance, infrastructure support, etc</w:t>
      </w:r>
      <w:r w:rsidR="00E01CEE">
        <w:rPr>
          <w:rFonts w:asciiTheme="majorHAnsi" w:hAnsiTheme="majorHAnsi"/>
          <w:bCs/>
          <w:sz w:val="24"/>
          <w:szCs w:val="24"/>
        </w:rPr>
        <w:t>) and other help to businesses</w:t>
      </w:r>
      <w:r w:rsidR="00594743">
        <w:rPr>
          <w:rFonts w:asciiTheme="majorHAnsi" w:hAnsiTheme="majorHAnsi"/>
          <w:bCs/>
          <w:sz w:val="24"/>
          <w:szCs w:val="24"/>
        </w:rPr>
        <w:t xml:space="preserve">. (2) </w:t>
      </w:r>
      <w:r w:rsidR="00E01CEE">
        <w:rPr>
          <w:rFonts w:asciiTheme="majorHAnsi" w:hAnsiTheme="majorHAnsi"/>
          <w:bCs/>
          <w:sz w:val="24"/>
          <w:szCs w:val="24"/>
        </w:rPr>
        <w:t>A</w:t>
      </w:r>
      <w:r w:rsidR="00594743">
        <w:rPr>
          <w:rFonts w:asciiTheme="majorHAnsi" w:hAnsiTheme="majorHAnsi"/>
          <w:bCs/>
          <w:sz w:val="24"/>
          <w:szCs w:val="24"/>
        </w:rPr>
        <w:t>s discussed in the text, numbers in</w:t>
      </w:r>
      <w:r w:rsidR="00E01CEE">
        <w:rPr>
          <w:rFonts w:asciiTheme="majorHAnsi" w:hAnsiTheme="majorHAnsi"/>
          <w:bCs/>
          <w:sz w:val="24"/>
          <w:szCs w:val="24"/>
        </w:rPr>
        <w:t xml:space="preserve"> MOBD’ annual</w:t>
      </w:r>
      <w:r w:rsidR="00594743">
        <w:rPr>
          <w:rFonts w:asciiTheme="majorHAnsi" w:hAnsiTheme="majorHAnsi"/>
          <w:bCs/>
          <w:sz w:val="24"/>
          <w:szCs w:val="24"/>
        </w:rPr>
        <w:t xml:space="preserve"> report may be not as large as they appear to be. More importantly, the number of job creation and retention may be not necessarily </w:t>
      </w:r>
      <w:r w:rsidR="00415B66">
        <w:rPr>
          <w:rFonts w:asciiTheme="majorHAnsi" w:hAnsiTheme="majorHAnsi"/>
          <w:bCs/>
          <w:sz w:val="24"/>
          <w:szCs w:val="24"/>
        </w:rPr>
        <w:t xml:space="preserve">all </w:t>
      </w:r>
      <w:r w:rsidR="00594743">
        <w:rPr>
          <w:rFonts w:asciiTheme="majorHAnsi" w:hAnsiTheme="majorHAnsi"/>
          <w:bCs/>
          <w:sz w:val="24"/>
          <w:szCs w:val="24"/>
        </w:rPr>
        <w:t>“net new” jobs and could be jobs shifted from other part of the state</w:t>
      </w:r>
      <w:r w:rsidR="00415B66">
        <w:rPr>
          <w:rFonts w:asciiTheme="majorHAnsi" w:hAnsiTheme="majorHAnsi"/>
          <w:bCs/>
          <w:sz w:val="24"/>
          <w:szCs w:val="24"/>
        </w:rPr>
        <w:t xml:space="preserve"> or from future</w:t>
      </w:r>
      <w:r w:rsidR="00594743">
        <w:rPr>
          <w:rFonts w:asciiTheme="majorHAnsi" w:hAnsiTheme="majorHAnsi"/>
          <w:bCs/>
          <w:sz w:val="24"/>
          <w:szCs w:val="24"/>
        </w:rPr>
        <w:t>.</w:t>
      </w:r>
    </w:p>
    <w:p w14:paraId="249F81FC" w14:textId="77777777" w:rsidR="001262F8" w:rsidRDefault="006F47A8" w:rsidP="00464D5E">
      <w:pPr>
        <w:rPr>
          <w:rFonts w:asciiTheme="majorHAnsi" w:hAnsiTheme="majorHAnsi"/>
          <w:bCs/>
          <w:sz w:val="24"/>
          <w:szCs w:val="24"/>
        </w:rPr>
      </w:pPr>
      <w:r>
        <w:rPr>
          <w:rFonts w:asciiTheme="majorHAnsi" w:hAnsiTheme="majorHAnsi"/>
          <w:bCs/>
          <w:sz w:val="24"/>
          <w:szCs w:val="24"/>
        </w:rPr>
        <w:t xml:space="preserve"> </w:t>
      </w:r>
    </w:p>
    <w:p w14:paraId="164A5992" w14:textId="77777777" w:rsidR="00464D5E" w:rsidRDefault="00464D5E" w:rsidP="00464D5E">
      <w:pPr>
        <w:rPr>
          <w:rFonts w:asciiTheme="majorHAnsi" w:hAnsiTheme="majorHAnsi"/>
          <w:b/>
          <w:sz w:val="24"/>
          <w:szCs w:val="24"/>
        </w:rPr>
      </w:pPr>
      <w:r w:rsidRPr="00782E31">
        <w:rPr>
          <w:rFonts w:asciiTheme="majorHAnsi" w:hAnsiTheme="majorHAnsi"/>
          <w:b/>
          <w:sz w:val="24"/>
          <w:szCs w:val="24"/>
        </w:rPr>
        <w:t>Comparison of costs and benefits</w:t>
      </w:r>
    </w:p>
    <w:p w14:paraId="3D5AF248" w14:textId="77777777" w:rsidR="00464D5E" w:rsidRDefault="00464D5E" w:rsidP="00464D5E">
      <w:pPr>
        <w:tabs>
          <w:tab w:val="left" w:pos="7050"/>
        </w:tabs>
        <w:spacing w:after="0"/>
        <w:rPr>
          <w:rFonts w:asciiTheme="majorHAnsi" w:hAnsiTheme="majorHAnsi"/>
          <w:bCs/>
          <w:sz w:val="24"/>
          <w:szCs w:val="23"/>
        </w:rPr>
      </w:pPr>
      <w:r>
        <w:rPr>
          <w:rFonts w:asciiTheme="majorHAnsi" w:hAnsiTheme="majorHAnsi"/>
          <w:bCs/>
          <w:sz w:val="24"/>
          <w:szCs w:val="23"/>
        </w:rPr>
        <w:t>Ignoring the opportunity cost of the tax incentive, total benefits are greater than costs. Considering the opportunity cost means asking what benefits would be reaped if the Commonwealth used the dollars spent on the tax incentive for other purposes. Those dollars could be spent in many other ways, and examining them is beyond the scope of the current evaluation report.  Nonetheless, we reported net impacts of the tax incentive in Tables A</w:t>
      </w:r>
      <w:r w:rsidR="00FD3D7D">
        <w:rPr>
          <w:rFonts w:asciiTheme="majorHAnsi" w:hAnsiTheme="majorHAnsi"/>
          <w:bCs/>
          <w:sz w:val="24"/>
          <w:szCs w:val="23"/>
        </w:rPr>
        <w:t>2-</w:t>
      </w:r>
      <w:r>
        <w:rPr>
          <w:rFonts w:asciiTheme="majorHAnsi" w:hAnsiTheme="majorHAnsi"/>
          <w:bCs/>
          <w:sz w:val="24"/>
          <w:szCs w:val="23"/>
        </w:rPr>
        <w:t>5 and A</w:t>
      </w:r>
      <w:r w:rsidR="00FD3D7D">
        <w:rPr>
          <w:rFonts w:asciiTheme="majorHAnsi" w:hAnsiTheme="majorHAnsi"/>
          <w:bCs/>
          <w:sz w:val="24"/>
          <w:szCs w:val="23"/>
        </w:rPr>
        <w:t>2-</w:t>
      </w:r>
      <w:r>
        <w:rPr>
          <w:rFonts w:asciiTheme="majorHAnsi" w:hAnsiTheme="majorHAnsi"/>
          <w:bCs/>
          <w:sz w:val="24"/>
          <w:szCs w:val="23"/>
        </w:rPr>
        <w:t>6 below under the balanced budget requirement, which are the combined effects in Tables A</w:t>
      </w:r>
      <w:r w:rsidR="00FD3D7D">
        <w:rPr>
          <w:rFonts w:asciiTheme="majorHAnsi" w:hAnsiTheme="majorHAnsi"/>
          <w:bCs/>
          <w:sz w:val="24"/>
          <w:szCs w:val="23"/>
        </w:rPr>
        <w:t>2-</w:t>
      </w:r>
      <w:r>
        <w:rPr>
          <w:rFonts w:asciiTheme="majorHAnsi" w:hAnsiTheme="majorHAnsi"/>
          <w:bCs/>
          <w:sz w:val="24"/>
          <w:szCs w:val="23"/>
        </w:rPr>
        <w:t>1</w:t>
      </w:r>
      <w:r w:rsidR="00FD3D7D">
        <w:rPr>
          <w:rFonts w:asciiTheme="majorHAnsi" w:hAnsiTheme="majorHAnsi"/>
          <w:bCs/>
          <w:sz w:val="24"/>
          <w:szCs w:val="23"/>
        </w:rPr>
        <w:t xml:space="preserve"> to </w:t>
      </w:r>
      <w:r>
        <w:rPr>
          <w:rFonts w:asciiTheme="majorHAnsi" w:hAnsiTheme="majorHAnsi"/>
          <w:bCs/>
          <w:sz w:val="24"/>
          <w:szCs w:val="23"/>
        </w:rPr>
        <w:t>A</w:t>
      </w:r>
      <w:r w:rsidR="00FD3D7D">
        <w:rPr>
          <w:rFonts w:asciiTheme="majorHAnsi" w:hAnsiTheme="majorHAnsi"/>
          <w:bCs/>
          <w:sz w:val="24"/>
          <w:szCs w:val="23"/>
        </w:rPr>
        <w:t>2-</w:t>
      </w:r>
      <w:r>
        <w:rPr>
          <w:rFonts w:asciiTheme="majorHAnsi" w:hAnsiTheme="majorHAnsi"/>
          <w:bCs/>
          <w:sz w:val="24"/>
          <w:szCs w:val="23"/>
        </w:rPr>
        <w:t xml:space="preserve">4. </w:t>
      </w:r>
    </w:p>
    <w:p w14:paraId="650D8F7E" w14:textId="77777777" w:rsidR="00464D5E" w:rsidRDefault="00464D5E" w:rsidP="00464D5E">
      <w:pPr>
        <w:tabs>
          <w:tab w:val="left" w:pos="7050"/>
        </w:tabs>
        <w:spacing w:after="0"/>
        <w:rPr>
          <w:rFonts w:asciiTheme="majorHAnsi" w:hAnsiTheme="majorHAnsi"/>
          <w:bCs/>
          <w:sz w:val="24"/>
          <w:szCs w:val="23"/>
        </w:rPr>
      </w:pPr>
    </w:p>
    <w:p w14:paraId="5446BEB9" w14:textId="77777777" w:rsidR="00FD3D7D" w:rsidRDefault="00464D5E" w:rsidP="00FD3D7D">
      <w:pPr>
        <w:tabs>
          <w:tab w:val="left" w:pos="7050"/>
        </w:tabs>
        <w:spacing w:after="0"/>
        <w:rPr>
          <w:rFonts w:asciiTheme="majorHAnsi" w:hAnsiTheme="majorHAnsi"/>
          <w:bCs/>
          <w:sz w:val="24"/>
          <w:szCs w:val="23"/>
        </w:rPr>
      </w:pPr>
      <w:r w:rsidRPr="00A76DAE">
        <w:rPr>
          <w:rFonts w:asciiTheme="majorHAnsi" w:hAnsiTheme="majorHAnsi"/>
          <w:bCs/>
          <w:sz w:val="24"/>
          <w:szCs w:val="23"/>
        </w:rPr>
        <w:t xml:space="preserve">Tables </w:t>
      </w:r>
      <w:r>
        <w:rPr>
          <w:rFonts w:asciiTheme="majorHAnsi" w:hAnsiTheme="majorHAnsi"/>
          <w:bCs/>
          <w:sz w:val="24"/>
          <w:szCs w:val="23"/>
        </w:rPr>
        <w:t>A</w:t>
      </w:r>
      <w:r w:rsidR="00FD3D7D">
        <w:rPr>
          <w:rFonts w:asciiTheme="majorHAnsi" w:hAnsiTheme="majorHAnsi"/>
          <w:bCs/>
          <w:sz w:val="24"/>
          <w:szCs w:val="23"/>
        </w:rPr>
        <w:t>2-</w:t>
      </w:r>
      <w:r>
        <w:rPr>
          <w:rFonts w:asciiTheme="majorHAnsi" w:hAnsiTheme="majorHAnsi"/>
          <w:bCs/>
          <w:sz w:val="24"/>
          <w:szCs w:val="23"/>
        </w:rPr>
        <w:t>5</w:t>
      </w:r>
      <w:r w:rsidRPr="00A76DAE">
        <w:rPr>
          <w:rFonts w:asciiTheme="majorHAnsi" w:hAnsiTheme="majorHAnsi"/>
          <w:bCs/>
          <w:sz w:val="24"/>
          <w:szCs w:val="23"/>
        </w:rPr>
        <w:t xml:space="preserve"> and </w:t>
      </w:r>
      <w:r>
        <w:rPr>
          <w:rFonts w:asciiTheme="majorHAnsi" w:hAnsiTheme="majorHAnsi"/>
          <w:bCs/>
          <w:sz w:val="24"/>
          <w:szCs w:val="23"/>
        </w:rPr>
        <w:t>A</w:t>
      </w:r>
      <w:r w:rsidR="00FD3D7D">
        <w:rPr>
          <w:rFonts w:asciiTheme="majorHAnsi" w:hAnsiTheme="majorHAnsi"/>
          <w:bCs/>
          <w:sz w:val="24"/>
          <w:szCs w:val="23"/>
        </w:rPr>
        <w:t>2-</w:t>
      </w:r>
      <w:r>
        <w:rPr>
          <w:rFonts w:asciiTheme="majorHAnsi" w:hAnsiTheme="majorHAnsi"/>
          <w:bCs/>
          <w:sz w:val="24"/>
          <w:szCs w:val="23"/>
        </w:rPr>
        <w:t>6</w:t>
      </w:r>
      <w:r w:rsidRPr="00A76DAE">
        <w:rPr>
          <w:rFonts w:asciiTheme="majorHAnsi" w:hAnsiTheme="majorHAnsi"/>
          <w:bCs/>
          <w:sz w:val="24"/>
          <w:szCs w:val="23"/>
        </w:rPr>
        <w:t xml:space="preserve"> show that the </w:t>
      </w:r>
      <w:r w:rsidR="00FD3D7D">
        <w:rPr>
          <w:rFonts w:asciiTheme="majorHAnsi" w:hAnsiTheme="majorHAnsi"/>
          <w:bCs/>
          <w:sz w:val="24"/>
          <w:szCs w:val="23"/>
        </w:rPr>
        <w:t>EDIP credit</w:t>
      </w:r>
      <w:r w:rsidRPr="00A76DAE">
        <w:rPr>
          <w:rFonts w:asciiTheme="majorHAnsi" w:hAnsiTheme="majorHAnsi"/>
          <w:bCs/>
          <w:sz w:val="24"/>
          <w:szCs w:val="23"/>
        </w:rPr>
        <w:t xml:space="preserve"> combined with a cut in state government spending results in less economic activit</w:t>
      </w:r>
      <w:r>
        <w:rPr>
          <w:rFonts w:asciiTheme="majorHAnsi" w:hAnsiTheme="majorHAnsi"/>
          <w:bCs/>
          <w:sz w:val="24"/>
          <w:szCs w:val="23"/>
        </w:rPr>
        <w:t>y</w:t>
      </w:r>
      <w:r w:rsidR="00FD3D7D">
        <w:rPr>
          <w:rFonts w:asciiTheme="majorHAnsi" w:hAnsiTheme="majorHAnsi"/>
          <w:bCs/>
          <w:sz w:val="24"/>
          <w:szCs w:val="23"/>
        </w:rPr>
        <w:t xml:space="preserve"> in general</w:t>
      </w:r>
      <w:r w:rsidRPr="00A76DAE">
        <w:rPr>
          <w:rFonts w:asciiTheme="majorHAnsi" w:hAnsiTheme="majorHAnsi"/>
          <w:bCs/>
          <w:sz w:val="24"/>
          <w:szCs w:val="23"/>
        </w:rPr>
        <w:t xml:space="preserve">, </w:t>
      </w:r>
      <w:r w:rsidR="00FD3D7D" w:rsidRPr="00A76DAE">
        <w:rPr>
          <w:rFonts w:asciiTheme="majorHAnsi" w:hAnsiTheme="majorHAnsi"/>
          <w:bCs/>
          <w:sz w:val="24"/>
          <w:szCs w:val="23"/>
        </w:rPr>
        <w:t xml:space="preserve">with real state GDP </w:t>
      </w:r>
      <w:r w:rsidR="00FD3D7D">
        <w:rPr>
          <w:rFonts w:asciiTheme="majorHAnsi" w:hAnsiTheme="majorHAnsi"/>
          <w:bCs/>
          <w:sz w:val="24"/>
          <w:szCs w:val="23"/>
        </w:rPr>
        <w:t>chang</w:t>
      </w:r>
      <w:r w:rsidR="00FD3D7D" w:rsidRPr="00A76DAE">
        <w:rPr>
          <w:rFonts w:asciiTheme="majorHAnsi" w:hAnsiTheme="majorHAnsi"/>
          <w:bCs/>
          <w:sz w:val="24"/>
          <w:szCs w:val="23"/>
        </w:rPr>
        <w:t>ing</w:t>
      </w:r>
      <w:r w:rsidR="00FD3D7D">
        <w:rPr>
          <w:rFonts w:asciiTheme="majorHAnsi" w:hAnsiTheme="majorHAnsi"/>
          <w:bCs/>
          <w:sz w:val="24"/>
          <w:szCs w:val="23"/>
        </w:rPr>
        <w:t xml:space="preserve"> by -$21 million to +</w:t>
      </w:r>
      <w:r w:rsidR="00FD3D7D" w:rsidRPr="00A76DAE">
        <w:rPr>
          <w:rFonts w:asciiTheme="majorHAnsi" w:hAnsiTheme="majorHAnsi"/>
          <w:bCs/>
          <w:sz w:val="24"/>
          <w:szCs w:val="23"/>
        </w:rPr>
        <w:t>$</w:t>
      </w:r>
      <w:r w:rsidR="00FD3D7D">
        <w:rPr>
          <w:rFonts w:asciiTheme="majorHAnsi" w:hAnsiTheme="majorHAnsi"/>
          <w:bCs/>
          <w:sz w:val="24"/>
          <w:szCs w:val="23"/>
        </w:rPr>
        <w:t>3</w:t>
      </w:r>
      <w:r w:rsidR="00FD3D7D" w:rsidRPr="00A76DAE">
        <w:rPr>
          <w:rFonts w:asciiTheme="majorHAnsi" w:hAnsiTheme="majorHAnsi"/>
          <w:bCs/>
          <w:sz w:val="24"/>
          <w:szCs w:val="23"/>
        </w:rPr>
        <w:t xml:space="preserve"> million. The net impact on total employment is negative</w:t>
      </w:r>
      <w:r w:rsidR="00FD3D7D">
        <w:rPr>
          <w:rFonts w:asciiTheme="majorHAnsi" w:hAnsiTheme="majorHAnsi"/>
          <w:bCs/>
          <w:sz w:val="24"/>
          <w:szCs w:val="23"/>
        </w:rPr>
        <w:t>,</w:t>
      </w:r>
      <w:r w:rsidR="00FD3D7D" w:rsidRPr="00A76DAE">
        <w:rPr>
          <w:rFonts w:asciiTheme="majorHAnsi" w:hAnsiTheme="majorHAnsi"/>
          <w:bCs/>
          <w:sz w:val="24"/>
          <w:szCs w:val="23"/>
        </w:rPr>
        <w:t xml:space="preserve"> decreasing </w:t>
      </w:r>
      <w:r w:rsidR="00FD3D7D">
        <w:rPr>
          <w:rFonts w:asciiTheme="majorHAnsi" w:hAnsiTheme="majorHAnsi"/>
          <w:bCs/>
          <w:sz w:val="24"/>
          <w:szCs w:val="23"/>
        </w:rPr>
        <w:t>by 80 – 274</w:t>
      </w:r>
      <w:r w:rsidR="00FD3D7D" w:rsidRPr="000C715E">
        <w:rPr>
          <w:rFonts w:asciiTheme="majorHAnsi" w:hAnsiTheme="majorHAnsi"/>
          <w:bCs/>
          <w:sz w:val="24"/>
          <w:szCs w:val="23"/>
        </w:rPr>
        <w:t xml:space="preserve"> </w:t>
      </w:r>
      <w:r w:rsidR="00FD3D7D">
        <w:rPr>
          <w:rFonts w:asciiTheme="majorHAnsi" w:hAnsiTheme="majorHAnsi"/>
          <w:bCs/>
          <w:sz w:val="24"/>
          <w:szCs w:val="23"/>
        </w:rPr>
        <w:t xml:space="preserve">jobs </w:t>
      </w:r>
      <w:r w:rsidR="00FD3D7D" w:rsidRPr="00A76DAE">
        <w:rPr>
          <w:rFonts w:asciiTheme="majorHAnsi" w:hAnsiTheme="majorHAnsi"/>
          <w:bCs/>
          <w:sz w:val="24"/>
          <w:szCs w:val="23"/>
        </w:rPr>
        <w:t xml:space="preserve">annually. The </w:t>
      </w:r>
      <w:r w:rsidR="00FD3D7D">
        <w:rPr>
          <w:rFonts w:asciiTheme="majorHAnsi" w:hAnsiTheme="majorHAnsi"/>
          <w:bCs/>
          <w:sz w:val="24"/>
          <w:szCs w:val="23"/>
        </w:rPr>
        <w:t xml:space="preserve">net additional </w:t>
      </w:r>
      <w:r w:rsidR="00FD3D7D" w:rsidRPr="00A76DAE">
        <w:rPr>
          <w:rFonts w:asciiTheme="majorHAnsi" w:hAnsiTheme="majorHAnsi"/>
          <w:bCs/>
          <w:sz w:val="24"/>
          <w:szCs w:val="23"/>
        </w:rPr>
        <w:t xml:space="preserve">impact on </w:t>
      </w:r>
      <w:r w:rsidR="00FD3D7D">
        <w:rPr>
          <w:rFonts w:asciiTheme="majorHAnsi" w:hAnsiTheme="majorHAnsi"/>
          <w:bCs/>
          <w:sz w:val="24"/>
          <w:szCs w:val="23"/>
        </w:rPr>
        <w:t xml:space="preserve">state </w:t>
      </w:r>
      <w:r w:rsidR="00FD3D7D" w:rsidRPr="00A76DAE">
        <w:rPr>
          <w:rFonts w:asciiTheme="majorHAnsi" w:hAnsiTheme="majorHAnsi"/>
          <w:bCs/>
          <w:sz w:val="24"/>
          <w:szCs w:val="23"/>
        </w:rPr>
        <w:t xml:space="preserve">revenues is also negative, decreasing </w:t>
      </w:r>
      <w:r w:rsidR="00FD3D7D">
        <w:rPr>
          <w:rFonts w:asciiTheme="majorHAnsi" w:hAnsiTheme="majorHAnsi"/>
          <w:bCs/>
          <w:sz w:val="24"/>
          <w:szCs w:val="23"/>
        </w:rPr>
        <w:t>by</w:t>
      </w:r>
      <w:r w:rsidR="00FD3D7D" w:rsidRPr="00A76DAE">
        <w:rPr>
          <w:rFonts w:asciiTheme="majorHAnsi" w:hAnsiTheme="majorHAnsi"/>
          <w:bCs/>
          <w:sz w:val="24"/>
          <w:szCs w:val="23"/>
        </w:rPr>
        <w:t xml:space="preserve"> </w:t>
      </w:r>
      <w:r w:rsidR="00FD3D7D" w:rsidRPr="000C715E">
        <w:rPr>
          <w:rFonts w:asciiTheme="majorHAnsi" w:hAnsiTheme="majorHAnsi"/>
          <w:bCs/>
          <w:sz w:val="24"/>
          <w:szCs w:val="23"/>
        </w:rPr>
        <w:t>$</w:t>
      </w:r>
      <w:r w:rsidR="00FD3D7D">
        <w:rPr>
          <w:rFonts w:asciiTheme="majorHAnsi" w:hAnsiTheme="majorHAnsi"/>
          <w:bCs/>
          <w:sz w:val="24"/>
          <w:szCs w:val="23"/>
        </w:rPr>
        <w:t>0.1</w:t>
      </w:r>
      <w:r w:rsidR="00FD3D7D" w:rsidRPr="000C715E">
        <w:rPr>
          <w:rFonts w:asciiTheme="majorHAnsi" w:hAnsiTheme="majorHAnsi"/>
          <w:bCs/>
          <w:sz w:val="24"/>
          <w:szCs w:val="23"/>
        </w:rPr>
        <w:t xml:space="preserve"> million to $</w:t>
      </w:r>
      <w:r w:rsidR="00FD3D7D">
        <w:rPr>
          <w:rFonts w:asciiTheme="majorHAnsi" w:hAnsiTheme="majorHAnsi"/>
          <w:bCs/>
          <w:sz w:val="24"/>
          <w:szCs w:val="23"/>
        </w:rPr>
        <w:t>0.7</w:t>
      </w:r>
      <w:r w:rsidR="00FD3D7D" w:rsidRPr="000C715E">
        <w:rPr>
          <w:rFonts w:asciiTheme="majorHAnsi" w:hAnsiTheme="majorHAnsi"/>
          <w:bCs/>
          <w:sz w:val="24"/>
          <w:szCs w:val="23"/>
        </w:rPr>
        <w:t xml:space="preserve"> </w:t>
      </w:r>
      <w:r w:rsidR="00FD3D7D" w:rsidRPr="00A76DAE">
        <w:rPr>
          <w:rFonts w:asciiTheme="majorHAnsi" w:hAnsiTheme="majorHAnsi"/>
          <w:bCs/>
          <w:sz w:val="24"/>
          <w:szCs w:val="23"/>
        </w:rPr>
        <w:t>million annually.</w:t>
      </w:r>
    </w:p>
    <w:p w14:paraId="390F92E7" w14:textId="77777777" w:rsidR="00FD3D7D" w:rsidRDefault="00FD3D7D" w:rsidP="00FD3D7D">
      <w:pPr>
        <w:tabs>
          <w:tab w:val="left" w:pos="7050"/>
        </w:tabs>
        <w:spacing w:after="0"/>
        <w:rPr>
          <w:rFonts w:asciiTheme="majorHAnsi" w:hAnsiTheme="majorHAnsi"/>
          <w:bCs/>
          <w:sz w:val="24"/>
          <w:szCs w:val="23"/>
        </w:rPr>
      </w:pPr>
    </w:p>
    <w:p w14:paraId="25837DA3" w14:textId="77777777" w:rsidR="00FD3D7D" w:rsidRDefault="00FD3D7D" w:rsidP="00FD3D7D">
      <w:pPr>
        <w:spacing w:after="0"/>
        <w:jc w:val="center"/>
        <w:rPr>
          <w:rFonts w:asciiTheme="majorHAnsi" w:eastAsiaTheme="majorEastAsia" w:hAnsiTheme="majorHAnsi" w:cstheme="majorBidi"/>
          <w:b/>
          <w:color w:val="000000" w:themeColor="text1"/>
          <w:sz w:val="24"/>
          <w:szCs w:val="24"/>
        </w:rPr>
      </w:pPr>
      <w:r w:rsidRPr="00366FFC">
        <w:rPr>
          <w:rFonts w:asciiTheme="majorHAnsi" w:eastAsiaTheme="majorEastAsia" w:hAnsiTheme="majorHAnsi" w:cstheme="majorBidi"/>
          <w:b/>
          <w:color w:val="000000" w:themeColor="text1"/>
          <w:sz w:val="24"/>
          <w:szCs w:val="24"/>
        </w:rPr>
        <w:t xml:space="preserve">Table </w:t>
      </w:r>
      <w:r>
        <w:rPr>
          <w:rFonts w:asciiTheme="majorHAnsi" w:eastAsiaTheme="majorEastAsia" w:hAnsiTheme="majorHAnsi" w:cstheme="majorBidi"/>
          <w:b/>
          <w:color w:val="000000" w:themeColor="text1"/>
          <w:sz w:val="24"/>
          <w:szCs w:val="24"/>
        </w:rPr>
        <w:t>A2-5</w:t>
      </w:r>
      <w:r w:rsidRPr="00366FFC">
        <w:rPr>
          <w:rFonts w:asciiTheme="majorHAnsi" w:eastAsiaTheme="majorEastAsia" w:hAnsiTheme="majorHAnsi" w:cstheme="majorBidi"/>
          <w:b/>
          <w:color w:val="000000" w:themeColor="text1"/>
          <w:sz w:val="24"/>
          <w:szCs w:val="24"/>
        </w:rPr>
        <w:t xml:space="preserve">. </w:t>
      </w:r>
      <w:r>
        <w:rPr>
          <w:rFonts w:asciiTheme="majorHAnsi" w:eastAsiaTheme="majorEastAsia" w:hAnsiTheme="majorHAnsi" w:cstheme="majorBidi"/>
          <w:b/>
          <w:color w:val="000000" w:themeColor="text1"/>
          <w:sz w:val="24"/>
          <w:szCs w:val="24"/>
        </w:rPr>
        <w:t xml:space="preserve"> Net Additional Revenue Impact of EDIP Credit*</w:t>
      </w:r>
    </w:p>
    <w:tbl>
      <w:tblPr>
        <w:tblW w:w="9242" w:type="dxa"/>
        <w:tblInd w:w="108" w:type="dxa"/>
        <w:tblLook w:val="04A0" w:firstRow="1" w:lastRow="0" w:firstColumn="1" w:lastColumn="0" w:noHBand="0" w:noVBand="1"/>
      </w:tblPr>
      <w:tblGrid>
        <w:gridCol w:w="3572"/>
        <w:gridCol w:w="1134"/>
        <w:gridCol w:w="1134"/>
        <w:gridCol w:w="1134"/>
        <w:gridCol w:w="1134"/>
        <w:gridCol w:w="1134"/>
      </w:tblGrid>
      <w:tr w:rsidR="00FD3D7D" w:rsidRPr="00A15A03" w14:paraId="5566898C" w14:textId="77777777" w:rsidTr="00F108F4">
        <w:trPr>
          <w:trHeight w:val="500"/>
        </w:trPr>
        <w:tc>
          <w:tcPr>
            <w:tcW w:w="3572"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4077A843" w14:textId="77777777" w:rsidR="00FD3D7D" w:rsidRPr="00A15A03" w:rsidRDefault="00FD3D7D" w:rsidP="008D5935">
            <w:pPr>
              <w:spacing w:after="0" w:line="240" w:lineRule="auto"/>
              <w:jc w:val="center"/>
              <w:rPr>
                <w:rFonts w:ascii="Cambria" w:eastAsia="Times New Roman" w:hAnsi="Cambria" w:cs="Helvetica"/>
                <w:sz w:val="20"/>
                <w:szCs w:val="20"/>
                <w:lang w:eastAsia="ko-KR"/>
              </w:rPr>
            </w:pPr>
            <w:r w:rsidRPr="00A15A03">
              <w:rPr>
                <w:rFonts w:ascii="Cambria" w:eastAsia="Times New Roman" w:hAnsi="Cambria" w:cs="Helvetica"/>
                <w:sz w:val="20"/>
                <w:szCs w:val="20"/>
                <w:lang w:eastAsia="ko-KR"/>
              </w:rPr>
              <w:t>Fiscal Year</w:t>
            </w:r>
          </w:p>
        </w:tc>
        <w:tc>
          <w:tcPr>
            <w:tcW w:w="1134" w:type="dxa"/>
            <w:tcBorders>
              <w:top w:val="single" w:sz="4" w:space="0" w:color="auto"/>
              <w:left w:val="nil"/>
              <w:bottom w:val="single" w:sz="4" w:space="0" w:color="auto"/>
              <w:right w:val="single" w:sz="4" w:space="0" w:color="auto"/>
            </w:tcBorders>
            <w:shd w:val="clear" w:color="000000" w:fill="B7DEE8"/>
            <w:noWrap/>
            <w:vAlign w:val="center"/>
            <w:hideMark/>
          </w:tcPr>
          <w:p w14:paraId="497EE835" w14:textId="77777777" w:rsidR="00FD3D7D" w:rsidRPr="00A15A03" w:rsidRDefault="00FD3D7D" w:rsidP="008D5935">
            <w:pPr>
              <w:spacing w:after="0" w:line="240" w:lineRule="auto"/>
              <w:jc w:val="center"/>
              <w:rPr>
                <w:rFonts w:ascii="Cambria" w:eastAsia="Times New Roman" w:hAnsi="Cambria" w:cs="Helvetica"/>
                <w:sz w:val="20"/>
                <w:szCs w:val="20"/>
                <w:lang w:eastAsia="ko-KR"/>
              </w:rPr>
            </w:pPr>
            <w:r w:rsidRPr="00A15A03">
              <w:rPr>
                <w:rFonts w:ascii="Cambria" w:eastAsia="Times New Roman" w:hAnsi="Cambria" w:cs="Helvetica"/>
                <w:sz w:val="20"/>
                <w:szCs w:val="20"/>
                <w:lang w:eastAsia="ko-KR"/>
              </w:rPr>
              <w:t>2018</w:t>
            </w:r>
          </w:p>
        </w:tc>
        <w:tc>
          <w:tcPr>
            <w:tcW w:w="1134" w:type="dxa"/>
            <w:tcBorders>
              <w:top w:val="single" w:sz="4" w:space="0" w:color="auto"/>
              <w:left w:val="nil"/>
              <w:bottom w:val="single" w:sz="4" w:space="0" w:color="auto"/>
              <w:right w:val="single" w:sz="4" w:space="0" w:color="auto"/>
            </w:tcBorders>
            <w:shd w:val="clear" w:color="000000" w:fill="B7DEE8"/>
            <w:noWrap/>
            <w:vAlign w:val="center"/>
            <w:hideMark/>
          </w:tcPr>
          <w:p w14:paraId="249F193D" w14:textId="77777777" w:rsidR="00FD3D7D" w:rsidRPr="00A15A03" w:rsidRDefault="00FD3D7D" w:rsidP="008D5935">
            <w:pPr>
              <w:spacing w:after="0" w:line="240" w:lineRule="auto"/>
              <w:jc w:val="center"/>
              <w:rPr>
                <w:rFonts w:ascii="Cambria" w:eastAsia="Times New Roman" w:hAnsi="Cambria" w:cs="Helvetica"/>
                <w:sz w:val="20"/>
                <w:szCs w:val="20"/>
                <w:lang w:eastAsia="ko-KR"/>
              </w:rPr>
            </w:pPr>
            <w:r w:rsidRPr="00A15A03">
              <w:rPr>
                <w:rFonts w:ascii="Cambria" w:eastAsia="Times New Roman" w:hAnsi="Cambria" w:cs="Helvetica"/>
                <w:sz w:val="20"/>
                <w:szCs w:val="20"/>
                <w:lang w:eastAsia="ko-KR"/>
              </w:rPr>
              <w:t>2019</w:t>
            </w:r>
          </w:p>
        </w:tc>
        <w:tc>
          <w:tcPr>
            <w:tcW w:w="1134" w:type="dxa"/>
            <w:tcBorders>
              <w:top w:val="single" w:sz="4" w:space="0" w:color="auto"/>
              <w:left w:val="nil"/>
              <w:bottom w:val="single" w:sz="4" w:space="0" w:color="auto"/>
              <w:right w:val="single" w:sz="4" w:space="0" w:color="auto"/>
            </w:tcBorders>
            <w:shd w:val="clear" w:color="000000" w:fill="B7DEE8"/>
            <w:noWrap/>
            <w:vAlign w:val="center"/>
            <w:hideMark/>
          </w:tcPr>
          <w:p w14:paraId="069806CA" w14:textId="77777777" w:rsidR="00FD3D7D" w:rsidRPr="00A15A03" w:rsidRDefault="00FD3D7D" w:rsidP="008D5935">
            <w:pPr>
              <w:spacing w:after="0" w:line="240" w:lineRule="auto"/>
              <w:jc w:val="center"/>
              <w:rPr>
                <w:rFonts w:ascii="Cambria" w:eastAsia="Times New Roman" w:hAnsi="Cambria" w:cs="Helvetica"/>
                <w:sz w:val="20"/>
                <w:szCs w:val="20"/>
                <w:lang w:eastAsia="ko-KR"/>
              </w:rPr>
            </w:pPr>
            <w:r w:rsidRPr="00A15A03">
              <w:rPr>
                <w:rFonts w:ascii="Cambria" w:eastAsia="Times New Roman" w:hAnsi="Cambria" w:cs="Helvetica"/>
                <w:sz w:val="20"/>
                <w:szCs w:val="20"/>
                <w:lang w:eastAsia="ko-KR"/>
              </w:rPr>
              <w:t>2020</w:t>
            </w:r>
          </w:p>
        </w:tc>
        <w:tc>
          <w:tcPr>
            <w:tcW w:w="1134" w:type="dxa"/>
            <w:tcBorders>
              <w:top w:val="single" w:sz="4" w:space="0" w:color="auto"/>
              <w:left w:val="nil"/>
              <w:bottom w:val="single" w:sz="4" w:space="0" w:color="auto"/>
              <w:right w:val="single" w:sz="4" w:space="0" w:color="auto"/>
            </w:tcBorders>
            <w:shd w:val="clear" w:color="000000" w:fill="B7DEE8"/>
            <w:noWrap/>
            <w:vAlign w:val="center"/>
            <w:hideMark/>
          </w:tcPr>
          <w:p w14:paraId="11492DC1" w14:textId="77777777" w:rsidR="00FD3D7D" w:rsidRPr="00A15A03" w:rsidRDefault="00FD3D7D" w:rsidP="008D5935">
            <w:pPr>
              <w:spacing w:after="0" w:line="240" w:lineRule="auto"/>
              <w:jc w:val="center"/>
              <w:rPr>
                <w:rFonts w:ascii="Cambria" w:eastAsia="Times New Roman" w:hAnsi="Cambria" w:cs="Helvetica"/>
                <w:sz w:val="20"/>
                <w:szCs w:val="20"/>
                <w:lang w:eastAsia="ko-KR"/>
              </w:rPr>
            </w:pPr>
            <w:r w:rsidRPr="00A15A03">
              <w:rPr>
                <w:rFonts w:ascii="Cambria" w:eastAsia="Times New Roman" w:hAnsi="Cambria" w:cs="Helvetica"/>
                <w:sz w:val="20"/>
                <w:szCs w:val="20"/>
                <w:lang w:eastAsia="ko-KR"/>
              </w:rPr>
              <w:t>2021</w:t>
            </w:r>
          </w:p>
        </w:tc>
        <w:tc>
          <w:tcPr>
            <w:tcW w:w="1134" w:type="dxa"/>
            <w:tcBorders>
              <w:top w:val="single" w:sz="4" w:space="0" w:color="auto"/>
              <w:left w:val="nil"/>
              <w:bottom w:val="single" w:sz="4" w:space="0" w:color="auto"/>
              <w:right w:val="single" w:sz="4" w:space="0" w:color="auto"/>
            </w:tcBorders>
            <w:shd w:val="clear" w:color="000000" w:fill="B7DEE8"/>
            <w:noWrap/>
            <w:vAlign w:val="center"/>
            <w:hideMark/>
          </w:tcPr>
          <w:p w14:paraId="3F6D0BB2" w14:textId="77777777" w:rsidR="00FD3D7D" w:rsidRPr="00A15A03" w:rsidRDefault="00FD3D7D" w:rsidP="008D5935">
            <w:pPr>
              <w:spacing w:after="0" w:line="240" w:lineRule="auto"/>
              <w:jc w:val="center"/>
              <w:rPr>
                <w:rFonts w:ascii="Cambria" w:eastAsia="Times New Roman" w:hAnsi="Cambria" w:cs="Helvetica"/>
                <w:sz w:val="20"/>
                <w:szCs w:val="20"/>
                <w:lang w:eastAsia="ko-KR"/>
              </w:rPr>
            </w:pPr>
            <w:r w:rsidRPr="00A15A03">
              <w:rPr>
                <w:rFonts w:ascii="Cambria" w:eastAsia="Times New Roman" w:hAnsi="Cambria" w:cs="Helvetica"/>
                <w:sz w:val="20"/>
                <w:szCs w:val="20"/>
                <w:lang w:eastAsia="ko-KR"/>
              </w:rPr>
              <w:t>2022</w:t>
            </w:r>
          </w:p>
        </w:tc>
      </w:tr>
      <w:tr w:rsidR="00FD3D7D" w:rsidRPr="00A15A03" w14:paraId="43F30A51" w14:textId="77777777" w:rsidTr="00F108F4">
        <w:trPr>
          <w:trHeight w:val="500"/>
        </w:trPr>
        <w:tc>
          <w:tcPr>
            <w:tcW w:w="3572" w:type="dxa"/>
            <w:tcBorders>
              <w:top w:val="nil"/>
              <w:left w:val="single" w:sz="4" w:space="0" w:color="auto"/>
              <w:bottom w:val="single" w:sz="4" w:space="0" w:color="auto"/>
              <w:right w:val="single" w:sz="4" w:space="0" w:color="auto"/>
            </w:tcBorders>
            <w:shd w:val="clear" w:color="auto" w:fill="auto"/>
            <w:vAlign w:val="center"/>
            <w:hideMark/>
          </w:tcPr>
          <w:p w14:paraId="59B7B08D" w14:textId="77777777" w:rsidR="00FD3D7D" w:rsidRPr="00A15A03" w:rsidRDefault="00FD3D7D" w:rsidP="008D5935">
            <w:pPr>
              <w:spacing w:after="0" w:line="240" w:lineRule="auto"/>
              <w:rPr>
                <w:rFonts w:ascii="Cambria" w:eastAsia="Times New Roman" w:hAnsi="Cambria" w:cs="Helvetica"/>
                <w:sz w:val="20"/>
                <w:szCs w:val="20"/>
                <w:lang w:eastAsia="ko-KR"/>
              </w:rPr>
            </w:pPr>
            <w:r w:rsidRPr="00A15A03">
              <w:rPr>
                <w:rFonts w:ascii="Cambria" w:eastAsia="Times New Roman" w:hAnsi="Cambria" w:cs="Helvetica"/>
                <w:sz w:val="20"/>
                <w:szCs w:val="20"/>
                <w:lang w:eastAsia="ko-KR"/>
              </w:rPr>
              <w:t>Net additional revenue impact</w:t>
            </w:r>
            <w:r>
              <w:rPr>
                <w:rFonts w:ascii="Cambria" w:eastAsia="Times New Roman" w:hAnsi="Cambria" w:cs="Helvetica"/>
                <w:sz w:val="20"/>
                <w:szCs w:val="20"/>
                <w:lang w:eastAsia="ko-KR"/>
              </w:rPr>
              <w:t xml:space="preserve"> </w:t>
            </w:r>
            <w:r w:rsidRPr="00A15A03">
              <w:rPr>
                <w:rFonts w:ascii="Cambria" w:eastAsia="Times New Roman" w:hAnsi="Cambria" w:cs="Helvetica"/>
                <w:sz w:val="20"/>
                <w:szCs w:val="20"/>
                <w:lang w:eastAsia="ko-KR"/>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CF240" w14:textId="77777777" w:rsidR="00FD3D7D" w:rsidRPr="00A15A03" w:rsidRDefault="00FD3D7D" w:rsidP="008D5935">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-$388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0E68A11" w14:textId="77777777" w:rsidR="00FD3D7D" w:rsidRPr="00A15A03" w:rsidRDefault="00FD3D7D" w:rsidP="008D5935">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-$694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74BA218" w14:textId="77777777" w:rsidR="00FD3D7D" w:rsidRPr="00A15A03" w:rsidRDefault="00FD3D7D" w:rsidP="008D5935">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-$494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B96261E" w14:textId="77777777" w:rsidR="00FD3D7D" w:rsidRPr="00A15A03" w:rsidRDefault="00FD3D7D" w:rsidP="008D5935">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-$308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A413DF7" w14:textId="77777777" w:rsidR="00FD3D7D" w:rsidRPr="00A15A03" w:rsidRDefault="00FD3D7D" w:rsidP="008D5935">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-$137</w:t>
            </w:r>
          </w:p>
        </w:tc>
      </w:tr>
    </w:tbl>
    <w:p w14:paraId="5DDF9A3E" w14:textId="77777777" w:rsidR="00FD3D7D" w:rsidRDefault="00FD3D7D" w:rsidP="00FD3D7D">
      <w:pPr>
        <w:tabs>
          <w:tab w:val="left" w:pos="7050"/>
        </w:tabs>
        <w:spacing w:after="0"/>
        <w:rPr>
          <w:rFonts w:asciiTheme="majorHAnsi" w:hAnsiTheme="majorHAnsi"/>
          <w:bCs/>
          <w:sz w:val="20"/>
          <w:szCs w:val="20"/>
        </w:rPr>
      </w:pPr>
      <w:r>
        <w:rPr>
          <w:rFonts w:asciiTheme="majorHAnsi" w:hAnsiTheme="majorHAnsi"/>
          <w:bCs/>
          <w:sz w:val="20"/>
          <w:szCs w:val="20"/>
        </w:rPr>
        <w:t>* assuming state government spending is cut by the same amount as the revenue loss due to EDIP credit to balance budget.</w:t>
      </w:r>
    </w:p>
    <w:p w14:paraId="662D2E0A" w14:textId="77777777" w:rsidR="00FD3D7D" w:rsidRDefault="00FD3D7D" w:rsidP="00FD3D7D">
      <w:pPr>
        <w:spacing w:after="0"/>
        <w:rPr>
          <w:rFonts w:asciiTheme="majorHAnsi" w:eastAsiaTheme="majorEastAsia" w:hAnsiTheme="majorHAnsi" w:cstheme="majorBidi"/>
          <w:bCs/>
          <w:color w:val="000000" w:themeColor="text1"/>
          <w:sz w:val="24"/>
          <w:szCs w:val="24"/>
        </w:rPr>
      </w:pPr>
    </w:p>
    <w:p w14:paraId="6E4C1696" w14:textId="77777777" w:rsidR="00FD3D7D" w:rsidRDefault="00FD3D7D" w:rsidP="00FD3D7D">
      <w:pPr>
        <w:spacing w:after="0"/>
        <w:jc w:val="center"/>
        <w:rPr>
          <w:rFonts w:asciiTheme="majorHAnsi" w:eastAsiaTheme="majorEastAsia" w:hAnsiTheme="majorHAnsi" w:cstheme="majorBidi"/>
          <w:b/>
          <w:color w:val="000000" w:themeColor="text1"/>
          <w:sz w:val="24"/>
          <w:szCs w:val="24"/>
        </w:rPr>
      </w:pPr>
      <w:r w:rsidRPr="00366FFC">
        <w:rPr>
          <w:rFonts w:asciiTheme="majorHAnsi" w:eastAsiaTheme="majorEastAsia" w:hAnsiTheme="majorHAnsi" w:cstheme="majorBidi"/>
          <w:b/>
          <w:color w:val="000000" w:themeColor="text1"/>
          <w:sz w:val="24"/>
          <w:szCs w:val="24"/>
        </w:rPr>
        <w:t xml:space="preserve">Table </w:t>
      </w:r>
      <w:r>
        <w:rPr>
          <w:rFonts w:asciiTheme="majorHAnsi" w:eastAsiaTheme="majorEastAsia" w:hAnsiTheme="majorHAnsi" w:cstheme="majorBidi"/>
          <w:b/>
          <w:color w:val="000000" w:themeColor="text1"/>
          <w:sz w:val="24"/>
          <w:szCs w:val="24"/>
        </w:rPr>
        <w:t>A2-6</w:t>
      </w:r>
      <w:r w:rsidRPr="00366FFC">
        <w:rPr>
          <w:rFonts w:asciiTheme="majorHAnsi" w:eastAsiaTheme="majorEastAsia" w:hAnsiTheme="majorHAnsi" w:cstheme="majorBidi"/>
          <w:b/>
          <w:color w:val="000000" w:themeColor="text1"/>
          <w:sz w:val="24"/>
          <w:szCs w:val="24"/>
        </w:rPr>
        <w:t xml:space="preserve">. </w:t>
      </w:r>
      <w:r>
        <w:rPr>
          <w:rFonts w:asciiTheme="majorHAnsi" w:eastAsiaTheme="majorEastAsia" w:hAnsiTheme="majorHAnsi" w:cstheme="majorBidi"/>
          <w:b/>
          <w:color w:val="000000" w:themeColor="text1"/>
          <w:sz w:val="24"/>
          <w:szCs w:val="24"/>
        </w:rPr>
        <w:t>Net Economic Impacts of EDIP Credit by Selected Economic Measure*</w:t>
      </w:r>
    </w:p>
    <w:tbl>
      <w:tblPr>
        <w:tblW w:w="9242" w:type="dxa"/>
        <w:tblInd w:w="108" w:type="dxa"/>
        <w:tblLook w:val="04A0" w:firstRow="1" w:lastRow="0" w:firstColumn="1" w:lastColumn="0" w:noHBand="0" w:noVBand="1"/>
      </w:tblPr>
      <w:tblGrid>
        <w:gridCol w:w="3842"/>
        <w:gridCol w:w="1080"/>
        <w:gridCol w:w="1080"/>
        <w:gridCol w:w="1080"/>
        <w:gridCol w:w="1080"/>
        <w:gridCol w:w="1080"/>
      </w:tblGrid>
      <w:tr w:rsidR="00FD3D7D" w:rsidRPr="00A15A03" w14:paraId="29985F82" w14:textId="77777777" w:rsidTr="00F108F4">
        <w:trPr>
          <w:trHeight w:val="380"/>
        </w:trPr>
        <w:tc>
          <w:tcPr>
            <w:tcW w:w="3842"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780B7A57" w14:textId="77777777" w:rsidR="00FD3D7D" w:rsidRPr="00A15A03" w:rsidRDefault="00FD3D7D" w:rsidP="008D5935">
            <w:pPr>
              <w:spacing w:after="0" w:line="240" w:lineRule="auto"/>
              <w:jc w:val="center"/>
              <w:rPr>
                <w:rFonts w:ascii="Cambria" w:eastAsia="Times New Roman" w:hAnsi="Cambria" w:cs="Helvetica"/>
                <w:sz w:val="20"/>
                <w:szCs w:val="20"/>
                <w:lang w:eastAsia="ko-KR"/>
              </w:rPr>
            </w:pPr>
            <w:r w:rsidRPr="00A15A03">
              <w:rPr>
                <w:rFonts w:ascii="Cambria" w:eastAsia="Times New Roman" w:hAnsi="Cambria" w:cs="Helvetica"/>
                <w:sz w:val="20"/>
                <w:szCs w:val="20"/>
                <w:lang w:eastAsia="ko-KR"/>
              </w:rPr>
              <w:t>Calendar Year</w:t>
            </w:r>
          </w:p>
        </w:tc>
        <w:tc>
          <w:tcPr>
            <w:tcW w:w="1080" w:type="dxa"/>
            <w:tcBorders>
              <w:top w:val="single" w:sz="4" w:space="0" w:color="auto"/>
              <w:left w:val="nil"/>
              <w:bottom w:val="single" w:sz="4" w:space="0" w:color="auto"/>
              <w:right w:val="single" w:sz="4" w:space="0" w:color="auto"/>
            </w:tcBorders>
            <w:shd w:val="clear" w:color="000000" w:fill="B7DEE8"/>
            <w:noWrap/>
            <w:vAlign w:val="center"/>
            <w:hideMark/>
          </w:tcPr>
          <w:p w14:paraId="6B615390" w14:textId="77777777" w:rsidR="00FD3D7D" w:rsidRPr="00A15A03" w:rsidRDefault="00FD3D7D" w:rsidP="008D5935">
            <w:pPr>
              <w:spacing w:after="0" w:line="240" w:lineRule="auto"/>
              <w:jc w:val="center"/>
              <w:rPr>
                <w:rFonts w:ascii="Cambria" w:eastAsia="Times New Roman" w:hAnsi="Cambria" w:cs="Helvetica"/>
                <w:sz w:val="20"/>
                <w:szCs w:val="20"/>
                <w:lang w:eastAsia="ko-KR"/>
              </w:rPr>
            </w:pPr>
            <w:r w:rsidRPr="00A15A03">
              <w:rPr>
                <w:rFonts w:ascii="Cambria" w:eastAsia="Times New Roman" w:hAnsi="Cambria" w:cs="Helvetica"/>
                <w:sz w:val="20"/>
                <w:szCs w:val="20"/>
                <w:lang w:eastAsia="ko-KR"/>
              </w:rPr>
              <w:t>2018</w:t>
            </w:r>
          </w:p>
        </w:tc>
        <w:tc>
          <w:tcPr>
            <w:tcW w:w="1080" w:type="dxa"/>
            <w:tcBorders>
              <w:top w:val="single" w:sz="4" w:space="0" w:color="auto"/>
              <w:left w:val="nil"/>
              <w:bottom w:val="single" w:sz="4" w:space="0" w:color="auto"/>
              <w:right w:val="single" w:sz="4" w:space="0" w:color="auto"/>
            </w:tcBorders>
            <w:shd w:val="clear" w:color="000000" w:fill="B7DEE8"/>
            <w:noWrap/>
            <w:vAlign w:val="center"/>
            <w:hideMark/>
          </w:tcPr>
          <w:p w14:paraId="0FCFB42D" w14:textId="77777777" w:rsidR="00FD3D7D" w:rsidRPr="00A15A03" w:rsidRDefault="00FD3D7D" w:rsidP="008D5935">
            <w:pPr>
              <w:spacing w:after="0" w:line="240" w:lineRule="auto"/>
              <w:jc w:val="center"/>
              <w:rPr>
                <w:rFonts w:ascii="Cambria" w:eastAsia="Times New Roman" w:hAnsi="Cambria" w:cs="Helvetica"/>
                <w:sz w:val="20"/>
                <w:szCs w:val="20"/>
                <w:lang w:eastAsia="ko-KR"/>
              </w:rPr>
            </w:pPr>
            <w:r w:rsidRPr="00A15A03">
              <w:rPr>
                <w:rFonts w:ascii="Cambria" w:eastAsia="Times New Roman" w:hAnsi="Cambria" w:cs="Helvetica"/>
                <w:sz w:val="20"/>
                <w:szCs w:val="20"/>
                <w:lang w:eastAsia="ko-KR"/>
              </w:rPr>
              <w:t>2019</w:t>
            </w:r>
          </w:p>
        </w:tc>
        <w:tc>
          <w:tcPr>
            <w:tcW w:w="1080" w:type="dxa"/>
            <w:tcBorders>
              <w:top w:val="single" w:sz="4" w:space="0" w:color="auto"/>
              <w:left w:val="nil"/>
              <w:bottom w:val="single" w:sz="4" w:space="0" w:color="auto"/>
              <w:right w:val="single" w:sz="4" w:space="0" w:color="auto"/>
            </w:tcBorders>
            <w:shd w:val="clear" w:color="000000" w:fill="B7DEE8"/>
            <w:noWrap/>
            <w:vAlign w:val="center"/>
            <w:hideMark/>
          </w:tcPr>
          <w:p w14:paraId="2E3FD560" w14:textId="77777777" w:rsidR="00FD3D7D" w:rsidRPr="00A15A03" w:rsidRDefault="00FD3D7D" w:rsidP="008D5935">
            <w:pPr>
              <w:spacing w:after="0" w:line="240" w:lineRule="auto"/>
              <w:jc w:val="center"/>
              <w:rPr>
                <w:rFonts w:ascii="Cambria" w:eastAsia="Times New Roman" w:hAnsi="Cambria" w:cs="Helvetica"/>
                <w:sz w:val="20"/>
                <w:szCs w:val="20"/>
                <w:lang w:eastAsia="ko-KR"/>
              </w:rPr>
            </w:pPr>
            <w:r w:rsidRPr="00A15A03">
              <w:rPr>
                <w:rFonts w:ascii="Cambria" w:eastAsia="Times New Roman" w:hAnsi="Cambria" w:cs="Helvetica"/>
                <w:sz w:val="20"/>
                <w:szCs w:val="20"/>
                <w:lang w:eastAsia="ko-KR"/>
              </w:rPr>
              <w:t>2020</w:t>
            </w:r>
          </w:p>
        </w:tc>
        <w:tc>
          <w:tcPr>
            <w:tcW w:w="1080" w:type="dxa"/>
            <w:tcBorders>
              <w:top w:val="single" w:sz="4" w:space="0" w:color="auto"/>
              <w:left w:val="nil"/>
              <w:bottom w:val="single" w:sz="4" w:space="0" w:color="auto"/>
              <w:right w:val="single" w:sz="4" w:space="0" w:color="auto"/>
            </w:tcBorders>
            <w:shd w:val="clear" w:color="000000" w:fill="B7DEE8"/>
            <w:noWrap/>
            <w:vAlign w:val="center"/>
            <w:hideMark/>
          </w:tcPr>
          <w:p w14:paraId="61E99219" w14:textId="77777777" w:rsidR="00FD3D7D" w:rsidRPr="00A15A03" w:rsidRDefault="00FD3D7D" w:rsidP="008D5935">
            <w:pPr>
              <w:spacing w:after="0" w:line="240" w:lineRule="auto"/>
              <w:jc w:val="center"/>
              <w:rPr>
                <w:rFonts w:ascii="Cambria" w:eastAsia="Times New Roman" w:hAnsi="Cambria" w:cs="Helvetica"/>
                <w:sz w:val="20"/>
                <w:szCs w:val="20"/>
                <w:lang w:eastAsia="ko-KR"/>
              </w:rPr>
            </w:pPr>
            <w:r w:rsidRPr="00A15A03">
              <w:rPr>
                <w:rFonts w:ascii="Cambria" w:eastAsia="Times New Roman" w:hAnsi="Cambria" w:cs="Helvetica"/>
                <w:sz w:val="20"/>
                <w:szCs w:val="20"/>
                <w:lang w:eastAsia="ko-KR"/>
              </w:rPr>
              <w:t>2021</w:t>
            </w:r>
          </w:p>
        </w:tc>
        <w:tc>
          <w:tcPr>
            <w:tcW w:w="1080" w:type="dxa"/>
            <w:tcBorders>
              <w:top w:val="single" w:sz="4" w:space="0" w:color="auto"/>
              <w:left w:val="nil"/>
              <w:bottom w:val="single" w:sz="4" w:space="0" w:color="auto"/>
              <w:right w:val="single" w:sz="4" w:space="0" w:color="auto"/>
            </w:tcBorders>
            <w:shd w:val="clear" w:color="000000" w:fill="B7DEE8"/>
            <w:noWrap/>
            <w:vAlign w:val="center"/>
            <w:hideMark/>
          </w:tcPr>
          <w:p w14:paraId="5896BB32" w14:textId="77777777" w:rsidR="00FD3D7D" w:rsidRPr="00A15A03" w:rsidRDefault="00FD3D7D" w:rsidP="008D5935">
            <w:pPr>
              <w:spacing w:after="0" w:line="240" w:lineRule="auto"/>
              <w:jc w:val="center"/>
              <w:rPr>
                <w:rFonts w:ascii="Cambria" w:eastAsia="Times New Roman" w:hAnsi="Cambria" w:cs="Helvetica"/>
                <w:sz w:val="20"/>
                <w:szCs w:val="20"/>
                <w:lang w:eastAsia="ko-KR"/>
              </w:rPr>
            </w:pPr>
            <w:r w:rsidRPr="00A15A03">
              <w:rPr>
                <w:rFonts w:ascii="Cambria" w:eastAsia="Times New Roman" w:hAnsi="Cambria" w:cs="Helvetica"/>
                <w:sz w:val="20"/>
                <w:szCs w:val="20"/>
                <w:lang w:eastAsia="ko-KR"/>
              </w:rPr>
              <w:t>2022</w:t>
            </w:r>
          </w:p>
        </w:tc>
      </w:tr>
      <w:tr w:rsidR="00FD3D7D" w:rsidRPr="00A15A03" w14:paraId="4BDD3158" w14:textId="77777777" w:rsidTr="00F108F4">
        <w:trPr>
          <w:trHeight w:val="590"/>
        </w:trPr>
        <w:tc>
          <w:tcPr>
            <w:tcW w:w="3842" w:type="dxa"/>
            <w:tcBorders>
              <w:top w:val="nil"/>
              <w:left w:val="single" w:sz="4" w:space="0" w:color="auto"/>
              <w:bottom w:val="single" w:sz="4" w:space="0" w:color="auto"/>
              <w:right w:val="single" w:sz="4" w:space="0" w:color="auto"/>
            </w:tcBorders>
            <w:shd w:val="clear" w:color="auto" w:fill="auto"/>
            <w:vAlign w:val="center"/>
            <w:hideMark/>
          </w:tcPr>
          <w:p w14:paraId="5594B8BF" w14:textId="77777777" w:rsidR="00FD3D7D" w:rsidRPr="00A15A03" w:rsidRDefault="00FD3D7D" w:rsidP="008D5935">
            <w:pPr>
              <w:spacing w:after="0" w:line="240" w:lineRule="auto"/>
              <w:rPr>
                <w:rFonts w:ascii="Cambria" w:eastAsia="Times New Roman" w:hAnsi="Cambria" w:cs="Helvetica"/>
                <w:sz w:val="20"/>
                <w:szCs w:val="20"/>
                <w:lang w:eastAsia="ko-KR"/>
              </w:rPr>
            </w:pPr>
            <w:r w:rsidRPr="00A15A03">
              <w:rPr>
                <w:rFonts w:ascii="Cambria" w:eastAsia="Times New Roman" w:hAnsi="Cambria" w:cs="Helvetica"/>
                <w:sz w:val="20"/>
                <w:szCs w:val="20"/>
                <w:lang w:eastAsia="ko-KR"/>
              </w:rPr>
              <w:t>Impact on total employment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04BE8" w14:textId="77777777" w:rsidR="00FD3D7D" w:rsidRPr="00A15A03" w:rsidRDefault="00FD3D7D" w:rsidP="008D5935">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-274</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65ECD8EC" w14:textId="77777777" w:rsidR="00FD3D7D" w:rsidRPr="00A15A03" w:rsidRDefault="00FD3D7D" w:rsidP="008D5935">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-206</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A4AC72D" w14:textId="77777777" w:rsidR="00FD3D7D" w:rsidRPr="00A15A03" w:rsidRDefault="00FD3D7D" w:rsidP="008D5935">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-156</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1C7E356" w14:textId="77777777" w:rsidR="00FD3D7D" w:rsidRPr="00A15A03" w:rsidRDefault="00FD3D7D" w:rsidP="008D5935">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-112</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5C6939D9" w14:textId="77777777" w:rsidR="00FD3D7D" w:rsidRPr="00A15A03" w:rsidRDefault="00FD3D7D" w:rsidP="008D5935">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-80</w:t>
            </w:r>
          </w:p>
        </w:tc>
      </w:tr>
      <w:tr w:rsidR="00FD3D7D" w:rsidRPr="00A15A03" w14:paraId="51053395" w14:textId="77777777" w:rsidTr="00F108F4">
        <w:trPr>
          <w:trHeight w:val="500"/>
        </w:trPr>
        <w:tc>
          <w:tcPr>
            <w:tcW w:w="3842" w:type="dxa"/>
            <w:tcBorders>
              <w:top w:val="nil"/>
              <w:left w:val="single" w:sz="4" w:space="0" w:color="auto"/>
              <w:bottom w:val="single" w:sz="4" w:space="0" w:color="auto"/>
              <w:right w:val="single" w:sz="4" w:space="0" w:color="auto"/>
            </w:tcBorders>
            <w:shd w:val="clear" w:color="auto" w:fill="auto"/>
            <w:vAlign w:val="center"/>
            <w:hideMark/>
          </w:tcPr>
          <w:p w14:paraId="7FBACBF1" w14:textId="77777777" w:rsidR="00FD3D7D" w:rsidRPr="00A15A03" w:rsidRDefault="00FD3D7D" w:rsidP="008D5935">
            <w:pPr>
              <w:spacing w:after="0" w:line="240" w:lineRule="auto"/>
              <w:rPr>
                <w:rFonts w:ascii="Cambria" w:eastAsia="Times New Roman" w:hAnsi="Cambria" w:cs="Helvetica"/>
                <w:sz w:val="20"/>
                <w:szCs w:val="20"/>
                <w:lang w:eastAsia="ko-KR"/>
              </w:rPr>
            </w:pPr>
            <w:r w:rsidRPr="00A15A03">
              <w:rPr>
                <w:rFonts w:ascii="Cambria" w:eastAsia="Times New Roman" w:hAnsi="Cambria" w:cs="Helvetica"/>
                <w:sz w:val="20"/>
                <w:szCs w:val="20"/>
                <w:lang w:eastAsia="ko-KR"/>
              </w:rPr>
              <w:t>Impact on private non-farm employment</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C2EC7A0" w14:textId="77777777" w:rsidR="00FD3D7D" w:rsidRPr="00A15A03" w:rsidRDefault="00FD3D7D" w:rsidP="008D5935">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-54</w:t>
            </w:r>
          </w:p>
        </w:tc>
        <w:tc>
          <w:tcPr>
            <w:tcW w:w="1080" w:type="dxa"/>
            <w:tcBorders>
              <w:top w:val="nil"/>
              <w:left w:val="nil"/>
              <w:bottom w:val="single" w:sz="4" w:space="0" w:color="auto"/>
              <w:right w:val="single" w:sz="4" w:space="0" w:color="auto"/>
            </w:tcBorders>
            <w:shd w:val="clear" w:color="auto" w:fill="auto"/>
            <w:noWrap/>
            <w:vAlign w:val="center"/>
            <w:hideMark/>
          </w:tcPr>
          <w:p w14:paraId="69AD0E54" w14:textId="77777777" w:rsidR="00FD3D7D" w:rsidRPr="00A15A03" w:rsidRDefault="00FD3D7D" w:rsidP="008D5935">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10</w:t>
            </w:r>
          </w:p>
        </w:tc>
        <w:tc>
          <w:tcPr>
            <w:tcW w:w="1080" w:type="dxa"/>
            <w:tcBorders>
              <w:top w:val="nil"/>
              <w:left w:val="nil"/>
              <w:bottom w:val="single" w:sz="4" w:space="0" w:color="auto"/>
              <w:right w:val="single" w:sz="4" w:space="0" w:color="auto"/>
            </w:tcBorders>
            <w:shd w:val="clear" w:color="auto" w:fill="auto"/>
            <w:noWrap/>
            <w:vAlign w:val="center"/>
            <w:hideMark/>
          </w:tcPr>
          <w:p w14:paraId="2F0B981D" w14:textId="77777777" w:rsidR="00FD3D7D" w:rsidRPr="00A15A03" w:rsidRDefault="00FD3D7D" w:rsidP="008D5935">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51</w:t>
            </w:r>
          </w:p>
        </w:tc>
        <w:tc>
          <w:tcPr>
            <w:tcW w:w="1080" w:type="dxa"/>
            <w:tcBorders>
              <w:top w:val="nil"/>
              <w:left w:val="nil"/>
              <w:bottom w:val="single" w:sz="4" w:space="0" w:color="auto"/>
              <w:right w:val="single" w:sz="4" w:space="0" w:color="auto"/>
            </w:tcBorders>
            <w:shd w:val="clear" w:color="auto" w:fill="auto"/>
            <w:noWrap/>
            <w:vAlign w:val="center"/>
            <w:hideMark/>
          </w:tcPr>
          <w:p w14:paraId="6AD76414" w14:textId="77777777" w:rsidR="00FD3D7D" w:rsidRPr="00A15A03" w:rsidRDefault="00FD3D7D" w:rsidP="008D5935">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85</w:t>
            </w:r>
          </w:p>
        </w:tc>
        <w:tc>
          <w:tcPr>
            <w:tcW w:w="1080" w:type="dxa"/>
            <w:tcBorders>
              <w:top w:val="nil"/>
              <w:left w:val="nil"/>
              <w:bottom w:val="single" w:sz="4" w:space="0" w:color="auto"/>
              <w:right w:val="single" w:sz="4" w:space="0" w:color="auto"/>
            </w:tcBorders>
            <w:shd w:val="clear" w:color="auto" w:fill="auto"/>
            <w:noWrap/>
            <w:vAlign w:val="center"/>
            <w:hideMark/>
          </w:tcPr>
          <w:p w14:paraId="64274169" w14:textId="77777777" w:rsidR="00FD3D7D" w:rsidRPr="00A15A03" w:rsidRDefault="00FD3D7D" w:rsidP="008D5935">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106</w:t>
            </w:r>
          </w:p>
        </w:tc>
      </w:tr>
      <w:tr w:rsidR="00FD3D7D" w:rsidRPr="00A15A03" w14:paraId="3ADCF15B" w14:textId="77777777" w:rsidTr="00F108F4">
        <w:trPr>
          <w:trHeight w:val="500"/>
        </w:trPr>
        <w:tc>
          <w:tcPr>
            <w:tcW w:w="3842" w:type="dxa"/>
            <w:tcBorders>
              <w:top w:val="nil"/>
              <w:left w:val="single" w:sz="4" w:space="0" w:color="auto"/>
              <w:bottom w:val="single" w:sz="4" w:space="0" w:color="auto"/>
              <w:right w:val="single" w:sz="4" w:space="0" w:color="auto"/>
            </w:tcBorders>
            <w:shd w:val="clear" w:color="auto" w:fill="auto"/>
            <w:vAlign w:val="center"/>
            <w:hideMark/>
          </w:tcPr>
          <w:p w14:paraId="4F98BE2F" w14:textId="77777777" w:rsidR="00FD3D7D" w:rsidRPr="00A15A03" w:rsidRDefault="00FD3D7D" w:rsidP="008D5935">
            <w:pPr>
              <w:spacing w:after="0" w:line="240" w:lineRule="auto"/>
              <w:rPr>
                <w:rFonts w:ascii="Cambria" w:eastAsia="Times New Roman" w:hAnsi="Cambria" w:cs="Helvetica"/>
                <w:sz w:val="20"/>
                <w:szCs w:val="20"/>
                <w:lang w:eastAsia="ko-KR"/>
              </w:rPr>
            </w:pPr>
            <w:r w:rsidRPr="00A15A03">
              <w:rPr>
                <w:rFonts w:ascii="Cambria" w:eastAsia="Times New Roman" w:hAnsi="Cambria" w:cs="Helvetica"/>
                <w:sz w:val="20"/>
                <w:szCs w:val="20"/>
                <w:lang w:eastAsia="ko-KR"/>
              </w:rPr>
              <w:t>Impact on GDP ($000), real dollars</w:t>
            </w:r>
            <w:r>
              <w:rPr>
                <w:rFonts w:ascii="Cambria" w:eastAsia="Times New Roman" w:hAnsi="Cambria" w:cs="Helvetica"/>
                <w:sz w:val="20"/>
                <w:szCs w:val="20"/>
                <w:lang w:eastAsia="ko-KR"/>
              </w:rPr>
              <w:t xml:space="preserve"> </w:t>
            </w:r>
            <w:r w:rsidRPr="00A15A03">
              <w:rPr>
                <w:rFonts w:ascii="Cambria" w:eastAsia="Times New Roman" w:hAnsi="Cambria" w:cs="Helvetica"/>
                <w:sz w:val="20"/>
                <w:szCs w:val="20"/>
                <w:lang w:eastAsia="ko-KR"/>
              </w:rPr>
              <w:t>(2012)</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1C4EFDC" w14:textId="77777777" w:rsidR="00FD3D7D" w:rsidRPr="00A15A03" w:rsidRDefault="00FD3D7D" w:rsidP="008D5935">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-$21,000</w:t>
            </w:r>
          </w:p>
        </w:tc>
        <w:tc>
          <w:tcPr>
            <w:tcW w:w="1080" w:type="dxa"/>
            <w:tcBorders>
              <w:top w:val="nil"/>
              <w:left w:val="nil"/>
              <w:bottom w:val="single" w:sz="4" w:space="0" w:color="auto"/>
              <w:right w:val="single" w:sz="4" w:space="0" w:color="auto"/>
            </w:tcBorders>
            <w:shd w:val="clear" w:color="auto" w:fill="auto"/>
            <w:noWrap/>
            <w:vAlign w:val="center"/>
            <w:hideMark/>
          </w:tcPr>
          <w:p w14:paraId="6B329C24" w14:textId="77777777" w:rsidR="00FD3D7D" w:rsidRPr="00A15A03" w:rsidRDefault="00FD3D7D" w:rsidP="008D5935">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-$13,000</w:t>
            </w:r>
          </w:p>
        </w:tc>
        <w:tc>
          <w:tcPr>
            <w:tcW w:w="1080" w:type="dxa"/>
            <w:tcBorders>
              <w:top w:val="nil"/>
              <w:left w:val="nil"/>
              <w:bottom w:val="single" w:sz="4" w:space="0" w:color="auto"/>
              <w:right w:val="single" w:sz="4" w:space="0" w:color="auto"/>
            </w:tcBorders>
            <w:shd w:val="clear" w:color="auto" w:fill="auto"/>
            <w:noWrap/>
            <w:vAlign w:val="center"/>
            <w:hideMark/>
          </w:tcPr>
          <w:p w14:paraId="0F9D0D63" w14:textId="77777777" w:rsidR="00FD3D7D" w:rsidRPr="00A15A03" w:rsidRDefault="00FD3D7D" w:rsidP="008D5935">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-$7,000</w:t>
            </w:r>
          </w:p>
        </w:tc>
        <w:tc>
          <w:tcPr>
            <w:tcW w:w="1080" w:type="dxa"/>
            <w:tcBorders>
              <w:top w:val="nil"/>
              <w:left w:val="nil"/>
              <w:bottom w:val="single" w:sz="4" w:space="0" w:color="auto"/>
              <w:right w:val="single" w:sz="4" w:space="0" w:color="auto"/>
            </w:tcBorders>
            <w:shd w:val="clear" w:color="auto" w:fill="auto"/>
            <w:noWrap/>
            <w:vAlign w:val="center"/>
            <w:hideMark/>
          </w:tcPr>
          <w:p w14:paraId="17174FA1" w14:textId="77777777" w:rsidR="00FD3D7D" w:rsidRPr="00A15A03" w:rsidRDefault="00FD3D7D" w:rsidP="008D5935">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-$1,000</w:t>
            </w:r>
          </w:p>
        </w:tc>
        <w:tc>
          <w:tcPr>
            <w:tcW w:w="1080" w:type="dxa"/>
            <w:tcBorders>
              <w:top w:val="nil"/>
              <w:left w:val="nil"/>
              <w:bottom w:val="single" w:sz="4" w:space="0" w:color="auto"/>
              <w:right w:val="single" w:sz="4" w:space="0" w:color="auto"/>
            </w:tcBorders>
            <w:shd w:val="clear" w:color="auto" w:fill="auto"/>
            <w:noWrap/>
            <w:vAlign w:val="center"/>
            <w:hideMark/>
          </w:tcPr>
          <w:p w14:paraId="7456A3F5" w14:textId="77777777" w:rsidR="00FD3D7D" w:rsidRPr="00A15A03" w:rsidRDefault="00FD3D7D" w:rsidP="008D5935">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$3,000</w:t>
            </w:r>
          </w:p>
        </w:tc>
      </w:tr>
      <w:tr w:rsidR="00FD3D7D" w:rsidRPr="00A15A03" w14:paraId="7D2A2E1C" w14:textId="77777777" w:rsidTr="00F108F4">
        <w:trPr>
          <w:trHeight w:val="500"/>
        </w:trPr>
        <w:tc>
          <w:tcPr>
            <w:tcW w:w="3842" w:type="dxa"/>
            <w:tcBorders>
              <w:top w:val="nil"/>
              <w:left w:val="single" w:sz="4" w:space="0" w:color="auto"/>
              <w:bottom w:val="single" w:sz="4" w:space="0" w:color="auto"/>
              <w:right w:val="single" w:sz="4" w:space="0" w:color="auto"/>
            </w:tcBorders>
            <w:shd w:val="clear" w:color="auto" w:fill="auto"/>
            <w:vAlign w:val="center"/>
            <w:hideMark/>
          </w:tcPr>
          <w:p w14:paraId="4923F392" w14:textId="77777777" w:rsidR="00FD3D7D" w:rsidRPr="00A15A03" w:rsidRDefault="00FD3D7D" w:rsidP="008D5935">
            <w:pPr>
              <w:spacing w:after="0" w:line="240" w:lineRule="auto"/>
              <w:rPr>
                <w:rFonts w:ascii="Cambria" w:eastAsia="Times New Roman" w:hAnsi="Cambria" w:cs="Helvetica"/>
                <w:sz w:val="20"/>
                <w:szCs w:val="20"/>
                <w:lang w:eastAsia="ko-KR"/>
              </w:rPr>
            </w:pPr>
            <w:r w:rsidRPr="00A15A03">
              <w:rPr>
                <w:rFonts w:ascii="Cambria" w:eastAsia="Times New Roman" w:hAnsi="Cambria" w:cs="Helvetica"/>
                <w:sz w:val="20"/>
                <w:szCs w:val="20"/>
                <w:lang w:eastAsia="ko-KR"/>
              </w:rPr>
              <w:t>Impact on personal income ($000)</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343F4C5" w14:textId="77777777" w:rsidR="00FD3D7D" w:rsidRPr="00A15A03" w:rsidRDefault="00FD3D7D" w:rsidP="008D5935">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-$20,000</w:t>
            </w:r>
          </w:p>
        </w:tc>
        <w:tc>
          <w:tcPr>
            <w:tcW w:w="1080" w:type="dxa"/>
            <w:tcBorders>
              <w:top w:val="nil"/>
              <w:left w:val="nil"/>
              <w:bottom w:val="single" w:sz="4" w:space="0" w:color="auto"/>
              <w:right w:val="single" w:sz="4" w:space="0" w:color="auto"/>
            </w:tcBorders>
            <w:shd w:val="clear" w:color="auto" w:fill="auto"/>
            <w:noWrap/>
            <w:vAlign w:val="center"/>
            <w:hideMark/>
          </w:tcPr>
          <w:p w14:paraId="6111DD0A" w14:textId="77777777" w:rsidR="00FD3D7D" w:rsidRPr="00A15A03" w:rsidRDefault="00FD3D7D" w:rsidP="008D5935">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-$16,000</w:t>
            </w:r>
          </w:p>
        </w:tc>
        <w:tc>
          <w:tcPr>
            <w:tcW w:w="1080" w:type="dxa"/>
            <w:tcBorders>
              <w:top w:val="nil"/>
              <w:left w:val="nil"/>
              <w:bottom w:val="single" w:sz="4" w:space="0" w:color="auto"/>
              <w:right w:val="single" w:sz="4" w:space="0" w:color="auto"/>
            </w:tcBorders>
            <w:shd w:val="clear" w:color="auto" w:fill="auto"/>
            <w:noWrap/>
            <w:vAlign w:val="center"/>
            <w:hideMark/>
          </w:tcPr>
          <w:p w14:paraId="0559C0AD" w14:textId="77777777" w:rsidR="00FD3D7D" w:rsidRPr="00A15A03" w:rsidRDefault="00FD3D7D" w:rsidP="008D5935">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-$14,000</w:t>
            </w:r>
          </w:p>
        </w:tc>
        <w:tc>
          <w:tcPr>
            <w:tcW w:w="1080" w:type="dxa"/>
            <w:tcBorders>
              <w:top w:val="nil"/>
              <w:left w:val="nil"/>
              <w:bottom w:val="single" w:sz="4" w:space="0" w:color="auto"/>
              <w:right w:val="single" w:sz="4" w:space="0" w:color="auto"/>
            </w:tcBorders>
            <w:shd w:val="clear" w:color="auto" w:fill="auto"/>
            <w:noWrap/>
            <w:vAlign w:val="center"/>
            <w:hideMark/>
          </w:tcPr>
          <w:p w14:paraId="5F415083" w14:textId="77777777" w:rsidR="00FD3D7D" w:rsidRPr="00A15A03" w:rsidRDefault="00FD3D7D" w:rsidP="008D5935">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-$10,000</w:t>
            </w:r>
          </w:p>
        </w:tc>
        <w:tc>
          <w:tcPr>
            <w:tcW w:w="1080" w:type="dxa"/>
            <w:tcBorders>
              <w:top w:val="nil"/>
              <w:left w:val="nil"/>
              <w:bottom w:val="single" w:sz="4" w:space="0" w:color="auto"/>
              <w:right w:val="single" w:sz="4" w:space="0" w:color="auto"/>
            </w:tcBorders>
            <w:shd w:val="clear" w:color="auto" w:fill="auto"/>
            <w:noWrap/>
            <w:vAlign w:val="center"/>
            <w:hideMark/>
          </w:tcPr>
          <w:p w14:paraId="67BA9D1C" w14:textId="77777777" w:rsidR="00FD3D7D" w:rsidRPr="00A15A03" w:rsidRDefault="00FD3D7D" w:rsidP="008D5935">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-$7,000</w:t>
            </w:r>
          </w:p>
        </w:tc>
      </w:tr>
    </w:tbl>
    <w:p w14:paraId="5637DA70" w14:textId="77777777" w:rsidR="00FD3D7D" w:rsidRDefault="00FD3D7D" w:rsidP="00FD3D7D">
      <w:pPr>
        <w:tabs>
          <w:tab w:val="left" w:pos="7050"/>
        </w:tabs>
        <w:spacing w:after="0"/>
        <w:rPr>
          <w:rFonts w:asciiTheme="majorHAnsi" w:hAnsiTheme="majorHAnsi"/>
          <w:bCs/>
          <w:sz w:val="20"/>
          <w:szCs w:val="20"/>
        </w:rPr>
      </w:pPr>
      <w:r>
        <w:rPr>
          <w:rFonts w:asciiTheme="majorHAnsi" w:hAnsiTheme="majorHAnsi"/>
          <w:bCs/>
          <w:sz w:val="20"/>
          <w:szCs w:val="20"/>
        </w:rPr>
        <w:lastRenderedPageBreak/>
        <w:t>* assuming state government spending is cut by the same amount as the revenue loss due to EDIP credit to balance budget.</w:t>
      </w:r>
    </w:p>
    <w:p w14:paraId="37C3D4AD" w14:textId="77777777" w:rsidR="00FD3D7D" w:rsidRDefault="00FD3D7D" w:rsidP="00FD3D7D">
      <w:pPr>
        <w:spacing w:after="0"/>
        <w:rPr>
          <w:rFonts w:asciiTheme="majorHAnsi" w:eastAsiaTheme="majorEastAsia" w:hAnsiTheme="majorHAnsi" w:cstheme="majorBidi"/>
          <w:b/>
          <w:color w:val="000000" w:themeColor="text1"/>
          <w:sz w:val="24"/>
          <w:szCs w:val="24"/>
        </w:rPr>
      </w:pPr>
    </w:p>
    <w:p w14:paraId="6EC2D074" w14:textId="77777777" w:rsidR="00FD3D7D" w:rsidRDefault="00FD3D7D" w:rsidP="00FD3D7D">
      <w:pPr>
        <w:tabs>
          <w:tab w:val="left" w:pos="7050"/>
        </w:tabs>
        <w:spacing w:after="0"/>
        <w:rPr>
          <w:rFonts w:asciiTheme="majorHAnsi" w:hAnsiTheme="majorHAnsi"/>
          <w:bCs/>
          <w:sz w:val="24"/>
          <w:szCs w:val="23"/>
        </w:rPr>
      </w:pPr>
      <w:r w:rsidRPr="002F4285">
        <w:rPr>
          <w:rFonts w:asciiTheme="majorHAnsi" w:hAnsiTheme="majorHAnsi"/>
          <w:bCs/>
          <w:sz w:val="24"/>
          <w:szCs w:val="24"/>
        </w:rPr>
        <w:t>Because the tax expenditure has its own specific purpose, the net negative impacts do not necessarily imply that the tax expenditure is not desirable. T</w:t>
      </w:r>
      <w:r w:rsidRPr="002F4285">
        <w:rPr>
          <w:rFonts w:asciiTheme="majorHAnsi" w:eastAsiaTheme="majorEastAsia" w:hAnsiTheme="majorHAnsi" w:cstheme="majorBidi"/>
          <w:bCs/>
          <w:color w:val="000000" w:themeColor="text1"/>
          <w:sz w:val="24"/>
          <w:szCs w:val="24"/>
        </w:rPr>
        <w:t xml:space="preserve">he statute does not explicitly state the purpose of this tax expenditure; however, </w:t>
      </w:r>
      <w:r w:rsidRPr="008971BB">
        <w:rPr>
          <w:rFonts w:asciiTheme="majorHAnsi" w:eastAsiaTheme="majorEastAsia" w:hAnsiTheme="majorHAnsi" w:cstheme="majorBidi"/>
          <w:bCs/>
          <w:color w:val="000000" w:themeColor="text1"/>
          <w:sz w:val="24"/>
          <w:szCs w:val="24"/>
        </w:rPr>
        <w:t>we assume that the purpose is to</w:t>
      </w:r>
      <w:r w:rsidRPr="008971BB">
        <w:rPr>
          <w:rFonts w:asciiTheme="majorHAnsi" w:hAnsiTheme="majorHAnsi"/>
          <w:bCs/>
          <w:sz w:val="24"/>
          <w:szCs w:val="23"/>
        </w:rPr>
        <w:t xml:space="preserve"> </w:t>
      </w:r>
      <w:r>
        <w:rPr>
          <w:rFonts w:asciiTheme="majorHAnsi" w:eastAsiaTheme="majorEastAsia" w:hAnsiTheme="majorHAnsi" w:cstheme="majorBidi"/>
          <w:bCs/>
          <w:color w:val="000000" w:themeColor="text1"/>
          <w:sz w:val="24"/>
          <w:szCs w:val="24"/>
        </w:rPr>
        <w:t xml:space="preserve">encourage investment, job creation and economic development in Massachusetts, which seem achieved according to </w:t>
      </w:r>
      <w:r w:rsidR="00E01CEE">
        <w:rPr>
          <w:rFonts w:asciiTheme="majorHAnsi" w:eastAsiaTheme="majorEastAsia" w:hAnsiTheme="majorHAnsi" w:cstheme="majorBidi"/>
          <w:bCs/>
          <w:color w:val="000000" w:themeColor="text1"/>
          <w:sz w:val="24"/>
          <w:szCs w:val="24"/>
        </w:rPr>
        <w:t xml:space="preserve">MOBD’s </w:t>
      </w:r>
      <w:r>
        <w:rPr>
          <w:rFonts w:asciiTheme="majorHAnsi" w:eastAsiaTheme="majorEastAsia" w:hAnsiTheme="majorHAnsi" w:cstheme="majorBidi"/>
          <w:bCs/>
          <w:color w:val="000000" w:themeColor="text1"/>
          <w:sz w:val="24"/>
          <w:szCs w:val="24"/>
        </w:rPr>
        <w:t xml:space="preserve">annual report as </w:t>
      </w:r>
      <w:r w:rsidR="00E01CEE">
        <w:rPr>
          <w:rFonts w:asciiTheme="majorHAnsi" w:eastAsiaTheme="majorEastAsia" w:hAnsiTheme="majorHAnsi" w:cstheme="majorBidi"/>
          <w:bCs/>
          <w:color w:val="000000" w:themeColor="text1"/>
          <w:sz w:val="24"/>
          <w:szCs w:val="24"/>
        </w:rPr>
        <w:t>mentioned</w:t>
      </w:r>
      <w:r>
        <w:rPr>
          <w:rFonts w:asciiTheme="majorHAnsi" w:eastAsiaTheme="majorEastAsia" w:hAnsiTheme="majorHAnsi" w:cstheme="majorBidi"/>
          <w:bCs/>
          <w:color w:val="000000" w:themeColor="text1"/>
          <w:sz w:val="24"/>
          <w:szCs w:val="24"/>
        </w:rPr>
        <w:t xml:space="preserve"> in the text</w:t>
      </w:r>
      <w:r w:rsidRPr="002F4285">
        <w:rPr>
          <w:rFonts w:asciiTheme="majorHAnsi" w:hAnsiTheme="majorHAnsi"/>
          <w:bCs/>
          <w:sz w:val="24"/>
          <w:szCs w:val="23"/>
        </w:rPr>
        <w:t>.</w:t>
      </w:r>
    </w:p>
    <w:p w14:paraId="42C3E9A7" w14:textId="77777777" w:rsidR="00464D5E" w:rsidRDefault="00464D5E" w:rsidP="00464D5E">
      <w:pPr>
        <w:tabs>
          <w:tab w:val="left" w:pos="7050"/>
        </w:tabs>
        <w:spacing w:after="0"/>
        <w:rPr>
          <w:rFonts w:asciiTheme="majorHAnsi" w:hAnsiTheme="majorHAnsi"/>
          <w:bCs/>
          <w:sz w:val="24"/>
          <w:szCs w:val="23"/>
        </w:rPr>
      </w:pPr>
    </w:p>
    <w:p w14:paraId="70E77AB7" w14:textId="77777777" w:rsidR="00FD3D7D" w:rsidRDefault="00FD3D7D" w:rsidP="00464D5E">
      <w:pPr>
        <w:tabs>
          <w:tab w:val="left" w:pos="7050"/>
        </w:tabs>
        <w:spacing w:after="0"/>
        <w:rPr>
          <w:rFonts w:asciiTheme="majorHAnsi" w:hAnsiTheme="majorHAnsi"/>
          <w:bCs/>
          <w:sz w:val="24"/>
          <w:szCs w:val="23"/>
        </w:rPr>
      </w:pPr>
    </w:p>
    <w:p w14:paraId="7B5BB085" w14:textId="77777777" w:rsidR="00464D5E" w:rsidRPr="00782E31" w:rsidRDefault="00464D5E" w:rsidP="00464D5E">
      <w:pPr>
        <w:rPr>
          <w:rFonts w:asciiTheme="majorHAnsi" w:hAnsiTheme="majorHAnsi"/>
          <w:b/>
          <w:sz w:val="24"/>
          <w:szCs w:val="24"/>
        </w:rPr>
      </w:pPr>
      <w:r w:rsidRPr="00782E31">
        <w:rPr>
          <w:rFonts w:asciiTheme="majorHAnsi" w:hAnsiTheme="majorHAnsi"/>
          <w:b/>
          <w:sz w:val="24"/>
          <w:szCs w:val="24"/>
        </w:rPr>
        <w:t xml:space="preserve">Other </w:t>
      </w:r>
      <w:r>
        <w:rPr>
          <w:rFonts w:asciiTheme="majorHAnsi" w:hAnsiTheme="majorHAnsi"/>
          <w:b/>
          <w:sz w:val="24"/>
          <w:szCs w:val="24"/>
        </w:rPr>
        <w:t xml:space="preserve">unquantified </w:t>
      </w:r>
      <w:r w:rsidRPr="00782E31">
        <w:rPr>
          <w:rFonts w:asciiTheme="majorHAnsi" w:hAnsiTheme="majorHAnsi"/>
          <w:b/>
          <w:sz w:val="24"/>
          <w:szCs w:val="24"/>
        </w:rPr>
        <w:t>costs</w:t>
      </w:r>
      <w:r>
        <w:rPr>
          <w:rFonts w:asciiTheme="majorHAnsi" w:hAnsiTheme="majorHAnsi"/>
          <w:b/>
          <w:sz w:val="24"/>
          <w:szCs w:val="24"/>
        </w:rPr>
        <w:t xml:space="preserve"> and benefits</w:t>
      </w:r>
      <w:r w:rsidRPr="00A046B8">
        <w:rPr>
          <w:rFonts w:asciiTheme="majorHAnsi" w:hAnsiTheme="majorHAnsi"/>
          <w:b/>
          <w:sz w:val="24"/>
          <w:szCs w:val="24"/>
        </w:rPr>
        <w:t xml:space="preserve">:  </w:t>
      </w:r>
    </w:p>
    <w:p w14:paraId="078FC9D8" w14:textId="77777777" w:rsidR="00464D5E" w:rsidRDefault="00464D5E" w:rsidP="00464D5E">
      <w:pPr>
        <w:tabs>
          <w:tab w:val="left" w:pos="7050"/>
        </w:tabs>
        <w:spacing w:after="0"/>
        <w:rPr>
          <w:rFonts w:asciiTheme="majorHAnsi" w:hAnsiTheme="majorHAnsi"/>
          <w:bCs/>
          <w:sz w:val="24"/>
          <w:szCs w:val="23"/>
        </w:rPr>
      </w:pPr>
      <w:r>
        <w:rPr>
          <w:rFonts w:asciiTheme="majorHAnsi" w:hAnsiTheme="majorHAnsi"/>
          <w:bCs/>
          <w:sz w:val="24"/>
          <w:szCs w:val="23"/>
        </w:rPr>
        <w:t>Besides the additional costs and benefits quantified in the previous sections, t</w:t>
      </w:r>
      <w:r w:rsidRPr="00A05217">
        <w:rPr>
          <w:rFonts w:asciiTheme="majorHAnsi" w:hAnsiTheme="majorHAnsi"/>
          <w:bCs/>
          <w:sz w:val="24"/>
          <w:szCs w:val="23"/>
        </w:rPr>
        <w:t xml:space="preserve">here are other costs and benefits that are hard to quantify </w:t>
      </w:r>
      <w:r>
        <w:rPr>
          <w:rFonts w:asciiTheme="majorHAnsi" w:hAnsiTheme="majorHAnsi"/>
          <w:bCs/>
          <w:sz w:val="24"/>
          <w:szCs w:val="23"/>
        </w:rPr>
        <w:t>due to lack</w:t>
      </w:r>
      <w:r w:rsidRPr="00A05217">
        <w:rPr>
          <w:rFonts w:asciiTheme="majorHAnsi" w:hAnsiTheme="majorHAnsi"/>
          <w:bCs/>
          <w:sz w:val="24"/>
          <w:szCs w:val="23"/>
        </w:rPr>
        <w:t xml:space="preserve"> of data </w:t>
      </w:r>
      <w:r>
        <w:rPr>
          <w:rFonts w:asciiTheme="majorHAnsi" w:hAnsiTheme="majorHAnsi"/>
          <w:bCs/>
          <w:sz w:val="24"/>
          <w:szCs w:val="23"/>
        </w:rPr>
        <w:t>or other challenges</w:t>
      </w:r>
      <w:r w:rsidRPr="00A05217">
        <w:rPr>
          <w:rFonts w:asciiTheme="majorHAnsi" w:hAnsiTheme="majorHAnsi"/>
          <w:bCs/>
          <w:sz w:val="24"/>
          <w:szCs w:val="23"/>
        </w:rPr>
        <w:t>.</w:t>
      </w:r>
      <w:r>
        <w:rPr>
          <w:rFonts w:asciiTheme="majorHAnsi" w:hAnsiTheme="majorHAnsi"/>
          <w:bCs/>
          <w:sz w:val="24"/>
          <w:szCs w:val="23"/>
        </w:rPr>
        <w:t xml:space="preserve"> In this section we will enumerate some of these costs and benefits.</w:t>
      </w:r>
    </w:p>
    <w:p w14:paraId="323F09C2" w14:textId="77777777" w:rsidR="00464D5E" w:rsidRDefault="00464D5E" w:rsidP="00464D5E">
      <w:pPr>
        <w:tabs>
          <w:tab w:val="left" w:pos="7050"/>
        </w:tabs>
        <w:spacing w:after="0"/>
        <w:rPr>
          <w:rFonts w:asciiTheme="majorHAnsi" w:hAnsiTheme="majorHAnsi"/>
          <w:bCs/>
          <w:sz w:val="24"/>
          <w:szCs w:val="23"/>
        </w:rPr>
      </w:pPr>
    </w:p>
    <w:p w14:paraId="37662A59" w14:textId="77777777" w:rsidR="00464D5E" w:rsidRDefault="00464D5E" w:rsidP="00464D5E">
      <w:pPr>
        <w:tabs>
          <w:tab w:val="left" w:pos="7050"/>
        </w:tabs>
        <w:spacing w:after="0"/>
        <w:rPr>
          <w:rFonts w:asciiTheme="majorHAnsi" w:hAnsiTheme="majorHAnsi"/>
          <w:bCs/>
          <w:sz w:val="24"/>
          <w:szCs w:val="23"/>
        </w:rPr>
      </w:pPr>
      <w:r w:rsidRPr="00A05217">
        <w:rPr>
          <w:rFonts w:asciiTheme="majorHAnsi" w:hAnsiTheme="majorHAnsi"/>
          <w:noProof/>
          <w:sz w:val="24"/>
          <w:szCs w:val="23"/>
        </w:rPr>
        <w:t>Ihlanfeldt and Sjoquist</w:t>
      </w:r>
      <w:r>
        <w:rPr>
          <w:rFonts w:asciiTheme="majorHAnsi" w:hAnsiTheme="majorHAnsi"/>
          <w:noProof/>
          <w:sz w:val="24"/>
          <w:szCs w:val="23"/>
        </w:rPr>
        <w:t xml:space="preserve"> </w:t>
      </w:r>
      <w:r w:rsidRPr="00A05217">
        <w:rPr>
          <w:rFonts w:asciiTheme="majorHAnsi" w:hAnsiTheme="majorHAnsi"/>
          <w:noProof/>
          <w:sz w:val="24"/>
          <w:szCs w:val="23"/>
        </w:rPr>
        <w:t>(2001)</w:t>
      </w:r>
      <w:r w:rsidRPr="00A05217">
        <w:rPr>
          <w:rFonts w:asciiTheme="majorHAnsi" w:hAnsiTheme="majorHAnsi"/>
          <w:bCs/>
          <w:sz w:val="24"/>
          <w:szCs w:val="23"/>
        </w:rPr>
        <w:t>, a published study for the state of Georgia</w:t>
      </w:r>
      <w:r>
        <w:rPr>
          <w:rFonts w:asciiTheme="majorHAnsi" w:hAnsiTheme="majorHAnsi"/>
          <w:bCs/>
          <w:sz w:val="24"/>
          <w:szCs w:val="23"/>
        </w:rPr>
        <w:t>,</w:t>
      </w:r>
      <w:r w:rsidRPr="00A05217">
        <w:rPr>
          <w:rFonts w:asciiTheme="majorHAnsi" w:hAnsiTheme="majorHAnsi"/>
          <w:bCs/>
          <w:sz w:val="24"/>
          <w:szCs w:val="23"/>
        </w:rPr>
        <w:t xml:space="preserve"> summarizes </w:t>
      </w:r>
      <w:r>
        <w:rPr>
          <w:rFonts w:asciiTheme="majorHAnsi" w:hAnsiTheme="majorHAnsi"/>
          <w:bCs/>
          <w:sz w:val="24"/>
          <w:szCs w:val="23"/>
        </w:rPr>
        <w:t xml:space="preserve">some of the other costs and benefits as follows:  </w:t>
      </w:r>
    </w:p>
    <w:p w14:paraId="65736E1F" w14:textId="77777777" w:rsidR="00464D5E" w:rsidRDefault="00464D5E" w:rsidP="00464D5E">
      <w:pPr>
        <w:tabs>
          <w:tab w:val="left" w:pos="7050"/>
        </w:tabs>
        <w:spacing w:after="0"/>
        <w:rPr>
          <w:rFonts w:asciiTheme="majorHAnsi" w:hAnsiTheme="majorHAnsi"/>
          <w:bCs/>
          <w:sz w:val="24"/>
          <w:szCs w:val="23"/>
        </w:rPr>
      </w:pPr>
    </w:p>
    <w:p w14:paraId="18549AA4" w14:textId="77777777" w:rsidR="00464D5E" w:rsidRDefault="00464D5E" w:rsidP="00464D5E">
      <w:pPr>
        <w:tabs>
          <w:tab w:val="left" w:pos="7050"/>
        </w:tabs>
        <w:spacing w:after="0"/>
        <w:rPr>
          <w:rFonts w:asciiTheme="majorHAnsi" w:hAnsiTheme="majorHAnsi"/>
          <w:bCs/>
          <w:sz w:val="24"/>
          <w:szCs w:val="23"/>
        </w:rPr>
      </w:pPr>
      <w:r w:rsidRPr="005D3BF7">
        <w:rPr>
          <w:rFonts w:asciiTheme="majorHAnsi" w:hAnsiTheme="majorHAnsi"/>
          <w:bCs/>
          <w:i/>
          <w:iCs/>
          <w:sz w:val="24"/>
          <w:szCs w:val="23"/>
          <w:u w:val="single"/>
        </w:rPr>
        <w:t>Loss of competitiveness.</w:t>
      </w:r>
      <w:r w:rsidRPr="00A05217">
        <w:rPr>
          <w:rFonts w:asciiTheme="majorHAnsi" w:hAnsiTheme="majorHAnsi"/>
          <w:bCs/>
          <w:sz w:val="24"/>
          <w:szCs w:val="23"/>
        </w:rPr>
        <w:t xml:space="preserve"> </w:t>
      </w:r>
      <w:r w:rsidRPr="00E4532C">
        <w:rPr>
          <w:rFonts w:asciiTheme="majorHAnsi" w:hAnsiTheme="majorHAnsi"/>
          <w:bCs/>
          <w:sz w:val="24"/>
          <w:szCs w:val="23"/>
        </w:rPr>
        <w:t xml:space="preserve">Providing tax </w:t>
      </w:r>
      <w:r>
        <w:rPr>
          <w:rFonts w:asciiTheme="majorHAnsi" w:hAnsiTheme="majorHAnsi"/>
          <w:bCs/>
          <w:sz w:val="24"/>
          <w:szCs w:val="23"/>
        </w:rPr>
        <w:t xml:space="preserve">incentive such as </w:t>
      </w:r>
      <w:r w:rsidRPr="00E4532C">
        <w:rPr>
          <w:rFonts w:asciiTheme="majorHAnsi" w:hAnsiTheme="majorHAnsi"/>
          <w:bCs/>
          <w:sz w:val="24"/>
          <w:szCs w:val="23"/>
        </w:rPr>
        <w:t xml:space="preserve">credits to selected firms </w:t>
      </w:r>
      <w:r>
        <w:rPr>
          <w:rFonts w:asciiTheme="majorHAnsi" w:hAnsiTheme="majorHAnsi"/>
          <w:bCs/>
          <w:sz w:val="24"/>
          <w:szCs w:val="23"/>
        </w:rPr>
        <w:t>may d</w:t>
      </w:r>
      <w:r w:rsidRPr="00E4532C">
        <w:rPr>
          <w:rFonts w:asciiTheme="majorHAnsi" w:hAnsiTheme="majorHAnsi"/>
          <w:bCs/>
          <w:sz w:val="24"/>
          <w:szCs w:val="23"/>
        </w:rPr>
        <w:t>iminish</w:t>
      </w:r>
      <w:r>
        <w:rPr>
          <w:rFonts w:asciiTheme="majorHAnsi" w:hAnsiTheme="majorHAnsi"/>
          <w:bCs/>
          <w:sz w:val="24"/>
          <w:szCs w:val="23"/>
        </w:rPr>
        <w:t xml:space="preserve"> the </w:t>
      </w:r>
      <w:r w:rsidRPr="00E4532C">
        <w:rPr>
          <w:rFonts w:asciiTheme="majorHAnsi" w:hAnsiTheme="majorHAnsi"/>
          <w:bCs/>
          <w:sz w:val="24"/>
          <w:szCs w:val="23"/>
        </w:rPr>
        <w:t>competitiveness</w:t>
      </w:r>
      <w:r>
        <w:rPr>
          <w:rFonts w:asciiTheme="majorHAnsi" w:hAnsiTheme="majorHAnsi"/>
          <w:bCs/>
          <w:sz w:val="24"/>
          <w:szCs w:val="23"/>
        </w:rPr>
        <w:t xml:space="preserve"> </w:t>
      </w:r>
      <w:r w:rsidRPr="00E4532C">
        <w:rPr>
          <w:rFonts w:asciiTheme="majorHAnsi" w:hAnsiTheme="majorHAnsi"/>
          <w:bCs/>
          <w:sz w:val="24"/>
          <w:szCs w:val="23"/>
        </w:rPr>
        <w:t>for</w:t>
      </w:r>
      <w:r>
        <w:rPr>
          <w:rFonts w:asciiTheme="majorHAnsi" w:hAnsiTheme="majorHAnsi"/>
          <w:bCs/>
          <w:sz w:val="24"/>
          <w:szCs w:val="23"/>
        </w:rPr>
        <w:t xml:space="preserve"> </w:t>
      </w:r>
      <w:r w:rsidRPr="00E4532C">
        <w:rPr>
          <w:rFonts w:asciiTheme="majorHAnsi" w:hAnsiTheme="majorHAnsi"/>
          <w:bCs/>
          <w:sz w:val="24"/>
          <w:szCs w:val="23"/>
        </w:rPr>
        <w:t>existing</w:t>
      </w:r>
      <w:r>
        <w:rPr>
          <w:rFonts w:asciiTheme="majorHAnsi" w:hAnsiTheme="majorHAnsi"/>
          <w:bCs/>
          <w:sz w:val="24"/>
          <w:szCs w:val="23"/>
        </w:rPr>
        <w:t xml:space="preserve"> </w:t>
      </w:r>
      <w:r w:rsidRPr="00E4532C">
        <w:rPr>
          <w:rFonts w:asciiTheme="majorHAnsi" w:hAnsiTheme="majorHAnsi"/>
          <w:bCs/>
          <w:sz w:val="24"/>
          <w:szCs w:val="23"/>
        </w:rPr>
        <w:t>similar</w:t>
      </w:r>
      <w:r>
        <w:rPr>
          <w:rFonts w:asciiTheme="majorHAnsi" w:hAnsiTheme="majorHAnsi"/>
          <w:bCs/>
          <w:sz w:val="24"/>
          <w:szCs w:val="23"/>
        </w:rPr>
        <w:t xml:space="preserve"> </w:t>
      </w:r>
      <w:r w:rsidRPr="00E4532C">
        <w:rPr>
          <w:rFonts w:asciiTheme="majorHAnsi" w:hAnsiTheme="majorHAnsi"/>
          <w:bCs/>
          <w:sz w:val="24"/>
          <w:szCs w:val="23"/>
        </w:rPr>
        <w:t>firms.</w:t>
      </w:r>
      <w:r w:rsidRPr="00A05217">
        <w:rPr>
          <w:rFonts w:asciiTheme="majorHAnsi" w:hAnsiTheme="majorHAnsi"/>
          <w:bCs/>
          <w:sz w:val="24"/>
          <w:szCs w:val="23"/>
        </w:rPr>
        <w:t xml:space="preserve">  </w:t>
      </w:r>
    </w:p>
    <w:p w14:paraId="00BD5754" w14:textId="77777777" w:rsidR="00464D5E" w:rsidRDefault="00464D5E" w:rsidP="00464D5E">
      <w:pPr>
        <w:tabs>
          <w:tab w:val="left" w:pos="7050"/>
        </w:tabs>
        <w:spacing w:after="0"/>
        <w:rPr>
          <w:rFonts w:asciiTheme="majorHAnsi" w:hAnsiTheme="majorHAnsi"/>
          <w:bCs/>
          <w:sz w:val="24"/>
          <w:szCs w:val="23"/>
        </w:rPr>
      </w:pPr>
    </w:p>
    <w:p w14:paraId="7ACBEB82" w14:textId="77777777" w:rsidR="00464D5E" w:rsidRDefault="00464D5E" w:rsidP="00464D5E">
      <w:pPr>
        <w:tabs>
          <w:tab w:val="left" w:pos="7050"/>
        </w:tabs>
        <w:spacing w:after="0"/>
        <w:rPr>
          <w:rFonts w:asciiTheme="majorHAnsi" w:hAnsiTheme="majorHAnsi"/>
          <w:bCs/>
          <w:sz w:val="24"/>
          <w:szCs w:val="23"/>
        </w:rPr>
      </w:pPr>
      <w:r w:rsidRPr="005D3BF7">
        <w:rPr>
          <w:rFonts w:asciiTheme="majorHAnsi" w:hAnsiTheme="majorHAnsi"/>
          <w:bCs/>
          <w:i/>
          <w:iCs/>
          <w:sz w:val="24"/>
          <w:szCs w:val="23"/>
          <w:u w:val="single"/>
        </w:rPr>
        <w:t>Compliance costs.</w:t>
      </w:r>
      <w:r w:rsidRPr="00A05217">
        <w:rPr>
          <w:rFonts w:asciiTheme="majorHAnsi" w:hAnsiTheme="majorHAnsi"/>
          <w:bCs/>
          <w:sz w:val="24"/>
          <w:szCs w:val="23"/>
        </w:rPr>
        <w:t xml:space="preserve">  They think that the costs to the firm may be substantial. </w:t>
      </w:r>
    </w:p>
    <w:p w14:paraId="7C16CAB1" w14:textId="77777777" w:rsidR="00464D5E" w:rsidRDefault="00464D5E" w:rsidP="00464D5E">
      <w:pPr>
        <w:tabs>
          <w:tab w:val="left" w:pos="7050"/>
        </w:tabs>
        <w:spacing w:after="0"/>
        <w:rPr>
          <w:rFonts w:asciiTheme="majorHAnsi" w:hAnsiTheme="majorHAnsi"/>
          <w:bCs/>
          <w:sz w:val="24"/>
          <w:szCs w:val="23"/>
        </w:rPr>
      </w:pPr>
    </w:p>
    <w:p w14:paraId="116AE669" w14:textId="77777777" w:rsidR="00464D5E" w:rsidRDefault="00464D5E" w:rsidP="00464D5E">
      <w:pPr>
        <w:tabs>
          <w:tab w:val="left" w:pos="7050"/>
        </w:tabs>
        <w:spacing w:after="0"/>
        <w:rPr>
          <w:rFonts w:asciiTheme="majorHAnsi" w:hAnsiTheme="majorHAnsi"/>
          <w:bCs/>
          <w:sz w:val="24"/>
          <w:szCs w:val="23"/>
        </w:rPr>
      </w:pPr>
      <w:r w:rsidRPr="005D3BF7">
        <w:rPr>
          <w:rFonts w:asciiTheme="majorHAnsi" w:hAnsiTheme="majorHAnsi"/>
          <w:bCs/>
          <w:i/>
          <w:iCs/>
          <w:sz w:val="24"/>
          <w:szCs w:val="23"/>
          <w:u w:val="single"/>
        </w:rPr>
        <w:t>Improved business climate.</w:t>
      </w:r>
      <w:r w:rsidRPr="00A05217">
        <w:rPr>
          <w:rFonts w:asciiTheme="majorHAnsi" w:hAnsiTheme="majorHAnsi"/>
          <w:bCs/>
          <w:sz w:val="24"/>
          <w:szCs w:val="23"/>
        </w:rPr>
        <w:t xml:space="preserve"> Tax incentive improves the perception of the business climate in the state and is used by site location specialists in screening alternative sites. </w:t>
      </w:r>
    </w:p>
    <w:p w14:paraId="4D15F23B" w14:textId="77777777" w:rsidR="00464D5E" w:rsidRDefault="00464D5E" w:rsidP="00464D5E">
      <w:pPr>
        <w:tabs>
          <w:tab w:val="left" w:pos="7050"/>
        </w:tabs>
        <w:spacing w:after="0"/>
        <w:rPr>
          <w:rFonts w:asciiTheme="majorHAnsi" w:hAnsiTheme="majorHAnsi"/>
          <w:bCs/>
          <w:sz w:val="24"/>
          <w:szCs w:val="23"/>
        </w:rPr>
      </w:pPr>
    </w:p>
    <w:p w14:paraId="5DFAA217" w14:textId="77777777" w:rsidR="00464D5E" w:rsidRDefault="00464D5E" w:rsidP="00464D5E">
      <w:pPr>
        <w:tabs>
          <w:tab w:val="left" w:pos="7050"/>
        </w:tabs>
        <w:spacing w:after="0"/>
        <w:rPr>
          <w:rFonts w:asciiTheme="majorHAnsi" w:hAnsiTheme="majorHAnsi"/>
          <w:bCs/>
          <w:sz w:val="24"/>
          <w:szCs w:val="23"/>
        </w:rPr>
      </w:pPr>
      <w:r w:rsidRPr="005D3BF7">
        <w:rPr>
          <w:rFonts w:asciiTheme="majorHAnsi" w:hAnsiTheme="majorHAnsi"/>
          <w:bCs/>
          <w:i/>
          <w:iCs/>
          <w:sz w:val="24"/>
          <w:szCs w:val="23"/>
          <w:u w:val="single"/>
        </w:rPr>
        <w:t>Synergistic or clustering effects.</w:t>
      </w:r>
      <w:r w:rsidRPr="00A05217">
        <w:rPr>
          <w:rFonts w:asciiTheme="majorHAnsi" w:hAnsiTheme="majorHAnsi"/>
          <w:bCs/>
          <w:sz w:val="24"/>
          <w:szCs w:val="23"/>
        </w:rPr>
        <w:t xml:space="preserve"> Tax incentive may attract a firm in an industry new to the state, which then serves as a magnet for attracting additional firms in the industry.  </w:t>
      </w:r>
      <w:r>
        <w:rPr>
          <w:rFonts w:asciiTheme="majorHAnsi" w:hAnsiTheme="majorHAnsi"/>
          <w:bCs/>
          <w:sz w:val="24"/>
          <w:szCs w:val="23"/>
        </w:rPr>
        <w:t xml:space="preserve"> </w:t>
      </w:r>
    </w:p>
    <w:p w14:paraId="73293254" w14:textId="77777777" w:rsidR="00464D5E" w:rsidRDefault="00464D5E" w:rsidP="00464D5E">
      <w:pPr>
        <w:rPr>
          <w:rFonts w:asciiTheme="majorHAnsi" w:hAnsiTheme="majorHAnsi"/>
          <w:b/>
          <w:sz w:val="24"/>
          <w:szCs w:val="24"/>
        </w:rPr>
      </w:pPr>
    </w:p>
    <w:p w14:paraId="0E7CC8E3" w14:textId="77777777" w:rsidR="00BF5CC0" w:rsidRDefault="00BF5CC0" w:rsidP="00BF5CC0">
      <w:pPr>
        <w:tabs>
          <w:tab w:val="left" w:pos="7050"/>
        </w:tabs>
        <w:spacing w:after="0"/>
        <w:rPr>
          <w:rFonts w:asciiTheme="majorHAnsi" w:hAnsiTheme="majorHAnsi"/>
          <w:bCs/>
          <w:sz w:val="24"/>
          <w:szCs w:val="24"/>
        </w:rPr>
      </w:pPr>
      <w:r>
        <w:rPr>
          <w:rFonts w:asciiTheme="majorHAnsi" w:hAnsiTheme="majorHAnsi"/>
          <w:bCs/>
          <w:sz w:val="24"/>
          <w:szCs w:val="24"/>
        </w:rPr>
        <w:t xml:space="preserve">EDPIC is in general </w:t>
      </w:r>
      <w:r w:rsidRPr="00290F83">
        <w:rPr>
          <w:rFonts w:asciiTheme="majorHAnsi" w:hAnsiTheme="majorHAnsi"/>
          <w:bCs/>
          <w:sz w:val="24"/>
          <w:szCs w:val="24"/>
        </w:rPr>
        <w:t xml:space="preserve">deployed </w:t>
      </w:r>
      <w:r>
        <w:rPr>
          <w:rFonts w:asciiTheme="majorHAnsi" w:hAnsiTheme="majorHAnsi"/>
          <w:bCs/>
          <w:sz w:val="24"/>
          <w:szCs w:val="24"/>
        </w:rPr>
        <w:t>to</w:t>
      </w:r>
      <w:r w:rsidRPr="00290F83">
        <w:rPr>
          <w:rFonts w:asciiTheme="majorHAnsi" w:hAnsiTheme="majorHAnsi"/>
          <w:bCs/>
          <w:sz w:val="24"/>
          <w:szCs w:val="24"/>
        </w:rPr>
        <w:t xml:space="preserve"> areas </w:t>
      </w:r>
      <w:r>
        <w:rPr>
          <w:rFonts w:asciiTheme="majorHAnsi" w:hAnsiTheme="majorHAnsi"/>
          <w:bCs/>
          <w:sz w:val="24"/>
          <w:szCs w:val="24"/>
        </w:rPr>
        <w:t>such as gateway cities where economic development is needed socially, and it creates desirable social benefits</w:t>
      </w:r>
      <w:r w:rsidRPr="00290F83">
        <w:rPr>
          <w:rFonts w:asciiTheme="majorHAnsi" w:hAnsiTheme="majorHAnsi"/>
          <w:bCs/>
          <w:sz w:val="24"/>
          <w:szCs w:val="24"/>
        </w:rPr>
        <w:t>.</w:t>
      </w:r>
    </w:p>
    <w:p w14:paraId="6433766B" w14:textId="77777777" w:rsidR="00BF5CC0" w:rsidRDefault="00BF5CC0" w:rsidP="00464D5E">
      <w:pPr>
        <w:rPr>
          <w:rFonts w:asciiTheme="majorHAnsi" w:hAnsiTheme="majorHAnsi"/>
          <w:b/>
          <w:sz w:val="24"/>
          <w:szCs w:val="24"/>
        </w:rPr>
      </w:pPr>
    </w:p>
    <w:p w14:paraId="2552CB6D" w14:textId="77777777" w:rsidR="00464D5E" w:rsidRDefault="00464D5E" w:rsidP="00464D5E">
      <w:pPr>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 xml:space="preserve">Another hard to quantify cost is the administrative cost. The administrative cost </w:t>
      </w:r>
      <w:r w:rsidR="001709AD">
        <w:rPr>
          <w:rFonts w:asciiTheme="majorHAnsi" w:eastAsiaTheme="majorEastAsia" w:hAnsiTheme="majorHAnsi" w:cstheme="majorBidi"/>
          <w:bCs/>
          <w:color w:val="000000" w:themeColor="text1"/>
          <w:sz w:val="24"/>
          <w:szCs w:val="24"/>
        </w:rPr>
        <w:t xml:space="preserve">to the Department of Revenue </w:t>
      </w:r>
      <w:r>
        <w:rPr>
          <w:rFonts w:asciiTheme="majorHAnsi" w:eastAsiaTheme="majorEastAsia" w:hAnsiTheme="majorHAnsi" w:cstheme="majorBidi"/>
          <w:bCs/>
          <w:color w:val="000000" w:themeColor="text1"/>
          <w:sz w:val="24"/>
          <w:szCs w:val="24"/>
        </w:rPr>
        <w:t xml:space="preserve">attributable to this incentive should be relatively small because the Department of Revenue administers the </w:t>
      </w:r>
      <w:r w:rsidR="001709AD">
        <w:rPr>
          <w:rFonts w:asciiTheme="majorHAnsi" w:eastAsiaTheme="majorEastAsia" w:hAnsiTheme="majorHAnsi" w:cstheme="majorBidi"/>
          <w:bCs/>
          <w:color w:val="000000" w:themeColor="text1"/>
          <w:sz w:val="24"/>
          <w:szCs w:val="24"/>
        </w:rPr>
        <w:t>credit</w:t>
      </w:r>
      <w:r>
        <w:rPr>
          <w:rFonts w:asciiTheme="majorHAnsi" w:eastAsiaTheme="majorEastAsia" w:hAnsiTheme="majorHAnsi" w:cstheme="majorBidi"/>
          <w:bCs/>
          <w:color w:val="000000" w:themeColor="text1"/>
          <w:sz w:val="24"/>
          <w:szCs w:val="24"/>
        </w:rPr>
        <w:t xml:space="preserve"> with existing staff as part of its overall mission. </w:t>
      </w:r>
      <w:r w:rsidR="001709AD">
        <w:rPr>
          <w:rFonts w:asciiTheme="majorHAnsi" w:eastAsiaTheme="majorEastAsia" w:hAnsiTheme="majorHAnsi" w:cstheme="majorBidi"/>
          <w:bCs/>
          <w:color w:val="000000" w:themeColor="text1"/>
          <w:sz w:val="24"/>
          <w:szCs w:val="24"/>
        </w:rPr>
        <w:t xml:space="preserve">There is also administrative cost of the credit to EACC and MOBD as a </w:t>
      </w:r>
      <w:r w:rsidR="00A27712">
        <w:rPr>
          <w:rFonts w:asciiTheme="majorHAnsi" w:eastAsiaTheme="majorEastAsia" w:hAnsiTheme="majorHAnsi" w:cstheme="majorBidi"/>
          <w:bCs/>
          <w:color w:val="000000" w:themeColor="text1"/>
          <w:sz w:val="24"/>
          <w:szCs w:val="24"/>
        </w:rPr>
        <w:t xml:space="preserve">key </w:t>
      </w:r>
      <w:r w:rsidR="001709AD">
        <w:rPr>
          <w:rFonts w:asciiTheme="majorHAnsi" w:eastAsiaTheme="majorEastAsia" w:hAnsiTheme="majorHAnsi" w:cstheme="majorBidi"/>
          <w:bCs/>
          <w:color w:val="000000" w:themeColor="text1"/>
          <w:sz w:val="24"/>
          <w:szCs w:val="24"/>
        </w:rPr>
        <w:t>component of the EDIP program.</w:t>
      </w:r>
    </w:p>
    <w:p w14:paraId="7452E54B" w14:textId="77777777" w:rsidR="001709AD" w:rsidRPr="00616EEB" w:rsidRDefault="001709AD" w:rsidP="00464D5E">
      <w:pPr>
        <w:spacing w:after="0"/>
        <w:rPr>
          <w:rFonts w:asciiTheme="majorHAnsi" w:eastAsiaTheme="majorEastAsia" w:hAnsiTheme="majorHAnsi" w:cstheme="majorBidi"/>
          <w:bCs/>
          <w:i/>
          <w:iCs/>
          <w:color w:val="000000" w:themeColor="text1"/>
          <w:sz w:val="24"/>
          <w:szCs w:val="24"/>
        </w:rPr>
      </w:pPr>
    </w:p>
    <w:p w14:paraId="2B336024" w14:textId="77777777" w:rsidR="00464D5E" w:rsidRDefault="00464D5E" w:rsidP="00464D5E">
      <w:pPr>
        <w:tabs>
          <w:tab w:val="left" w:pos="7050"/>
        </w:tabs>
        <w:spacing w:after="0"/>
        <w:rPr>
          <w:rFonts w:asciiTheme="majorHAnsi" w:hAnsiTheme="majorHAnsi"/>
          <w:bCs/>
          <w:sz w:val="24"/>
          <w:szCs w:val="23"/>
        </w:rPr>
      </w:pPr>
    </w:p>
    <w:p w14:paraId="6CFBFC26" w14:textId="77777777" w:rsidR="00464D5E" w:rsidRPr="00782E31" w:rsidRDefault="00464D5E" w:rsidP="00464D5E">
      <w:pPr>
        <w:rPr>
          <w:rFonts w:asciiTheme="majorHAnsi" w:hAnsiTheme="majorHAnsi"/>
          <w:b/>
          <w:sz w:val="24"/>
          <w:szCs w:val="24"/>
        </w:rPr>
      </w:pPr>
      <w:r>
        <w:rPr>
          <w:rFonts w:asciiTheme="majorHAnsi" w:hAnsiTheme="majorHAnsi"/>
          <w:b/>
          <w:sz w:val="24"/>
          <w:szCs w:val="24"/>
        </w:rPr>
        <w:t>Other issues related to costs and benefits</w:t>
      </w:r>
    </w:p>
    <w:p w14:paraId="1A052B0E" w14:textId="77777777" w:rsidR="00464D5E" w:rsidRDefault="00464D5E" w:rsidP="00464D5E">
      <w:pPr>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 xml:space="preserve">The burden of a tax does not necessarily fall on those responsible for remitting the tax. It is known through economic theories that corporate taxes change the allocation of capital between corporations and noncorporate businesses and among states because capital would flee from states of higher corporate taxes if all other considerable factors are not significantly different.  </w:t>
      </w:r>
    </w:p>
    <w:p w14:paraId="53516544" w14:textId="77777777" w:rsidR="00464D5E" w:rsidRDefault="00464D5E" w:rsidP="00464D5E">
      <w:pPr>
        <w:spacing w:after="0"/>
        <w:rPr>
          <w:rFonts w:asciiTheme="majorHAnsi" w:eastAsiaTheme="majorEastAsia" w:hAnsiTheme="majorHAnsi" w:cstheme="majorBidi"/>
          <w:bCs/>
          <w:color w:val="000000" w:themeColor="text1"/>
          <w:sz w:val="24"/>
          <w:szCs w:val="24"/>
        </w:rPr>
      </w:pPr>
    </w:p>
    <w:p w14:paraId="74A6CFD8" w14:textId="77777777" w:rsidR="00464D5E" w:rsidRDefault="00464D5E" w:rsidP="00464D5E">
      <w:pPr>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noProof/>
          <w:color w:val="000000" w:themeColor="text1"/>
          <w:sz w:val="24"/>
          <w:szCs w:val="24"/>
        </w:rPr>
        <w:t>Felix (2009)</w:t>
      </w:r>
      <w:r>
        <w:rPr>
          <w:rFonts w:asciiTheme="majorHAnsi" w:eastAsiaTheme="majorEastAsia" w:hAnsiTheme="majorHAnsi" w:cstheme="majorBidi"/>
          <w:bCs/>
          <w:color w:val="000000" w:themeColor="text1"/>
          <w:sz w:val="24"/>
          <w:szCs w:val="24"/>
        </w:rPr>
        <w:t xml:space="preserve"> finds that labor bears a significant burden from the state corporate tax in the form of lower wages. Her study further suggests that a one-percentage-point increase in the marginal state corporate tax rate reduces wages by 0.14% to 0.36%, that labor’s burden from the state corporate tax has trended upward over time due to increased global competition and increased competition among states to attract businesses, and that state corporate taxes reduce the wages of highly educated workers more than that of less-educated workers. </w:t>
      </w:r>
    </w:p>
    <w:p w14:paraId="3E80921F" w14:textId="77777777" w:rsidR="00464D5E" w:rsidRDefault="00464D5E" w:rsidP="00464D5E">
      <w:pPr>
        <w:spacing w:after="0"/>
        <w:rPr>
          <w:rFonts w:asciiTheme="majorHAnsi" w:eastAsiaTheme="majorEastAsia" w:hAnsiTheme="majorHAnsi" w:cstheme="majorBidi"/>
          <w:bCs/>
          <w:color w:val="000000" w:themeColor="text1"/>
          <w:sz w:val="24"/>
          <w:szCs w:val="24"/>
        </w:rPr>
      </w:pPr>
    </w:p>
    <w:p w14:paraId="65728474" w14:textId="77777777" w:rsidR="007D054D" w:rsidRPr="00881147" w:rsidRDefault="001709AD" w:rsidP="00464D5E">
      <w:pPr>
        <w:tabs>
          <w:tab w:val="left" w:pos="7050"/>
        </w:tabs>
        <w:rPr>
          <w:rFonts w:asciiTheme="majorHAnsi" w:hAnsiTheme="majorHAnsi"/>
          <w:b/>
          <w:sz w:val="24"/>
          <w:szCs w:val="24"/>
        </w:rPr>
      </w:pPr>
      <w:r>
        <w:rPr>
          <w:rFonts w:asciiTheme="majorHAnsi" w:eastAsiaTheme="majorEastAsia" w:hAnsiTheme="majorHAnsi" w:cstheme="majorBidi"/>
          <w:bCs/>
          <w:color w:val="000000" w:themeColor="text1"/>
          <w:sz w:val="24"/>
          <w:szCs w:val="24"/>
        </w:rPr>
        <w:t>T</w:t>
      </w:r>
      <w:r w:rsidR="00464D5E">
        <w:rPr>
          <w:rFonts w:asciiTheme="majorHAnsi" w:eastAsiaTheme="majorEastAsia" w:hAnsiTheme="majorHAnsi" w:cstheme="majorBidi"/>
          <w:bCs/>
          <w:color w:val="000000" w:themeColor="text1"/>
          <w:sz w:val="24"/>
          <w:szCs w:val="24"/>
        </w:rPr>
        <w:t xml:space="preserve">he </w:t>
      </w:r>
      <w:r>
        <w:rPr>
          <w:rFonts w:asciiTheme="majorHAnsi" w:eastAsiaTheme="majorEastAsia" w:hAnsiTheme="majorHAnsi" w:cstheme="majorBidi"/>
          <w:bCs/>
          <w:color w:val="000000" w:themeColor="text1"/>
          <w:sz w:val="24"/>
          <w:szCs w:val="24"/>
        </w:rPr>
        <w:t>EDIP credit</w:t>
      </w:r>
      <w:r w:rsidR="00464D5E">
        <w:rPr>
          <w:rFonts w:asciiTheme="majorHAnsi" w:eastAsiaTheme="majorEastAsia" w:hAnsiTheme="majorHAnsi" w:cstheme="majorBidi"/>
          <w:bCs/>
          <w:color w:val="000000" w:themeColor="text1"/>
          <w:sz w:val="24"/>
          <w:szCs w:val="24"/>
        </w:rPr>
        <w:t xml:space="preserve"> reduces the effective tax rate of its direct beneficiaries. The findings imply that the incentive may have benefited workers who were employed by the corporations in the form of higher wages.  The incentive may have further</w:t>
      </w:r>
      <w:r w:rsidR="00464D5E" w:rsidRPr="00464D5E">
        <w:rPr>
          <w:rFonts w:asciiTheme="majorHAnsi" w:eastAsiaTheme="majorEastAsia" w:hAnsiTheme="majorHAnsi" w:cstheme="majorBidi"/>
          <w:bCs/>
          <w:color w:val="000000" w:themeColor="text1"/>
          <w:sz w:val="24"/>
          <w:szCs w:val="24"/>
        </w:rPr>
        <w:t xml:space="preserve"> </w:t>
      </w:r>
      <w:r w:rsidR="00464D5E">
        <w:rPr>
          <w:rFonts w:asciiTheme="majorHAnsi" w:eastAsiaTheme="majorEastAsia" w:hAnsiTheme="majorHAnsi" w:cstheme="majorBidi"/>
          <w:bCs/>
          <w:color w:val="000000" w:themeColor="text1"/>
          <w:sz w:val="24"/>
          <w:szCs w:val="24"/>
        </w:rPr>
        <w:t xml:space="preserve">benefited the shareholders and clients due to the growth of businesses.   </w:t>
      </w:r>
    </w:p>
    <w:sectPr w:rsidR="007D054D" w:rsidRPr="00881147" w:rsidSect="00ED4589">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14461" w14:textId="77777777" w:rsidR="00E97F6F" w:rsidRDefault="00E97F6F" w:rsidP="00110E98">
      <w:pPr>
        <w:spacing w:after="0" w:line="240" w:lineRule="auto"/>
      </w:pPr>
      <w:r>
        <w:separator/>
      </w:r>
    </w:p>
  </w:endnote>
  <w:endnote w:type="continuationSeparator" w:id="0">
    <w:p w14:paraId="6B429ADD" w14:textId="77777777" w:rsidR="00E97F6F" w:rsidRDefault="00E97F6F" w:rsidP="00110E98">
      <w:pPr>
        <w:spacing w:after="0" w:line="240" w:lineRule="auto"/>
      </w:pPr>
      <w:r>
        <w:continuationSeparator/>
      </w:r>
    </w:p>
  </w:endnote>
  <w:endnote w:type="continuationNotice" w:id="1">
    <w:p w14:paraId="1B37A9D5" w14:textId="77777777" w:rsidR="00E97F6F" w:rsidRDefault="00E97F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abon LT Std">
    <w:altName w:val="Sabon LT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B1539" w14:textId="77777777" w:rsidR="00E97F6F" w:rsidRDefault="00E97F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1002447"/>
      <w:docPartObj>
        <w:docPartGallery w:val="Page Numbers (Bottom of Page)"/>
        <w:docPartUnique/>
      </w:docPartObj>
    </w:sdtPr>
    <w:sdtEndPr>
      <w:rPr>
        <w:noProof/>
      </w:rPr>
    </w:sdtEndPr>
    <w:sdtContent>
      <w:p w14:paraId="34DE455D" w14:textId="77777777" w:rsidR="00E97F6F" w:rsidRDefault="00E97F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17DD79" w14:textId="77777777" w:rsidR="00E97F6F" w:rsidRDefault="00E97F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42359" w14:textId="77777777" w:rsidR="00E97F6F" w:rsidRDefault="00E97F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1793664"/>
      <w:docPartObj>
        <w:docPartGallery w:val="Page Numbers (Bottom of Page)"/>
        <w:docPartUnique/>
      </w:docPartObj>
    </w:sdtPr>
    <w:sdtEndPr>
      <w:rPr>
        <w:rFonts w:asciiTheme="majorHAnsi" w:hAnsiTheme="majorHAnsi"/>
        <w:noProof/>
        <w:sz w:val="24"/>
      </w:rPr>
    </w:sdtEndPr>
    <w:sdtContent>
      <w:p w14:paraId="07FDE7BE" w14:textId="77777777" w:rsidR="00E97F6F" w:rsidRPr="00B204AF" w:rsidRDefault="00E97F6F">
        <w:pPr>
          <w:pStyle w:val="Footer"/>
          <w:jc w:val="center"/>
          <w:rPr>
            <w:rFonts w:asciiTheme="majorHAnsi" w:hAnsiTheme="majorHAnsi"/>
            <w:sz w:val="24"/>
          </w:rPr>
        </w:pPr>
        <w:r w:rsidRPr="00B204AF">
          <w:rPr>
            <w:rFonts w:asciiTheme="majorHAnsi" w:hAnsiTheme="majorHAnsi"/>
            <w:sz w:val="24"/>
          </w:rPr>
          <w:fldChar w:fldCharType="begin"/>
        </w:r>
        <w:r w:rsidRPr="00B204AF">
          <w:rPr>
            <w:rFonts w:asciiTheme="majorHAnsi" w:hAnsiTheme="majorHAnsi"/>
            <w:sz w:val="24"/>
          </w:rPr>
          <w:instrText xml:space="preserve"> PAGE   \* MERGEFORMAT </w:instrText>
        </w:r>
        <w:r w:rsidRPr="00B204AF">
          <w:rPr>
            <w:rFonts w:asciiTheme="majorHAnsi" w:hAnsiTheme="majorHAnsi"/>
            <w:sz w:val="24"/>
          </w:rPr>
          <w:fldChar w:fldCharType="separate"/>
        </w:r>
        <w:r>
          <w:rPr>
            <w:rFonts w:asciiTheme="majorHAnsi" w:hAnsiTheme="majorHAnsi"/>
            <w:noProof/>
            <w:sz w:val="24"/>
          </w:rPr>
          <w:t>3</w:t>
        </w:r>
        <w:r w:rsidRPr="00B204AF">
          <w:rPr>
            <w:rFonts w:asciiTheme="majorHAnsi" w:hAnsiTheme="majorHAnsi"/>
            <w:noProof/>
            <w:sz w:val="24"/>
          </w:rPr>
          <w:fldChar w:fldCharType="end"/>
        </w:r>
      </w:p>
    </w:sdtContent>
  </w:sdt>
  <w:p w14:paraId="32B0279C" w14:textId="77777777" w:rsidR="00E97F6F" w:rsidRDefault="00E97F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CA47F" w14:textId="77777777" w:rsidR="00E97F6F" w:rsidRDefault="00E97F6F" w:rsidP="00110E98">
      <w:pPr>
        <w:spacing w:after="0" w:line="240" w:lineRule="auto"/>
      </w:pPr>
      <w:r>
        <w:separator/>
      </w:r>
    </w:p>
  </w:footnote>
  <w:footnote w:type="continuationSeparator" w:id="0">
    <w:p w14:paraId="6BDC3352" w14:textId="77777777" w:rsidR="00E97F6F" w:rsidRDefault="00E97F6F" w:rsidP="00110E98">
      <w:pPr>
        <w:spacing w:after="0" w:line="240" w:lineRule="auto"/>
      </w:pPr>
      <w:r>
        <w:continuationSeparator/>
      </w:r>
    </w:p>
  </w:footnote>
  <w:footnote w:type="continuationNotice" w:id="1">
    <w:p w14:paraId="01002667" w14:textId="77777777" w:rsidR="00E97F6F" w:rsidRDefault="00E97F6F">
      <w:pPr>
        <w:spacing w:after="0" w:line="240" w:lineRule="auto"/>
      </w:pPr>
    </w:p>
  </w:footnote>
  <w:footnote w:id="2">
    <w:p w14:paraId="1CA0DE89" w14:textId="77777777" w:rsidR="00E97F6F" w:rsidRDefault="00E97F6F" w:rsidP="006463C1">
      <w:pPr>
        <w:pStyle w:val="FootnoteText"/>
        <w:jc w:val="left"/>
      </w:pPr>
      <w:r>
        <w:rPr>
          <w:rStyle w:val="FootnoteReference"/>
        </w:rPr>
        <w:footnoteRef/>
      </w:r>
      <w:r>
        <w:t xml:space="preserve"> EDIP annual reports can be found on this site: </w:t>
      </w:r>
      <w:hyperlink r:id="rId1" w:history="1">
        <w:r w:rsidRPr="004935C6">
          <w:rPr>
            <w:rStyle w:val="Hyperlink"/>
          </w:rPr>
          <w:t>https://www.mass.gov/service-details/economic-development-incentive-program-edip</w:t>
        </w:r>
      </w:hyperlink>
      <w:r>
        <w:t xml:space="preserve">. </w:t>
      </w:r>
    </w:p>
  </w:footnote>
  <w:footnote w:id="3">
    <w:p w14:paraId="6285E763" w14:textId="77777777" w:rsidR="00E97F6F" w:rsidRPr="009757C8" w:rsidRDefault="00E97F6F" w:rsidP="002D0038">
      <w:pPr>
        <w:spacing w:after="0"/>
        <w:rPr>
          <w:rFonts w:ascii="Times New Roman" w:eastAsia="Times New Roman" w:hAnsi="Times New Roman" w:cs="Times New Roman"/>
          <w:sz w:val="20"/>
          <w:szCs w:val="20"/>
        </w:rPr>
      </w:pPr>
      <w:r w:rsidRPr="002D0038">
        <w:rPr>
          <w:rFonts w:ascii="Times New Roman" w:eastAsia="Times New Roman" w:hAnsi="Times New Roman"/>
          <w:sz w:val="20"/>
          <w:szCs w:val="20"/>
        </w:rPr>
        <w:footnoteRef/>
      </w:r>
      <w:r w:rsidRPr="002D0038">
        <w:rPr>
          <w:rFonts w:ascii="Times New Roman" w:eastAsia="Times New Roman" w:hAnsi="Times New Roman" w:cs="Times New Roman"/>
          <w:sz w:val="20"/>
          <w:szCs w:val="20"/>
        </w:rPr>
        <w:t xml:space="preserve"> In Massachusetts, for some credits such as EDIPC and ITC</w:t>
      </w:r>
      <w:r>
        <w:rPr>
          <w:rFonts w:ascii="Times New Roman" w:eastAsia="Times New Roman" w:hAnsi="Times New Roman" w:cs="Times New Roman"/>
          <w:sz w:val="20"/>
          <w:szCs w:val="20"/>
        </w:rPr>
        <w:t xml:space="preserve"> </w:t>
      </w:r>
      <w:r w:rsidRPr="002D0038">
        <w:rPr>
          <w:rFonts w:ascii="Times New Roman" w:eastAsia="Times New Roman" w:hAnsi="Times New Roman" w:cs="Times New Roman"/>
          <w:sz w:val="20"/>
          <w:szCs w:val="20"/>
        </w:rPr>
        <w:t xml:space="preserve">(investment tax credit), the </w:t>
      </w:r>
      <w:r>
        <w:rPr>
          <w:rFonts w:ascii="Times New Roman" w:eastAsia="Times New Roman" w:hAnsi="Times New Roman" w:cs="Times New Roman"/>
          <w:sz w:val="20"/>
          <w:szCs w:val="20"/>
        </w:rPr>
        <w:t xml:space="preserve">claimed </w:t>
      </w:r>
      <w:r w:rsidRPr="002D0038">
        <w:rPr>
          <w:rFonts w:ascii="Times New Roman" w:eastAsia="Times New Roman" w:hAnsi="Times New Roman" w:cs="Times New Roman"/>
          <w:sz w:val="20"/>
          <w:szCs w:val="20"/>
        </w:rPr>
        <w:t xml:space="preserve">amount may not exceed 50% of </w:t>
      </w:r>
      <w:r>
        <w:rPr>
          <w:rFonts w:ascii="Times New Roman" w:eastAsia="Times New Roman" w:hAnsi="Times New Roman" w:cs="Times New Roman"/>
          <w:sz w:val="20"/>
          <w:szCs w:val="20"/>
        </w:rPr>
        <w:t>a tax filer’s tax liability</w:t>
      </w:r>
      <w:r w:rsidRPr="002D0038">
        <w:rPr>
          <w:rFonts w:ascii="Times New Roman" w:eastAsia="Times New Roman" w:hAnsi="Times New Roman" w:cs="Times New Roman"/>
          <w:sz w:val="20"/>
          <w:szCs w:val="20"/>
        </w:rPr>
        <w:t>.</w:t>
      </w:r>
      <w:r w:rsidRPr="009757C8">
        <w:rPr>
          <w:rFonts w:ascii="Times New Roman" w:eastAsia="Times New Roman" w:hAnsi="Times New Roman" w:cs="Times New Roman"/>
          <w:sz w:val="20"/>
          <w:szCs w:val="20"/>
        </w:rPr>
        <w:t xml:space="preserve"> The rule is not applicable for personal income tax filers. </w:t>
      </w:r>
    </w:p>
  </w:footnote>
  <w:footnote w:id="4">
    <w:p w14:paraId="460AB4F4" w14:textId="59F0F4DD" w:rsidR="00E97F6F" w:rsidRPr="00EB4838" w:rsidRDefault="00E97F6F" w:rsidP="001C2F30">
      <w:pPr>
        <w:pStyle w:val="FootnoteText"/>
        <w:spacing w:line="276" w:lineRule="auto"/>
        <w:jc w:val="left"/>
        <w:rPr>
          <w:rFonts w:asciiTheme="majorHAnsi" w:eastAsiaTheme="majorEastAsia" w:hAnsiTheme="majorHAnsi" w:cstheme="majorBidi"/>
          <w:bCs/>
          <w:color w:val="000000" w:themeColor="text1"/>
        </w:rPr>
      </w:pPr>
      <w:r w:rsidRPr="00777F33">
        <w:rPr>
          <w:rStyle w:val="FootnoteReference"/>
          <w:rFonts w:asciiTheme="majorHAnsi" w:hAnsiTheme="majorHAnsi"/>
        </w:rPr>
        <w:footnoteRef/>
      </w:r>
      <w:r w:rsidRPr="00777F33">
        <w:rPr>
          <w:rFonts w:asciiTheme="majorHAnsi" w:hAnsiTheme="majorHAnsi"/>
        </w:rPr>
        <w:t xml:space="preserve"> </w:t>
      </w:r>
      <w:r w:rsidRPr="00EB4838">
        <w:rPr>
          <w:rFonts w:asciiTheme="majorHAnsi" w:eastAsiaTheme="majorEastAsia" w:hAnsiTheme="majorHAnsi" w:cstheme="majorBidi"/>
          <w:bCs/>
          <w:color w:val="000000" w:themeColor="text1"/>
        </w:rPr>
        <w:t xml:space="preserve">There were about 30 claims (15 for EOAC and 15 for EDIPC) from personal income tax filers in 2017. There were 2 claims from insurance tax filers. The reason why we excluded insurance tax filers and personal income tax filers was that they did not report comparable detailed information such as number of employees or they are taxed somewhat differently than </w:t>
      </w:r>
      <w:r>
        <w:rPr>
          <w:rFonts w:asciiTheme="majorHAnsi" w:eastAsiaTheme="majorEastAsia" w:hAnsiTheme="majorHAnsi" w:cstheme="majorBidi"/>
          <w:bCs/>
          <w:color w:val="000000" w:themeColor="text1"/>
        </w:rPr>
        <w:t>other</w:t>
      </w:r>
      <w:r w:rsidRPr="00EB4838">
        <w:rPr>
          <w:rFonts w:asciiTheme="majorHAnsi" w:eastAsiaTheme="majorEastAsia" w:hAnsiTheme="majorHAnsi" w:cstheme="majorBidi"/>
          <w:bCs/>
          <w:color w:val="000000" w:themeColor="text1"/>
        </w:rPr>
        <w:t xml:space="preserve"> corporations. For example, for insurance tax filers, their tax liability is largely based on their insurance premiums.  However, the amount of excluded credit is relatively small.</w:t>
      </w:r>
    </w:p>
  </w:footnote>
  <w:footnote w:id="5">
    <w:p w14:paraId="23CCD560" w14:textId="21B670CF" w:rsidR="00E97F6F" w:rsidRDefault="00E97F6F" w:rsidP="00BF5627">
      <w:pPr>
        <w:spacing w:after="0"/>
      </w:pPr>
      <w:r>
        <w:rPr>
          <w:rStyle w:val="FootnoteReference"/>
        </w:rPr>
        <w:footnoteRef/>
      </w:r>
      <w:r>
        <w:t xml:space="preserve"> </w:t>
      </w:r>
      <w:r w:rsidRPr="00EB4838">
        <w:rPr>
          <w:rFonts w:asciiTheme="majorHAnsi" w:eastAsiaTheme="majorEastAsia" w:hAnsiTheme="majorHAnsi" w:cstheme="majorBidi"/>
          <w:bCs/>
          <w:color w:val="000000" w:themeColor="text1"/>
          <w:sz w:val="20"/>
          <w:szCs w:val="20"/>
        </w:rPr>
        <w:t xml:space="preserve">Tables 3-4 show that there were 117 </w:t>
      </w:r>
      <w:r w:rsidRPr="00EB4838">
        <w:rPr>
          <w:rFonts w:asciiTheme="majorHAnsi" w:eastAsia="Times New Roman" w:hAnsiTheme="majorHAnsi" w:cs="Times New Roman"/>
          <w:i/>
          <w:sz w:val="20"/>
          <w:szCs w:val="20"/>
          <w:u w:val="single"/>
        </w:rPr>
        <w:t xml:space="preserve">claimants </w:t>
      </w:r>
      <w:r w:rsidRPr="00EB4838">
        <w:rPr>
          <w:rFonts w:asciiTheme="majorHAnsi" w:eastAsiaTheme="majorEastAsia" w:hAnsiTheme="majorHAnsi" w:cstheme="majorBidi"/>
          <w:bCs/>
          <w:color w:val="000000" w:themeColor="text1"/>
          <w:sz w:val="20"/>
          <w:szCs w:val="20"/>
        </w:rPr>
        <w:t xml:space="preserve">for the credit in 2017, which is slightly lower than the 131 </w:t>
      </w:r>
      <w:r w:rsidRPr="00EB4838">
        <w:rPr>
          <w:rFonts w:asciiTheme="majorHAnsi" w:eastAsia="Times New Roman" w:hAnsiTheme="majorHAnsi" w:cs="Times New Roman"/>
          <w:i/>
          <w:sz w:val="20"/>
          <w:szCs w:val="20"/>
          <w:u w:val="single"/>
        </w:rPr>
        <w:t xml:space="preserve">claims </w:t>
      </w:r>
      <w:r w:rsidRPr="00EB4838">
        <w:rPr>
          <w:rFonts w:asciiTheme="majorHAnsi" w:eastAsiaTheme="majorEastAsia" w:hAnsiTheme="majorHAnsi" w:cstheme="majorBidi"/>
          <w:bCs/>
          <w:color w:val="000000" w:themeColor="text1"/>
          <w:sz w:val="20"/>
          <w:szCs w:val="20"/>
        </w:rPr>
        <w:t>reported in Table 2. There are two reasons for this difference besides the exclusion of insurance taxpayers in tables 3-4. First, for combined reporting corporate tax filers, the data sets for credits include only</w:t>
      </w:r>
      <w:r w:rsidRPr="00FE5C29">
        <w:rPr>
          <w:rFonts w:asciiTheme="majorHAnsi" w:eastAsia="Times New Roman" w:hAnsiTheme="majorHAnsi" w:cs="Times New Roman"/>
          <w:sz w:val="20"/>
          <w:szCs w:val="20"/>
        </w:rPr>
        <w:t xml:space="preserve"> </w:t>
      </w:r>
      <w:r w:rsidRPr="00EB4838">
        <w:rPr>
          <w:rFonts w:asciiTheme="majorHAnsi" w:eastAsiaTheme="majorEastAsia" w:hAnsiTheme="majorHAnsi" w:cstheme="majorBidi"/>
          <w:bCs/>
          <w:color w:val="000000" w:themeColor="text1"/>
          <w:sz w:val="20"/>
          <w:szCs w:val="20"/>
        </w:rPr>
        <w:t>the parent corporation’s identification number. So, we were not able to match with other data sets that include information on employees, NAICS codes, etc. at the subsidiary company level. Second, there were rare cases in which a claimant had more than one claim. For example, some taxpayers within a combined group</w:t>
      </w:r>
      <w:r>
        <w:rPr>
          <w:rFonts w:asciiTheme="majorHAnsi" w:eastAsiaTheme="majorEastAsia" w:hAnsiTheme="majorHAnsi" w:cstheme="majorBidi"/>
          <w:bCs/>
          <w:color w:val="000000" w:themeColor="text1"/>
          <w:sz w:val="20"/>
          <w:szCs w:val="20"/>
        </w:rPr>
        <w:t xml:space="preserve"> might </w:t>
      </w:r>
      <w:r w:rsidRPr="00EB4838">
        <w:rPr>
          <w:rFonts w:asciiTheme="majorHAnsi" w:eastAsiaTheme="majorEastAsia" w:hAnsiTheme="majorHAnsi" w:cstheme="majorBidi"/>
          <w:bCs/>
          <w:color w:val="000000" w:themeColor="text1"/>
          <w:sz w:val="20"/>
          <w:szCs w:val="20"/>
        </w:rPr>
        <w:t>have taken part of the available credit and shared the remainder with other members (all claims are counted under the name of the parent corporation).</w:t>
      </w:r>
    </w:p>
  </w:footnote>
  <w:footnote w:id="6">
    <w:p w14:paraId="04228A76" w14:textId="77777777" w:rsidR="00E97F6F" w:rsidRDefault="00E97F6F">
      <w:pPr>
        <w:pStyle w:val="FootnoteText"/>
      </w:pPr>
      <w:r>
        <w:rPr>
          <w:rStyle w:val="FootnoteReference"/>
        </w:rPr>
        <w:footnoteRef/>
      </w:r>
      <w:r>
        <w:t xml:space="preserve"> </w:t>
      </w:r>
      <w:hyperlink r:id="rId2" w:history="1">
        <w:r w:rsidRPr="005D74B4">
          <w:rPr>
            <w:rStyle w:val="Hyperlink"/>
          </w:rPr>
          <w:t>https://www.mass.gov/doc/edip-fy2020-annual-report/download</w:t>
        </w:r>
      </w:hyperlink>
    </w:p>
    <w:p w14:paraId="3C268864" w14:textId="77777777" w:rsidR="00E97F6F" w:rsidRDefault="00E97F6F">
      <w:pPr>
        <w:pStyle w:val="FootnoteText"/>
      </w:pPr>
    </w:p>
  </w:footnote>
  <w:footnote w:id="7">
    <w:p w14:paraId="2D4B2EA9" w14:textId="0857F151" w:rsidR="00E97F6F" w:rsidRDefault="00E97F6F" w:rsidP="00BF5CC0">
      <w:pPr>
        <w:pStyle w:val="FootnoteText"/>
      </w:pPr>
      <w:r>
        <w:rPr>
          <w:rStyle w:val="FootnoteReference"/>
        </w:rPr>
        <w:footnoteRef/>
      </w:r>
      <w:r>
        <w:t xml:space="preserve"> Regional Economic Models, Inc. is a recognized leader in economic analysis at the state level.  See their website for background information and further details </w:t>
      </w:r>
      <w:hyperlink r:id="rId3" w:history="1">
        <w:r w:rsidRPr="0047089A">
          <w:rPr>
            <w:rStyle w:val="Hyperlink"/>
          </w:rPr>
          <w:t>https://www.remi.com/</w:t>
        </w:r>
      </w:hyperlink>
    </w:p>
  </w:footnote>
  <w:footnote w:id="8">
    <w:p w14:paraId="3849C410" w14:textId="77777777" w:rsidR="00E97F6F" w:rsidRDefault="00E97F6F" w:rsidP="00BF5CC0">
      <w:pPr>
        <w:pStyle w:val="FootnoteText"/>
      </w:pPr>
      <w:r>
        <w:rPr>
          <w:rStyle w:val="FootnoteReference"/>
        </w:rPr>
        <w:footnoteRef/>
      </w:r>
      <w:r>
        <w:t xml:space="preserve"> Including both tax and non-tax revenues </w:t>
      </w:r>
      <w:bookmarkStart w:id="2" w:name="_Hlk54708176"/>
      <w:r>
        <w:t xml:space="preserve">but excluding the revenue loss reported in Table </w:t>
      </w:r>
      <w:bookmarkEnd w:id="2"/>
      <w:r>
        <w:t>1.</w:t>
      </w:r>
    </w:p>
  </w:footnote>
  <w:footnote w:id="9">
    <w:p w14:paraId="00F37C46" w14:textId="77777777" w:rsidR="00E97F6F" w:rsidRDefault="00E97F6F" w:rsidP="00464D5E">
      <w:pPr>
        <w:pStyle w:val="FootnoteText"/>
        <w:jc w:val="left"/>
      </w:pPr>
      <w:r>
        <w:rPr>
          <w:rStyle w:val="FootnoteReference"/>
        </w:rPr>
        <w:footnoteRef/>
      </w:r>
      <w:r>
        <w:t xml:space="preserve"> </w:t>
      </w:r>
      <w:r>
        <w:rPr>
          <w:rFonts w:asciiTheme="majorHAnsi" w:hAnsiTheme="majorHAnsi"/>
          <w:bCs/>
        </w:rPr>
        <w:t>S</w:t>
      </w:r>
      <w:r w:rsidRPr="0074390A">
        <w:rPr>
          <w:rFonts w:asciiTheme="majorHAnsi" w:hAnsiTheme="majorHAnsi"/>
          <w:bCs/>
        </w:rPr>
        <w:t xml:space="preserve">pending </w:t>
      </w:r>
      <w:r w:rsidRPr="0074390A">
        <w:rPr>
          <w:rFonts w:asciiTheme="majorHAnsi" w:eastAsiaTheme="majorEastAsia" w:hAnsiTheme="majorHAnsi" w:cstheme="majorBidi"/>
          <w:bCs/>
          <w:color w:val="000000" w:themeColor="text1"/>
        </w:rPr>
        <w:t xml:space="preserve">on a specific tax incentive means less spending on other expenditure </w:t>
      </w:r>
      <w:r>
        <w:rPr>
          <w:rFonts w:asciiTheme="majorHAnsi" w:eastAsiaTheme="majorEastAsia" w:hAnsiTheme="majorHAnsi" w:cstheme="majorBidi"/>
          <w:bCs/>
          <w:color w:val="000000" w:themeColor="text1"/>
        </w:rPr>
        <w:t xml:space="preserve">items </w:t>
      </w:r>
      <w:r w:rsidRPr="0074390A">
        <w:rPr>
          <w:rFonts w:asciiTheme="majorHAnsi" w:eastAsiaTheme="majorEastAsia" w:hAnsiTheme="majorHAnsi" w:cstheme="majorBidi"/>
          <w:bCs/>
          <w:color w:val="000000" w:themeColor="text1"/>
        </w:rPr>
        <w:t>for the Commonwealth under balanced budget requirement if there is no increase in state revenues. Reduced spending on other expenditure items means forgone benefits from th</w:t>
      </w:r>
      <w:r>
        <w:rPr>
          <w:rFonts w:asciiTheme="majorHAnsi" w:eastAsiaTheme="majorEastAsia" w:hAnsiTheme="majorHAnsi" w:cstheme="majorBidi"/>
          <w:bCs/>
          <w:color w:val="000000" w:themeColor="text1"/>
        </w:rPr>
        <w:t>o</w:t>
      </w:r>
      <w:r w:rsidRPr="0074390A">
        <w:rPr>
          <w:rFonts w:asciiTheme="majorHAnsi" w:eastAsiaTheme="majorEastAsia" w:hAnsiTheme="majorHAnsi" w:cstheme="majorBidi"/>
          <w:bCs/>
          <w:color w:val="000000" w:themeColor="text1"/>
        </w:rPr>
        <w:t>se items. This is an opportunity cost to the Commonwealth</w:t>
      </w:r>
      <w:r>
        <w:rPr>
          <w:rFonts w:asciiTheme="majorHAnsi" w:eastAsiaTheme="majorEastAsia" w:hAnsiTheme="majorHAnsi" w:cstheme="majorBidi"/>
          <w:bCs/>
          <w:color w:val="000000" w:themeColor="text1"/>
        </w:rPr>
        <w:t>, which, more specifically, is borne by the Massachusetts residents or businesses who benefit from those expenditure items.</w:t>
      </w:r>
    </w:p>
  </w:footnote>
  <w:footnote w:id="10">
    <w:p w14:paraId="17F33078" w14:textId="77777777" w:rsidR="00E97F6F" w:rsidRDefault="00E97F6F" w:rsidP="00464D5E">
      <w:pPr>
        <w:pStyle w:val="FootnoteText"/>
        <w:jc w:val="left"/>
      </w:pPr>
      <w:r>
        <w:rPr>
          <w:rStyle w:val="FootnoteReference"/>
        </w:rPr>
        <w:footnoteRef/>
      </w:r>
      <w:r>
        <w:t xml:space="preserve"> For an </w:t>
      </w:r>
      <w:r>
        <w:rPr>
          <w:rFonts w:asciiTheme="majorHAnsi" w:hAnsiTheme="majorHAnsi"/>
        </w:rPr>
        <w:t>illustration of “Multiplier Effect”, s</w:t>
      </w:r>
      <w:r>
        <w:t xml:space="preserve">ee </w:t>
      </w:r>
      <w:r>
        <w:rPr>
          <w:rFonts w:asciiTheme="majorHAnsi" w:hAnsiTheme="majorHAnsi"/>
        </w:rPr>
        <w:t xml:space="preserve">Slide 4 of: </w:t>
      </w:r>
      <w:hyperlink r:id="rId4" w:history="1">
        <w:r>
          <w:rPr>
            <w:rStyle w:val="Hyperlink"/>
            <w:rFonts w:asciiTheme="majorHAnsi" w:hAnsiTheme="majorHAnsi"/>
          </w:rPr>
          <w:t>https://www.ilw.com/seminars/JohnNeillCitation.pdf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019A5" w14:textId="77777777" w:rsidR="00E97F6F" w:rsidRDefault="00E97F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4810616"/>
      <w:docPartObj>
        <w:docPartGallery w:val="Watermarks"/>
        <w:docPartUnique/>
      </w:docPartObj>
    </w:sdtPr>
    <w:sdtContent>
      <w:p w14:paraId="2762F267" w14:textId="77777777" w:rsidR="00E97F6F" w:rsidRDefault="00E97F6F">
        <w:pPr>
          <w:pStyle w:val="Header"/>
        </w:pPr>
        <w:r>
          <w:rPr>
            <w:noProof/>
          </w:rPr>
          <w:pict w14:anchorId="09910C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B0C58" w14:textId="77777777" w:rsidR="00E97F6F" w:rsidRDefault="00E97F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82913"/>
    <w:multiLevelType w:val="hybridMultilevel"/>
    <w:tmpl w:val="0D1C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DE6CED"/>
    <w:multiLevelType w:val="hybridMultilevel"/>
    <w:tmpl w:val="1408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DF1DB1"/>
    <w:multiLevelType w:val="hybridMultilevel"/>
    <w:tmpl w:val="9EAE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FA298F"/>
    <w:multiLevelType w:val="hybridMultilevel"/>
    <w:tmpl w:val="14E60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91580B"/>
    <w:multiLevelType w:val="hybridMultilevel"/>
    <w:tmpl w:val="AC84D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7149C6"/>
    <w:multiLevelType w:val="hybridMultilevel"/>
    <w:tmpl w:val="E2C6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6F3F"/>
    <w:rsid w:val="0000348E"/>
    <w:rsid w:val="00003921"/>
    <w:rsid w:val="0000521F"/>
    <w:rsid w:val="00005DBC"/>
    <w:rsid w:val="0000728B"/>
    <w:rsid w:val="0001358F"/>
    <w:rsid w:val="00020747"/>
    <w:rsid w:val="00025E21"/>
    <w:rsid w:val="00027D90"/>
    <w:rsid w:val="000329E5"/>
    <w:rsid w:val="00046C6A"/>
    <w:rsid w:val="00051630"/>
    <w:rsid w:val="00056FF1"/>
    <w:rsid w:val="00057C76"/>
    <w:rsid w:val="00061307"/>
    <w:rsid w:val="0006569E"/>
    <w:rsid w:val="00066F7A"/>
    <w:rsid w:val="0007196C"/>
    <w:rsid w:val="00071E27"/>
    <w:rsid w:val="00075494"/>
    <w:rsid w:val="000769B1"/>
    <w:rsid w:val="000812EB"/>
    <w:rsid w:val="00097E65"/>
    <w:rsid w:val="000A340E"/>
    <w:rsid w:val="000B2214"/>
    <w:rsid w:val="000C1459"/>
    <w:rsid w:val="000C325E"/>
    <w:rsid w:val="000C4A55"/>
    <w:rsid w:val="000C56D9"/>
    <w:rsid w:val="000D199E"/>
    <w:rsid w:val="000D2885"/>
    <w:rsid w:val="000D76C6"/>
    <w:rsid w:val="000E5721"/>
    <w:rsid w:val="000E5727"/>
    <w:rsid w:val="000E585A"/>
    <w:rsid w:val="000F2E6D"/>
    <w:rsid w:val="000F3809"/>
    <w:rsid w:val="00102C7F"/>
    <w:rsid w:val="001051CB"/>
    <w:rsid w:val="001076D7"/>
    <w:rsid w:val="00107835"/>
    <w:rsid w:val="00110E98"/>
    <w:rsid w:val="00111A6E"/>
    <w:rsid w:val="001161AE"/>
    <w:rsid w:val="00120C56"/>
    <w:rsid w:val="00122D60"/>
    <w:rsid w:val="00124E6C"/>
    <w:rsid w:val="00125676"/>
    <w:rsid w:val="001262F8"/>
    <w:rsid w:val="00132CFA"/>
    <w:rsid w:val="00133EC2"/>
    <w:rsid w:val="001365EE"/>
    <w:rsid w:val="00141566"/>
    <w:rsid w:val="00142A9D"/>
    <w:rsid w:val="001603BF"/>
    <w:rsid w:val="00160B4C"/>
    <w:rsid w:val="00161B6E"/>
    <w:rsid w:val="00161F98"/>
    <w:rsid w:val="00162DCE"/>
    <w:rsid w:val="001649EF"/>
    <w:rsid w:val="001709AD"/>
    <w:rsid w:val="00172E92"/>
    <w:rsid w:val="00182CE4"/>
    <w:rsid w:val="00183ABF"/>
    <w:rsid w:val="00194C24"/>
    <w:rsid w:val="001A0E8B"/>
    <w:rsid w:val="001A5433"/>
    <w:rsid w:val="001A55D9"/>
    <w:rsid w:val="001A75E6"/>
    <w:rsid w:val="001B742F"/>
    <w:rsid w:val="001C2F30"/>
    <w:rsid w:val="001C57BC"/>
    <w:rsid w:val="001C5BF1"/>
    <w:rsid w:val="001D3B0A"/>
    <w:rsid w:val="001D730E"/>
    <w:rsid w:val="001D755F"/>
    <w:rsid w:val="001E1B7C"/>
    <w:rsid w:val="001E323D"/>
    <w:rsid w:val="001E4D66"/>
    <w:rsid w:val="001F10C8"/>
    <w:rsid w:val="001F5019"/>
    <w:rsid w:val="00200CFC"/>
    <w:rsid w:val="00201CAC"/>
    <w:rsid w:val="00202D75"/>
    <w:rsid w:val="00204EAF"/>
    <w:rsid w:val="00211247"/>
    <w:rsid w:val="002116BE"/>
    <w:rsid w:val="00216383"/>
    <w:rsid w:val="00217223"/>
    <w:rsid w:val="00224196"/>
    <w:rsid w:val="00224377"/>
    <w:rsid w:val="0022648D"/>
    <w:rsid w:val="002321AB"/>
    <w:rsid w:val="002324C6"/>
    <w:rsid w:val="002331AB"/>
    <w:rsid w:val="00235025"/>
    <w:rsid w:val="00237DB3"/>
    <w:rsid w:val="00245190"/>
    <w:rsid w:val="00245D07"/>
    <w:rsid w:val="002464A6"/>
    <w:rsid w:val="00246C1C"/>
    <w:rsid w:val="0024758F"/>
    <w:rsid w:val="00247EFA"/>
    <w:rsid w:val="00251C57"/>
    <w:rsid w:val="002545F7"/>
    <w:rsid w:val="00254A07"/>
    <w:rsid w:val="00262300"/>
    <w:rsid w:val="00263F25"/>
    <w:rsid w:val="0026403C"/>
    <w:rsid w:val="002768F2"/>
    <w:rsid w:val="00276AF8"/>
    <w:rsid w:val="002821D0"/>
    <w:rsid w:val="00282EBF"/>
    <w:rsid w:val="00285CCE"/>
    <w:rsid w:val="0028699E"/>
    <w:rsid w:val="00287334"/>
    <w:rsid w:val="00290F83"/>
    <w:rsid w:val="00291074"/>
    <w:rsid w:val="002970B4"/>
    <w:rsid w:val="002A322D"/>
    <w:rsid w:val="002A493F"/>
    <w:rsid w:val="002A54D6"/>
    <w:rsid w:val="002A5A5E"/>
    <w:rsid w:val="002A71E8"/>
    <w:rsid w:val="002A7E70"/>
    <w:rsid w:val="002C0682"/>
    <w:rsid w:val="002C0A9B"/>
    <w:rsid w:val="002C395F"/>
    <w:rsid w:val="002C7BCD"/>
    <w:rsid w:val="002D0038"/>
    <w:rsid w:val="002D06A3"/>
    <w:rsid w:val="002D1EB9"/>
    <w:rsid w:val="002D2DA4"/>
    <w:rsid w:val="002D74AE"/>
    <w:rsid w:val="002E06A0"/>
    <w:rsid w:val="002E2A66"/>
    <w:rsid w:val="002F10DB"/>
    <w:rsid w:val="002F3E67"/>
    <w:rsid w:val="002F5704"/>
    <w:rsid w:val="002F729B"/>
    <w:rsid w:val="00301C48"/>
    <w:rsid w:val="0030767A"/>
    <w:rsid w:val="003229C4"/>
    <w:rsid w:val="00323436"/>
    <w:rsid w:val="00325989"/>
    <w:rsid w:val="00327962"/>
    <w:rsid w:val="0033166C"/>
    <w:rsid w:val="00333F8E"/>
    <w:rsid w:val="003341DD"/>
    <w:rsid w:val="003345E1"/>
    <w:rsid w:val="00335414"/>
    <w:rsid w:val="003363F2"/>
    <w:rsid w:val="00341291"/>
    <w:rsid w:val="00344841"/>
    <w:rsid w:val="00345A08"/>
    <w:rsid w:val="0034612B"/>
    <w:rsid w:val="00346E78"/>
    <w:rsid w:val="003477E0"/>
    <w:rsid w:val="00347CCC"/>
    <w:rsid w:val="003511F5"/>
    <w:rsid w:val="0035248E"/>
    <w:rsid w:val="003524B0"/>
    <w:rsid w:val="00352D2E"/>
    <w:rsid w:val="00355122"/>
    <w:rsid w:val="00355A51"/>
    <w:rsid w:val="003621CB"/>
    <w:rsid w:val="00372558"/>
    <w:rsid w:val="0037260E"/>
    <w:rsid w:val="00380204"/>
    <w:rsid w:val="0038029B"/>
    <w:rsid w:val="00380D5D"/>
    <w:rsid w:val="003874D1"/>
    <w:rsid w:val="00394A4D"/>
    <w:rsid w:val="003A06BA"/>
    <w:rsid w:val="003A17CB"/>
    <w:rsid w:val="003C2141"/>
    <w:rsid w:val="003C593B"/>
    <w:rsid w:val="003C5E1F"/>
    <w:rsid w:val="003D5D33"/>
    <w:rsid w:val="003E1B4C"/>
    <w:rsid w:val="003E6FF1"/>
    <w:rsid w:val="003E71AD"/>
    <w:rsid w:val="003F11D7"/>
    <w:rsid w:val="003F4D94"/>
    <w:rsid w:val="00405D8B"/>
    <w:rsid w:val="00413D92"/>
    <w:rsid w:val="00415B66"/>
    <w:rsid w:val="004351B8"/>
    <w:rsid w:val="0044153B"/>
    <w:rsid w:val="00442AC4"/>
    <w:rsid w:val="0045127C"/>
    <w:rsid w:val="00452E30"/>
    <w:rsid w:val="00464D5E"/>
    <w:rsid w:val="004703D4"/>
    <w:rsid w:val="00472041"/>
    <w:rsid w:val="00472813"/>
    <w:rsid w:val="00472FB7"/>
    <w:rsid w:val="00474EF8"/>
    <w:rsid w:val="00475EE1"/>
    <w:rsid w:val="00476A73"/>
    <w:rsid w:val="00481E5A"/>
    <w:rsid w:val="00483BCE"/>
    <w:rsid w:val="00485FBB"/>
    <w:rsid w:val="00486F3F"/>
    <w:rsid w:val="004935C6"/>
    <w:rsid w:val="00493EFD"/>
    <w:rsid w:val="00494DA0"/>
    <w:rsid w:val="00494DA2"/>
    <w:rsid w:val="004A1129"/>
    <w:rsid w:val="004A28EA"/>
    <w:rsid w:val="004A3B69"/>
    <w:rsid w:val="004B0C01"/>
    <w:rsid w:val="004B1155"/>
    <w:rsid w:val="004B14D0"/>
    <w:rsid w:val="004B2539"/>
    <w:rsid w:val="004B47E7"/>
    <w:rsid w:val="004B63C5"/>
    <w:rsid w:val="004B65E5"/>
    <w:rsid w:val="004C0367"/>
    <w:rsid w:val="004C45A3"/>
    <w:rsid w:val="004C640E"/>
    <w:rsid w:val="004D090E"/>
    <w:rsid w:val="004D0A2B"/>
    <w:rsid w:val="004D2D08"/>
    <w:rsid w:val="004D484E"/>
    <w:rsid w:val="004D54CC"/>
    <w:rsid w:val="004D5750"/>
    <w:rsid w:val="004E45E7"/>
    <w:rsid w:val="004E589D"/>
    <w:rsid w:val="004E62A8"/>
    <w:rsid w:val="00502C64"/>
    <w:rsid w:val="00503DFA"/>
    <w:rsid w:val="00513E39"/>
    <w:rsid w:val="00514836"/>
    <w:rsid w:val="00515EE7"/>
    <w:rsid w:val="00516ACA"/>
    <w:rsid w:val="005172B4"/>
    <w:rsid w:val="00521224"/>
    <w:rsid w:val="00521F90"/>
    <w:rsid w:val="00525CCE"/>
    <w:rsid w:val="00540B04"/>
    <w:rsid w:val="00541B7B"/>
    <w:rsid w:val="00541E2B"/>
    <w:rsid w:val="005529C5"/>
    <w:rsid w:val="00552F11"/>
    <w:rsid w:val="005601BD"/>
    <w:rsid w:val="00565D22"/>
    <w:rsid w:val="00566737"/>
    <w:rsid w:val="00567B76"/>
    <w:rsid w:val="00567D60"/>
    <w:rsid w:val="00573E9C"/>
    <w:rsid w:val="00574E70"/>
    <w:rsid w:val="00574F64"/>
    <w:rsid w:val="00576773"/>
    <w:rsid w:val="00577CEC"/>
    <w:rsid w:val="005830AF"/>
    <w:rsid w:val="00592ED2"/>
    <w:rsid w:val="00593025"/>
    <w:rsid w:val="00594743"/>
    <w:rsid w:val="00595C30"/>
    <w:rsid w:val="005A0637"/>
    <w:rsid w:val="005A53F3"/>
    <w:rsid w:val="005B1BBE"/>
    <w:rsid w:val="005C05F3"/>
    <w:rsid w:val="005C1D1C"/>
    <w:rsid w:val="005C32EC"/>
    <w:rsid w:val="005C46F0"/>
    <w:rsid w:val="005C7BF0"/>
    <w:rsid w:val="005D09E2"/>
    <w:rsid w:val="005D2E25"/>
    <w:rsid w:val="005E09F2"/>
    <w:rsid w:val="005E16BC"/>
    <w:rsid w:val="005F51AE"/>
    <w:rsid w:val="006016F3"/>
    <w:rsid w:val="006052CD"/>
    <w:rsid w:val="00614A6B"/>
    <w:rsid w:val="006158C6"/>
    <w:rsid w:val="00617863"/>
    <w:rsid w:val="006225B5"/>
    <w:rsid w:val="0062370C"/>
    <w:rsid w:val="00641AE4"/>
    <w:rsid w:val="00642DF4"/>
    <w:rsid w:val="006434E2"/>
    <w:rsid w:val="006463C1"/>
    <w:rsid w:val="006514C7"/>
    <w:rsid w:val="00664139"/>
    <w:rsid w:val="00665089"/>
    <w:rsid w:val="006656F4"/>
    <w:rsid w:val="00672067"/>
    <w:rsid w:val="00686643"/>
    <w:rsid w:val="006A0568"/>
    <w:rsid w:val="006A13F9"/>
    <w:rsid w:val="006A209C"/>
    <w:rsid w:val="006A400E"/>
    <w:rsid w:val="006A5CDA"/>
    <w:rsid w:val="006A7767"/>
    <w:rsid w:val="006C1CC7"/>
    <w:rsid w:val="006C37E7"/>
    <w:rsid w:val="006C4464"/>
    <w:rsid w:val="006E1C25"/>
    <w:rsid w:val="006E2933"/>
    <w:rsid w:val="006E39CA"/>
    <w:rsid w:val="006F47A8"/>
    <w:rsid w:val="006F4DB1"/>
    <w:rsid w:val="006F59FB"/>
    <w:rsid w:val="007005A4"/>
    <w:rsid w:val="0070316B"/>
    <w:rsid w:val="007067DD"/>
    <w:rsid w:val="007140AE"/>
    <w:rsid w:val="007150E2"/>
    <w:rsid w:val="00717F1B"/>
    <w:rsid w:val="00723D0E"/>
    <w:rsid w:val="007316E5"/>
    <w:rsid w:val="007361C4"/>
    <w:rsid w:val="0074239C"/>
    <w:rsid w:val="00746156"/>
    <w:rsid w:val="00750977"/>
    <w:rsid w:val="007553B1"/>
    <w:rsid w:val="00755F64"/>
    <w:rsid w:val="00757024"/>
    <w:rsid w:val="00761B25"/>
    <w:rsid w:val="00765E49"/>
    <w:rsid w:val="0077041B"/>
    <w:rsid w:val="00773782"/>
    <w:rsid w:val="00777F33"/>
    <w:rsid w:val="00783EC2"/>
    <w:rsid w:val="007864EA"/>
    <w:rsid w:val="007929E2"/>
    <w:rsid w:val="00793966"/>
    <w:rsid w:val="00793E99"/>
    <w:rsid w:val="007A0174"/>
    <w:rsid w:val="007A3349"/>
    <w:rsid w:val="007A3763"/>
    <w:rsid w:val="007A6578"/>
    <w:rsid w:val="007B3B56"/>
    <w:rsid w:val="007B43C2"/>
    <w:rsid w:val="007B6263"/>
    <w:rsid w:val="007B7355"/>
    <w:rsid w:val="007B7A3F"/>
    <w:rsid w:val="007C3ABD"/>
    <w:rsid w:val="007D054D"/>
    <w:rsid w:val="007D19CE"/>
    <w:rsid w:val="007D2066"/>
    <w:rsid w:val="007F1706"/>
    <w:rsid w:val="007F3C04"/>
    <w:rsid w:val="007F678F"/>
    <w:rsid w:val="007F6EAF"/>
    <w:rsid w:val="00801D55"/>
    <w:rsid w:val="00807A9A"/>
    <w:rsid w:val="00807AED"/>
    <w:rsid w:val="008120FB"/>
    <w:rsid w:val="0081214F"/>
    <w:rsid w:val="00812F0B"/>
    <w:rsid w:val="00813993"/>
    <w:rsid w:val="00814569"/>
    <w:rsid w:val="00816A97"/>
    <w:rsid w:val="00817283"/>
    <w:rsid w:val="0082109D"/>
    <w:rsid w:val="00824B2A"/>
    <w:rsid w:val="0082612B"/>
    <w:rsid w:val="008302F8"/>
    <w:rsid w:val="00831C73"/>
    <w:rsid w:val="008335B1"/>
    <w:rsid w:val="008337C2"/>
    <w:rsid w:val="00833CAC"/>
    <w:rsid w:val="00835035"/>
    <w:rsid w:val="00835551"/>
    <w:rsid w:val="00836435"/>
    <w:rsid w:val="00841C1D"/>
    <w:rsid w:val="00843782"/>
    <w:rsid w:val="00843906"/>
    <w:rsid w:val="008516DD"/>
    <w:rsid w:val="00852576"/>
    <w:rsid w:val="008547F9"/>
    <w:rsid w:val="00865393"/>
    <w:rsid w:val="0087062C"/>
    <w:rsid w:val="00873103"/>
    <w:rsid w:val="00881147"/>
    <w:rsid w:val="008815D9"/>
    <w:rsid w:val="008826CA"/>
    <w:rsid w:val="00884763"/>
    <w:rsid w:val="00885B51"/>
    <w:rsid w:val="008871C0"/>
    <w:rsid w:val="00890E1D"/>
    <w:rsid w:val="00894F36"/>
    <w:rsid w:val="008A2C69"/>
    <w:rsid w:val="008A65BB"/>
    <w:rsid w:val="008B1E0A"/>
    <w:rsid w:val="008C2341"/>
    <w:rsid w:val="008C31B0"/>
    <w:rsid w:val="008C52E3"/>
    <w:rsid w:val="008C58EC"/>
    <w:rsid w:val="008C72F1"/>
    <w:rsid w:val="008D160C"/>
    <w:rsid w:val="008D5935"/>
    <w:rsid w:val="008D5DB9"/>
    <w:rsid w:val="008D5E4C"/>
    <w:rsid w:val="008D7DF3"/>
    <w:rsid w:val="008F0246"/>
    <w:rsid w:val="008F415B"/>
    <w:rsid w:val="00904FB3"/>
    <w:rsid w:val="009050BF"/>
    <w:rsid w:val="00907C7E"/>
    <w:rsid w:val="00911DA4"/>
    <w:rsid w:val="00913C03"/>
    <w:rsid w:val="00916A73"/>
    <w:rsid w:val="0092138C"/>
    <w:rsid w:val="00921525"/>
    <w:rsid w:val="009223DE"/>
    <w:rsid w:val="00923D4D"/>
    <w:rsid w:val="00926D08"/>
    <w:rsid w:val="00931FFB"/>
    <w:rsid w:val="0093545B"/>
    <w:rsid w:val="00936945"/>
    <w:rsid w:val="00945574"/>
    <w:rsid w:val="00946B43"/>
    <w:rsid w:val="0094717D"/>
    <w:rsid w:val="0095660D"/>
    <w:rsid w:val="009615A5"/>
    <w:rsid w:val="00964EC0"/>
    <w:rsid w:val="00972D2B"/>
    <w:rsid w:val="00973DD5"/>
    <w:rsid w:val="009745D6"/>
    <w:rsid w:val="009757C8"/>
    <w:rsid w:val="00976AE6"/>
    <w:rsid w:val="0098007E"/>
    <w:rsid w:val="0099370F"/>
    <w:rsid w:val="00995D40"/>
    <w:rsid w:val="009A01FE"/>
    <w:rsid w:val="009A1609"/>
    <w:rsid w:val="009A4A09"/>
    <w:rsid w:val="009A7DD6"/>
    <w:rsid w:val="009B174F"/>
    <w:rsid w:val="009B5412"/>
    <w:rsid w:val="009C29C4"/>
    <w:rsid w:val="009C3ABA"/>
    <w:rsid w:val="009C7843"/>
    <w:rsid w:val="009D005A"/>
    <w:rsid w:val="009E0C28"/>
    <w:rsid w:val="009E6DA8"/>
    <w:rsid w:val="009F73B9"/>
    <w:rsid w:val="00A0203F"/>
    <w:rsid w:val="00A031A4"/>
    <w:rsid w:val="00A05944"/>
    <w:rsid w:val="00A05EF1"/>
    <w:rsid w:val="00A07796"/>
    <w:rsid w:val="00A15A03"/>
    <w:rsid w:val="00A16E84"/>
    <w:rsid w:val="00A2247C"/>
    <w:rsid w:val="00A27712"/>
    <w:rsid w:val="00A347D5"/>
    <w:rsid w:val="00A36D2C"/>
    <w:rsid w:val="00A41CA9"/>
    <w:rsid w:val="00A42160"/>
    <w:rsid w:val="00A42717"/>
    <w:rsid w:val="00A4347F"/>
    <w:rsid w:val="00A47FC9"/>
    <w:rsid w:val="00A50ACA"/>
    <w:rsid w:val="00A57B00"/>
    <w:rsid w:val="00A6097D"/>
    <w:rsid w:val="00A63F81"/>
    <w:rsid w:val="00A6668F"/>
    <w:rsid w:val="00A67BCA"/>
    <w:rsid w:val="00A721CD"/>
    <w:rsid w:val="00A846CA"/>
    <w:rsid w:val="00A87287"/>
    <w:rsid w:val="00A94411"/>
    <w:rsid w:val="00A94CCD"/>
    <w:rsid w:val="00AA1E8F"/>
    <w:rsid w:val="00AA2C6E"/>
    <w:rsid w:val="00AA7C28"/>
    <w:rsid w:val="00AB30E6"/>
    <w:rsid w:val="00AB4F17"/>
    <w:rsid w:val="00AB62A3"/>
    <w:rsid w:val="00AC2429"/>
    <w:rsid w:val="00AD2A39"/>
    <w:rsid w:val="00AD3413"/>
    <w:rsid w:val="00AE0D2D"/>
    <w:rsid w:val="00AE1BB6"/>
    <w:rsid w:val="00AE577C"/>
    <w:rsid w:val="00B05D95"/>
    <w:rsid w:val="00B137EC"/>
    <w:rsid w:val="00B204AF"/>
    <w:rsid w:val="00B206A1"/>
    <w:rsid w:val="00B22F9D"/>
    <w:rsid w:val="00B24687"/>
    <w:rsid w:val="00B32F73"/>
    <w:rsid w:val="00B33C4D"/>
    <w:rsid w:val="00B3786D"/>
    <w:rsid w:val="00B37DB1"/>
    <w:rsid w:val="00B45460"/>
    <w:rsid w:val="00B50B78"/>
    <w:rsid w:val="00B559EF"/>
    <w:rsid w:val="00B7173C"/>
    <w:rsid w:val="00B7245D"/>
    <w:rsid w:val="00B76904"/>
    <w:rsid w:val="00B76A14"/>
    <w:rsid w:val="00B77D67"/>
    <w:rsid w:val="00B80C28"/>
    <w:rsid w:val="00B84959"/>
    <w:rsid w:val="00B97D73"/>
    <w:rsid w:val="00BA5BA1"/>
    <w:rsid w:val="00BB0905"/>
    <w:rsid w:val="00BB292C"/>
    <w:rsid w:val="00BB422C"/>
    <w:rsid w:val="00BB4FFA"/>
    <w:rsid w:val="00BC1FF4"/>
    <w:rsid w:val="00BC6806"/>
    <w:rsid w:val="00BD3224"/>
    <w:rsid w:val="00BE004D"/>
    <w:rsid w:val="00BE01E6"/>
    <w:rsid w:val="00BE463A"/>
    <w:rsid w:val="00BF0AF4"/>
    <w:rsid w:val="00BF5627"/>
    <w:rsid w:val="00BF5CC0"/>
    <w:rsid w:val="00C03ABA"/>
    <w:rsid w:val="00C0671F"/>
    <w:rsid w:val="00C07688"/>
    <w:rsid w:val="00C1340F"/>
    <w:rsid w:val="00C137A8"/>
    <w:rsid w:val="00C24414"/>
    <w:rsid w:val="00C25344"/>
    <w:rsid w:val="00C25C82"/>
    <w:rsid w:val="00C25C84"/>
    <w:rsid w:val="00C41169"/>
    <w:rsid w:val="00C41361"/>
    <w:rsid w:val="00C5105D"/>
    <w:rsid w:val="00C518D8"/>
    <w:rsid w:val="00C52171"/>
    <w:rsid w:val="00C546A9"/>
    <w:rsid w:val="00C55640"/>
    <w:rsid w:val="00C5792D"/>
    <w:rsid w:val="00C606D9"/>
    <w:rsid w:val="00C6124D"/>
    <w:rsid w:val="00C673A1"/>
    <w:rsid w:val="00C70336"/>
    <w:rsid w:val="00C75264"/>
    <w:rsid w:val="00C80618"/>
    <w:rsid w:val="00C90C0D"/>
    <w:rsid w:val="00C94973"/>
    <w:rsid w:val="00C954DD"/>
    <w:rsid w:val="00C9560F"/>
    <w:rsid w:val="00CA151E"/>
    <w:rsid w:val="00CA52A2"/>
    <w:rsid w:val="00CA77A5"/>
    <w:rsid w:val="00CB283B"/>
    <w:rsid w:val="00CB324C"/>
    <w:rsid w:val="00CB5BC1"/>
    <w:rsid w:val="00CB6D45"/>
    <w:rsid w:val="00CC05CE"/>
    <w:rsid w:val="00CC10A9"/>
    <w:rsid w:val="00CC1660"/>
    <w:rsid w:val="00CC208F"/>
    <w:rsid w:val="00CC6236"/>
    <w:rsid w:val="00CC6CBA"/>
    <w:rsid w:val="00CD1C4C"/>
    <w:rsid w:val="00CD592A"/>
    <w:rsid w:val="00CD6275"/>
    <w:rsid w:val="00CD65DD"/>
    <w:rsid w:val="00CD72B3"/>
    <w:rsid w:val="00CE3D2C"/>
    <w:rsid w:val="00CE3E48"/>
    <w:rsid w:val="00CF1C50"/>
    <w:rsid w:val="00CF41DD"/>
    <w:rsid w:val="00CF51F0"/>
    <w:rsid w:val="00CF6F1A"/>
    <w:rsid w:val="00D00FAB"/>
    <w:rsid w:val="00D01E91"/>
    <w:rsid w:val="00D02F7D"/>
    <w:rsid w:val="00D03EF5"/>
    <w:rsid w:val="00D12302"/>
    <w:rsid w:val="00D15CEE"/>
    <w:rsid w:val="00D16B85"/>
    <w:rsid w:val="00D245D0"/>
    <w:rsid w:val="00D27042"/>
    <w:rsid w:val="00D363DB"/>
    <w:rsid w:val="00D4431A"/>
    <w:rsid w:val="00D44536"/>
    <w:rsid w:val="00D51474"/>
    <w:rsid w:val="00D60448"/>
    <w:rsid w:val="00D64DDF"/>
    <w:rsid w:val="00D7342C"/>
    <w:rsid w:val="00D73F36"/>
    <w:rsid w:val="00D73FA1"/>
    <w:rsid w:val="00D75057"/>
    <w:rsid w:val="00D803A0"/>
    <w:rsid w:val="00D80D2E"/>
    <w:rsid w:val="00D80E47"/>
    <w:rsid w:val="00D867D0"/>
    <w:rsid w:val="00D86C75"/>
    <w:rsid w:val="00D877BC"/>
    <w:rsid w:val="00D95EF7"/>
    <w:rsid w:val="00D96904"/>
    <w:rsid w:val="00DB4C34"/>
    <w:rsid w:val="00DC380E"/>
    <w:rsid w:val="00DD1DA4"/>
    <w:rsid w:val="00DD647F"/>
    <w:rsid w:val="00DE0DA2"/>
    <w:rsid w:val="00DE2C15"/>
    <w:rsid w:val="00DE5752"/>
    <w:rsid w:val="00DE60D6"/>
    <w:rsid w:val="00DF07BE"/>
    <w:rsid w:val="00DF489C"/>
    <w:rsid w:val="00DF77BE"/>
    <w:rsid w:val="00E01CEE"/>
    <w:rsid w:val="00E02EC5"/>
    <w:rsid w:val="00E030AB"/>
    <w:rsid w:val="00E032C0"/>
    <w:rsid w:val="00E13487"/>
    <w:rsid w:val="00E14127"/>
    <w:rsid w:val="00E236BA"/>
    <w:rsid w:val="00E367E3"/>
    <w:rsid w:val="00E41F84"/>
    <w:rsid w:val="00E43314"/>
    <w:rsid w:val="00E43A62"/>
    <w:rsid w:val="00E47F7C"/>
    <w:rsid w:val="00E50DBC"/>
    <w:rsid w:val="00E550BE"/>
    <w:rsid w:val="00E636FA"/>
    <w:rsid w:val="00E64284"/>
    <w:rsid w:val="00E645CD"/>
    <w:rsid w:val="00E671DE"/>
    <w:rsid w:val="00E67D9B"/>
    <w:rsid w:val="00E7080F"/>
    <w:rsid w:val="00E869E5"/>
    <w:rsid w:val="00E86FB6"/>
    <w:rsid w:val="00E92C1D"/>
    <w:rsid w:val="00E93B61"/>
    <w:rsid w:val="00E94237"/>
    <w:rsid w:val="00E945C4"/>
    <w:rsid w:val="00E97F6F"/>
    <w:rsid w:val="00EA320A"/>
    <w:rsid w:val="00EB40E2"/>
    <w:rsid w:val="00EB428F"/>
    <w:rsid w:val="00EB4838"/>
    <w:rsid w:val="00EB5975"/>
    <w:rsid w:val="00EC0BEC"/>
    <w:rsid w:val="00EC2DE2"/>
    <w:rsid w:val="00EC39A3"/>
    <w:rsid w:val="00EC4649"/>
    <w:rsid w:val="00EC52B1"/>
    <w:rsid w:val="00ED2481"/>
    <w:rsid w:val="00ED3285"/>
    <w:rsid w:val="00ED4589"/>
    <w:rsid w:val="00EE1C7B"/>
    <w:rsid w:val="00EE724F"/>
    <w:rsid w:val="00EF4AAA"/>
    <w:rsid w:val="00EF5AFB"/>
    <w:rsid w:val="00EF65C3"/>
    <w:rsid w:val="00F0479B"/>
    <w:rsid w:val="00F065BC"/>
    <w:rsid w:val="00F076B1"/>
    <w:rsid w:val="00F108F4"/>
    <w:rsid w:val="00F17885"/>
    <w:rsid w:val="00F22DAA"/>
    <w:rsid w:val="00F22DD3"/>
    <w:rsid w:val="00F24AE3"/>
    <w:rsid w:val="00F31371"/>
    <w:rsid w:val="00F3137D"/>
    <w:rsid w:val="00F327EC"/>
    <w:rsid w:val="00F408CA"/>
    <w:rsid w:val="00F421F7"/>
    <w:rsid w:val="00F43F3D"/>
    <w:rsid w:val="00F452DE"/>
    <w:rsid w:val="00F4662F"/>
    <w:rsid w:val="00F4684C"/>
    <w:rsid w:val="00F51224"/>
    <w:rsid w:val="00F63BE1"/>
    <w:rsid w:val="00F65690"/>
    <w:rsid w:val="00F7280D"/>
    <w:rsid w:val="00F72D61"/>
    <w:rsid w:val="00F733B2"/>
    <w:rsid w:val="00F7586D"/>
    <w:rsid w:val="00F75B7F"/>
    <w:rsid w:val="00F76ECC"/>
    <w:rsid w:val="00F82F4E"/>
    <w:rsid w:val="00FA05A8"/>
    <w:rsid w:val="00FA48AF"/>
    <w:rsid w:val="00FA779E"/>
    <w:rsid w:val="00FC20F9"/>
    <w:rsid w:val="00FC2C82"/>
    <w:rsid w:val="00FC541F"/>
    <w:rsid w:val="00FC5ED4"/>
    <w:rsid w:val="00FC679C"/>
    <w:rsid w:val="00FC7795"/>
    <w:rsid w:val="00FD001B"/>
    <w:rsid w:val="00FD0EF5"/>
    <w:rsid w:val="00FD2F40"/>
    <w:rsid w:val="00FD3D7D"/>
    <w:rsid w:val="00FD4A01"/>
    <w:rsid w:val="00FD50E4"/>
    <w:rsid w:val="00FE0300"/>
    <w:rsid w:val="00FE2F18"/>
    <w:rsid w:val="00FE338B"/>
    <w:rsid w:val="00FE4DE2"/>
    <w:rsid w:val="00FE4E0E"/>
    <w:rsid w:val="00FE5C29"/>
    <w:rsid w:val="00FF2F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F7E6A8"/>
  <w15:docId w15:val="{FBAC433F-E520-4D3B-9C1F-C6B40B6F1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054D"/>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841"/>
    <w:rPr>
      <w:rFonts w:ascii="Tahoma" w:hAnsi="Tahoma" w:cs="Tahoma"/>
      <w:sz w:val="16"/>
      <w:szCs w:val="16"/>
    </w:rPr>
  </w:style>
  <w:style w:type="table" w:styleId="TableGrid">
    <w:name w:val="Table Grid"/>
    <w:basedOn w:val="TableNormal"/>
    <w:uiPriority w:val="59"/>
    <w:rsid w:val="00A8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846C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A846C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2">
    <w:name w:val="Medium Shading 2"/>
    <w:basedOn w:val="TableNormal"/>
    <w:uiPriority w:val="64"/>
    <w:rsid w:val="00A846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A846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846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846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2">
    <w:name w:val="Medium List 1 Accent 2"/>
    <w:basedOn w:val="TableNormal"/>
    <w:uiPriority w:val="65"/>
    <w:rsid w:val="00A846CA"/>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paragraph" w:customStyle="1" w:styleId="Default">
    <w:name w:val="Default"/>
    <w:rsid w:val="00245D07"/>
    <w:pPr>
      <w:autoSpaceDE w:val="0"/>
      <w:autoSpaceDN w:val="0"/>
      <w:adjustRightInd w:val="0"/>
      <w:spacing w:after="0" w:line="240" w:lineRule="auto"/>
    </w:pPr>
    <w:rPr>
      <w:rFonts w:ascii="Sabon LT Std" w:hAnsi="Sabon LT Std" w:cs="Sabon LT Std"/>
      <w:color w:val="000000"/>
      <w:sz w:val="24"/>
      <w:szCs w:val="24"/>
    </w:rPr>
  </w:style>
  <w:style w:type="paragraph" w:styleId="FootnoteText">
    <w:name w:val="footnote text"/>
    <w:basedOn w:val="Normal"/>
    <w:link w:val="FootnoteTextChar"/>
    <w:semiHidden/>
    <w:rsid w:val="00110E98"/>
    <w:pPr>
      <w:tabs>
        <w:tab w:val="left" w:pos="360"/>
        <w:tab w:val="left" w:pos="720"/>
        <w:tab w:val="left" w:pos="1080"/>
        <w:tab w:val="left" w:pos="1440"/>
        <w:tab w:val="right" w:pos="9360"/>
      </w:tabs>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10E98"/>
    <w:rPr>
      <w:rFonts w:ascii="Times New Roman" w:eastAsia="Times New Roman" w:hAnsi="Times New Roman" w:cs="Times New Roman"/>
      <w:sz w:val="20"/>
      <w:szCs w:val="20"/>
    </w:rPr>
  </w:style>
  <w:style w:type="character" w:styleId="FootnoteReference">
    <w:name w:val="footnote reference"/>
    <w:semiHidden/>
    <w:rsid w:val="00110E98"/>
    <w:rPr>
      <w:rFonts w:cs="Times New Roman"/>
      <w:vertAlign w:val="superscript"/>
    </w:rPr>
  </w:style>
  <w:style w:type="character" w:styleId="Hyperlink">
    <w:name w:val="Hyperlink"/>
    <w:rsid w:val="00110E98"/>
    <w:rPr>
      <w:rFonts w:cs="Times New Roman"/>
      <w:color w:val="0000FF"/>
      <w:u w:val="single"/>
    </w:rPr>
  </w:style>
  <w:style w:type="paragraph" w:styleId="ListParagraph">
    <w:name w:val="List Paragraph"/>
    <w:basedOn w:val="Normal"/>
    <w:uiPriority w:val="34"/>
    <w:qFormat/>
    <w:rsid w:val="00D80D2E"/>
    <w:pPr>
      <w:ind w:left="720"/>
      <w:contextualSpacing/>
    </w:pPr>
  </w:style>
  <w:style w:type="paragraph" w:styleId="Header">
    <w:name w:val="header"/>
    <w:basedOn w:val="Normal"/>
    <w:link w:val="HeaderChar"/>
    <w:uiPriority w:val="99"/>
    <w:unhideWhenUsed/>
    <w:rsid w:val="00B20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4AF"/>
  </w:style>
  <w:style w:type="paragraph" w:styleId="Footer">
    <w:name w:val="footer"/>
    <w:basedOn w:val="Normal"/>
    <w:link w:val="FooterChar"/>
    <w:uiPriority w:val="99"/>
    <w:unhideWhenUsed/>
    <w:rsid w:val="00B20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4AF"/>
  </w:style>
  <w:style w:type="character" w:styleId="CommentReference">
    <w:name w:val="annotation reference"/>
    <w:basedOn w:val="DefaultParagraphFont"/>
    <w:uiPriority w:val="99"/>
    <w:semiHidden/>
    <w:unhideWhenUsed/>
    <w:rsid w:val="00A07796"/>
    <w:rPr>
      <w:sz w:val="16"/>
      <w:szCs w:val="16"/>
    </w:rPr>
  </w:style>
  <w:style w:type="paragraph" w:styleId="CommentText">
    <w:name w:val="annotation text"/>
    <w:basedOn w:val="Normal"/>
    <w:link w:val="CommentTextChar"/>
    <w:uiPriority w:val="99"/>
    <w:semiHidden/>
    <w:unhideWhenUsed/>
    <w:rsid w:val="00A07796"/>
    <w:pPr>
      <w:spacing w:line="240" w:lineRule="auto"/>
    </w:pPr>
    <w:rPr>
      <w:sz w:val="20"/>
      <w:szCs w:val="20"/>
    </w:rPr>
  </w:style>
  <w:style w:type="character" w:customStyle="1" w:styleId="CommentTextChar">
    <w:name w:val="Comment Text Char"/>
    <w:basedOn w:val="DefaultParagraphFont"/>
    <w:link w:val="CommentText"/>
    <w:uiPriority w:val="99"/>
    <w:semiHidden/>
    <w:rsid w:val="00A07796"/>
    <w:rPr>
      <w:sz w:val="20"/>
      <w:szCs w:val="20"/>
    </w:rPr>
  </w:style>
  <w:style w:type="paragraph" w:styleId="CommentSubject">
    <w:name w:val="annotation subject"/>
    <w:basedOn w:val="CommentText"/>
    <w:next w:val="CommentText"/>
    <w:link w:val="CommentSubjectChar"/>
    <w:uiPriority w:val="99"/>
    <w:semiHidden/>
    <w:unhideWhenUsed/>
    <w:rsid w:val="00A07796"/>
    <w:rPr>
      <w:b/>
      <w:bCs/>
    </w:rPr>
  </w:style>
  <w:style w:type="character" w:customStyle="1" w:styleId="CommentSubjectChar">
    <w:name w:val="Comment Subject Char"/>
    <w:basedOn w:val="CommentTextChar"/>
    <w:link w:val="CommentSubject"/>
    <w:uiPriority w:val="99"/>
    <w:semiHidden/>
    <w:rsid w:val="00A07796"/>
    <w:rPr>
      <w:b/>
      <w:bCs/>
      <w:sz w:val="20"/>
      <w:szCs w:val="20"/>
    </w:rPr>
  </w:style>
  <w:style w:type="paragraph" w:styleId="Revision">
    <w:name w:val="Revision"/>
    <w:hidden/>
    <w:uiPriority w:val="99"/>
    <w:semiHidden/>
    <w:rsid w:val="00836435"/>
    <w:pPr>
      <w:spacing w:after="0" w:line="240" w:lineRule="auto"/>
    </w:pPr>
  </w:style>
  <w:style w:type="character" w:customStyle="1" w:styleId="Heading1Char">
    <w:name w:val="Heading 1 Char"/>
    <w:basedOn w:val="DefaultParagraphFont"/>
    <w:link w:val="Heading1"/>
    <w:uiPriority w:val="9"/>
    <w:rsid w:val="007D054D"/>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7D054D"/>
  </w:style>
  <w:style w:type="character" w:customStyle="1" w:styleId="UnresolvedMention1">
    <w:name w:val="Unresolved Mention1"/>
    <w:basedOn w:val="DefaultParagraphFont"/>
    <w:uiPriority w:val="99"/>
    <w:semiHidden/>
    <w:unhideWhenUsed/>
    <w:rsid w:val="004935C6"/>
    <w:rPr>
      <w:color w:val="605E5C"/>
      <w:shd w:val="clear" w:color="auto" w:fill="E1DFDD"/>
    </w:rPr>
  </w:style>
  <w:style w:type="character" w:styleId="FollowedHyperlink">
    <w:name w:val="FollowedHyperlink"/>
    <w:basedOn w:val="DefaultParagraphFont"/>
    <w:uiPriority w:val="99"/>
    <w:semiHidden/>
    <w:unhideWhenUsed/>
    <w:rsid w:val="006463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835">
      <w:bodyDiv w:val="1"/>
      <w:marLeft w:val="0"/>
      <w:marRight w:val="0"/>
      <w:marTop w:val="0"/>
      <w:marBottom w:val="0"/>
      <w:divBdr>
        <w:top w:val="none" w:sz="0" w:space="0" w:color="auto"/>
        <w:left w:val="none" w:sz="0" w:space="0" w:color="auto"/>
        <w:bottom w:val="none" w:sz="0" w:space="0" w:color="auto"/>
        <w:right w:val="none" w:sz="0" w:space="0" w:color="auto"/>
      </w:divBdr>
    </w:div>
    <w:div w:id="8525906">
      <w:bodyDiv w:val="1"/>
      <w:marLeft w:val="0"/>
      <w:marRight w:val="0"/>
      <w:marTop w:val="0"/>
      <w:marBottom w:val="0"/>
      <w:divBdr>
        <w:top w:val="none" w:sz="0" w:space="0" w:color="auto"/>
        <w:left w:val="none" w:sz="0" w:space="0" w:color="auto"/>
        <w:bottom w:val="none" w:sz="0" w:space="0" w:color="auto"/>
        <w:right w:val="none" w:sz="0" w:space="0" w:color="auto"/>
      </w:divBdr>
    </w:div>
    <w:div w:id="47463647">
      <w:bodyDiv w:val="1"/>
      <w:marLeft w:val="0"/>
      <w:marRight w:val="0"/>
      <w:marTop w:val="0"/>
      <w:marBottom w:val="0"/>
      <w:divBdr>
        <w:top w:val="none" w:sz="0" w:space="0" w:color="auto"/>
        <w:left w:val="none" w:sz="0" w:space="0" w:color="auto"/>
        <w:bottom w:val="none" w:sz="0" w:space="0" w:color="auto"/>
        <w:right w:val="none" w:sz="0" w:space="0" w:color="auto"/>
      </w:divBdr>
    </w:div>
    <w:div w:id="123273422">
      <w:bodyDiv w:val="1"/>
      <w:marLeft w:val="0"/>
      <w:marRight w:val="0"/>
      <w:marTop w:val="0"/>
      <w:marBottom w:val="0"/>
      <w:divBdr>
        <w:top w:val="none" w:sz="0" w:space="0" w:color="auto"/>
        <w:left w:val="none" w:sz="0" w:space="0" w:color="auto"/>
        <w:bottom w:val="none" w:sz="0" w:space="0" w:color="auto"/>
        <w:right w:val="none" w:sz="0" w:space="0" w:color="auto"/>
      </w:divBdr>
    </w:div>
    <w:div w:id="215630992">
      <w:bodyDiv w:val="1"/>
      <w:marLeft w:val="0"/>
      <w:marRight w:val="0"/>
      <w:marTop w:val="0"/>
      <w:marBottom w:val="0"/>
      <w:divBdr>
        <w:top w:val="none" w:sz="0" w:space="0" w:color="auto"/>
        <w:left w:val="none" w:sz="0" w:space="0" w:color="auto"/>
        <w:bottom w:val="none" w:sz="0" w:space="0" w:color="auto"/>
        <w:right w:val="none" w:sz="0" w:space="0" w:color="auto"/>
      </w:divBdr>
    </w:div>
    <w:div w:id="283269903">
      <w:bodyDiv w:val="1"/>
      <w:marLeft w:val="0"/>
      <w:marRight w:val="0"/>
      <w:marTop w:val="0"/>
      <w:marBottom w:val="0"/>
      <w:divBdr>
        <w:top w:val="none" w:sz="0" w:space="0" w:color="auto"/>
        <w:left w:val="none" w:sz="0" w:space="0" w:color="auto"/>
        <w:bottom w:val="none" w:sz="0" w:space="0" w:color="auto"/>
        <w:right w:val="none" w:sz="0" w:space="0" w:color="auto"/>
      </w:divBdr>
    </w:div>
    <w:div w:id="318316211">
      <w:bodyDiv w:val="1"/>
      <w:marLeft w:val="0"/>
      <w:marRight w:val="0"/>
      <w:marTop w:val="0"/>
      <w:marBottom w:val="0"/>
      <w:divBdr>
        <w:top w:val="none" w:sz="0" w:space="0" w:color="auto"/>
        <w:left w:val="none" w:sz="0" w:space="0" w:color="auto"/>
        <w:bottom w:val="none" w:sz="0" w:space="0" w:color="auto"/>
        <w:right w:val="none" w:sz="0" w:space="0" w:color="auto"/>
      </w:divBdr>
    </w:div>
    <w:div w:id="358748632">
      <w:bodyDiv w:val="1"/>
      <w:marLeft w:val="0"/>
      <w:marRight w:val="0"/>
      <w:marTop w:val="0"/>
      <w:marBottom w:val="0"/>
      <w:divBdr>
        <w:top w:val="none" w:sz="0" w:space="0" w:color="auto"/>
        <w:left w:val="none" w:sz="0" w:space="0" w:color="auto"/>
        <w:bottom w:val="none" w:sz="0" w:space="0" w:color="auto"/>
        <w:right w:val="none" w:sz="0" w:space="0" w:color="auto"/>
      </w:divBdr>
    </w:div>
    <w:div w:id="375786938">
      <w:bodyDiv w:val="1"/>
      <w:marLeft w:val="0"/>
      <w:marRight w:val="0"/>
      <w:marTop w:val="0"/>
      <w:marBottom w:val="0"/>
      <w:divBdr>
        <w:top w:val="none" w:sz="0" w:space="0" w:color="auto"/>
        <w:left w:val="none" w:sz="0" w:space="0" w:color="auto"/>
        <w:bottom w:val="none" w:sz="0" w:space="0" w:color="auto"/>
        <w:right w:val="none" w:sz="0" w:space="0" w:color="auto"/>
      </w:divBdr>
    </w:div>
    <w:div w:id="394281081">
      <w:bodyDiv w:val="1"/>
      <w:marLeft w:val="0"/>
      <w:marRight w:val="0"/>
      <w:marTop w:val="0"/>
      <w:marBottom w:val="0"/>
      <w:divBdr>
        <w:top w:val="none" w:sz="0" w:space="0" w:color="auto"/>
        <w:left w:val="none" w:sz="0" w:space="0" w:color="auto"/>
        <w:bottom w:val="none" w:sz="0" w:space="0" w:color="auto"/>
        <w:right w:val="none" w:sz="0" w:space="0" w:color="auto"/>
      </w:divBdr>
    </w:div>
    <w:div w:id="434591397">
      <w:bodyDiv w:val="1"/>
      <w:marLeft w:val="0"/>
      <w:marRight w:val="0"/>
      <w:marTop w:val="0"/>
      <w:marBottom w:val="0"/>
      <w:divBdr>
        <w:top w:val="none" w:sz="0" w:space="0" w:color="auto"/>
        <w:left w:val="none" w:sz="0" w:space="0" w:color="auto"/>
        <w:bottom w:val="none" w:sz="0" w:space="0" w:color="auto"/>
        <w:right w:val="none" w:sz="0" w:space="0" w:color="auto"/>
      </w:divBdr>
    </w:div>
    <w:div w:id="460003899">
      <w:bodyDiv w:val="1"/>
      <w:marLeft w:val="0"/>
      <w:marRight w:val="0"/>
      <w:marTop w:val="0"/>
      <w:marBottom w:val="0"/>
      <w:divBdr>
        <w:top w:val="none" w:sz="0" w:space="0" w:color="auto"/>
        <w:left w:val="none" w:sz="0" w:space="0" w:color="auto"/>
        <w:bottom w:val="none" w:sz="0" w:space="0" w:color="auto"/>
        <w:right w:val="none" w:sz="0" w:space="0" w:color="auto"/>
      </w:divBdr>
    </w:div>
    <w:div w:id="480460247">
      <w:bodyDiv w:val="1"/>
      <w:marLeft w:val="0"/>
      <w:marRight w:val="0"/>
      <w:marTop w:val="0"/>
      <w:marBottom w:val="0"/>
      <w:divBdr>
        <w:top w:val="none" w:sz="0" w:space="0" w:color="auto"/>
        <w:left w:val="none" w:sz="0" w:space="0" w:color="auto"/>
        <w:bottom w:val="none" w:sz="0" w:space="0" w:color="auto"/>
        <w:right w:val="none" w:sz="0" w:space="0" w:color="auto"/>
      </w:divBdr>
    </w:div>
    <w:div w:id="528760152">
      <w:bodyDiv w:val="1"/>
      <w:marLeft w:val="0"/>
      <w:marRight w:val="0"/>
      <w:marTop w:val="0"/>
      <w:marBottom w:val="0"/>
      <w:divBdr>
        <w:top w:val="none" w:sz="0" w:space="0" w:color="auto"/>
        <w:left w:val="none" w:sz="0" w:space="0" w:color="auto"/>
        <w:bottom w:val="none" w:sz="0" w:space="0" w:color="auto"/>
        <w:right w:val="none" w:sz="0" w:space="0" w:color="auto"/>
      </w:divBdr>
    </w:div>
    <w:div w:id="537396255">
      <w:bodyDiv w:val="1"/>
      <w:marLeft w:val="0"/>
      <w:marRight w:val="0"/>
      <w:marTop w:val="0"/>
      <w:marBottom w:val="0"/>
      <w:divBdr>
        <w:top w:val="none" w:sz="0" w:space="0" w:color="auto"/>
        <w:left w:val="none" w:sz="0" w:space="0" w:color="auto"/>
        <w:bottom w:val="none" w:sz="0" w:space="0" w:color="auto"/>
        <w:right w:val="none" w:sz="0" w:space="0" w:color="auto"/>
      </w:divBdr>
    </w:div>
    <w:div w:id="538130686">
      <w:bodyDiv w:val="1"/>
      <w:marLeft w:val="0"/>
      <w:marRight w:val="0"/>
      <w:marTop w:val="0"/>
      <w:marBottom w:val="0"/>
      <w:divBdr>
        <w:top w:val="none" w:sz="0" w:space="0" w:color="auto"/>
        <w:left w:val="none" w:sz="0" w:space="0" w:color="auto"/>
        <w:bottom w:val="none" w:sz="0" w:space="0" w:color="auto"/>
        <w:right w:val="none" w:sz="0" w:space="0" w:color="auto"/>
      </w:divBdr>
    </w:div>
    <w:div w:id="568418930">
      <w:bodyDiv w:val="1"/>
      <w:marLeft w:val="0"/>
      <w:marRight w:val="0"/>
      <w:marTop w:val="0"/>
      <w:marBottom w:val="0"/>
      <w:divBdr>
        <w:top w:val="none" w:sz="0" w:space="0" w:color="auto"/>
        <w:left w:val="none" w:sz="0" w:space="0" w:color="auto"/>
        <w:bottom w:val="none" w:sz="0" w:space="0" w:color="auto"/>
        <w:right w:val="none" w:sz="0" w:space="0" w:color="auto"/>
      </w:divBdr>
    </w:div>
    <w:div w:id="587664593">
      <w:bodyDiv w:val="1"/>
      <w:marLeft w:val="0"/>
      <w:marRight w:val="0"/>
      <w:marTop w:val="0"/>
      <w:marBottom w:val="0"/>
      <w:divBdr>
        <w:top w:val="none" w:sz="0" w:space="0" w:color="auto"/>
        <w:left w:val="none" w:sz="0" w:space="0" w:color="auto"/>
        <w:bottom w:val="none" w:sz="0" w:space="0" w:color="auto"/>
        <w:right w:val="none" w:sz="0" w:space="0" w:color="auto"/>
      </w:divBdr>
    </w:div>
    <w:div w:id="720791200">
      <w:bodyDiv w:val="1"/>
      <w:marLeft w:val="0"/>
      <w:marRight w:val="0"/>
      <w:marTop w:val="0"/>
      <w:marBottom w:val="0"/>
      <w:divBdr>
        <w:top w:val="none" w:sz="0" w:space="0" w:color="auto"/>
        <w:left w:val="none" w:sz="0" w:space="0" w:color="auto"/>
        <w:bottom w:val="none" w:sz="0" w:space="0" w:color="auto"/>
        <w:right w:val="none" w:sz="0" w:space="0" w:color="auto"/>
      </w:divBdr>
    </w:div>
    <w:div w:id="754713006">
      <w:bodyDiv w:val="1"/>
      <w:marLeft w:val="0"/>
      <w:marRight w:val="0"/>
      <w:marTop w:val="0"/>
      <w:marBottom w:val="0"/>
      <w:divBdr>
        <w:top w:val="none" w:sz="0" w:space="0" w:color="auto"/>
        <w:left w:val="none" w:sz="0" w:space="0" w:color="auto"/>
        <w:bottom w:val="none" w:sz="0" w:space="0" w:color="auto"/>
        <w:right w:val="none" w:sz="0" w:space="0" w:color="auto"/>
      </w:divBdr>
    </w:div>
    <w:div w:id="806701831">
      <w:bodyDiv w:val="1"/>
      <w:marLeft w:val="0"/>
      <w:marRight w:val="0"/>
      <w:marTop w:val="0"/>
      <w:marBottom w:val="0"/>
      <w:divBdr>
        <w:top w:val="none" w:sz="0" w:space="0" w:color="auto"/>
        <w:left w:val="none" w:sz="0" w:space="0" w:color="auto"/>
        <w:bottom w:val="none" w:sz="0" w:space="0" w:color="auto"/>
        <w:right w:val="none" w:sz="0" w:space="0" w:color="auto"/>
      </w:divBdr>
    </w:div>
    <w:div w:id="835388629">
      <w:bodyDiv w:val="1"/>
      <w:marLeft w:val="0"/>
      <w:marRight w:val="0"/>
      <w:marTop w:val="0"/>
      <w:marBottom w:val="0"/>
      <w:divBdr>
        <w:top w:val="none" w:sz="0" w:space="0" w:color="auto"/>
        <w:left w:val="none" w:sz="0" w:space="0" w:color="auto"/>
        <w:bottom w:val="none" w:sz="0" w:space="0" w:color="auto"/>
        <w:right w:val="none" w:sz="0" w:space="0" w:color="auto"/>
      </w:divBdr>
    </w:div>
    <w:div w:id="848758188">
      <w:bodyDiv w:val="1"/>
      <w:marLeft w:val="0"/>
      <w:marRight w:val="0"/>
      <w:marTop w:val="0"/>
      <w:marBottom w:val="0"/>
      <w:divBdr>
        <w:top w:val="none" w:sz="0" w:space="0" w:color="auto"/>
        <w:left w:val="none" w:sz="0" w:space="0" w:color="auto"/>
        <w:bottom w:val="none" w:sz="0" w:space="0" w:color="auto"/>
        <w:right w:val="none" w:sz="0" w:space="0" w:color="auto"/>
      </w:divBdr>
    </w:div>
    <w:div w:id="970868615">
      <w:bodyDiv w:val="1"/>
      <w:marLeft w:val="0"/>
      <w:marRight w:val="0"/>
      <w:marTop w:val="0"/>
      <w:marBottom w:val="0"/>
      <w:divBdr>
        <w:top w:val="none" w:sz="0" w:space="0" w:color="auto"/>
        <w:left w:val="none" w:sz="0" w:space="0" w:color="auto"/>
        <w:bottom w:val="none" w:sz="0" w:space="0" w:color="auto"/>
        <w:right w:val="none" w:sz="0" w:space="0" w:color="auto"/>
      </w:divBdr>
    </w:div>
    <w:div w:id="975180062">
      <w:bodyDiv w:val="1"/>
      <w:marLeft w:val="0"/>
      <w:marRight w:val="0"/>
      <w:marTop w:val="0"/>
      <w:marBottom w:val="0"/>
      <w:divBdr>
        <w:top w:val="none" w:sz="0" w:space="0" w:color="auto"/>
        <w:left w:val="none" w:sz="0" w:space="0" w:color="auto"/>
        <w:bottom w:val="none" w:sz="0" w:space="0" w:color="auto"/>
        <w:right w:val="none" w:sz="0" w:space="0" w:color="auto"/>
      </w:divBdr>
    </w:div>
    <w:div w:id="994838278">
      <w:bodyDiv w:val="1"/>
      <w:marLeft w:val="0"/>
      <w:marRight w:val="0"/>
      <w:marTop w:val="0"/>
      <w:marBottom w:val="0"/>
      <w:divBdr>
        <w:top w:val="none" w:sz="0" w:space="0" w:color="auto"/>
        <w:left w:val="none" w:sz="0" w:space="0" w:color="auto"/>
        <w:bottom w:val="none" w:sz="0" w:space="0" w:color="auto"/>
        <w:right w:val="none" w:sz="0" w:space="0" w:color="auto"/>
      </w:divBdr>
    </w:div>
    <w:div w:id="1000541067">
      <w:bodyDiv w:val="1"/>
      <w:marLeft w:val="0"/>
      <w:marRight w:val="0"/>
      <w:marTop w:val="0"/>
      <w:marBottom w:val="0"/>
      <w:divBdr>
        <w:top w:val="none" w:sz="0" w:space="0" w:color="auto"/>
        <w:left w:val="none" w:sz="0" w:space="0" w:color="auto"/>
        <w:bottom w:val="none" w:sz="0" w:space="0" w:color="auto"/>
        <w:right w:val="none" w:sz="0" w:space="0" w:color="auto"/>
      </w:divBdr>
    </w:div>
    <w:div w:id="1007559827">
      <w:bodyDiv w:val="1"/>
      <w:marLeft w:val="0"/>
      <w:marRight w:val="0"/>
      <w:marTop w:val="0"/>
      <w:marBottom w:val="0"/>
      <w:divBdr>
        <w:top w:val="none" w:sz="0" w:space="0" w:color="auto"/>
        <w:left w:val="none" w:sz="0" w:space="0" w:color="auto"/>
        <w:bottom w:val="none" w:sz="0" w:space="0" w:color="auto"/>
        <w:right w:val="none" w:sz="0" w:space="0" w:color="auto"/>
      </w:divBdr>
    </w:div>
    <w:div w:id="1014068240">
      <w:bodyDiv w:val="1"/>
      <w:marLeft w:val="0"/>
      <w:marRight w:val="0"/>
      <w:marTop w:val="0"/>
      <w:marBottom w:val="0"/>
      <w:divBdr>
        <w:top w:val="none" w:sz="0" w:space="0" w:color="auto"/>
        <w:left w:val="none" w:sz="0" w:space="0" w:color="auto"/>
        <w:bottom w:val="none" w:sz="0" w:space="0" w:color="auto"/>
        <w:right w:val="none" w:sz="0" w:space="0" w:color="auto"/>
      </w:divBdr>
    </w:div>
    <w:div w:id="1052847847">
      <w:bodyDiv w:val="1"/>
      <w:marLeft w:val="0"/>
      <w:marRight w:val="0"/>
      <w:marTop w:val="0"/>
      <w:marBottom w:val="0"/>
      <w:divBdr>
        <w:top w:val="none" w:sz="0" w:space="0" w:color="auto"/>
        <w:left w:val="none" w:sz="0" w:space="0" w:color="auto"/>
        <w:bottom w:val="none" w:sz="0" w:space="0" w:color="auto"/>
        <w:right w:val="none" w:sz="0" w:space="0" w:color="auto"/>
      </w:divBdr>
    </w:div>
    <w:div w:id="1084909635">
      <w:bodyDiv w:val="1"/>
      <w:marLeft w:val="0"/>
      <w:marRight w:val="0"/>
      <w:marTop w:val="0"/>
      <w:marBottom w:val="0"/>
      <w:divBdr>
        <w:top w:val="none" w:sz="0" w:space="0" w:color="auto"/>
        <w:left w:val="none" w:sz="0" w:space="0" w:color="auto"/>
        <w:bottom w:val="none" w:sz="0" w:space="0" w:color="auto"/>
        <w:right w:val="none" w:sz="0" w:space="0" w:color="auto"/>
      </w:divBdr>
    </w:div>
    <w:div w:id="1114130952">
      <w:bodyDiv w:val="1"/>
      <w:marLeft w:val="0"/>
      <w:marRight w:val="0"/>
      <w:marTop w:val="0"/>
      <w:marBottom w:val="0"/>
      <w:divBdr>
        <w:top w:val="none" w:sz="0" w:space="0" w:color="auto"/>
        <w:left w:val="none" w:sz="0" w:space="0" w:color="auto"/>
        <w:bottom w:val="none" w:sz="0" w:space="0" w:color="auto"/>
        <w:right w:val="none" w:sz="0" w:space="0" w:color="auto"/>
      </w:divBdr>
    </w:div>
    <w:div w:id="1127507001">
      <w:bodyDiv w:val="1"/>
      <w:marLeft w:val="0"/>
      <w:marRight w:val="0"/>
      <w:marTop w:val="0"/>
      <w:marBottom w:val="0"/>
      <w:divBdr>
        <w:top w:val="none" w:sz="0" w:space="0" w:color="auto"/>
        <w:left w:val="none" w:sz="0" w:space="0" w:color="auto"/>
        <w:bottom w:val="none" w:sz="0" w:space="0" w:color="auto"/>
        <w:right w:val="none" w:sz="0" w:space="0" w:color="auto"/>
      </w:divBdr>
    </w:div>
    <w:div w:id="1234193175">
      <w:bodyDiv w:val="1"/>
      <w:marLeft w:val="0"/>
      <w:marRight w:val="0"/>
      <w:marTop w:val="0"/>
      <w:marBottom w:val="0"/>
      <w:divBdr>
        <w:top w:val="none" w:sz="0" w:space="0" w:color="auto"/>
        <w:left w:val="none" w:sz="0" w:space="0" w:color="auto"/>
        <w:bottom w:val="none" w:sz="0" w:space="0" w:color="auto"/>
        <w:right w:val="none" w:sz="0" w:space="0" w:color="auto"/>
      </w:divBdr>
    </w:div>
    <w:div w:id="1254706381">
      <w:bodyDiv w:val="1"/>
      <w:marLeft w:val="0"/>
      <w:marRight w:val="0"/>
      <w:marTop w:val="0"/>
      <w:marBottom w:val="0"/>
      <w:divBdr>
        <w:top w:val="none" w:sz="0" w:space="0" w:color="auto"/>
        <w:left w:val="none" w:sz="0" w:space="0" w:color="auto"/>
        <w:bottom w:val="none" w:sz="0" w:space="0" w:color="auto"/>
        <w:right w:val="none" w:sz="0" w:space="0" w:color="auto"/>
      </w:divBdr>
    </w:div>
    <w:div w:id="1270359498">
      <w:bodyDiv w:val="1"/>
      <w:marLeft w:val="0"/>
      <w:marRight w:val="0"/>
      <w:marTop w:val="0"/>
      <w:marBottom w:val="0"/>
      <w:divBdr>
        <w:top w:val="none" w:sz="0" w:space="0" w:color="auto"/>
        <w:left w:val="none" w:sz="0" w:space="0" w:color="auto"/>
        <w:bottom w:val="none" w:sz="0" w:space="0" w:color="auto"/>
        <w:right w:val="none" w:sz="0" w:space="0" w:color="auto"/>
      </w:divBdr>
    </w:div>
    <w:div w:id="1341544662">
      <w:bodyDiv w:val="1"/>
      <w:marLeft w:val="0"/>
      <w:marRight w:val="0"/>
      <w:marTop w:val="0"/>
      <w:marBottom w:val="0"/>
      <w:divBdr>
        <w:top w:val="none" w:sz="0" w:space="0" w:color="auto"/>
        <w:left w:val="none" w:sz="0" w:space="0" w:color="auto"/>
        <w:bottom w:val="none" w:sz="0" w:space="0" w:color="auto"/>
        <w:right w:val="none" w:sz="0" w:space="0" w:color="auto"/>
      </w:divBdr>
    </w:div>
    <w:div w:id="1370255488">
      <w:bodyDiv w:val="1"/>
      <w:marLeft w:val="0"/>
      <w:marRight w:val="0"/>
      <w:marTop w:val="0"/>
      <w:marBottom w:val="0"/>
      <w:divBdr>
        <w:top w:val="none" w:sz="0" w:space="0" w:color="auto"/>
        <w:left w:val="none" w:sz="0" w:space="0" w:color="auto"/>
        <w:bottom w:val="none" w:sz="0" w:space="0" w:color="auto"/>
        <w:right w:val="none" w:sz="0" w:space="0" w:color="auto"/>
      </w:divBdr>
    </w:div>
    <w:div w:id="1397506502">
      <w:bodyDiv w:val="1"/>
      <w:marLeft w:val="0"/>
      <w:marRight w:val="0"/>
      <w:marTop w:val="0"/>
      <w:marBottom w:val="0"/>
      <w:divBdr>
        <w:top w:val="none" w:sz="0" w:space="0" w:color="auto"/>
        <w:left w:val="none" w:sz="0" w:space="0" w:color="auto"/>
        <w:bottom w:val="none" w:sz="0" w:space="0" w:color="auto"/>
        <w:right w:val="none" w:sz="0" w:space="0" w:color="auto"/>
      </w:divBdr>
    </w:div>
    <w:div w:id="1404835741">
      <w:bodyDiv w:val="1"/>
      <w:marLeft w:val="0"/>
      <w:marRight w:val="0"/>
      <w:marTop w:val="0"/>
      <w:marBottom w:val="0"/>
      <w:divBdr>
        <w:top w:val="none" w:sz="0" w:space="0" w:color="auto"/>
        <w:left w:val="none" w:sz="0" w:space="0" w:color="auto"/>
        <w:bottom w:val="none" w:sz="0" w:space="0" w:color="auto"/>
        <w:right w:val="none" w:sz="0" w:space="0" w:color="auto"/>
      </w:divBdr>
    </w:div>
    <w:div w:id="1409419927">
      <w:bodyDiv w:val="1"/>
      <w:marLeft w:val="0"/>
      <w:marRight w:val="0"/>
      <w:marTop w:val="0"/>
      <w:marBottom w:val="0"/>
      <w:divBdr>
        <w:top w:val="none" w:sz="0" w:space="0" w:color="auto"/>
        <w:left w:val="none" w:sz="0" w:space="0" w:color="auto"/>
        <w:bottom w:val="none" w:sz="0" w:space="0" w:color="auto"/>
        <w:right w:val="none" w:sz="0" w:space="0" w:color="auto"/>
      </w:divBdr>
    </w:div>
    <w:div w:id="1412897834">
      <w:bodyDiv w:val="1"/>
      <w:marLeft w:val="0"/>
      <w:marRight w:val="0"/>
      <w:marTop w:val="0"/>
      <w:marBottom w:val="0"/>
      <w:divBdr>
        <w:top w:val="none" w:sz="0" w:space="0" w:color="auto"/>
        <w:left w:val="none" w:sz="0" w:space="0" w:color="auto"/>
        <w:bottom w:val="none" w:sz="0" w:space="0" w:color="auto"/>
        <w:right w:val="none" w:sz="0" w:space="0" w:color="auto"/>
      </w:divBdr>
    </w:div>
    <w:div w:id="1463769463">
      <w:bodyDiv w:val="1"/>
      <w:marLeft w:val="0"/>
      <w:marRight w:val="0"/>
      <w:marTop w:val="0"/>
      <w:marBottom w:val="0"/>
      <w:divBdr>
        <w:top w:val="none" w:sz="0" w:space="0" w:color="auto"/>
        <w:left w:val="none" w:sz="0" w:space="0" w:color="auto"/>
        <w:bottom w:val="none" w:sz="0" w:space="0" w:color="auto"/>
        <w:right w:val="none" w:sz="0" w:space="0" w:color="auto"/>
      </w:divBdr>
    </w:div>
    <w:div w:id="1484001627">
      <w:bodyDiv w:val="1"/>
      <w:marLeft w:val="0"/>
      <w:marRight w:val="0"/>
      <w:marTop w:val="0"/>
      <w:marBottom w:val="0"/>
      <w:divBdr>
        <w:top w:val="none" w:sz="0" w:space="0" w:color="auto"/>
        <w:left w:val="none" w:sz="0" w:space="0" w:color="auto"/>
        <w:bottom w:val="none" w:sz="0" w:space="0" w:color="auto"/>
        <w:right w:val="none" w:sz="0" w:space="0" w:color="auto"/>
      </w:divBdr>
    </w:div>
    <w:div w:id="1504972465">
      <w:bodyDiv w:val="1"/>
      <w:marLeft w:val="0"/>
      <w:marRight w:val="0"/>
      <w:marTop w:val="0"/>
      <w:marBottom w:val="0"/>
      <w:divBdr>
        <w:top w:val="none" w:sz="0" w:space="0" w:color="auto"/>
        <w:left w:val="none" w:sz="0" w:space="0" w:color="auto"/>
        <w:bottom w:val="none" w:sz="0" w:space="0" w:color="auto"/>
        <w:right w:val="none" w:sz="0" w:space="0" w:color="auto"/>
      </w:divBdr>
    </w:div>
    <w:div w:id="1556233731">
      <w:bodyDiv w:val="1"/>
      <w:marLeft w:val="0"/>
      <w:marRight w:val="0"/>
      <w:marTop w:val="0"/>
      <w:marBottom w:val="0"/>
      <w:divBdr>
        <w:top w:val="none" w:sz="0" w:space="0" w:color="auto"/>
        <w:left w:val="none" w:sz="0" w:space="0" w:color="auto"/>
        <w:bottom w:val="none" w:sz="0" w:space="0" w:color="auto"/>
        <w:right w:val="none" w:sz="0" w:space="0" w:color="auto"/>
      </w:divBdr>
    </w:div>
    <w:div w:id="1602953963">
      <w:bodyDiv w:val="1"/>
      <w:marLeft w:val="0"/>
      <w:marRight w:val="0"/>
      <w:marTop w:val="0"/>
      <w:marBottom w:val="0"/>
      <w:divBdr>
        <w:top w:val="none" w:sz="0" w:space="0" w:color="auto"/>
        <w:left w:val="none" w:sz="0" w:space="0" w:color="auto"/>
        <w:bottom w:val="none" w:sz="0" w:space="0" w:color="auto"/>
        <w:right w:val="none" w:sz="0" w:space="0" w:color="auto"/>
      </w:divBdr>
    </w:div>
    <w:div w:id="1672104113">
      <w:bodyDiv w:val="1"/>
      <w:marLeft w:val="0"/>
      <w:marRight w:val="0"/>
      <w:marTop w:val="0"/>
      <w:marBottom w:val="0"/>
      <w:divBdr>
        <w:top w:val="none" w:sz="0" w:space="0" w:color="auto"/>
        <w:left w:val="none" w:sz="0" w:space="0" w:color="auto"/>
        <w:bottom w:val="none" w:sz="0" w:space="0" w:color="auto"/>
        <w:right w:val="none" w:sz="0" w:space="0" w:color="auto"/>
      </w:divBdr>
    </w:div>
    <w:div w:id="1723556527">
      <w:bodyDiv w:val="1"/>
      <w:marLeft w:val="0"/>
      <w:marRight w:val="0"/>
      <w:marTop w:val="0"/>
      <w:marBottom w:val="0"/>
      <w:divBdr>
        <w:top w:val="none" w:sz="0" w:space="0" w:color="auto"/>
        <w:left w:val="none" w:sz="0" w:space="0" w:color="auto"/>
        <w:bottom w:val="none" w:sz="0" w:space="0" w:color="auto"/>
        <w:right w:val="none" w:sz="0" w:space="0" w:color="auto"/>
      </w:divBdr>
    </w:div>
    <w:div w:id="1731877953">
      <w:bodyDiv w:val="1"/>
      <w:marLeft w:val="0"/>
      <w:marRight w:val="0"/>
      <w:marTop w:val="0"/>
      <w:marBottom w:val="0"/>
      <w:divBdr>
        <w:top w:val="none" w:sz="0" w:space="0" w:color="auto"/>
        <w:left w:val="none" w:sz="0" w:space="0" w:color="auto"/>
        <w:bottom w:val="none" w:sz="0" w:space="0" w:color="auto"/>
        <w:right w:val="none" w:sz="0" w:space="0" w:color="auto"/>
      </w:divBdr>
    </w:div>
    <w:div w:id="1732848918">
      <w:bodyDiv w:val="1"/>
      <w:marLeft w:val="0"/>
      <w:marRight w:val="0"/>
      <w:marTop w:val="0"/>
      <w:marBottom w:val="0"/>
      <w:divBdr>
        <w:top w:val="none" w:sz="0" w:space="0" w:color="auto"/>
        <w:left w:val="none" w:sz="0" w:space="0" w:color="auto"/>
        <w:bottom w:val="none" w:sz="0" w:space="0" w:color="auto"/>
        <w:right w:val="none" w:sz="0" w:space="0" w:color="auto"/>
      </w:divBdr>
    </w:div>
    <w:div w:id="1734037335">
      <w:bodyDiv w:val="1"/>
      <w:marLeft w:val="0"/>
      <w:marRight w:val="0"/>
      <w:marTop w:val="0"/>
      <w:marBottom w:val="0"/>
      <w:divBdr>
        <w:top w:val="none" w:sz="0" w:space="0" w:color="auto"/>
        <w:left w:val="none" w:sz="0" w:space="0" w:color="auto"/>
        <w:bottom w:val="none" w:sz="0" w:space="0" w:color="auto"/>
        <w:right w:val="none" w:sz="0" w:space="0" w:color="auto"/>
      </w:divBdr>
    </w:div>
    <w:div w:id="1736777206">
      <w:bodyDiv w:val="1"/>
      <w:marLeft w:val="0"/>
      <w:marRight w:val="0"/>
      <w:marTop w:val="0"/>
      <w:marBottom w:val="0"/>
      <w:divBdr>
        <w:top w:val="none" w:sz="0" w:space="0" w:color="auto"/>
        <w:left w:val="none" w:sz="0" w:space="0" w:color="auto"/>
        <w:bottom w:val="none" w:sz="0" w:space="0" w:color="auto"/>
        <w:right w:val="none" w:sz="0" w:space="0" w:color="auto"/>
      </w:divBdr>
    </w:div>
    <w:div w:id="1766655478">
      <w:bodyDiv w:val="1"/>
      <w:marLeft w:val="0"/>
      <w:marRight w:val="0"/>
      <w:marTop w:val="0"/>
      <w:marBottom w:val="0"/>
      <w:divBdr>
        <w:top w:val="none" w:sz="0" w:space="0" w:color="auto"/>
        <w:left w:val="none" w:sz="0" w:space="0" w:color="auto"/>
        <w:bottom w:val="none" w:sz="0" w:space="0" w:color="auto"/>
        <w:right w:val="none" w:sz="0" w:space="0" w:color="auto"/>
      </w:divBdr>
    </w:div>
    <w:div w:id="1827241217">
      <w:bodyDiv w:val="1"/>
      <w:marLeft w:val="0"/>
      <w:marRight w:val="0"/>
      <w:marTop w:val="0"/>
      <w:marBottom w:val="0"/>
      <w:divBdr>
        <w:top w:val="none" w:sz="0" w:space="0" w:color="auto"/>
        <w:left w:val="none" w:sz="0" w:space="0" w:color="auto"/>
        <w:bottom w:val="none" w:sz="0" w:space="0" w:color="auto"/>
        <w:right w:val="none" w:sz="0" w:space="0" w:color="auto"/>
      </w:divBdr>
    </w:div>
    <w:div w:id="1836217298">
      <w:bodyDiv w:val="1"/>
      <w:marLeft w:val="0"/>
      <w:marRight w:val="0"/>
      <w:marTop w:val="0"/>
      <w:marBottom w:val="0"/>
      <w:divBdr>
        <w:top w:val="none" w:sz="0" w:space="0" w:color="auto"/>
        <w:left w:val="none" w:sz="0" w:space="0" w:color="auto"/>
        <w:bottom w:val="none" w:sz="0" w:space="0" w:color="auto"/>
        <w:right w:val="none" w:sz="0" w:space="0" w:color="auto"/>
      </w:divBdr>
    </w:div>
    <w:div w:id="1884243218">
      <w:bodyDiv w:val="1"/>
      <w:marLeft w:val="0"/>
      <w:marRight w:val="0"/>
      <w:marTop w:val="0"/>
      <w:marBottom w:val="0"/>
      <w:divBdr>
        <w:top w:val="none" w:sz="0" w:space="0" w:color="auto"/>
        <w:left w:val="none" w:sz="0" w:space="0" w:color="auto"/>
        <w:bottom w:val="none" w:sz="0" w:space="0" w:color="auto"/>
        <w:right w:val="none" w:sz="0" w:space="0" w:color="auto"/>
      </w:divBdr>
    </w:div>
    <w:div w:id="1920362184">
      <w:bodyDiv w:val="1"/>
      <w:marLeft w:val="0"/>
      <w:marRight w:val="0"/>
      <w:marTop w:val="0"/>
      <w:marBottom w:val="0"/>
      <w:divBdr>
        <w:top w:val="none" w:sz="0" w:space="0" w:color="auto"/>
        <w:left w:val="none" w:sz="0" w:space="0" w:color="auto"/>
        <w:bottom w:val="none" w:sz="0" w:space="0" w:color="auto"/>
        <w:right w:val="none" w:sz="0" w:space="0" w:color="auto"/>
      </w:divBdr>
    </w:div>
    <w:div w:id="1960406855">
      <w:bodyDiv w:val="1"/>
      <w:marLeft w:val="0"/>
      <w:marRight w:val="0"/>
      <w:marTop w:val="0"/>
      <w:marBottom w:val="0"/>
      <w:divBdr>
        <w:top w:val="none" w:sz="0" w:space="0" w:color="auto"/>
        <w:left w:val="none" w:sz="0" w:space="0" w:color="auto"/>
        <w:bottom w:val="none" w:sz="0" w:space="0" w:color="auto"/>
        <w:right w:val="none" w:sz="0" w:space="0" w:color="auto"/>
      </w:divBdr>
    </w:div>
    <w:div w:id="1972707585">
      <w:bodyDiv w:val="1"/>
      <w:marLeft w:val="0"/>
      <w:marRight w:val="0"/>
      <w:marTop w:val="0"/>
      <w:marBottom w:val="0"/>
      <w:divBdr>
        <w:top w:val="none" w:sz="0" w:space="0" w:color="auto"/>
        <w:left w:val="none" w:sz="0" w:space="0" w:color="auto"/>
        <w:bottom w:val="none" w:sz="0" w:space="0" w:color="auto"/>
        <w:right w:val="none" w:sz="0" w:space="0" w:color="auto"/>
      </w:divBdr>
    </w:div>
    <w:div w:id="1995334242">
      <w:bodyDiv w:val="1"/>
      <w:marLeft w:val="0"/>
      <w:marRight w:val="0"/>
      <w:marTop w:val="0"/>
      <w:marBottom w:val="0"/>
      <w:divBdr>
        <w:top w:val="none" w:sz="0" w:space="0" w:color="auto"/>
        <w:left w:val="none" w:sz="0" w:space="0" w:color="auto"/>
        <w:bottom w:val="none" w:sz="0" w:space="0" w:color="auto"/>
        <w:right w:val="none" w:sz="0" w:space="0" w:color="auto"/>
      </w:divBdr>
    </w:div>
    <w:div w:id="2037148502">
      <w:bodyDiv w:val="1"/>
      <w:marLeft w:val="0"/>
      <w:marRight w:val="0"/>
      <w:marTop w:val="0"/>
      <w:marBottom w:val="0"/>
      <w:divBdr>
        <w:top w:val="none" w:sz="0" w:space="0" w:color="auto"/>
        <w:left w:val="none" w:sz="0" w:space="0" w:color="auto"/>
        <w:bottom w:val="none" w:sz="0" w:space="0" w:color="auto"/>
        <w:right w:val="none" w:sz="0" w:space="0" w:color="auto"/>
      </w:divBdr>
    </w:div>
    <w:div w:id="209277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s://www.remi.com/" TargetMode="External"/><Relationship Id="rId2" Type="http://schemas.openxmlformats.org/officeDocument/2006/relationships/hyperlink" Target="https://www.mass.gov/doc/edip-fy2020-annual-report/download" TargetMode="External"/><Relationship Id="rId1" Type="http://schemas.openxmlformats.org/officeDocument/2006/relationships/hyperlink" Target="https://www.mass.gov/service-details/economic-development-incentive-program-edip" TargetMode="External"/><Relationship Id="rId4" Type="http://schemas.openxmlformats.org/officeDocument/2006/relationships/hyperlink" Target="https://www.ilw.com/seminars/JohnNeillCit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Kei01</b:Tag>
    <b:SourceType>JournalArticle</b:SourceType>
    <b:Guid>{A0843040-038B-436D-B613-D31E48F67D03}</b:Guid>
    <b:Author>
      <b:Author>
        <b:Corporate>Keith R. Ihlanfeldt, David L. Sjoquist</b:Corporate>
      </b:Author>
    </b:Author>
    <b:Title>Conducting an Analysis of Georgia’s Economic Development Tax Incentive Program</b:Title>
    <b:Year>2001</b:Year>
    <b:Month>August</b:Month>
    <b:JournalName>ECONOMIC DEVELOPMENT QUARTERLY</b:JournalName>
    <b:Pages>217-228</b:Pages>
    <b:Publisher>Sage Publications</b:Publisher>
    <b:Volume>15</b:Volume>
    <b:Issue>3</b:Issue>
    <b:RefOrder>1</b:RefOrder>
  </b:Source>
  <b:Source>
    <b:Tag>Ann20</b:Tag>
    <b:SourceType>Interview</b:SourceType>
    <b:Guid>{2DBFF80F-628F-4453-9823-AB0598226277}</b:Guid>
    <b:Title>Senior EDIP Director</b:Title>
    <b:Year>2020</b:Year>
    <b:Author>
      <b:Interviewee>
        <b:NameList>
          <b:Person>
            <b:Last>Kersten</b:Last>
            <b:First>Annamarie</b:First>
          </b:Person>
        </b:NameList>
      </b:Interviewee>
      <b:Interviewer>
        <b:NameList>
          <b:Person>
            <b:Last>Choi</b:Last>
            <b:First>Kiwhan</b:First>
            <b:Middle>David</b:Middle>
          </b:Person>
        </b:NameList>
      </b:Interviewer>
    </b:Author>
    <b:Month>August</b:Month>
    <b:Day>7</b:Day>
    <b:RefOrder>2</b:RefOrder>
  </b:Source>
  <b:Source>
    <b:Tag>Mas19</b:Tag>
    <b:SourceType>Report</b:SourceType>
    <b:Guid>{878D0046-24B9-4975-831A-94B228286D81}</b:Guid>
    <b:Title>Fiscal Year 2019 Annual Report: Economic Development Incentive Program (EDIP)</b:Title>
    <b:Year>2019</b:Year>
    <b:City>Boston</b:City>
    <b:Publisher>Massachusetts Office of Business Development</b:Publisher>
    <b:RefOrder>3</b:RefOrder>
  </b:Source>
</b:Sources>
</file>

<file path=customXml/itemProps1.xml><?xml version="1.0" encoding="utf-8"?>
<ds:datastoreItem xmlns:ds="http://schemas.openxmlformats.org/officeDocument/2006/customXml" ds:itemID="{32AA7597-A669-4671-8B7B-790319536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17</Pages>
  <Words>4911</Words>
  <Characters>27995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Commonwealth of MA</Company>
  <LinksUpToDate>false</LinksUpToDate>
  <CharactersWithSpaces>32841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Sunil Pokharel</dc:creator>
  <cp:lastModifiedBy>Liu, Fushang (DOR)</cp:lastModifiedBy>
  <cp:revision>10</cp:revision>
  <cp:lastPrinted>2020-01-28T19:08:00Z</cp:lastPrinted>
  <dcterms:created xsi:type="dcterms:W3CDTF">2021-01-26T20:25:00Z</dcterms:created>
  <dcterms:modified xsi:type="dcterms:W3CDTF">2021-02-04T20:11:00Z</dcterms:modified>
</cp:coreProperties>
</file>