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2E2DC9" w:rsidRPr="002C2079" w14:paraId="0C962823" w14:textId="77777777" w:rsidTr="00F3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6133A2D" w14:textId="77777777" w:rsidR="002E2DC9" w:rsidRDefault="002E2DC9" w:rsidP="00F36DFE">
            <w:pPr>
              <w:jc w:val="center"/>
              <w:rPr>
                <w:color w:val="150399"/>
                <w:sz w:val="28"/>
                <w:szCs w:val="28"/>
              </w:rPr>
            </w:pPr>
            <w:r w:rsidRPr="008C2341">
              <w:rPr>
                <w:color w:val="150399"/>
                <w:sz w:val="28"/>
                <w:szCs w:val="28"/>
              </w:rPr>
              <w:t xml:space="preserve">PROPOSED MASSACHUSETTS TAX EXPENDITURES </w:t>
            </w:r>
          </w:p>
          <w:p w14:paraId="3AABBDAB" w14:textId="77777777" w:rsidR="002E2DC9" w:rsidRPr="008C2341" w:rsidRDefault="002E2DC9" w:rsidP="00F36DFE">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6998237B" w14:textId="77777777" w:rsidR="002E2DC9" w:rsidRPr="004B14D0" w:rsidRDefault="002E2DC9" w:rsidP="00F36DFE">
            <w:pPr>
              <w:rPr>
                <w:color w:val="150399"/>
                <w:sz w:val="28"/>
                <w:szCs w:val="28"/>
              </w:rPr>
            </w:pPr>
          </w:p>
        </w:tc>
      </w:tr>
      <w:tr w:rsidR="002E2DC9" w:rsidRPr="002C2079" w14:paraId="314E4BD3" w14:textId="77777777" w:rsidTr="00F3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78E8341" w14:textId="77777777" w:rsidR="002E2DC9" w:rsidRPr="002C2079" w:rsidRDefault="002E2DC9" w:rsidP="00F36DF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7"/>
      </w:tblGrid>
      <w:tr w:rsidR="002E2DC9" w:rsidRPr="002C2079" w14:paraId="15BBFD3E" w14:textId="77777777" w:rsidTr="00F36DFE">
        <w:trPr>
          <w:trHeight w:val="360"/>
        </w:trPr>
        <w:tc>
          <w:tcPr>
            <w:tcW w:w="4788" w:type="dxa"/>
          </w:tcPr>
          <w:p w14:paraId="23BFB732" w14:textId="77777777" w:rsidR="002E2DC9" w:rsidRPr="002C2079" w:rsidRDefault="002E2DC9" w:rsidP="00F36DFE">
            <w:pPr>
              <w:tabs>
                <w:tab w:val="left" w:pos="7050"/>
              </w:tabs>
              <w:rPr>
                <w:rFonts w:asciiTheme="majorHAnsi" w:hAnsiTheme="majorHAnsi"/>
              </w:rPr>
            </w:pPr>
          </w:p>
        </w:tc>
        <w:tc>
          <w:tcPr>
            <w:tcW w:w="4770" w:type="dxa"/>
          </w:tcPr>
          <w:p w14:paraId="0CE3AEF7" w14:textId="77777777" w:rsidR="002E2DC9" w:rsidRPr="002C2079" w:rsidRDefault="002E2DC9" w:rsidP="00F36DFE">
            <w:pPr>
              <w:tabs>
                <w:tab w:val="left" w:pos="7050"/>
              </w:tabs>
              <w:rPr>
                <w:rFonts w:asciiTheme="majorHAnsi" w:hAnsiTheme="majorHAnsi"/>
              </w:rPr>
            </w:pPr>
          </w:p>
        </w:tc>
      </w:tr>
      <w:tr w:rsidR="002E2DC9" w:rsidRPr="002C2079" w14:paraId="330B690D" w14:textId="77777777" w:rsidTr="00F36DFE">
        <w:tc>
          <w:tcPr>
            <w:tcW w:w="4788" w:type="dxa"/>
          </w:tcPr>
          <w:p w14:paraId="67EF003F"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56E97117" w14:textId="77777777" w:rsidR="002E2DC9" w:rsidRPr="002C2079" w:rsidRDefault="002E2DC9" w:rsidP="00F36DFE">
            <w:pPr>
              <w:tabs>
                <w:tab w:val="left" w:pos="7050"/>
              </w:tabs>
              <w:rPr>
                <w:rFonts w:asciiTheme="majorHAnsi" w:hAnsiTheme="majorHAnsi"/>
              </w:rPr>
            </w:pPr>
          </w:p>
        </w:tc>
        <w:tc>
          <w:tcPr>
            <w:tcW w:w="4770" w:type="dxa"/>
          </w:tcPr>
          <w:p w14:paraId="54A45107" w14:textId="77777777" w:rsidR="00803E44" w:rsidRDefault="00F820D5" w:rsidP="00803E44">
            <w:pPr>
              <w:tabs>
                <w:tab w:val="left" w:pos="7050"/>
              </w:tabs>
              <w:rPr>
                <w:rFonts w:asciiTheme="majorHAnsi" w:hAnsiTheme="majorHAnsi"/>
              </w:rPr>
            </w:pPr>
            <w:r>
              <w:rPr>
                <w:rFonts w:asciiTheme="majorHAnsi" w:hAnsiTheme="majorHAnsi"/>
              </w:rPr>
              <w:t xml:space="preserve">Massachusetts </w:t>
            </w:r>
            <w:r w:rsidR="00803E44">
              <w:rPr>
                <w:rFonts w:asciiTheme="majorHAnsi" w:hAnsiTheme="majorHAnsi"/>
              </w:rPr>
              <w:t>Historic Rehabilitation Tax Credit</w:t>
            </w:r>
            <w:r w:rsidR="00C40C1E">
              <w:rPr>
                <w:rFonts w:asciiTheme="majorHAnsi" w:hAnsiTheme="majorHAnsi"/>
              </w:rPr>
              <w:t xml:space="preserve"> </w:t>
            </w:r>
          </w:p>
          <w:p w14:paraId="3EC552EF" w14:textId="77777777" w:rsidR="009646B0" w:rsidRPr="002C2079" w:rsidRDefault="009646B0" w:rsidP="00803E44">
            <w:pPr>
              <w:tabs>
                <w:tab w:val="left" w:pos="7050"/>
              </w:tabs>
              <w:rPr>
                <w:rFonts w:asciiTheme="majorHAnsi" w:hAnsiTheme="majorHAnsi"/>
              </w:rPr>
            </w:pPr>
          </w:p>
        </w:tc>
      </w:tr>
      <w:tr w:rsidR="002E2DC9" w:rsidRPr="002C2079" w14:paraId="3F7C8D5E" w14:textId="77777777" w:rsidTr="00F36DFE">
        <w:tc>
          <w:tcPr>
            <w:tcW w:w="4788" w:type="dxa"/>
          </w:tcPr>
          <w:p w14:paraId="57C9E379"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77288B4B" w14:textId="77777777" w:rsidR="002E2DC9" w:rsidRPr="002C2079" w:rsidRDefault="002E2DC9" w:rsidP="00F36DFE">
            <w:pPr>
              <w:tabs>
                <w:tab w:val="left" w:pos="7050"/>
              </w:tabs>
              <w:rPr>
                <w:rFonts w:asciiTheme="majorHAnsi" w:hAnsiTheme="majorHAnsi"/>
              </w:rPr>
            </w:pPr>
          </w:p>
        </w:tc>
        <w:tc>
          <w:tcPr>
            <w:tcW w:w="4770" w:type="dxa"/>
          </w:tcPr>
          <w:p w14:paraId="6974C37D" w14:textId="77777777" w:rsidR="002E2DC9" w:rsidRPr="002C2079" w:rsidRDefault="002E2DC9" w:rsidP="00F36DFE">
            <w:pPr>
              <w:tabs>
                <w:tab w:val="left" w:pos="7050"/>
              </w:tabs>
              <w:rPr>
                <w:rFonts w:asciiTheme="majorHAnsi" w:hAnsiTheme="majorHAnsi"/>
              </w:rPr>
            </w:pPr>
            <w:r w:rsidRPr="002C2079">
              <w:rPr>
                <w:rFonts w:asciiTheme="majorHAnsi" w:hAnsiTheme="majorHAnsi"/>
              </w:rPr>
              <w:t>1.61</w:t>
            </w:r>
            <w:r w:rsidR="00B5475E">
              <w:rPr>
                <w:rFonts w:asciiTheme="majorHAnsi" w:hAnsiTheme="majorHAnsi"/>
              </w:rPr>
              <w:t>0</w:t>
            </w:r>
            <w:r w:rsidRPr="002C2079">
              <w:rPr>
                <w:rFonts w:asciiTheme="majorHAnsi" w:hAnsiTheme="majorHAnsi"/>
              </w:rPr>
              <w:t>, 2.61</w:t>
            </w:r>
            <w:r w:rsidR="00B5475E">
              <w:rPr>
                <w:rFonts w:asciiTheme="majorHAnsi" w:hAnsiTheme="majorHAnsi"/>
              </w:rPr>
              <w:t>0</w:t>
            </w:r>
          </w:p>
        </w:tc>
      </w:tr>
      <w:tr w:rsidR="002E2DC9" w:rsidRPr="002C2079" w14:paraId="572070A4" w14:textId="77777777" w:rsidTr="00F36DFE">
        <w:tc>
          <w:tcPr>
            <w:tcW w:w="4788" w:type="dxa"/>
          </w:tcPr>
          <w:p w14:paraId="28482BC3"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73C39ECB" w14:textId="77777777" w:rsidR="002E2DC9" w:rsidRPr="002C2079" w:rsidRDefault="002E2DC9" w:rsidP="00F36DFE">
            <w:pPr>
              <w:tabs>
                <w:tab w:val="left" w:pos="7050"/>
              </w:tabs>
              <w:rPr>
                <w:rFonts w:asciiTheme="majorHAnsi" w:hAnsiTheme="majorHAnsi"/>
              </w:rPr>
            </w:pPr>
          </w:p>
        </w:tc>
        <w:tc>
          <w:tcPr>
            <w:tcW w:w="4770" w:type="dxa"/>
          </w:tcPr>
          <w:p w14:paraId="32AFD279" w14:textId="77777777" w:rsidR="002E2DC9" w:rsidRPr="002C2079" w:rsidRDefault="002E2DC9" w:rsidP="00F36DFE">
            <w:pPr>
              <w:tabs>
                <w:tab w:val="left" w:pos="7050"/>
              </w:tabs>
              <w:rPr>
                <w:rFonts w:asciiTheme="majorHAnsi" w:hAnsiTheme="majorHAnsi"/>
                <w:i/>
              </w:rPr>
            </w:pPr>
            <w:r w:rsidRPr="002C2079">
              <w:rPr>
                <w:rFonts w:asciiTheme="majorHAnsi" w:hAnsiTheme="majorHAnsi"/>
              </w:rPr>
              <w:t xml:space="preserve">Credit against tax </w:t>
            </w:r>
            <w:r w:rsidRPr="002C2079">
              <w:rPr>
                <w:rFonts w:asciiTheme="majorHAnsi" w:hAnsiTheme="majorHAnsi"/>
                <w:i/>
              </w:rPr>
              <w:t>(p</w:t>
            </w:r>
            <w:r>
              <w:rPr>
                <w:rFonts w:asciiTheme="majorHAnsi" w:hAnsiTheme="majorHAnsi"/>
                <w:i/>
              </w:rPr>
              <w:t>ersonal income tax, corporate</w:t>
            </w:r>
            <w:r w:rsidR="00803E44">
              <w:rPr>
                <w:rFonts w:asciiTheme="majorHAnsi" w:hAnsiTheme="majorHAnsi"/>
                <w:i/>
              </w:rPr>
              <w:t xml:space="preserve"> excise</w:t>
            </w:r>
            <w:r w:rsidRPr="002C2079">
              <w:rPr>
                <w:rFonts w:asciiTheme="majorHAnsi" w:hAnsiTheme="majorHAnsi"/>
                <w:i/>
              </w:rPr>
              <w:t>)</w:t>
            </w:r>
          </w:p>
          <w:p w14:paraId="1E2A4832" w14:textId="77777777" w:rsidR="002E2DC9" w:rsidRPr="002C2079" w:rsidRDefault="002E2DC9" w:rsidP="00F36DFE">
            <w:pPr>
              <w:tabs>
                <w:tab w:val="left" w:pos="7050"/>
              </w:tabs>
              <w:rPr>
                <w:rFonts w:asciiTheme="majorHAnsi" w:hAnsiTheme="majorHAnsi"/>
              </w:rPr>
            </w:pPr>
          </w:p>
        </w:tc>
      </w:tr>
      <w:tr w:rsidR="002E2DC9" w:rsidRPr="002C2079" w14:paraId="1F30BFF3" w14:textId="77777777" w:rsidTr="00F36DFE">
        <w:tc>
          <w:tcPr>
            <w:tcW w:w="4788" w:type="dxa"/>
          </w:tcPr>
          <w:p w14:paraId="128E328D"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7435FF12" w14:textId="77777777" w:rsidR="002E2DC9" w:rsidRPr="002C2079" w:rsidRDefault="002E2DC9" w:rsidP="00F36DFE">
            <w:pPr>
              <w:tabs>
                <w:tab w:val="left" w:pos="7050"/>
              </w:tabs>
              <w:rPr>
                <w:rFonts w:asciiTheme="majorHAnsi" w:hAnsiTheme="majorHAnsi"/>
              </w:rPr>
            </w:pPr>
          </w:p>
        </w:tc>
        <w:tc>
          <w:tcPr>
            <w:tcW w:w="4770" w:type="dxa"/>
          </w:tcPr>
          <w:p w14:paraId="56874A0D" w14:textId="77777777" w:rsidR="002E2DC9" w:rsidRPr="002C2079" w:rsidRDefault="002E2DC9">
            <w:pPr>
              <w:tabs>
                <w:tab w:val="left" w:pos="7050"/>
              </w:tabs>
              <w:rPr>
                <w:rFonts w:asciiTheme="majorHAnsi" w:hAnsiTheme="majorHAnsi"/>
              </w:rPr>
            </w:pPr>
            <w:r w:rsidRPr="002C2079">
              <w:rPr>
                <w:rFonts w:asciiTheme="majorHAnsi" w:hAnsiTheme="majorHAnsi"/>
              </w:rPr>
              <w:t xml:space="preserve">Personal income tax, corporate </w:t>
            </w:r>
            <w:r w:rsidR="00803E44">
              <w:rPr>
                <w:rFonts w:asciiTheme="majorHAnsi" w:hAnsiTheme="majorHAnsi"/>
              </w:rPr>
              <w:t xml:space="preserve">excise </w:t>
            </w:r>
          </w:p>
        </w:tc>
      </w:tr>
      <w:tr w:rsidR="002E2DC9" w:rsidRPr="002C2079" w14:paraId="502BF29C" w14:textId="77777777" w:rsidTr="00F36DFE">
        <w:tc>
          <w:tcPr>
            <w:tcW w:w="4788" w:type="dxa"/>
          </w:tcPr>
          <w:p w14:paraId="2C407DFB"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412DE292" w14:textId="77777777" w:rsidR="002E2DC9" w:rsidRPr="002C2079" w:rsidRDefault="002E2DC9" w:rsidP="00F36DFE">
            <w:pPr>
              <w:tabs>
                <w:tab w:val="left" w:pos="7050"/>
              </w:tabs>
              <w:rPr>
                <w:rFonts w:asciiTheme="majorHAnsi" w:hAnsiTheme="majorHAnsi"/>
              </w:rPr>
            </w:pPr>
          </w:p>
        </w:tc>
        <w:tc>
          <w:tcPr>
            <w:tcW w:w="4770" w:type="dxa"/>
          </w:tcPr>
          <w:p w14:paraId="1859D375" w14:textId="77777777" w:rsidR="002E2DC9" w:rsidRPr="002C2079" w:rsidRDefault="00176C59" w:rsidP="00F36DFE">
            <w:pPr>
              <w:tabs>
                <w:tab w:val="left" w:pos="7050"/>
              </w:tabs>
              <w:rPr>
                <w:rFonts w:asciiTheme="majorHAnsi" w:hAnsiTheme="majorHAnsi"/>
              </w:rPr>
            </w:pPr>
            <w:r w:rsidRPr="00176C59">
              <w:rPr>
                <w:rFonts w:asciiTheme="majorHAnsi" w:hAnsiTheme="majorHAnsi"/>
              </w:rPr>
              <w:t>M.G.L. c. 62, § 6J</w:t>
            </w:r>
            <w:r w:rsidR="00803E44">
              <w:rPr>
                <w:rFonts w:asciiTheme="majorHAnsi" w:hAnsiTheme="majorHAnsi"/>
              </w:rPr>
              <w:t>; M.G.L</w:t>
            </w:r>
            <w:r w:rsidRPr="00176C59">
              <w:rPr>
                <w:rFonts w:asciiTheme="majorHAnsi" w:hAnsiTheme="majorHAnsi"/>
              </w:rPr>
              <w:t xml:space="preserve"> </w:t>
            </w:r>
            <w:r w:rsidR="002E2DC9" w:rsidRPr="002C2079">
              <w:rPr>
                <w:rFonts w:asciiTheme="majorHAnsi" w:hAnsiTheme="majorHAnsi"/>
              </w:rPr>
              <w:t xml:space="preserve">c. 63, § </w:t>
            </w:r>
            <w:r w:rsidR="00FB56A3" w:rsidRPr="009646B0">
              <w:rPr>
                <w:rFonts w:asciiTheme="majorHAnsi" w:hAnsiTheme="majorHAnsi"/>
              </w:rPr>
              <w:t>38R</w:t>
            </w:r>
          </w:p>
          <w:p w14:paraId="4911EFDE" w14:textId="77777777" w:rsidR="002E2DC9" w:rsidRPr="002C2079" w:rsidRDefault="002E2DC9" w:rsidP="00F36DFE">
            <w:pPr>
              <w:tabs>
                <w:tab w:val="left" w:pos="7050"/>
              </w:tabs>
              <w:rPr>
                <w:rFonts w:asciiTheme="majorHAnsi" w:hAnsiTheme="majorHAnsi"/>
              </w:rPr>
            </w:pPr>
          </w:p>
        </w:tc>
      </w:tr>
      <w:tr w:rsidR="002E2DC9" w:rsidRPr="002C2079" w14:paraId="79563D52" w14:textId="77777777" w:rsidTr="00F36DFE">
        <w:tc>
          <w:tcPr>
            <w:tcW w:w="4788" w:type="dxa"/>
          </w:tcPr>
          <w:p w14:paraId="41073824"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4D01A561" w14:textId="77777777" w:rsidR="002E2DC9" w:rsidRPr="002C2079" w:rsidRDefault="002E2DC9" w:rsidP="00F36DFE">
            <w:pPr>
              <w:tabs>
                <w:tab w:val="left" w:pos="7050"/>
              </w:tabs>
              <w:rPr>
                <w:rFonts w:asciiTheme="majorHAnsi" w:hAnsiTheme="majorHAnsi"/>
              </w:rPr>
            </w:pPr>
          </w:p>
        </w:tc>
        <w:tc>
          <w:tcPr>
            <w:tcW w:w="4770" w:type="dxa"/>
          </w:tcPr>
          <w:p w14:paraId="53324E15" w14:textId="77777777" w:rsidR="002E2DC9" w:rsidRDefault="00333FEA" w:rsidP="00F36DFE">
            <w:pPr>
              <w:tabs>
                <w:tab w:val="left" w:pos="7050"/>
              </w:tabs>
              <w:rPr>
                <w:rFonts w:asciiTheme="majorHAnsi" w:hAnsiTheme="majorHAnsi"/>
              </w:rPr>
            </w:pPr>
            <w:r>
              <w:rPr>
                <w:rFonts w:asciiTheme="majorHAnsi" w:hAnsiTheme="majorHAnsi"/>
              </w:rPr>
              <w:t xml:space="preserve">Enacted by St. 2003, c. 141, § 22, effective </w:t>
            </w:r>
            <w:r w:rsidR="00176C59">
              <w:rPr>
                <w:rFonts w:asciiTheme="majorHAnsi" w:hAnsiTheme="majorHAnsi"/>
              </w:rPr>
              <w:t>January 1,</w:t>
            </w:r>
            <w:r w:rsidR="002E2DC9" w:rsidRPr="002C2079">
              <w:rPr>
                <w:rFonts w:asciiTheme="majorHAnsi" w:hAnsiTheme="majorHAnsi"/>
              </w:rPr>
              <w:t xml:space="preserve"> 2005</w:t>
            </w:r>
          </w:p>
          <w:p w14:paraId="4BEA5F48" w14:textId="77777777" w:rsidR="009646B0" w:rsidRPr="002C2079" w:rsidRDefault="009646B0" w:rsidP="00F36DFE">
            <w:pPr>
              <w:tabs>
                <w:tab w:val="left" w:pos="7050"/>
              </w:tabs>
              <w:rPr>
                <w:rFonts w:asciiTheme="majorHAnsi" w:hAnsiTheme="majorHAnsi"/>
              </w:rPr>
            </w:pPr>
          </w:p>
        </w:tc>
      </w:tr>
      <w:tr w:rsidR="002E2DC9" w:rsidRPr="002C2079" w14:paraId="72559314" w14:textId="77777777" w:rsidTr="00F36DFE">
        <w:tc>
          <w:tcPr>
            <w:tcW w:w="4788" w:type="dxa"/>
          </w:tcPr>
          <w:p w14:paraId="7C7B6FC4" w14:textId="77777777" w:rsidR="002E2DC9" w:rsidRPr="002C2079" w:rsidRDefault="002E2DC9" w:rsidP="00F36DF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267BB182" w14:textId="77777777" w:rsidR="002E2DC9" w:rsidRPr="002C2079" w:rsidRDefault="00333FEA">
            <w:pPr>
              <w:tabs>
                <w:tab w:val="left" w:pos="7050"/>
              </w:tabs>
              <w:rPr>
                <w:rFonts w:asciiTheme="majorHAnsi" w:hAnsiTheme="majorHAnsi"/>
              </w:rPr>
            </w:pPr>
            <w:r>
              <w:rPr>
                <w:rFonts w:asciiTheme="majorHAnsi" w:hAnsiTheme="majorHAnsi"/>
              </w:rPr>
              <w:t>December 31, 2022</w:t>
            </w:r>
          </w:p>
        </w:tc>
      </w:tr>
      <w:tr w:rsidR="002E2DC9" w:rsidRPr="002C2079" w14:paraId="6A4B0FAE" w14:textId="77777777" w:rsidTr="00F36DFE">
        <w:tc>
          <w:tcPr>
            <w:tcW w:w="4788" w:type="dxa"/>
          </w:tcPr>
          <w:p w14:paraId="57F851B6" w14:textId="77777777" w:rsidR="005D386F" w:rsidRDefault="005D386F" w:rsidP="00F36DFE">
            <w:pPr>
              <w:tabs>
                <w:tab w:val="left" w:pos="7050"/>
              </w:tabs>
              <w:rPr>
                <w:rFonts w:asciiTheme="majorHAnsi" w:eastAsiaTheme="majorEastAsia" w:hAnsiTheme="majorHAnsi" w:cstheme="majorBidi"/>
                <w:b/>
                <w:bCs/>
                <w:color w:val="000000" w:themeColor="text1"/>
              </w:rPr>
            </w:pPr>
          </w:p>
          <w:p w14:paraId="6C639F3C"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44E0C51F" w14:textId="77777777" w:rsidR="002E2DC9" w:rsidRPr="002C2079" w:rsidRDefault="002E2DC9" w:rsidP="00F36DFE">
            <w:pPr>
              <w:tabs>
                <w:tab w:val="left" w:pos="7050"/>
              </w:tabs>
              <w:rPr>
                <w:rFonts w:asciiTheme="majorHAnsi" w:hAnsiTheme="majorHAnsi"/>
              </w:rPr>
            </w:pPr>
          </w:p>
        </w:tc>
        <w:tc>
          <w:tcPr>
            <w:tcW w:w="4770" w:type="dxa"/>
          </w:tcPr>
          <w:p w14:paraId="7DF707B5" w14:textId="77777777" w:rsidR="005D386F" w:rsidRDefault="005D386F" w:rsidP="00F36DFE">
            <w:pPr>
              <w:tabs>
                <w:tab w:val="left" w:pos="7050"/>
              </w:tabs>
              <w:rPr>
                <w:rFonts w:asciiTheme="majorHAnsi" w:hAnsiTheme="majorHAnsi"/>
              </w:rPr>
            </w:pPr>
          </w:p>
          <w:p w14:paraId="08EF959B" w14:textId="77777777" w:rsidR="002E2DC9" w:rsidRPr="002C2079" w:rsidRDefault="002E2DC9" w:rsidP="00F36DFE">
            <w:pPr>
              <w:tabs>
                <w:tab w:val="left" w:pos="7050"/>
              </w:tabs>
              <w:rPr>
                <w:rFonts w:asciiTheme="majorHAnsi" w:hAnsiTheme="majorHAnsi"/>
              </w:rPr>
            </w:pPr>
            <w:r w:rsidRPr="002C2079">
              <w:rPr>
                <w:rFonts w:asciiTheme="majorHAnsi" w:hAnsiTheme="majorHAnsi"/>
              </w:rPr>
              <w:t xml:space="preserve">Tax loss of </w:t>
            </w:r>
            <w:r w:rsidR="00176C59">
              <w:rPr>
                <w:rFonts w:asciiTheme="majorHAnsi" w:hAnsiTheme="majorHAnsi"/>
              </w:rPr>
              <w:t>up to $55</w:t>
            </w:r>
            <w:r w:rsidRPr="002C2079">
              <w:rPr>
                <w:rFonts w:asciiTheme="majorHAnsi" w:hAnsiTheme="majorHAnsi"/>
              </w:rPr>
              <w:t xml:space="preserve"> million FY2</w:t>
            </w:r>
            <w:r w:rsidR="00176C59">
              <w:rPr>
                <w:rFonts w:asciiTheme="majorHAnsi" w:hAnsiTheme="majorHAnsi"/>
              </w:rPr>
              <w:t>2</w:t>
            </w:r>
          </w:p>
        </w:tc>
      </w:tr>
      <w:tr w:rsidR="002E2DC9" w:rsidRPr="002C2079" w14:paraId="50704FF5" w14:textId="77777777" w:rsidTr="00F36DFE">
        <w:tc>
          <w:tcPr>
            <w:tcW w:w="4788" w:type="dxa"/>
          </w:tcPr>
          <w:p w14:paraId="5CA58523" w14:textId="77777777" w:rsidR="002E2DC9" w:rsidRPr="002C2079" w:rsidRDefault="00EA0620" w:rsidP="00F36DFE">
            <w:pPr>
              <w:tabs>
                <w:tab w:val="left" w:pos="7050"/>
              </w:tabs>
              <w:rPr>
                <w:rFonts w:asciiTheme="majorHAnsi" w:hAnsiTheme="majorHAnsi"/>
              </w:rPr>
            </w:pPr>
            <w:r>
              <w:rPr>
                <w:rFonts w:asciiTheme="majorHAnsi" w:eastAsiaTheme="majorEastAsia" w:hAnsiTheme="majorHAnsi" w:cstheme="majorBidi"/>
                <w:b/>
                <w:bCs/>
                <w:color w:val="000000" w:themeColor="text1"/>
              </w:rPr>
              <w:t xml:space="preserve">AVERAGE </w:t>
            </w:r>
            <w:r w:rsidR="002E2DC9" w:rsidRPr="002C2079">
              <w:rPr>
                <w:rFonts w:asciiTheme="majorHAnsi" w:eastAsiaTheme="majorEastAsia" w:hAnsiTheme="majorHAnsi" w:cstheme="majorBidi"/>
                <w:b/>
                <w:bCs/>
                <w:color w:val="000000" w:themeColor="text1"/>
              </w:rPr>
              <w:t xml:space="preserve">NUMBER OF TAXPAYERS </w:t>
            </w:r>
            <w:r w:rsidR="00F52BAF">
              <w:rPr>
                <w:rFonts w:asciiTheme="majorHAnsi" w:eastAsiaTheme="majorEastAsia" w:hAnsiTheme="majorHAnsi" w:cstheme="majorBidi"/>
                <w:b/>
                <w:bCs/>
                <w:color w:val="000000" w:themeColor="text1"/>
              </w:rPr>
              <w:t>/</w:t>
            </w:r>
          </w:p>
        </w:tc>
        <w:tc>
          <w:tcPr>
            <w:tcW w:w="4770" w:type="dxa"/>
          </w:tcPr>
          <w:p w14:paraId="54F18461" w14:textId="77777777" w:rsidR="002E2DC9" w:rsidRPr="002C2079" w:rsidRDefault="00EA0620" w:rsidP="00F36DFE">
            <w:pPr>
              <w:tabs>
                <w:tab w:val="left" w:pos="7050"/>
              </w:tabs>
              <w:rPr>
                <w:rFonts w:asciiTheme="majorHAnsi" w:hAnsiTheme="majorHAnsi"/>
              </w:rPr>
            </w:pPr>
            <w:r>
              <w:rPr>
                <w:rFonts w:asciiTheme="majorHAnsi" w:hAnsiTheme="majorHAnsi"/>
              </w:rPr>
              <w:t xml:space="preserve">Corporate filers:  </w:t>
            </w:r>
            <w:r w:rsidR="00F52BAF">
              <w:rPr>
                <w:rFonts w:asciiTheme="majorHAnsi" w:hAnsiTheme="majorHAnsi"/>
              </w:rPr>
              <w:t xml:space="preserve">32 filers; average $1.2 million </w:t>
            </w:r>
          </w:p>
        </w:tc>
      </w:tr>
      <w:tr w:rsidR="002E2DC9" w:rsidRPr="002C2079" w14:paraId="2890CBE1" w14:textId="77777777" w:rsidTr="00F36DFE">
        <w:tc>
          <w:tcPr>
            <w:tcW w:w="4788" w:type="dxa"/>
          </w:tcPr>
          <w:p w14:paraId="7FB85838" w14:textId="77777777" w:rsidR="002E2DC9" w:rsidRPr="002C2079" w:rsidRDefault="002E2DC9" w:rsidP="00F36DF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5E1D63F6" w14:textId="77777777" w:rsidR="002E2DC9" w:rsidRPr="002C2079" w:rsidRDefault="00EA0620" w:rsidP="00F36DFE">
            <w:pPr>
              <w:tabs>
                <w:tab w:val="left" w:pos="7050"/>
              </w:tabs>
              <w:rPr>
                <w:rFonts w:asciiTheme="majorHAnsi" w:hAnsiTheme="majorHAnsi"/>
              </w:rPr>
            </w:pPr>
            <w:r>
              <w:rPr>
                <w:rFonts w:asciiTheme="majorHAnsi" w:hAnsiTheme="majorHAnsi"/>
              </w:rPr>
              <w:t xml:space="preserve">Personal filers:  </w:t>
            </w:r>
            <w:r w:rsidR="001C33A6">
              <w:rPr>
                <w:rFonts w:asciiTheme="majorHAnsi" w:hAnsiTheme="majorHAnsi"/>
              </w:rPr>
              <w:t xml:space="preserve">   </w:t>
            </w:r>
            <w:r>
              <w:rPr>
                <w:rFonts w:asciiTheme="majorHAnsi" w:hAnsiTheme="majorHAnsi"/>
              </w:rPr>
              <w:t>5</w:t>
            </w:r>
            <w:r w:rsidR="00F52BAF">
              <w:rPr>
                <w:rFonts w:asciiTheme="majorHAnsi" w:hAnsiTheme="majorHAnsi"/>
              </w:rPr>
              <w:t>2</w:t>
            </w:r>
            <w:r>
              <w:rPr>
                <w:rFonts w:asciiTheme="majorHAnsi" w:hAnsiTheme="majorHAnsi"/>
              </w:rPr>
              <w:t xml:space="preserve"> filers</w:t>
            </w:r>
            <w:r w:rsidR="00F52BAF">
              <w:rPr>
                <w:rFonts w:asciiTheme="majorHAnsi" w:hAnsiTheme="majorHAnsi"/>
              </w:rPr>
              <w:t>; average $0.1 million</w:t>
            </w:r>
            <w:r>
              <w:rPr>
                <w:rFonts w:asciiTheme="majorHAnsi" w:hAnsiTheme="majorHAnsi"/>
              </w:rPr>
              <w:t xml:space="preserve"> </w:t>
            </w:r>
          </w:p>
        </w:tc>
      </w:tr>
    </w:tbl>
    <w:p w14:paraId="55EA45B6" w14:textId="77777777" w:rsidR="002E2DC9" w:rsidRDefault="002E2DC9" w:rsidP="002E2DC9">
      <w:pPr>
        <w:rPr>
          <w:b/>
          <w:bCs/>
        </w:rPr>
      </w:pPr>
    </w:p>
    <w:tbl>
      <w:tblPr>
        <w:tblStyle w:val="TableGrid"/>
        <w:tblW w:w="0" w:type="auto"/>
        <w:tblLook w:val="04A0" w:firstRow="1" w:lastRow="0" w:firstColumn="1" w:lastColumn="0" w:noHBand="0" w:noVBand="1"/>
      </w:tblPr>
      <w:tblGrid>
        <w:gridCol w:w="4675"/>
        <w:gridCol w:w="4675"/>
      </w:tblGrid>
      <w:tr w:rsidR="002E2DC9" w14:paraId="0750504E" w14:textId="77777777" w:rsidTr="00F36DFE">
        <w:tc>
          <w:tcPr>
            <w:tcW w:w="4788" w:type="dxa"/>
          </w:tcPr>
          <w:p w14:paraId="17814231" w14:textId="77777777" w:rsidR="002E2DC9" w:rsidRPr="002C2079" w:rsidRDefault="002E2DC9" w:rsidP="00F36DFE">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54D51AEE" w14:textId="77777777" w:rsidR="002E2DC9" w:rsidRDefault="002E2DC9" w:rsidP="00F42D99">
            <w:pPr>
              <w:tabs>
                <w:tab w:val="left" w:pos="7050"/>
              </w:tabs>
              <w:rPr>
                <w:rFonts w:asciiTheme="majorHAnsi" w:hAnsiTheme="majorHAnsi"/>
                <w:sz w:val="24"/>
                <w:szCs w:val="24"/>
              </w:rPr>
            </w:pPr>
            <w:r w:rsidRPr="00F7586D">
              <w:rPr>
                <w:rFonts w:asciiTheme="majorHAnsi" w:eastAsiaTheme="majorEastAsia" w:hAnsiTheme="majorHAnsi" w:cstheme="majorBidi"/>
                <w:bCs/>
                <w:color w:val="000000" w:themeColor="text1"/>
                <w:sz w:val="24"/>
              </w:rPr>
              <w:t xml:space="preserve">The Massachusetts </w:t>
            </w:r>
            <w:r w:rsidR="00F42D99">
              <w:rPr>
                <w:rFonts w:asciiTheme="majorHAnsi" w:eastAsiaTheme="majorEastAsia" w:hAnsiTheme="majorHAnsi" w:cstheme="majorBidi"/>
                <w:bCs/>
                <w:color w:val="000000" w:themeColor="text1"/>
                <w:sz w:val="24"/>
              </w:rPr>
              <w:t>h</w:t>
            </w:r>
            <w:r w:rsidR="00333FEA">
              <w:rPr>
                <w:rFonts w:asciiTheme="majorHAnsi" w:eastAsiaTheme="majorEastAsia" w:hAnsiTheme="majorHAnsi" w:cstheme="majorBidi"/>
                <w:bCs/>
                <w:color w:val="000000" w:themeColor="text1"/>
                <w:sz w:val="24"/>
              </w:rPr>
              <w:t xml:space="preserve">istoric </w:t>
            </w:r>
            <w:r w:rsidR="00F42D99">
              <w:rPr>
                <w:rFonts w:asciiTheme="majorHAnsi" w:eastAsiaTheme="majorEastAsia" w:hAnsiTheme="majorHAnsi" w:cstheme="majorBidi"/>
                <w:bCs/>
                <w:color w:val="000000" w:themeColor="text1"/>
                <w:sz w:val="24"/>
              </w:rPr>
              <w:t>r</w:t>
            </w:r>
            <w:r w:rsidR="00333FEA">
              <w:rPr>
                <w:rFonts w:asciiTheme="majorHAnsi" w:eastAsiaTheme="majorEastAsia" w:hAnsiTheme="majorHAnsi" w:cstheme="majorBidi"/>
                <w:bCs/>
                <w:color w:val="000000" w:themeColor="text1"/>
                <w:sz w:val="24"/>
              </w:rPr>
              <w:t xml:space="preserve">ehabilitation </w:t>
            </w:r>
            <w:r w:rsidR="00F42D99">
              <w:rPr>
                <w:rFonts w:asciiTheme="majorHAnsi" w:eastAsiaTheme="majorEastAsia" w:hAnsiTheme="majorHAnsi" w:cstheme="majorBidi"/>
                <w:bCs/>
                <w:color w:val="000000" w:themeColor="text1"/>
                <w:sz w:val="24"/>
              </w:rPr>
              <w:t>t</w:t>
            </w:r>
            <w:r w:rsidR="00333FEA">
              <w:rPr>
                <w:rFonts w:asciiTheme="majorHAnsi" w:eastAsiaTheme="majorEastAsia" w:hAnsiTheme="majorHAnsi" w:cstheme="majorBidi"/>
                <w:bCs/>
                <w:color w:val="000000" w:themeColor="text1"/>
                <w:sz w:val="24"/>
              </w:rPr>
              <w:t xml:space="preserve">ax </w:t>
            </w:r>
            <w:r w:rsidR="00F42D99">
              <w:rPr>
                <w:rFonts w:asciiTheme="majorHAnsi" w:eastAsiaTheme="majorEastAsia" w:hAnsiTheme="majorHAnsi" w:cstheme="majorBidi"/>
                <w:bCs/>
                <w:color w:val="000000" w:themeColor="text1"/>
                <w:sz w:val="24"/>
              </w:rPr>
              <w:t>c</w:t>
            </w:r>
            <w:r w:rsidR="00333FEA">
              <w:rPr>
                <w:rFonts w:asciiTheme="majorHAnsi" w:eastAsiaTheme="majorEastAsia" w:hAnsiTheme="majorHAnsi" w:cstheme="majorBidi"/>
                <w:bCs/>
                <w:color w:val="000000" w:themeColor="text1"/>
                <w:sz w:val="24"/>
              </w:rPr>
              <w:t>redit</w:t>
            </w:r>
            <w:r w:rsidR="00F42D99">
              <w:rPr>
                <w:rFonts w:asciiTheme="majorHAnsi" w:eastAsiaTheme="majorEastAsia" w:hAnsiTheme="majorHAnsi" w:cstheme="majorBidi"/>
                <w:bCs/>
                <w:color w:val="000000" w:themeColor="text1"/>
                <w:sz w:val="24"/>
              </w:rPr>
              <w:t xml:space="preserve"> is a credit for </w:t>
            </w:r>
            <w:r w:rsidR="00F42D99">
              <w:rPr>
                <w:rFonts w:asciiTheme="majorHAnsi" w:hAnsiTheme="majorHAnsi"/>
                <w:sz w:val="24"/>
                <w:szCs w:val="24"/>
              </w:rPr>
              <w:t>qualified expenditures made by a taxpayer in rehabilitating a qualified historic structure.</w:t>
            </w:r>
          </w:p>
          <w:p w14:paraId="0E770118" w14:textId="77777777" w:rsidR="00C76723" w:rsidRPr="00565D22" w:rsidRDefault="00C76723" w:rsidP="00F42D99">
            <w:pPr>
              <w:tabs>
                <w:tab w:val="left" w:pos="7050"/>
              </w:tabs>
              <w:rPr>
                <w:rFonts w:asciiTheme="majorHAnsi" w:eastAsiaTheme="majorEastAsia" w:hAnsiTheme="majorHAnsi" w:cstheme="majorBidi"/>
                <w:b/>
                <w:bCs/>
                <w:color w:val="000000" w:themeColor="text1"/>
                <w:sz w:val="24"/>
              </w:rPr>
            </w:pPr>
          </w:p>
        </w:tc>
        <w:tc>
          <w:tcPr>
            <w:tcW w:w="4788" w:type="dxa"/>
          </w:tcPr>
          <w:p w14:paraId="0671A707" w14:textId="77777777" w:rsidR="002E2DC9" w:rsidRPr="002C2079" w:rsidRDefault="002E2DC9" w:rsidP="00F36DFE">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51215896" w14:textId="77777777" w:rsidR="002E2DC9" w:rsidRDefault="002E2DC9" w:rsidP="00F42D99">
            <w:pPr>
              <w:rPr>
                <w:b/>
                <w:bCs/>
              </w:rPr>
            </w:pPr>
            <w:r w:rsidRPr="002C2079">
              <w:rPr>
                <w:rFonts w:asciiTheme="majorHAnsi" w:eastAsiaTheme="majorEastAsia" w:hAnsiTheme="majorHAnsi" w:cstheme="majorBidi"/>
                <w:bCs/>
                <w:color w:val="000000" w:themeColor="text1"/>
                <w:sz w:val="24"/>
              </w:rPr>
              <w:t>The statute does not explicitly state the purpose of this tax expenditure</w:t>
            </w:r>
            <w:r w:rsidR="00F71FA6">
              <w:rPr>
                <w:rFonts w:asciiTheme="majorHAnsi" w:eastAsiaTheme="majorEastAsia" w:hAnsiTheme="majorHAnsi" w:cstheme="majorBidi"/>
                <w:bCs/>
                <w:color w:val="000000" w:themeColor="text1"/>
                <w:sz w:val="24"/>
              </w:rPr>
              <w:t xml:space="preserve"> </w:t>
            </w:r>
          </w:p>
        </w:tc>
      </w:tr>
      <w:tr w:rsidR="002E2DC9" w14:paraId="0EB2E5BE" w14:textId="77777777" w:rsidTr="00F36DFE">
        <w:tc>
          <w:tcPr>
            <w:tcW w:w="4788" w:type="dxa"/>
          </w:tcPr>
          <w:p w14:paraId="2F2583B3" w14:textId="77777777" w:rsidR="002E2DC9" w:rsidRPr="00003921" w:rsidRDefault="002E2DC9" w:rsidP="00F36DFE">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What are the </w:t>
            </w:r>
            <w:r w:rsidR="00B46E08">
              <w:rPr>
                <w:rFonts w:asciiTheme="majorHAnsi" w:eastAsiaTheme="majorEastAsia" w:hAnsiTheme="majorHAnsi" w:cstheme="majorBidi"/>
                <w:b/>
                <w:bCs/>
                <w:color w:val="000000" w:themeColor="text1"/>
                <w:sz w:val="24"/>
              </w:rPr>
              <w:t xml:space="preserve">policy </w:t>
            </w:r>
            <w:r>
              <w:rPr>
                <w:rFonts w:asciiTheme="majorHAnsi" w:eastAsiaTheme="majorEastAsia" w:hAnsiTheme="majorHAnsi" w:cstheme="majorBidi"/>
                <w:b/>
                <w:bCs/>
                <w:color w:val="000000" w:themeColor="text1"/>
                <w:sz w:val="24"/>
              </w:rPr>
              <w:t>goals of the expenditure?</w:t>
            </w:r>
          </w:p>
          <w:p w14:paraId="4D3A28D1" w14:textId="77777777" w:rsidR="002E2DC9" w:rsidRDefault="00F42D99" w:rsidP="00F42D99">
            <w:pPr>
              <w:rPr>
                <w:b/>
                <w:bCs/>
              </w:rPr>
            </w:pPr>
            <w:r w:rsidRPr="00192340">
              <w:rPr>
                <w:rFonts w:asciiTheme="majorHAnsi" w:hAnsiTheme="majorHAnsi"/>
                <w:sz w:val="24"/>
                <w:szCs w:val="24"/>
              </w:rPr>
              <w:t>T</w:t>
            </w:r>
            <w:r w:rsidR="005D0F76" w:rsidRPr="00192340">
              <w:rPr>
                <w:rFonts w:asciiTheme="majorHAnsi" w:hAnsiTheme="majorHAnsi"/>
                <w:sz w:val="24"/>
                <w:szCs w:val="24"/>
              </w:rPr>
              <w:t>o encourage (1) private sector investment in the rehabilitation and re-purposing of historic buildings and (2) private capital targeted at revitalizing low income, distressed, or underserved areas,</w:t>
            </w:r>
            <w:r w:rsidRPr="00192340">
              <w:rPr>
                <w:rFonts w:asciiTheme="majorHAnsi" w:hAnsiTheme="majorHAnsi"/>
                <w:sz w:val="24"/>
                <w:szCs w:val="24"/>
              </w:rPr>
              <w:t xml:space="preserve"> </w:t>
            </w:r>
            <w:r w:rsidR="005D0F76" w:rsidRPr="00192340">
              <w:rPr>
                <w:rFonts w:asciiTheme="majorHAnsi" w:hAnsiTheme="majorHAnsi"/>
                <w:sz w:val="24"/>
                <w:szCs w:val="24"/>
              </w:rPr>
              <w:t>thereby spurring job growth and the economy.</w:t>
            </w:r>
          </w:p>
        </w:tc>
        <w:tc>
          <w:tcPr>
            <w:tcW w:w="4788" w:type="dxa"/>
          </w:tcPr>
          <w:p w14:paraId="4B3CBC02" w14:textId="77777777" w:rsidR="002E2DC9" w:rsidRPr="002C2079" w:rsidRDefault="002E2DC9" w:rsidP="00F36DFE">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740569A5" w14:textId="77777777" w:rsidR="002E2DC9" w:rsidRDefault="00F76A95" w:rsidP="00C74DE0">
            <w:pPr>
              <w:rPr>
                <w:b/>
                <w:bCs/>
              </w:rPr>
            </w:pPr>
            <w:r>
              <w:rPr>
                <w:rFonts w:asciiTheme="majorHAnsi" w:hAnsiTheme="majorHAnsi"/>
                <w:sz w:val="24"/>
                <w:szCs w:val="24"/>
              </w:rPr>
              <w:t>All of the New England states, the entire eastern seaboard except New Jersey</w:t>
            </w:r>
            <w:r w:rsidR="00C74DE0">
              <w:rPr>
                <w:rFonts w:asciiTheme="majorHAnsi" w:hAnsiTheme="majorHAnsi"/>
                <w:sz w:val="24"/>
                <w:szCs w:val="24"/>
              </w:rPr>
              <w:t xml:space="preserve"> and Florida</w:t>
            </w:r>
            <w:r>
              <w:rPr>
                <w:rFonts w:asciiTheme="majorHAnsi" w:hAnsiTheme="majorHAnsi"/>
                <w:sz w:val="24"/>
                <w:szCs w:val="24"/>
              </w:rPr>
              <w:t>, and most of the</w:t>
            </w:r>
            <w:r w:rsidR="00C74DE0">
              <w:rPr>
                <w:rFonts w:asciiTheme="majorHAnsi" w:hAnsiTheme="majorHAnsi"/>
                <w:sz w:val="24"/>
                <w:szCs w:val="24"/>
              </w:rPr>
              <w:t xml:space="preserve"> remaining states around </w:t>
            </w:r>
            <w:r>
              <w:rPr>
                <w:rFonts w:asciiTheme="majorHAnsi" w:hAnsiTheme="majorHAnsi"/>
                <w:sz w:val="24"/>
                <w:szCs w:val="24"/>
              </w:rPr>
              <w:t xml:space="preserve">the country except </w:t>
            </w:r>
            <w:r w:rsidR="00C74DE0">
              <w:rPr>
                <w:rFonts w:asciiTheme="majorHAnsi" w:hAnsiTheme="majorHAnsi"/>
                <w:sz w:val="24"/>
                <w:szCs w:val="24"/>
              </w:rPr>
              <w:t xml:space="preserve">for </w:t>
            </w:r>
            <w:r>
              <w:rPr>
                <w:rFonts w:asciiTheme="majorHAnsi" w:hAnsiTheme="majorHAnsi"/>
                <w:sz w:val="24"/>
                <w:szCs w:val="24"/>
              </w:rPr>
              <w:t>a handful</w:t>
            </w:r>
            <w:r w:rsidR="00C74DE0">
              <w:rPr>
                <w:rFonts w:asciiTheme="majorHAnsi" w:hAnsiTheme="majorHAnsi"/>
                <w:sz w:val="24"/>
                <w:szCs w:val="24"/>
              </w:rPr>
              <w:t xml:space="preserve"> mainly in the northwest,</w:t>
            </w:r>
            <w:r>
              <w:rPr>
                <w:rFonts w:asciiTheme="majorHAnsi" w:hAnsiTheme="majorHAnsi"/>
                <w:sz w:val="24"/>
                <w:szCs w:val="24"/>
              </w:rPr>
              <w:t xml:space="preserve"> offer a historic rehabilitation tax credit.</w:t>
            </w:r>
            <w:r w:rsidR="00C74DE0">
              <w:rPr>
                <w:rFonts w:asciiTheme="majorHAnsi" w:hAnsiTheme="majorHAnsi"/>
                <w:sz w:val="24"/>
                <w:szCs w:val="24"/>
              </w:rPr>
              <w:t xml:space="preserve"> New Jersey has proposed legislation, which is currently pending.</w:t>
            </w:r>
          </w:p>
        </w:tc>
      </w:tr>
    </w:tbl>
    <w:p w14:paraId="002454D0" w14:textId="77777777" w:rsidR="00176C59" w:rsidRDefault="00176C59">
      <w:r>
        <w:rPr>
          <w:b/>
          <w:bCs/>
        </w:rPr>
        <w:br w:type="page"/>
      </w:r>
    </w:p>
    <w:p w14:paraId="0CD6582D"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16017B10" w14:textId="77777777" w:rsidR="007E4AA9" w:rsidRDefault="007E4AA9" w:rsidP="002970B4">
      <w:pPr>
        <w:tabs>
          <w:tab w:val="left" w:pos="7050"/>
        </w:tabs>
        <w:spacing w:after="0"/>
        <w:rPr>
          <w:rFonts w:asciiTheme="majorHAnsi" w:hAnsiTheme="majorHAnsi"/>
          <w:sz w:val="24"/>
          <w:szCs w:val="24"/>
        </w:rPr>
      </w:pPr>
    </w:p>
    <w:p w14:paraId="51DAC5F5" w14:textId="77777777" w:rsidR="00D5742B" w:rsidRDefault="00A726EE" w:rsidP="00D5742B">
      <w:pPr>
        <w:tabs>
          <w:tab w:val="left" w:pos="7050"/>
        </w:tabs>
        <w:spacing w:after="0"/>
        <w:rPr>
          <w:rFonts w:asciiTheme="majorHAnsi" w:hAnsiTheme="majorHAnsi"/>
          <w:sz w:val="24"/>
          <w:szCs w:val="24"/>
        </w:rPr>
      </w:pPr>
      <w:r>
        <w:rPr>
          <w:rFonts w:asciiTheme="majorHAnsi" w:hAnsiTheme="majorHAnsi"/>
          <w:sz w:val="24"/>
          <w:szCs w:val="24"/>
        </w:rPr>
        <w:t xml:space="preserve">The </w:t>
      </w:r>
      <w:r w:rsidR="00E247AF">
        <w:rPr>
          <w:rFonts w:asciiTheme="majorHAnsi" w:hAnsiTheme="majorHAnsi"/>
          <w:sz w:val="24"/>
          <w:szCs w:val="24"/>
        </w:rPr>
        <w:t xml:space="preserve">Massachusetts </w:t>
      </w:r>
      <w:r w:rsidR="0058366F">
        <w:rPr>
          <w:rFonts w:asciiTheme="majorHAnsi" w:hAnsiTheme="majorHAnsi"/>
          <w:sz w:val="24"/>
          <w:szCs w:val="24"/>
        </w:rPr>
        <w:t xml:space="preserve">historic rehabilitation tax </w:t>
      </w:r>
      <w:r w:rsidR="00D5742B" w:rsidRPr="00D5742B">
        <w:rPr>
          <w:rFonts w:asciiTheme="majorHAnsi" w:hAnsiTheme="majorHAnsi"/>
          <w:sz w:val="24"/>
          <w:szCs w:val="24"/>
        </w:rPr>
        <w:t>credit</w:t>
      </w:r>
      <w:r w:rsidR="0058366F">
        <w:rPr>
          <w:rFonts w:asciiTheme="majorHAnsi" w:hAnsiTheme="majorHAnsi"/>
          <w:sz w:val="24"/>
          <w:szCs w:val="24"/>
        </w:rPr>
        <w:t xml:space="preserve"> (“</w:t>
      </w:r>
      <w:r w:rsidR="00E247AF">
        <w:rPr>
          <w:rFonts w:asciiTheme="majorHAnsi" w:hAnsiTheme="majorHAnsi"/>
          <w:sz w:val="24"/>
          <w:szCs w:val="24"/>
        </w:rPr>
        <w:t>M</w:t>
      </w:r>
      <w:r w:rsidR="0058366F">
        <w:rPr>
          <w:rFonts w:asciiTheme="majorHAnsi" w:hAnsiTheme="majorHAnsi"/>
          <w:sz w:val="24"/>
          <w:szCs w:val="24"/>
        </w:rPr>
        <w:t>HRTC”)</w:t>
      </w:r>
      <w:r w:rsidR="00D5742B" w:rsidRPr="00D5742B">
        <w:rPr>
          <w:rFonts w:asciiTheme="majorHAnsi" w:hAnsiTheme="majorHAnsi"/>
          <w:sz w:val="24"/>
          <w:szCs w:val="24"/>
        </w:rPr>
        <w:t xml:space="preserve"> </w:t>
      </w:r>
      <w:r>
        <w:rPr>
          <w:rFonts w:asciiTheme="majorHAnsi" w:hAnsiTheme="majorHAnsi"/>
          <w:sz w:val="24"/>
          <w:szCs w:val="24"/>
        </w:rPr>
        <w:t xml:space="preserve">is </w:t>
      </w:r>
      <w:r w:rsidR="00F42D99">
        <w:rPr>
          <w:rFonts w:asciiTheme="majorHAnsi" w:hAnsiTheme="majorHAnsi"/>
          <w:sz w:val="24"/>
          <w:szCs w:val="24"/>
        </w:rPr>
        <w:t xml:space="preserve">a credit </w:t>
      </w:r>
      <w:r>
        <w:rPr>
          <w:rFonts w:asciiTheme="majorHAnsi" w:hAnsiTheme="majorHAnsi"/>
          <w:sz w:val="24"/>
          <w:szCs w:val="24"/>
        </w:rPr>
        <w:t xml:space="preserve">equal to a percentage, not to exceed 20%, of the qualified rehabilitation expenditures made by a taxpayer </w:t>
      </w:r>
      <w:r w:rsidR="009E3689">
        <w:rPr>
          <w:rFonts w:asciiTheme="majorHAnsi" w:hAnsiTheme="majorHAnsi"/>
          <w:sz w:val="24"/>
          <w:szCs w:val="24"/>
        </w:rPr>
        <w:t xml:space="preserve">in rehabilitating </w:t>
      </w:r>
      <w:r>
        <w:rPr>
          <w:rFonts w:asciiTheme="majorHAnsi" w:hAnsiTheme="majorHAnsi"/>
          <w:sz w:val="24"/>
          <w:szCs w:val="24"/>
        </w:rPr>
        <w:t xml:space="preserve">a qualified historic structure which has received final certification by the Massachusetts Historical Commission (“MHC”) and has been placed in service. </w:t>
      </w:r>
      <w:r w:rsidR="00117D55">
        <w:rPr>
          <w:rFonts w:asciiTheme="majorHAnsi" w:hAnsiTheme="majorHAnsi"/>
          <w:sz w:val="24"/>
          <w:szCs w:val="24"/>
        </w:rPr>
        <w:t xml:space="preserve"> The MHRTC is available to both chapter 62 (personal income) and chapter 63 (corporate) taxpayers.</w:t>
      </w:r>
    </w:p>
    <w:p w14:paraId="50E91897" w14:textId="77777777" w:rsidR="00D5742B" w:rsidRPr="00D5742B" w:rsidRDefault="00D5742B" w:rsidP="00D5742B">
      <w:pPr>
        <w:tabs>
          <w:tab w:val="left" w:pos="7050"/>
        </w:tabs>
        <w:spacing w:after="0"/>
        <w:rPr>
          <w:rFonts w:asciiTheme="majorHAnsi" w:hAnsiTheme="majorHAnsi"/>
          <w:sz w:val="24"/>
          <w:szCs w:val="24"/>
        </w:rPr>
      </w:pPr>
    </w:p>
    <w:p w14:paraId="19612D14" w14:textId="77777777" w:rsidR="00D5742B" w:rsidRPr="00D5742B" w:rsidRDefault="00D5742B" w:rsidP="00D5742B">
      <w:pPr>
        <w:tabs>
          <w:tab w:val="left" w:pos="7050"/>
        </w:tabs>
        <w:spacing w:after="0"/>
        <w:rPr>
          <w:rFonts w:asciiTheme="majorHAnsi" w:hAnsiTheme="majorHAnsi"/>
          <w:sz w:val="24"/>
          <w:szCs w:val="24"/>
        </w:rPr>
      </w:pPr>
      <w:r w:rsidRPr="00D5742B">
        <w:rPr>
          <w:rFonts w:asciiTheme="majorHAnsi" w:hAnsiTheme="majorHAnsi"/>
          <w:sz w:val="24"/>
          <w:szCs w:val="24"/>
        </w:rPr>
        <w:t xml:space="preserve">Unused portions of the </w:t>
      </w:r>
      <w:r w:rsidR="00E247AF">
        <w:rPr>
          <w:rFonts w:asciiTheme="majorHAnsi" w:hAnsiTheme="majorHAnsi"/>
          <w:sz w:val="24"/>
          <w:szCs w:val="24"/>
        </w:rPr>
        <w:t>M</w:t>
      </w:r>
      <w:r w:rsidR="009E3689">
        <w:rPr>
          <w:rFonts w:asciiTheme="majorHAnsi" w:hAnsiTheme="majorHAnsi"/>
          <w:sz w:val="24"/>
          <w:szCs w:val="24"/>
        </w:rPr>
        <w:t>HRTC</w:t>
      </w:r>
      <w:r w:rsidRPr="00D5742B">
        <w:rPr>
          <w:rFonts w:asciiTheme="majorHAnsi" w:hAnsiTheme="majorHAnsi"/>
          <w:sz w:val="24"/>
          <w:szCs w:val="24"/>
        </w:rPr>
        <w:t xml:space="preserve"> may be carried forward for up to 5 years and </w:t>
      </w:r>
      <w:r w:rsidR="001953FF">
        <w:rPr>
          <w:rFonts w:asciiTheme="majorHAnsi" w:hAnsiTheme="majorHAnsi"/>
          <w:sz w:val="24"/>
          <w:szCs w:val="24"/>
        </w:rPr>
        <w:t xml:space="preserve">may be </w:t>
      </w:r>
      <w:r w:rsidRPr="00D5742B">
        <w:rPr>
          <w:rFonts w:asciiTheme="majorHAnsi" w:hAnsiTheme="majorHAnsi"/>
          <w:sz w:val="24"/>
          <w:szCs w:val="24"/>
        </w:rPr>
        <w:t xml:space="preserve">transferred or sold to another taxpayer, but are not refundable. The </w:t>
      </w:r>
      <w:r w:rsidR="00E247AF">
        <w:rPr>
          <w:rFonts w:asciiTheme="majorHAnsi" w:hAnsiTheme="majorHAnsi"/>
          <w:sz w:val="24"/>
          <w:szCs w:val="24"/>
        </w:rPr>
        <w:t>M</w:t>
      </w:r>
      <w:r w:rsidRPr="00D5742B">
        <w:rPr>
          <w:rFonts w:asciiTheme="majorHAnsi" w:hAnsiTheme="majorHAnsi"/>
          <w:sz w:val="24"/>
          <w:szCs w:val="24"/>
        </w:rPr>
        <w:t>HR</w:t>
      </w:r>
      <w:r w:rsidR="009E3689">
        <w:rPr>
          <w:rFonts w:asciiTheme="majorHAnsi" w:hAnsiTheme="majorHAnsi"/>
          <w:sz w:val="24"/>
          <w:szCs w:val="24"/>
        </w:rPr>
        <w:t>T</w:t>
      </w:r>
      <w:r w:rsidRPr="00D5742B">
        <w:rPr>
          <w:rFonts w:asciiTheme="majorHAnsi" w:hAnsiTheme="majorHAnsi"/>
          <w:sz w:val="24"/>
          <w:szCs w:val="24"/>
        </w:rPr>
        <w:t xml:space="preserve">C </w:t>
      </w:r>
      <w:r w:rsidR="00FA40F8">
        <w:rPr>
          <w:rFonts w:asciiTheme="majorHAnsi" w:hAnsiTheme="majorHAnsi"/>
          <w:sz w:val="24"/>
          <w:szCs w:val="24"/>
        </w:rPr>
        <w:t>cannot be used to reduce the corporate excise due below the minimum excise provided by G.L. c. 63, § 39(b)</w:t>
      </w:r>
      <w:r w:rsidR="001A21D2">
        <w:rPr>
          <w:rFonts w:asciiTheme="majorHAnsi" w:hAnsiTheme="majorHAnsi"/>
          <w:sz w:val="24"/>
          <w:szCs w:val="24"/>
        </w:rPr>
        <w:t xml:space="preserve">, currently </w:t>
      </w:r>
      <w:r w:rsidR="007E6C12">
        <w:rPr>
          <w:rFonts w:asciiTheme="majorHAnsi" w:hAnsiTheme="majorHAnsi"/>
          <w:sz w:val="24"/>
          <w:szCs w:val="24"/>
        </w:rPr>
        <w:t>$</w:t>
      </w:r>
      <w:r w:rsidR="001A21D2">
        <w:rPr>
          <w:rFonts w:asciiTheme="majorHAnsi" w:hAnsiTheme="majorHAnsi"/>
          <w:sz w:val="24"/>
          <w:szCs w:val="24"/>
        </w:rPr>
        <w:t>456</w:t>
      </w:r>
      <w:r w:rsidR="001953FF">
        <w:rPr>
          <w:rFonts w:asciiTheme="majorHAnsi" w:hAnsiTheme="majorHAnsi"/>
          <w:sz w:val="24"/>
          <w:szCs w:val="24"/>
        </w:rPr>
        <w:t>.  T</w:t>
      </w:r>
      <w:r w:rsidR="001A21D2">
        <w:rPr>
          <w:rFonts w:asciiTheme="majorHAnsi" w:hAnsiTheme="majorHAnsi"/>
          <w:sz w:val="24"/>
          <w:szCs w:val="24"/>
        </w:rPr>
        <w:t xml:space="preserve">he allowable </w:t>
      </w:r>
      <w:r w:rsidR="006A1AA0">
        <w:rPr>
          <w:rFonts w:asciiTheme="majorHAnsi" w:hAnsiTheme="majorHAnsi"/>
          <w:sz w:val="24"/>
          <w:szCs w:val="24"/>
        </w:rPr>
        <w:t xml:space="preserve">corporate </w:t>
      </w:r>
      <w:r w:rsidR="001A21D2">
        <w:rPr>
          <w:rFonts w:asciiTheme="majorHAnsi" w:hAnsiTheme="majorHAnsi"/>
          <w:sz w:val="24"/>
          <w:szCs w:val="24"/>
        </w:rPr>
        <w:t>credit is not subject to the 50% limitation of G.L. c. 63, § 32C</w:t>
      </w:r>
      <w:r w:rsidRPr="00D5742B">
        <w:rPr>
          <w:rFonts w:asciiTheme="majorHAnsi" w:hAnsiTheme="majorHAnsi"/>
          <w:sz w:val="24"/>
          <w:szCs w:val="24"/>
        </w:rPr>
        <w:t xml:space="preserve">. </w:t>
      </w:r>
      <w:r w:rsidR="000E27A7" w:rsidRPr="00DA0F30">
        <w:rPr>
          <w:rFonts w:asciiTheme="majorHAnsi" w:hAnsiTheme="majorHAnsi" w:cs="Helvetica"/>
          <w:color w:val="141414"/>
          <w:sz w:val="24"/>
          <w:szCs w:val="24"/>
        </w:rPr>
        <w:t>If, before the end of the five</w:t>
      </w:r>
      <w:r w:rsidR="007E6C12">
        <w:rPr>
          <w:rFonts w:asciiTheme="majorHAnsi" w:hAnsiTheme="majorHAnsi" w:cs="Helvetica"/>
          <w:color w:val="141414"/>
          <w:sz w:val="24"/>
          <w:szCs w:val="24"/>
        </w:rPr>
        <w:t>-</w:t>
      </w:r>
      <w:r w:rsidR="000E27A7" w:rsidRPr="00DA0F30">
        <w:rPr>
          <w:rFonts w:asciiTheme="majorHAnsi" w:hAnsiTheme="majorHAnsi" w:cs="Helvetica"/>
          <w:color w:val="141414"/>
          <w:sz w:val="24"/>
          <w:szCs w:val="24"/>
        </w:rPr>
        <w:t xml:space="preserve">year period beginning on the date on which the qualified historic structure received final certification and was placed in service, the taxpayer disposes of </w:t>
      </w:r>
      <w:r w:rsidR="007E6C12">
        <w:rPr>
          <w:rFonts w:asciiTheme="majorHAnsi" w:hAnsiTheme="majorHAnsi" w:cs="Helvetica"/>
          <w:color w:val="141414"/>
          <w:sz w:val="24"/>
          <w:szCs w:val="24"/>
        </w:rPr>
        <w:t>its</w:t>
      </w:r>
      <w:r w:rsidR="000E27A7" w:rsidRPr="00DA0F30">
        <w:rPr>
          <w:rFonts w:asciiTheme="majorHAnsi" w:hAnsiTheme="majorHAnsi" w:cs="Helvetica"/>
          <w:color w:val="141414"/>
          <w:sz w:val="24"/>
          <w:szCs w:val="24"/>
        </w:rPr>
        <w:t xml:space="preserve"> interest in the structure, the </w:t>
      </w:r>
      <w:r w:rsidR="007E6C12">
        <w:rPr>
          <w:rFonts w:asciiTheme="majorHAnsi" w:hAnsiTheme="majorHAnsi" w:cs="Helvetica"/>
          <w:color w:val="141414"/>
          <w:sz w:val="24"/>
          <w:szCs w:val="24"/>
        </w:rPr>
        <w:t xml:space="preserve">credit </w:t>
      </w:r>
      <w:r w:rsidR="007E6C12" w:rsidRPr="00DA0F30">
        <w:rPr>
          <w:rFonts w:asciiTheme="majorHAnsi" w:hAnsiTheme="majorHAnsi" w:cs="Helvetica"/>
          <w:color w:val="141414"/>
          <w:sz w:val="24"/>
          <w:szCs w:val="24"/>
        </w:rPr>
        <w:t xml:space="preserve">will be subject to recapture </w:t>
      </w:r>
      <w:r w:rsidR="007E6C12">
        <w:rPr>
          <w:rFonts w:asciiTheme="majorHAnsi" w:hAnsiTheme="majorHAnsi" w:cs="Helvetica"/>
          <w:color w:val="141414"/>
          <w:sz w:val="24"/>
          <w:szCs w:val="24"/>
        </w:rPr>
        <w:t xml:space="preserve">and the </w:t>
      </w:r>
      <w:r w:rsidR="000E27A7" w:rsidRPr="00DA0F30">
        <w:rPr>
          <w:rFonts w:asciiTheme="majorHAnsi" w:hAnsiTheme="majorHAnsi" w:cs="Helvetica"/>
          <w:color w:val="141414"/>
          <w:sz w:val="24"/>
          <w:szCs w:val="24"/>
        </w:rPr>
        <w:t>taxpayer's tax for the taxable year in which the disposition occurs will be increased by the recapture amount.</w:t>
      </w:r>
      <w:r w:rsidR="000E27A7">
        <w:rPr>
          <w:rFonts w:ascii="Helvetica" w:hAnsi="Helvetica" w:cs="Helvetica"/>
          <w:color w:val="141414"/>
          <w:sz w:val="33"/>
          <w:szCs w:val="33"/>
        </w:rPr>
        <w:t xml:space="preserve"> </w:t>
      </w:r>
    </w:p>
    <w:p w14:paraId="400B1209" w14:textId="77777777" w:rsidR="00D5742B" w:rsidRPr="00D5742B" w:rsidRDefault="00D5742B" w:rsidP="00D5742B">
      <w:pPr>
        <w:tabs>
          <w:tab w:val="left" w:pos="7050"/>
        </w:tabs>
        <w:spacing w:after="0"/>
        <w:rPr>
          <w:rFonts w:asciiTheme="majorHAnsi" w:hAnsiTheme="majorHAnsi"/>
          <w:sz w:val="24"/>
          <w:szCs w:val="24"/>
        </w:rPr>
      </w:pPr>
    </w:p>
    <w:p w14:paraId="03BFBED6" w14:textId="77777777" w:rsidR="00D5742B" w:rsidRPr="00D5742B" w:rsidRDefault="00D420BF" w:rsidP="00D5742B">
      <w:pPr>
        <w:tabs>
          <w:tab w:val="left" w:pos="7050"/>
        </w:tabs>
        <w:spacing w:after="0"/>
        <w:rPr>
          <w:rFonts w:asciiTheme="majorHAnsi" w:hAnsiTheme="majorHAnsi"/>
          <w:sz w:val="24"/>
          <w:szCs w:val="24"/>
        </w:rPr>
      </w:pPr>
      <w:r w:rsidRPr="00D420BF">
        <w:rPr>
          <w:rFonts w:asciiTheme="majorHAnsi" w:hAnsiTheme="majorHAnsi"/>
          <w:sz w:val="24"/>
          <w:szCs w:val="24"/>
        </w:rPr>
        <w:t>Th</w:t>
      </w:r>
      <w:r w:rsidR="00D5742B" w:rsidRPr="007E6C12">
        <w:rPr>
          <w:rFonts w:asciiTheme="majorHAnsi" w:hAnsiTheme="majorHAnsi"/>
          <w:sz w:val="24"/>
          <w:szCs w:val="24"/>
        </w:rPr>
        <w:t xml:space="preserve">e </w:t>
      </w:r>
      <w:r w:rsidR="00F42D99" w:rsidRPr="007E6C12">
        <w:rPr>
          <w:rFonts w:asciiTheme="majorHAnsi" w:hAnsiTheme="majorHAnsi"/>
          <w:sz w:val="24"/>
          <w:szCs w:val="24"/>
        </w:rPr>
        <w:t>MHRTC</w:t>
      </w:r>
      <w:r w:rsidR="00D5742B" w:rsidRPr="007E6C12">
        <w:rPr>
          <w:rFonts w:asciiTheme="majorHAnsi" w:hAnsiTheme="majorHAnsi"/>
          <w:sz w:val="24"/>
          <w:szCs w:val="24"/>
        </w:rPr>
        <w:t xml:space="preserve"> </w:t>
      </w:r>
      <w:r w:rsidRPr="007E6C12">
        <w:rPr>
          <w:rFonts w:asciiTheme="majorHAnsi" w:hAnsiTheme="majorHAnsi"/>
          <w:sz w:val="24"/>
          <w:szCs w:val="24"/>
        </w:rPr>
        <w:t xml:space="preserve">is </w:t>
      </w:r>
      <w:r w:rsidR="00C80211">
        <w:rPr>
          <w:rFonts w:asciiTheme="majorHAnsi" w:hAnsiTheme="majorHAnsi"/>
          <w:sz w:val="24"/>
          <w:szCs w:val="24"/>
        </w:rPr>
        <w:t xml:space="preserve">currently </w:t>
      </w:r>
      <w:r w:rsidRPr="007E6C12">
        <w:rPr>
          <w:rFonts w:asciiTheme="majorHAnsi" w:hAnsiTheme="majorHAnsi"/>
          <w:sz w:val="24"/>
          <w:szCs w:val="24"/>
        </w:rPr>
        <w:t xml:space="preserve">capped at $55 million per year, effective for taxable years beginning January 1, 2018 </w:t>
      </w:r>
      <w:r w:rsidR="008D1A41">
        <w:rPr>
          <w:rFonts w:asciiTheme="majorHAnsi" w:hAnsiTheme="majorHAnsi"/>
          <w:sz w:val="24"/>
          <w:szCs w:val="24"/>
        </w:rPr>
        <w:t xml:space="preserve">and ending </w:t>
      </w:r>
      <w:r w:rsidRPr="007E6C12">
        <w:rPr>
          <w:rFonts w:asciiTheme="majorHAnsi" w:hAnsiTheme="majorHAnsi"/>
          <w:sz w:val="24"/>
          <w:szCs w:val="24"/>
        </w:rPr>
        <w:t xml:space="preserve">December 31, 2022. </w:t>
      </w:r>
      <w:r w:rsidR="007E6C12">
        <w:rPr>
          <w:rFonts w:asciiTheme="majorHAnsi" w:hAnsiTheme="majorHAnsi"/>
          <w:sz w:val="24"/>
          <w:szCs w:val="24"/>
        </w:rPr>
        <w:t>P</w:t>
      </w:r>
      <w:r w:rsidR="0019515B">
        <w:rPr>
          <w:rFonts w:asciiTheme="majorHAnsi" w:hAnsiTheme="majorHAnsi"/>
          <w:sz w:val="24"/>
          <w:szCs w:val="24"/>
        </w:rPr>
        <w:t>revious</w:t>
      </w:r>
      <w:r w:rsidR="007E6C12">
        <w:rPr>
          <w:rFonts w:asciiTheme="majorHAnsi" w:hAnsiTheme="majorHAnsi"/>
          <w:sz w:val="24"/>
          <w:szCs w:val="24"/>
        </w:rPr>
        <w:t>ly the</w:t>
      </w:r>
      <w:r w:rsidR="0019515B">
        <w:rPr>
          <w:rFonts w:asciiTheme="majorHAnsi" w:hAnsiTheme="majorHAnsi"/>
          <w:sz w:val="24"/>
          <w:szCs w:val="24"/>
        </w:rPr>
        <w:t xml:space="preserve"> cap was set at $50 million per year, for taxable years beginning January 1</w:t>
      </w:r>
      <w:r w:rsidR="007E6C12">
        <w:rPr>
          <w:rFonts w:asciiTheme="majorHAnsi" w:hAnsiTheme="majorHAnsi"/>
          <w:sz w:val="24"/>
          <w:szCs w:val="24"/>
        </w:rPr>
        <w:t>,</w:t>
      </w:r>
      <w:r w:rsidR="0019515B">
        <w:rPr>
          <w:rFonts w:asciiTheme="majorHAnsi" w:hAnsiTheme="majorHAnsi"/>
          <w:sz w:val="24"/>
          <w:szCs w:val="24"/>
        </w:rPr>
        <w:t xml:space="preserve"> 2017</w:t>
      </w:r>
      <w:r w:rsidR="007E6C12">
        <w:rPr>
          <w:rFonts w:asciiTheme="majorHAnsi" w:hAnsiTheme="majorHAnsi"/>
          <w:sz w:val="24"/>
          <w:szCs w:val="24"/>
        </w:rPr>
        <w:t xml:space="preserve"> </w:t>
      </w:r>
      <w:r w:rsidR="008D1A41">
        <w:rPr>
          <w:rFonts w:asciiTheme="majorHAnsi" w:hAnsiTheme="majorHAnsi"/>
          <w:sz w:val="24"/>
          <w:szCs w:val="24"/>
        </w:rPr>
        <w:t>and ending</w:t>
      </w:r>
      <w:r w:rsidR="007E6C12" w:rsidRPr="007E6C12">
        <w:rPr>
          <w:rFonts w:asciiTheme="majorHAnsi" w:hAnsiTheme="majorHAnsi"/>
          <w:sz w:val="24"/>
          <w:szCs w:val="24"/>
        </w:rPr>
        <w:t xml:space="preserve"> December 31, 2022</w:t>
      </w:r>
      <w:r w:rsidR="0019515B">
        <w:rPr>
          <w:rFonts w:asciiTheme="majorHAnsi" w:hAnsiTheme="majorHAnsi"/>
          <w:sz w:val="24"/>
          <w:szCs w:val="24"/>
        </w:rPr>
        <w:t xml:space="preserve">. </w:t>
      </w:r>
      <w:r w:rsidR="00C80211">
        <w:rPr>
          <w:rFonts w:asciiTheme="majorHAnsi" w:hAnsiTheme="majorHAnsi"/>
          <w:sz w:val="24"/>
          <w:szCs w:val="24"/>
        </w:rPr>
        <w:t>The original cap was set at</w:t>
      </w:r>
      <w:r w:rsidR="00244D60">
        <w:rPr>
          <w:rFonts w:asciiTheme="majorHAnsi" w:hAnsiTheme="majorHAnsi"/>
          <w:sz w:val="24"/>
          <w:szCs w:val="24"/>
        </w:rPr>
        <w:t xml:space="preserve"> </w:t>
      </w:r>
      <w:r w:rsidR="00C80211" w:rsidRPr="00C80211">
        <w:rPr>
          <w:rFonts w:asciiTheme="majorHAnsi" w:hAnsiTheme="majorHAnsi"/>
          <w:sz w:val="24"/>
          <w:szCs w:val="24"/>
        </w:rPr>
        <w:t>$15 million per year, effective for taxable years beginning January 1, 2005 and ending December 31, 2009</w:t>
      </w:r>
      <w:r w:rsidR="0019515B">
        <w:rPr>
          <w:rFonts w:asciiTheme="majorHAnsi" w:hAnsiTheme="majorHAnsi"/>
          <w:sz w:val="24"/>
          <w:szCs w:val="24"/>
        </w:rPr>
        <w:t>.</w:t>
      </w:r>
    </w:p>
    <w:p w14:paraId="6E08C9DE" w14:textId="77777777" w:rsidR="008D1A41" w:rsidRDefault="008D1A41" w:rsidP="00D5742B">
      <w:pPr>
        <w:tabs>
          <w:tab w:val="left" w:pos="7050"/>
        </w:tabs>
        <w:spacing w:after="0"/>
        <w:rPr>
          <w:rFonts w:asciiTheme="majorHAnsi" w:hAnsiTheme="majorHAnsi"/>
          <w:sz w:val="24"/>
          <w:szCs w:val="24"/>
        </w:rPr>
      </w:pPr>
    </w:p>
    <w:p w14:paraId="62353757" w14:textId="77777777" w:rsidR="00291074" w:rsidRDefault="00D5742B" w:rsidP="00D5742B">
      <w:pPr>
        <w:tabs>
          <w:tab w:val="left" w:pos="7050"/>
        </w:tabs>
        <w:spacing w:after="0"/>
        <w:rPr>
          <w:rFonts w:asciiTheme="majorHAnsi" w:hAnsiTheme="majorHAnsi"/>
          <w:sz w:val="24"/>
          <w:szCs w:val="24"/>
        </w:rPr>
      </w:pPr>
      <w:r w:rsidRPr="00D5742B">
        <w:rPr>
          <w:rFonts w:asciiTheme="majorHAnsi" w:hAnsiTheme="majorHAnsi"/>
          <w:sz w:val="24"/>
          <w:szCs w:val="24"/>
        </w:rPr>
        <w:t xml:space="preserve">Effective August 13, 2014, </w:t>
      </w:r>
      <w:r w:rsidR="008903C5">
        <w:rPr>
          <w:rFonts w:asciiTheme="majorHAnsi" w:hAnsiTheme="majorHAnsi"/>
          <w:sz w:val="24"/>
          <w:szCs w:val="24"/>
        </w:rPr>
        <w:t xml:space="preserve">taxpayers </w:t>
      </w:r>
      <w:r w:rsidR="008903C5" w:rsidRPr="008903C5">
        <w:rPr>
          <w:rFonts w:asciiTheme="majorHAnsi" w:hAnsiTheme="majorHAnsi"/>
          <w:sz w:val="24"/>
          <w:szCs w:val="24"/>
        </w:rPr>
        <w:t xml:space="preserve">subject to the personal income tax imposed by G.L. c. 62 that acquire a qualified historic structure </w:t>
      </w:r>
      <w:r w:rsidR="008903C5">
        <w:rPr>
          <w:rFonts w:asciiTheme="majorHAnsi" w:hAnsiTheme="majorHAnsi"/>
          <w:sz w:val="24"/>
          <w:szCs w:val="24"/>
        </w:rPr>
        <w:t xml:space="preserve">may transfer MHRTC awards subject to criteria established by </w:t>
      </w:r>
      <w:r w:rsidR="00DB768B">
        <w:rPr>
          <w:rFonts w:asciiTheme="majorHAnsi" w:hAnsiTheme="majorHAnsi"/>
          <w:sz w:val="24"/>
          <w:szCs w:val="24"/>
        </w:rPr>
        <w:t xml:space="preserve">the </w:t>
      </w:r>
      <w:r w:rsidRPr="00D5742B">
        <w:rPr>
          <w:rFonts w:asciiTheme="majorHAnsi" w:hAnsiTheme="majorHAnsi"/>
          <w:sz w:val="24"/>
          <w:szCs w:val="24"/>
        </w:rPr>
        <w:t xml:space="preserve">MHC. In the case of a multi-phased project </w:t>
      </w:r>
      <w:r w:rsidR="00E247AF">
        <w:rPr>
          <w:rFonts w:asciiTheme="majorHAnsi" w:hAnsiTheme="majorHAnsi"/>
          <w:sz w:val="24"/>
          <w:szCs w:val="24"/>
        </w:rPr>
        <w:t>M</w:t>
      </w:r>
      <w:r w:rsidRPr="00D5742B">
        <w:rPr>
          <w:rFonts w:asciiTheme="majorHAnsi" w:hAnsiTheme="majorHAnsi"/>
          <w:sz w:val="24"/>
          <w:szCs w:val="24"/>
        </w:rPr>
        <w:t>HR</w:t>
      </w:r>
      <w:r w:rsidR="009E3689">
        <w:rPr>
          <w:rFonts w:asciiTheme="majorHAnsi" w:hAnsiTheme="majorHAnsi"/>
          <w:sz w:val="24"/>
          <w:szCs w:val="24"/>
        </w:rPr>
        <w:t>T</w:t>
      </w:r>
      <w:r w:rsidRPr="00D5742B">
        <w:rPr>
          <w:rFonts w:asciiTheme="majorHAnsi" w:hAnsiTheme="majorHAnsi"/>
          <w:sz w:val="24"/>
          <w:szCs w:val="24"/>
        </w:rPr>
        <w:t xml:space="preserve">C awards </w:t>
      </w:r>
      <w:r w:rsidR="0033710A">
        <w:rPr>
          <w:rFonts w:asciiTheme="majorHAnsi" w:hAnsiTheme="majorHAnsi"/>
          <w:sz w:val="24"/>
          <w:szCs w:val="24"/>
        </w:rPr>
        <w:t xml:space="preserve">may be </w:t>
      </w:r>
      <w:r w:rsidR="007E6C12">
        <w:rPr>
          <w:rFonts w:asciiTheme="majorHAnsi" w:hAnsiTheme="majorHAnsi"/>
          <w:sz w:val="24"/>
          <w:szCs w:val="24"/>
        </w:rPr>
        <w:t xml:space="preserve">transferred </w:t>
      </w:r>
      <w:r w:rsidRPr="00D5742B">
        <w:rPr>
          <w:rFonts w:asciiTheme="majorHAnsi" w:hAnsiTheme="majorHAnsi"/>
          <w:sz w:val="24"/>
          <w:szCs w:val="24"/>
        </w:rPr>
        <w:t xml:space="preserve">for any phase </w:t>
      </w:r>
      <w:r w:rsidR="0033710A">
        <w:rPr>
          <w:rFonts w:asciiTheme="majorHAnsi" w:hAnsiTheme="majorHAnsi"/>
          <w:sz w:val="24"/>
          <w:szCs w:val="24"/>
        </w:rPr>
        <w:t xml:space="preserve">of the project </w:t>
      </w:r>
      <w:r w:rsidRPr="00D5742B">
        <w:rPr>
          <w:rFonts w:asciiTheme="majorHAnsi" w:hAnsiTheme="majorHAnsi"/>
          <w:sz w:val="24"/>
          <w:szCs w:val="24"/>
        </w:rPr>
        <w:t xml:space="preserve">that meets the </w:t>
      </w:r>
      <w:r w:rsidR="006A1AA0">
        <w:rPr>
          <w:rFonts w:asciiTheme="majorHAnsi" w:hAnsiTheme="majorHAnsi"/>
          <w:sz w:val="24"/>
          <w:szCs w:val="24"/>
        </w:rPr>
        <w:t xml:space="preserve">MHC’s </w:t>
      </w:r>
      <w:r w:rsidRPr="00D5742B">
        <w:rPr>
          <w:rFonts w:asciiTheme="majorHAnsi" w:hAnsiTheme="majorHAnsi"/>
          <w:sz w:val="24"/>
          <w:szCs w:val="24"/>
        </w:rPr>
        <w:t xml:space="preserve">criteria. Effective August 10, 2016, </w:t>
      </w:r>
      <w:r w:rsidR="006A1AA0">
        <w:rPr>
          <w:rFonts w:asciiTheme="majorHAnsi" w:hAnsiTheme="majorHAnsi"/>
          <w:sz w:val="24"/>
          <w:szCs w:val="24"/>
        </w:rPr>
        <w:t xml:space="preserve">MHRTC awards also may be transferred by </w:t>
      </w:r>
      <w:r w:rsidRPr="00D5742B">
        <w:rPr>
          <w:rFonts w:asciiTheme="majorHAnsi" w:hAnsiTheme="majorHAnsi"/>
          <w:sz w:val="24"/>
          <w:szCs w:val="24"/>
        </w:rPr>
        <w:t>taxpayers subject to the corporat</w:t>
      </w:r>
      <w:r w:rsidR="006A1AA0">
        <w:rPr>
          <w:rFonts w:asciiTheme="majorHAnsi" w:hAnsiTheme="majorHAnsi"/>
          <w:sz w:val="24"/>
          <w:szCs w:val="24"/>
        </w:rPr>
        <w:t>e</w:t>
      </w:r>
      <w:r w:rsidRPr="00D5742B">
        <w:rPr>
          <w:rFonts w:asciiTheme="majorHAnsi" w:hAnsiTheme="majorHAnsi"/>
          <w:sz w:val="24"/>
          <w:szCs w:val="24"/>
        </w:rPr>
        <w:t xml:space="preserve"> excise under G.L. c. 63. </w:t>
      </w:r>
      <w:r w:rsidRPr="00F2363C">
        <w:rPr>
          <w:rFonts w:asciiTheme="majorHAnsi" w:hAnsiTheme="majorHAnsi"/>
          <w:sz w:val="24"/>
          <w:szCs w:val="24"/>
        </w:rPr>
        <w:t xml:space="preserve">See TIR </w:t>
      </w:r>
      <w:r w:rsidR="00A028C0" w:rsidRPr="00F2363C">
        <w:rPr>
          <w:rFonts w:asciiTheme="majorHAnsi" w:hAnsiTheme="majorHAnsi"/>
          <w:sz w:val="24"/>
          <w:szCs w:val="24"/>
        </w:rPr>
        <w:t>15-6</w:t>
      </w:r>
      <w:r w:rsidRPr="00F2363C">
        <w:rPr>
          <w:rFonts w:asciiTheme="majorHAnsi" w:hAnsiTheme="majorHAnsi"/>
          <w:sz w:val="24"/>
          <w:szCs w:val="24"/>
        </w:rPr>
        <w:t xml:space="preserve"> and 16-15.</w:t>
      </w:r>
      <w:r>
        <w:rPr>
          <w:rFonts w:asciiTheme="majorHAnsi" w:hAnsiTheme="majorHAnsi"/>
          <w:sz w:val="24"/>
          <w:szCs w:val="24"/>
        </w:rPr>
        <w:t xml:space="preserve">  </w:t>
      </w:r>
    </w:p>
    <w:p w14:paraId="2E9901D0" w14:textId="77777777" w:rsidR="00D5742B" w:rsidRPr="00003FFA" w:rsidRDefault="00D5742B" w:rsidP="00D5742B">
      <w:pPr>
        <w:tabs>
          <w:tab w:val="left" w:pos="7050"/>
        </w:tabs>
        <w:spacing w:after="0"/>
        <w:rPr>
          <w:rFonts w:asciiTheme="majorHAnsi" w:hAnsiTheme="majorHAnsi"/>
          <w:sz w:val="24"/>
          <w:szCs w:val="24"/>
        </w:rPr>
      </w:pPr>
    </w:p>
    <w:p w14:paraId="3EE7500B" w14:textId="77777777" w:rsidR="00291074" w:rsidRDefault="00291074" w:rsidP="00291074">
      <w:pPr>
        <w:tabs>
          <w:tab w:val="left" w:pos="7050"/>
        </w:tabs>
        <w:spacing w:after="0"/>
        <w:rPr>
          <w:rFonts w:asciiTheme="majorHAnsi" w:hAnsiTheme="majorHAnsi"/>
          <w:sz w:val="24"/>
          <w:szCs w:val="24"/>
        </w:rPr>
      </w:pPr>
      <w:r w:rsidRPr="005C5281">
        <w:rPr>
          <w:rFonts w:asciiTheme="majorHAnsi" w:hAnsiTheme="majorHAnsi"/>
          <w:sz w:val="24"/>
          <w:szCs w:val="24"/>
        </w:rPr>
        <w:t xml:space="preserve"> </w:t>
      </w:r>
    </w:p>
    <w:p w14:paraId="4AF69AC6"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INTENT OF THE TAX EXPENDITURE</w:t>
      </w:r>
    </w:p>
    <w:p w14:paraId="719C8388" w14:textId="77777777" w:rsidR="00291074" w:rsidRPr="00D17E9D" w:rsidRDefault="00291074" w:rsidP="00A84539">
      <w:pPr>
        <w:tabs>
          <w:tab w:val="left" w:pos="7050"/>
        </w:tabs>
        <w:spacing w:after="0"/>
        <w:rPr>
          <w:rFonts w:asciiTheme="majorHAnsi" w:hAnsiTheme="majorHAnsi"/>
          <w:i/>
          <w:iCs/>
          <w:sz w:val="24"/>
          <w:szCs w:val="24"/>
        </w:rPr>
      </w:pPr>
    </w:p>
    <w:p w14:paraId="1C6EDDF0" w14:textId="77777777" w:rsidR="008D1A41" w:rsidRPr="008D1A41" w:rsidRDefault="00A35516" w:rsidP="00A84539">
      <w:pPr>
        <w:tabs>
          <w:tab w:val="left" w:pos="7050"/>
        </w:tabs>
        <w:spacing w:after="0"/>
        <w:rPr>
          <w:rFonts w:asciiTheme="majorHAnsi" w:hAnsiTheme="majorHAnsi"/>
          <w:sz w:val="24"/>
          <w:szCs w:val="24"/>
        </w:rPr>
      </w:pPr>
      <w:r>
        <w:rPr>
          <w:rFonts w:asciiTheme="majorHAnsi" w:hAnsiTheme="majorHAnsi"/>
          <w:sz w:val="24"/>
          <w:szCs w:val="24"/>
        </w:rPr>
        <w:t xml:space="preserve">The intent of the MHRTC is to </w:t>
      </w:r>
      <w:r w:rsidRPr="00A35516">
        <w:rPr>
          <w:rFonts w:asciiTheme="majorHAnsi" w:hAnsiTheme="majorHAnsi"/>
          <w:sz w:val="24"/>
          <w:szCs w:val="24"/>
        </w:rPr>
        <w:t>encourage private sector investment in the rehabilitation and re-</w:t>
      </w:r>
      <w:r>
        <w:rPr>
          <w:rFonts w:asciiTheme="majorHAnsi" w:hAnsiTheme="majorHAnsi"/>
          <w:sz w:val="24"/>
          <w:szCs w:val="24"/>
        </w:rPr>
        <w:t xml:space="preserve">purposing </w:t>
      </w:r>
      <w:r w:rsidRPr="00A35516">
        <w:rPr>
          <w:rFonts w:asciiTheme="majorHAnsi" w:hAnsiTheme="majorHAnsi"/>
          <w:sz w:val="24"/>
          <w:szCs w:val="24"/>
        </w:rPr>
        <w:t>of historic buildings</w:t>
      </w:r>
      <w:r w:rsidR="00FA211C">
        <w:rPr>
          <w:rFonts w:asciiTheme="majorHAnsi" w:hAnsiTheme="majorHAnsi"/>
          <w:sz w:val="24"/>
          <w:szCs w:val="24"/>
        </w:rPr>
        <w:t xml:space="preserve">, as well as to </w:t>
      </w:r>
      <w:r w:rsidR="007E6C12">
        <w:rPr>
          <w:rFonts w:asciiTheme="majorHAnsi" w:hAnsiTheme="majorHAnsi"/>
          <w:sz w:val="24"/>
          <w:szCs w:val="24"/>
        </w:rPr>
        <w:t>create</w:t>
      </w:r>
      <w:r w:rsidR="007E6C12" w:rsidRPr="00A35516">
        <w:rPr>
          <w:rFonts w:asciiTheme="majorHAnsi" w:hAnsiTheme="majorHAnsi"/>
          <w:sz w:val="24"/>
          <w:szCs w:val="24"/>
        </w:rPr>
        <w:t xml:space="preserve"> </w:t>
      </w:r>
      <w:r w:rsidRPr="00A35516">
        <w:rPr>
          <w:rFonts w:asciiTheme="majorHAnsi" w:hAnsiTheme="majorHAnsi"/>
          <w:sz w:val="24"/>
          <w:szCs w:val="24"/>
        </w:rPr>
        <w:t xml:space="preserve">jobs and </w:t>
      </w:r>
      <w:r>
        <w:rPr>
          <w:rFonts w:asciiTheme="majorHAnsi" w:hAnsiTheme="majorHAnsi"/>
          <w:sz w:val="24"/>
          <w:szCs w:val="24"/>
        </w:rPr>
        <w:t xml:space="preserve">support </w:t>
      </w:r>
      <w:r w:rsidRPr="00A35516">
        <w:rPr>
          <w:rFonts w:asciiTheme="majorHAnsi" w:hAnsiTheme="majorHAnsi"/>
          <w:sz w:val="24"/>
          <w:szCs w:val="24"/>
        </w:rPr>
        <w:t>community revitalization programs</w:t>
      </w:r>
      <w:r w:rsidR="00682CCB">
        <w:rPr>
          <w:rFonts w:asciiTheme="majorHAnsi" w:hAnsiTheme="majorHAnsi"/>
          <w:sz w:val="24"/>
          <w:szCs w:val="24"/>
        </w:rPr>
        <w:t>.</w:t>
      </w:r>
      <w:r w:rsidR="008D1A41">
        <w:rPr>
          <w:rFonts w:asciiTheme="majorHAnsi" w:hAnsiTheme="majorHAnsi"/>
          <w:sz w:val="24"/>
          <w:szCs w:val="24"/>
        </w:rPr>
        <w:t xml:space="preserve"> </w:t>
      </w:r>
      <w:r w:rsidR="008D1A41" w:rsidRPr="008D1A41">
        <w:rPr>
          <w:rFonts w:asciiTheme="majorHAnsi" w:hAnsiTheme="majorHAnsi"/>
          <w:sz w:val="24"/>
          <w:szCs w:val="24"/>
        </w:rPr>
        <w:t xml:space="preserve">The expenditure is intended to attract private capital to fund the rehabilitation of historic centers and buildings, many of which are located in low-income </w:t>
      </w:r>
      <w:r w:rsidR="008D1A41" w:rsidRPr="008D1A41">
        <w:rPr>
          <w:rFonts w:asciiTheme="majorHAnsi" w:hAnsiTheme="majorHAnsi"/>
          <w:sz w:val="24"/>
          <w:szCs w:val="24"/>
        </w:rPr>
        <w:lastRenderedPageBreak/>
        <w:t>communities or designated distressed or underserved areas. These private investor funds help revitalize these communities through increased property values, new jobs, and increased tax revenues from a revitalized tax base.</w:t>
      </w:r>
    </w:p>
    <w:p w14:paraId="6444F875" w14:textId="77777777" w:rsidR="00A35516" w:rsidRDefault="00A35516" w:rsidP="00A84539">
      <w:pPr>
        <w:tabs>
          <w:tab w:val="left" w:pos="7050"/>
        </w:tabs>
        <w:spacing w:after="0"/>
        <w:rPr>
          <w:rFonts w:asciiTheme="majorHAnsi" w:hAnsiTheme="majorHAnsi"/>
          <w:sz w:val="24"/>
          <w:szCs w:val="24"/>
        </w:rPr>
      </w:pPr>
    </w:p>
    <w:p w14:paraId="44FC8A27" w14:textId="77777777" w:rsidR="0066423C" w:rsidRDefault="0066423C" w:rsidP="00A84539">
      <w:pPr>
        <w:tabs>
          <w:tab w:val="left" w:pos="7050"/>
        </w:tabs>
        <w:spacing w:after="0" w:line="240" w:lineRule="auto"/>
        <w:rPr>
          <w:rFonts w:asciiTheme="majorHAnsi" w:hAnsiTheme="majorHAnsi"/>
          <w:sz w:val="24"/>
          <w:szCs w:val="24"/>
        </w:rPr>
      </w:pPr>
    </w:p>
    <w:p w14:paraId="274CD85B" w14:textId="77777777" w:rsidR="00BF3530" w:rsidRPr="00A07439" w:rsidRDefault="00BF3530" w:rsidP="00A84539">
      <w:pPr>
        <w:tabs>
          <w:tab w:val="left" w:pos="7050"/>
        </w:tabs>
        <w:spacing w:after="0" w:line="240" w:lineRule="auto"/>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4A14DAE6" w14:textId="77777777" w:rsidR="00BF3530" w:rsidRDefault="00BF3530" w:rsidP="00A84539">
      <w:pPr>
        <w:spacing w:after="0" w:line="240" w:lineRule="auto"/>
        <w:rPr>
          <w:rFonts w:asciiTheme="majorHAnsi" w:eastAsiaTheme="majorEastAsia" w:hAnsiTheme="majorHAnsi" w:cstheme="majorBidi"/>
          <w:bCs/>
          <w:color w:val="000000" w:themeColor="text1"/>
          <w:sz w:val="24"/>
          <w:szCs w:val="24"/>
        </w:rPr>
      </w:pPr>
    </w:p>
    <w:p w14:paraId="1D1E7A1B" w14:textId="77777777" w:rsidR="00BF3530" w:rsidRPr="005641C8" w:rsidRDefault="00BF3530" w:rsidP="00A84539">
      <w:pPr>
        <w:spacing w:after="0"/>
        <w:rPr>
          <w:rFonts w:asciiTheme="majorHAnsi" w:eastAsiaTheme="majorEastAsia" w:hAnsiTheme="majorHAnsi" w:cstheme="majorBidi"/>
          <w:bCs/>
          <w:color w:val="000000" w:themeColor="text1"/>
          <w:sz w:val="24"/>
          <w:szCs w:val="24"/>
        </w:rPr>
      </w:pPr>
      <w:r w:rsidRPr="005641C8">
        <w:rPr>
          <w:rFonts w:asciiTheme="majorHAnsi" w:eastAsiaTheme="majorEastAsia" w:hAnsiTheme="majorHAnsi" w:cstheme="majorBidi"/>
          <w:bCs/>
          <w:color w:val="000000" w:themeColor="text1"/>
          <w:sz w:val="24"/>
          <w:szCs w:val="24"/>
        </w:rPr>
        <w:t xml:space="preserve">The revenue loss from </w:t>
      </w:r>
      <w:r>
        <w:rPr>
          <w:rFonts w:asciiTheme="majorHAnsi" w:eastAsiaTheme="majorEastAsia" w:hAnsiTheme="majorHAnsi" w:cstheme="majorBidi"/>
          <w:bCs/>
          <w:color w:val="000000" w:themeColor="text1"/>
          <w:sz w:val="24"/>
          <w:szCs w:val="24"/>
        </w:rPr>
        <w:t xml:space="preserve">this </w:t>
      </w:r>
      <w:r w:rsidRPr="005641C8">
        <w:rPr>
          <w:rFonts w:asciiTheme="majorHAnsi" w:eastAsiaTheme="majorEastAsia" w:hAnsiTheme="majorHAnsi" w:cstheme="majorBidi"/>
          <w:bCs/>
          <w:color w:val="000000" w:themeColor="text1"/>
          <w:sz w:val="24"/>
          <w:szCs w:val="24"/>
        </w:rPr>
        <w:t xml:space="preserve">tax expenditure </w:t>
      </w:r>
      <w:r>
        <w:rPr>
          <w:rFonts w:asciiTheme="majorHAnsi" w:eastAsiaTheme="majorEastAsia" w:hAnsiTheme="majorHAnsi" w:cstheme="majorBidi"/>
          <w:bCs/>
          <w:color w:val="000000" w:themeColor="text1"/>
          <w:sz w:val="24"/>
          <w:szCs w:val="24"/>
        </w:rPr>
        <w:t>is</w:t>
      </w:r>
      <w:r w:rsidRPr="005641C8">
        <w:rPr>
          <w:rFonts w:asciiTheme="majorHAnsi" w:eastAsiaTheme="majorEastAsia" w:hAnsiTheme="majorHAnsi" w:cstheme="majorBidi"/>
          <w:bCs/>
          <w:color w:val="000000" w:themeColor="text1"/>
          <w:sz w:val="24"/>
          <w:szCs w:val="24"/>
        </w:rPr>
        <w:t xml:space="preserve"> calculated annually as part of the Tax Expenditure Budget (TEB)</w:t>
      </w:r>
      <w:r>
        <w:rPr>
          <w:rFonts w:asciiTheme="majorHAnsi" w:eastAsiaTheme="majorEastAsia" w:hAnsiTheme="majorHAnsi" w:cstheme="majorBidi"/>
          <w:bCs/>
          <w:color w:val="000000" w:themeColor="text1"/>
          <w:sz w:val="24"/>
          <w:szCs w:val="24"/>
        </w:rPr>
        <w:t xml:space="preserve">.  We estimate </w:t>
      </w:r>
      <w:r w:rsidR="00D73C34">
        <w:rPr>
          <w:rFonts w:asciiTheme="majorHAnsi" w:eastAsiaTheme="majorEastAsia" w:hAnsiTheme="majorHAnsi" w:cstheme="majorBidi"/>
          <w:bCs/>
          <w:color w:val="000000" w:themeColor="text1"/>
          <w:sz w:val="24"/>
          <w:szCs w:val="24"/>
        </w:rPr>
        <w:t xml:space="preserve">that </w:t>
      </w:r>
      <w:r>
        <w:rPr>
          <w:rFonts w:asciiTheme="majorHAnsi" w:eastAsiaTheme="majorEastAsia" w:hAnsiTheme="majorHAnsi" w:cstheme="majorBidi"/>
          <w:bCs/>
          <w:color w:val="000000" w:themeColor="text1"/>
          <w:sz w:val="24"/>
          <w:szCs w:val="24"/>
        </w:rPr>
        <w:t>the cost of this credit in FY22 will be</w:t>
      </w:r>
      <w:r w:rsidR="00804B9E">
        <w:rPr>
          <w:rFonts w:asciiTheme="majorHAnsi" w:eastAsiaTheme="majorEastAsia" w:hAnsiTheme="majorHAnsi" w:cstheme="majorBidi"/>
          <w:bCs/>
          <w:color w:val="000000" w:themeColor="text1"/>
          <w:sz w:val="24"/>
          <w:szCs w:val="24"/>
        </w:rPr>
        <w:t xml:space="preserve"> near the </w:t>
      </w:r>
      <w:r>
        <w:rPr>
          <w:rFonts w:asciiTheme="majorHAnsi" w:eastAsiaTheme="majorEastAsia" w:hAnsiTheme="majorHAnsi" w:cstheme="majorBidi"/>
          <w:bCs/>
          <w:color w:val="000000" w:themeColor="text1"/>
          <w:sz w:val="24"/>
          <w:szCs w:val="24"/>
        </w:rPr>
        <w:t>$5</w:t>
      </w:r>
      <w:r w:rsidR="00157B59">
        <w:rPr>
          <w:rFonts w:asciiTheme="majorHAnsi" w:eastAsiaTheme="majorEastAsia" w:hAnsiTheme="majorHAnsi" w:cstheme="majorBidi"/>
          <w:bCs/>
          <w:color w:val="000000" w:themeColor="text1"/>
          <w:sz w:val="24"/>
          <w:szCs w:val="24"/>
        </w:rPr>
        <w:t>5</w:t>
      </w:r>
      <w:r>
        <w:rPr>
          <w:rFonts w:asciiTheme="majorHAnsi" w:eastAsiaTheme="majorEastAsia" w:hAnsiTheme="majorHAnsi" w:cstheme="majorBidi"/>
          <w:bCs/>
          <w:color w:val="000000" w:themeColor="text1"/>
          <w:sz w:val="24"/>
          <w:szCs w:val="24"/>
        </w:rPr>
        <w:t>.</w:t>
      </w:r>
      <w:r w:rsidR="00157B59">
        <w:rPr>
          <w:rFonts w:asciiTheme="majorHAnsi" w:eastAsiaTheme="majorEastAsia" w:hAnsiTheme="majorHAnsi" w:cstheme="majorBidi"/>
          <w:bCs/>
          <w:color w:val="000000" w:themeColor="text1"/>
          <w:sz w:val="24"/>
          <w:szCs w:val="24"/>
        </w:rPr>
        <w:t>0</w:t>
      </w:r>
      <w:r>
        <w:rPr>
          <w:rFonts w:asciiTheme="majorHAnsi" w:eastAsiaTheme="majorEastAsia" w:hAnsiTheme="majorHAnsi" w:cstheme="majorBidi"/>
          <w:bCs/>
          <w:color w:val="000000" w:themeColor="text1"/>
          <w:sz w:val="24"/>
          <w:szCs w:val="24"/>
        </w:rPr>
        <w:t xml:space="preserve"> million</w:t>
      </w:r>
      <w:r w:rsidR="00804B9E">
        <w:rPr>
          <w:rFonts w:asciiTheme="majorHAnsi" w:eastAsiaTheme="majorEastAsia" w:hAnsiTheme="majorHAnsi" w:cstheme="majorBidi"/>
          <w:bCs/>
          <w:color w:val="000000" w:themeColor="text1"/>
          <w:sz w:val="24"/>
          <w:szCs w:val="24"/>
        </w:rPr>
        <w:t xml:space="preserve"> cap</w:t>
      </w:r>
      <w:r>
        <w:rPr>
          <w:rFonts w:asciiTheme="majorHAnsi" w:eastAsiaTheme="majorEastAsia" w:hAnsiTheme="majorHAnsi" w:cstheme="majorBidi"/>
          <w:bCs/>
          <w:color w:val="000000" w:themeColor="text1"/>
          <w:sz w:val="24"/>
          <w:szCs w:val="24"/>
        </w:rPr>
        <w:t xml:space="preserve">.   </w:t>
      </w:r>
    </w:p>
    <w:p w14:paraId="353F1B67" w14:textId="77777777" w:rsidR="00BF3530" w:rsidRDefault="00BF3530" w:rsidP="00A84539">
      <w:pPr>
        <w:spacing w:after="0"/>
        <w:rPr>
          <w:rFonts w:asciiTheme="majorHAnsi" w:eastAsiaTheme="majorEastAsia" w:hAnsiTheme="majorHAnsi" w:cstheme="majorBidi"/>
          <w:bCs/>
          <w:color w:val="000000" w:themeColor="text1"/>
          <w:sz w:val="24"/>
          <w:szCs w:val="24"/>
        </w:rPr>
      </w:pPr>
    </w:p>
    <w:p w14:paraId="510AFDBB" w14:textId="77777777" w:rsidR="00BF3530" w:rsidRDefault="00BF3530" w:rsidP="00BF3530">
      <w:pPr>
        <w:spacing w:after="0"/>
        <w:jc w:val="center"/>
        <w:rPr>
          <w:rFonts w:asciiTheme="majorHAnsi" w:eastAsiaTheme="majorEastAsia" w:hAnsiTheme="majorHAnsi" w:cstheme="majorBidi"/>
          <w:b/>
          <w:color w:val="000000" w:themeColor="text1"/>
          <w:sz w:val="24"/>
          <w:szCs w:val="24"/>
        </w:rPr>
      </w:pPr>
      <w:r w:rsidRPr="005641C8">
        <w:rPr>
          <w:rFonts w:asciiTheme="majorHAnsi" w:eastAsiaTheme="majorEastAsia" w:hAnsiTheme="majorHAnsi" w:cstheme="majorBidi"/>
          <w:b/>
          <w:color w:val="000000" w:themeColor="text1"/>
          <w:sz w:val="24"/>
          <w:szCs w:val="24"/>
        </w:rPr>
        <w:t xml:space="preserve">Actual and Forecast Tax Loss from </w:t>
      </w:r>
      <w:r w:rsidR="001B51D6">
        <w:rPr>
          <w:rFonts w:asciiTheme="majorHAnsi" w:eastAsiaTheme="majorEastAsia" w:hAnsiTheme="majorHAnsi" w:cstheme="majorBidi"/>
          <w:b/>
          <w:color w:val="000000" w:themeColor="text1"/>
          <w:sz w:val="24"/>
          <w:szCs w:val="24"/>
        </w:rPr>
        <w:t xml:space="preserve">Historic Rehabilitation </w:t>
      </w:r>
      <w:r w:rsidRPr="005641C8">
        <w:rPr>
          <w:rFonts w:asciiTheme="majorHAnsi" w:eastAsiaTheme="majorEastAsia" w:hAnsiTheme="majorHAnsi" w:cstheme="majorBidi"/>
          <w:b/>
          <w:color w:val="000000" w:themeColor="text1"/>
          <w:sz w:val="24"/>
          <w:szCs w:val="24"/>
        </w:rPr>
        <w:t>Credit ($millions)</w:t>
      </w:r>
    </w:p>
    <w:p w14:paraId="2DB4DB6E" w14:textId="77777777" w:rsidR="00BF3530" w:rsidRPr="005641C8" w:rsidRDefault="00BF3530" w:rsidP="00BF3530">
      <w:pPr>
        <w:spacing w:after="0"/>
        <w:jc w:val="center"/>
        <w:rPr>
          <w:rFonts w:asciiTheme="majorHAnsi" w:eastAsiaTheme="majorEastAsia" w:hAnsiTheme="majorHAnsi" w:cstheme="majorBidi"/>
          <w:b/>
          <w:color w:val="000000" w:themeColor="text1"/>
          <w:sz w:val="24"/>
          <w:szCs w:val="24"/>
        </w:rPr>
      </w:pPr>
    </w:p>
    <w:p w14:paraId="0E52E567" w14:textId="77777777" w:rsidR="00BF3530" w:rsidRDefault="002437D7" w:rsidP="00BF3530">
      <w:pPr>
        <w:spacing w:after="0"/>
        <w:jc w:val="center"/>
        <w:rPr>
          <w:rFonts w:asciiTheme="majorHAnsi" w:eastAsiaTheme="majorEastAsia" w:hAnsiTheme="majorHAnsi" w:cstheme="majorBidi"/>
          <w:bCs/>
          <w:color w:val="000000" w:themeColor="text1"/>
          <w:sz w:val="24"/>
          <w:szCs w:val="24"/>
        </w:rPr>
      </w:pPr>
      <w:r w:rsidRPr="00804B9E">
        <w:rPr>
          <w:noProof/>
        </w:rPr>
        <w:drawing>
          <wp:anchor distT="0" distB="0" distL="114300" distR="114300" simplePos="0" relativeHeight="251659776" behindDoc="0" locked="0" layoutInCell="1" allowOverlap="1" wp14:anchorId="5B95EB59" wp14:editId="2172ABCC">
            <wp:simplePos x="0" y="0"/>
            <wp:positionH relativeFrom="column">
              <wp:posOffset>177800</wp:posOffset>
            </wp:positionH>
            <wp:positionV relativeFrom="paragraph">
              <wp:posOffset>34290</wp:posOffset>
            </wp:positionV>
            <wp:extent cx="5327650" cy="14287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0" cy="1428750"/>
                    </a:xfrm>
                    <a:prstGeom prst="rect">
                      <a:avLst/>
                    </a:prstGeom>
                    <a:noFill/>
                    <a:ln>
                      <a:noFill/>
                    </a:ln>
                  </pic:spPr>
                </pic:pic>
              </a:graphicData>
            </a:graphic>
          </wp:anchor>
        </w:drawing>
      </w:r>
    </w:p>
    <w:p w14:paraId="1D375D1D" w14:textId="77777777" w:rsidR="00BF3530" w:rsidRDefault="00BF3530" w:rsidP="00BF3530">
      <w:pPr>
        <w:spacing w:after="0"/>
        <w:rPr>
          <w:rFonts w:asciiTheme="majorHAnsi" w:hAnsiTheme="majorHAnsi"/>
          <w:bCs/>
          <w:sz w:val="24"/>
          <w:szCs w:val="24"/>
        </w:rPr>
      </w:pPr>
    </w:p>
    <w:p w14:paraId="6FFBD9F4" w14:textId="77777777" w:rsidR="002437D7" w:rsidRDefault="002437D7" w:rsidP="00BF3530">
      <w:pPr>
        <w:spacing w:after="0"/>
        <w:rPr>
          <w:rFonts w:asciiTheme="majorHAnsi" w:hAnsiTheme="majorHAnsi"/>
          <w:bCs/>
          <w:sz w:val="24"/>
          <w:szCs w:val="24"/>
        </w:rPr>
      </w:pPr>
    </w:p>
    <w:p w14:paraId="2BE55D3A" w14:textId="77777777" w:rsidR="002437D7" w:rsidRDefault="002437D7" w:rsidP="00BF3530">
      <w:pPr>
        <w:spacing w:after="0"/>
        <w:rPr>
          <w:rFonts w:asciiTheme="majorHAnsi" w:hAnsiTheme="majorHAnsi"/>
          <w:bCs/>
          <w:sz w:val="24"/>
          <w:szCs w:val="24"/>
        </w:rPr>
      </w:pPr>
    </w:p>
    <w:p w14:paraId="19365004" w14:textId="77777777" w:rsidR="002437D7" w:rsidRDefault="002437D7" w:rsidP="00BF3530">
      <w:pPr>
        <w:spacing w:after="0"/>
        <w:rPr>
          <w:rFonts w:asciiTheme="majorHAnsi" w:hAnsiTheme="majorHAnsi"/>
          <w:bCs/>
          <w:sz w:val="24"/>
          <w:szCs w:val="24"/>
        </w:rPr>
      </w:pPr>
    </w:p>
    <w:p w14:paraId="53A86A0A" w14:textId="77777777" w:rsidR="002437D7" w:rsidRDefault="002437D7" w:rsidP="00BF3530">
      <w:pPr>
        <w:spacing w:after="0"/>
        <w:rPr>
          <w:rFonts w:asciiTheme="majorHAnsi" w:hAnsiTheme="majorHAnsi"/>
          <w:bCs/>
          <w:sz w:val="24"/>
          <w:szCs w:val="24"/>
        </w:rPr>
      </w:pPr>
    </w:p>
    <w:p w14:paraId="7EF8F17F" w14:textId="77777777" w:rsidR="002437D7" w:rsidRDefault="002437D7" w:rsidP="00BF3530">
      <w:pPr>
        <w:spacing w:after="0"/>
        <w:rPr>
          <w:rFonts w:asciiTheme="majorHAnsi" w:hAnsiTheme="majorHAnsi"/>
          <w:bCs/>
          <w:sz w:val="24"/>
          <w:szCs w:val="24"/>
        </w:rPr>
      </w:pPr>
    </w:p>
    <w:p w14:paraId="2F559C9C" w14:textId="77777777" w:rsidR="002437D7" w:rsidRDefault="002437D7" w:rsidP="00BF3530">
      <w:pPr>
        <w:spacing w:after="0"/>
        <w:rPr>
          <w:rFonts w:asciiTheme="majorHAnsi" w:hAnsiTheme="majorHAnsi"/>
          <w:bCs/>
          <w:sz w:val="24"/>
          <w:szCs w:val="24"/>
        </w:rPr>
      </w:pPr>
    </w:p>
    <w:p w14:paraId="0265CFBD" w14:textId="77777777" w:rsidR="00804B9E" w:rsidRDefault="00804B9E" w:rsidP="00BF3530">
      <w:pPr>
        <w:spacing w:after="0"/>
        <w:rPr>
          <w:rFonts w:asciiTheme="majorHAnsi" w:hAnsiTheme="majorHAnsi"/>
          <w:bCs/>
          <w:sz w:val="24"/>
          <w:szCs w:val="24"/>
        </w:rPr>
      </w:pPr>
      <w:r>
        <w:rPr>
          <w:rFonts w:asciiTheme="majorHAnsi" w:hAnsiTheme="majorHAnsi"/>
          <w:bCs/>
          <w:sz w:val="24"/>
          <w:szCs w:val="24"/>
        </w:rPr>
        <w:t xml:space="preserve">Both corporate and personal income tax filers qualify for the credit.  As shown in the table, corporate filers typically claim over 85% of the credits.  </w:t>
      </w:r>
    </w:p>
    <w:p w14:paraId="16DF2894" w14:textId="77777777" w:rsidR="00804B9E" w:rsidRDefault="00804B9E" w:rsidP="00BF3530">
      <w:pPr>
        <w:spacing w:after="0"/>
        <w:rPr>
          <w:rFonts w:asciiTheme="majorHAnsi" w:hAnsiTheme="majorHAnsi"/>
          <w:bCs/>
          <w:sz w:val="24"/>
          <w:szCs w:val="24"/>
        </w:rPr>
      </w:pPr>
    </w:p>
    <w:p w14:paraId="0A2481F9" w14:textId="77777777" w:rsidR="0066423C" w:rsidRPr="00F51592" w:rsidRDefault="0066423C" w:rsidP="00BF3530">
      <w:pPr>
        <w:spacing w:after="0"/>
        <w:rPr>
          <w:rFonts w:asciiTheme="majorHAnsi" w:hAnsiTheme="majorHAnsi"/>
          <w:bCs/>
          <w:sz w:val="24"/>
          <w:szCs w:val="24"/>
        </w:rPr>
      </w:pPr>
    </w:p>
    <w:p w14:paraId="359AED86" w14:textId="77777777" w:rsidR="00BF3530" w:rsidRPr="00804B9E" w:rsidRDefault="00BF3530" w:rsidP="00804B9E">
      <w:pPr>
        <w:tabs>
          <w:tab w:val="left" w:pos="7050"/>
        </w:tabs>
        <w:rPr>
          <w:rFonts w:asciiTheme="majorHAnsi" w:hAnsiTheme="majorHAnsi"/>
          <w:bCs/>
          <w:i/>
          <w:iCs/>
          <w:color w:val="E36C0A" w:themeColor="accent6" w:themeShade="BF"/>
          <w:sz w:val="28"/>
          <w:szCs w:val="28"/>
        </w:rPr>
      </w:pPr>
      <w:r w:rsidRPr="005529C5">
        <w:rPr>
          <w:rFonts w:asciiTheme="majorHAnsi" w:hAnsiTheme="majorHAnsi"/>
          <w:b/>
          <w:color w:val="E36C0A" w:themeColor="accent6" w:themeShade="BF"/>
          <w:sz w:val="28"/>
          <w:szCs w:val="28"/>
        </w:rPr>
        <w:t>BENEFITS</w:t>
      </w:r>
      <w:r>
        <w:rPr>
          <w:rFonts w:asciiTheme="majorHAnsi" w:hAnsiTheme="majorHAnsi"/>
          <w:b/>
          <w:color w:val="E36C0A" w:themeColor="accent6" w:themeShade="BF"/>
          <w:sz w:val="28"/>
          <w:szCs w:val="28"/>
        </w:rPr>
        <w:t xml:space="preserve">  </w:t>
      </w:r>
    </w:p>
    <w:p w14:paraId="1396ECC6" w14:textId="7381B15B" w:rsidR="00157B59" w:rsidRDefault="0066423C" w:rsidP="00157B59">
      <w:pPr>
        <w:spacing w:after="0"/>
        <w:rPr>
          <w:rFonts w:asciiTheme="majorHAnsi" w:hAnsiTheme="majorHAnsi"/>
          <w:sz w:val="24"/>
          <w:szCs w:val="24"/>
        </w:rPr>
      </w:pPr>
      <w:r>
        <w:rPr>
          <w:rFonts w:asciiTheme="majorHAnsi" w:hAnsiTheme="majorHAnsi"/>
          <w:sz w:val="24"/>
          <w:szCs w:val="24"/>
        </w:rPr>
        <w:t>This credit provides direct benefits to t</w:t>
      </w:r>
      <w:r w:rsidR="00157B59" w:rsidRPr="00F80B9F">
        <w:rPr>
          <w:rFonts w:asciiTheme="majorHAnsi" w:hAnsiTheme="majorHAnsi"/>
          <w:sz w:val="24"/>
          <w:szCs w:val="24"/>
        </w:rPr>
        <w:t>axpayers who own or lease historic properties and wish to renovate those properties</w:t>
      </w:r>
      <w:r w:rsidR="00157B59">
        <w:rPr>
          <w:rFonts w:asciiTheme="majorHAnsi" w:hAnsiTheme="majorHAnsi"/>
          <w:sz w:val="24"/>
          <w:szCs w:val="24"/>
        </w:rPr>
        <w:t xml:space="preserve">.  The credit </w:t>
      </w:r>
      <w:r w:rsidR="0034332B">
        <w:rPr>
          <w:rFonts w:asciiTheme="majorHAnsi" w:hAnsiTheme="majorHAnsi"/>
          <w:sz w:val="24"/>
          <w:szCs w:val="24"/>
        </w:rPr>
        <w:t xml:space="preserve">serves to </w:t>
      </w:r>
      <w:r w:rsidR="00157B59">
        <w:rPr>
          <w:rFonts w:asciiTheme="majorHAnsi" w:hAnsiTheme="majorHAnsi"/>
          <w:sz w:val="24"/>
          <w:szCs w:val="24"/>
        </w:rPr>
        <w:t>lower their cost of renovation.  Note that</w:t>
      </w:r>
      <w:r w:rsidR="00EB4879">
        <w:rPr>
          <w:rFonts w:asciiTheme="majorHAnsi" w:hAnsiTheme="majorHAnsi"/>
          <w:sz w:val="24"/>
          <w:szCs w:val="24"/>
        </w:rPr>
        <w:t xml:space="preserve"> while</w:t>
      </w:r>
      <w:r w:rsidR="00157B59">
        <w:rPr>
          <w:rFonts w:asciiTheme="majorHAnsi" w:hAnsiTheme="majorHAnsi"/>
          <w:sz w:val="24"/>
          <w:szCs w:val="24"/>
        </w:rPr>
        <w:t xml:space="preserve"> the recipients of the credit will tend to be higher income filers</w:t>
      </w:r>
      <w:r w:rsidR="00EB4879">
        <w:rPr>
          <w:rFonts w:asciiTheme="majorHAnsi" w:hAnsiTheme="majorHAnsi"/>
          <w:sz w:val="24"/>
          <w:szCs w:val="24"/>
        </w:rPr>
        <w:t xml:space="preserve">, </w:t>
      </w:r>
      <w:r w:rsidR="004D2791">
        <w:rPr>
          <w:rFonts w:asciiTheme="majorHAnsi" w:hAnsiTheme="majorHAnsi"/>
          <w:sz w:val="24"/>
          <w:szCs w:val="24"/>
        </w:rPr>
        <w:t xml:space="preserve">the </w:t>
      </w:r>
      <w:r w:rsidR="00EB4879">
        <w:rPr>
          <w:rFonts w:asciiTheme="majorHAnsi" w:hAnsiTheme="majorHAnsi"/>
          <w:sz w:val="24"/>
          <w:szCs w:val="24"/>
        </w:rPr>
        <w:t>construction projects</w:t>
      </w:r>
      <w:r w:rsidR="004D2791">
        <w:rPr>
          <w:rFonts w:asciiTheme="majorHAnsi" w:hAnsiTheme="majorHAnsi"/>
          <w:sz w:val="24"/>
          <w:szCs w:val="24"/>
        </w:rPr>
        <w:t xml:space="preserve"> incentivized</w:t>
      </w:r>
      <w:r w:rsidR="00EB4879">
        <w:rPr>
          <w:rFonts w:asciiTheme="majorHAnsi" w:hAnsiTheme="majorHAnsi"/>
          <w:sz w:val="24"/>
          <w:szCs w:val="24"/>
        </w:rPr>
        <w:t xml:space="preserve"> </w:t>
      </w:r>
      <w:r w:rsidR="004D2791">
        <w:rPr>
          <w:rFonts w:asciiTheme="majorHAnsi" w:hAnsiTheme="majorHAnsi"/>
          <w:sz w:val="24"/>
          <w:szCs w:val="24"/>
        </w:rPr>
        <w:t xml:space="preserve">by the credit </w:t>
      </w:r>
      <w:r w:rsidR="00EB4879">
        <w:rPr>
          <w:rFonts w:asciiTheme="majorHAnsi" w:hAnsiTheme="majorHAnsi"/>
          <w:sz w:val="24"/>
          <w:szCs w:val="24"/>
        </w:rPr>
        <w:t>tend to spend in the local economy for labor and materials</w:t>
      </w:r>
      <w:r w:rsidR="00157B59">
        <w:rPr>
          <w:rFonts w:asciiTheme="majorHAnsi" w:hAnsiTheme="majorHAnsi"/>
          <w:sz w:val="24"/>
          <w:szCs w:val="24"/>
        </w:rPr>
        <w:t xml:space="preserve">.  </w:t>
      </w:r>
      <w:r w:rsidR="0006078E">
        <w:rPr>
          <w:rFonts w:asciiTheme="majorHAnsi" w:hAnsiTheme="majorHAnsi"/>
          <w:sz w:val="24"/>
          <w:szCs w:val="24"/>
        </w:rPr>
        <w:t>Perhaps more importantly, t</w:t>
      </w:r>
      <w:r w:rsidR="00E37E72">
        <w:rPr>
          <w:rFonts w:asciiTheme="majorHAnsi" w:hAnsiTheme="majorHAnsi"/>
          <w:sz w:val="24"/>
          <w:szCs w:val="24"/>
        </w:rPr>
        <w:t xml:space="preserve">he renovation of historic buildings </w:t>
      </w:r>
      <w:r w:rsidR="0006078E">
        <w:rPr>
          <w:rFonts w:asciiTheme="majorHAnsi" w:hAnsiTheme="majorHAnsi"/>
          <w:sz w:val="24"/>
          <w:szCs w:val="24"/>
        </w:rPr>
        <w:t xml:space="preserve">has significant indirect impacts, as it </w:t>
      </w:r>
      <w:r w:rsidR="004D2791">
        <w:rPr>
          <w:rFonts w:asciiTheme="majorHAnsi" w:hAnsiTheme="majorHAnsi"/>
          <w:sz w:val="24"/>
          <w:szCs w:val="24"/>
        </w:rPr>
        <w:t>preserves</w:t>
      </w:r>
      <w:r w:rsidR="0006078E">
        <w:rPr>
          <w:rFonts w:asciiTheme="majorHAnsi" w:hAnsiTheme="majorHAnsi"/>
          <w:sz w:val="24"/>
          <w:szCs w:val="24"/>
        </w:rPr>
        <w:t xml:space="preserve"> and supports the historic character of an area.  As discussed in the next section, this </w:t>
      </w:r>
      <w:r w:rsidR="00E37E72">
        <w:rPr>
          <w:rFonts w:asciiTheme="majorHAnsi" w:hAnsiTheme="majorHAnsi"/>
          <w:sz w:val="24"/>
          <w:szCs w:val="24"/>
        </w:rPr>
        <w:t>further</w:t>
      </w:r>
      <w:r w:rsidR="004D2791">
        <w:rPr>
          <w:rFonts w:asciiTheme="majorHAnsi" w:hAnsiTheme="majorHAnsi"/>
          <w:sz w:val="24"/>
          <w:szCs w:val="24"/>
        </w:rPr>
        <w:t xml:space="preserve"> benefits </w:t>
      </w:r>
      <w:r w:rsidR="00E37E72">
        <w:rPr>
          <w:rFonts w:asciiTheme="majorHAnsi" w:hAnsiTheme="majorHAnsi"/>
          <w:sz w:val="24"/>
          <w:szCs w:val="24"/>
        </w:rPr>
        <w:t>the local economy by drawing businesses, tourists</w:t>
      </w:r>
      <w:r w:rsidR="004D2791">
        <w:rPr>
          <w:rFonts w:asciiTheme="majorHAnsi" w:hAnsiTheme="majorHAnsi"/>
          <w:sz w:val="24"/>
          <w:szCs w:val="24"/>
        </w:rPr>
        <w:t>,</w:t>
      </w:r>
      <w:r w:rsidR="00E37E72">
        <w:rPr>
          <w:rFonts w:asciiTheme="majorHAnsi" w:hAnsiTheme="majorHAnsi"/>
          <w:sz w:val="24"/>
          <w:szCs w:val="24"/>
        </w:rPr>
        <w:t xml:space="preserve"> and shoppers to historic districts.   </w:t>
      </w:r>
    </w:p>
    <w:p w14:paraId="20061929" w14:textId="77777777" w:rsidR="00157B59" w:rsidRDefault="00157B59" w:rsidP="00157B59">
      <w:pPr>
        <w:spacing w:after="0"/>
        <w:rPr>
          <w:rFonts w:asciiTheme="majorHAnsi" w:hAnsiTheme="majorHAnsi"/>
          <w:sz w:val="24"/>
          <w:szCs w:val="24"/>
        </w:rPr>
      </w:pPr>
    </w:p>
    <w:p w14:paraId="24FFFA56" w14:textId="77777777" w:rsidR="00EB4879" w:rsidRDefault="00EB4879" w:rsidP="00157B59">
      <w:pPr>
        <w:spacing w:after="0"/>
        <w:rPr>
          <w:rFonts w:asciiTheme="majorHAnsi" w:hAnsiTheme="majorHAnsi"/>
          <w:sz w:val="24"/>
          <w:szCs w:val="24"/>
        </w:rPr>
      </w:pPr>
    </w:p>
    <w:p w14:paraId="0F9D3A2A" w14:textId="77777777" w:rsidR="00F2363C" w:rsidRDefault="00F2363C" w:rsidP="00EB4879">
      <w:pPr>
        <w:tabs>
          <w:tab w:val="left" w:pos="7050"/>
        </w:tabs>
        <w:spacing w:after="0"/>
        <w:rPr>
          <w:rFonts w:asciiTheme="majorHAnsi" w:hAnsiTheme="majorHAnsi"/>
          <w:b/>
          <w:color w:val="E36C0A" w:themeColor="accent6" w:themeShade="BF"/>
          <w:sz w:val="28"/>
          <w:szCs w:val="28"/>
        </w:rPr>
      </w:pPr>
    </w:p>
    <w:p w14:paraId="5D30632D" w14:textId="77777777" w:rsidR="00F2363C" w:rsidRDefault="00F2363C" w:rsidP="00EB4879">
      <w:pPr>
        <w:tabs>
          <w:tab w:val="left" w:pos="7050"/>
        </w:tabs>
        <w:spacing w:after="0"/>
        <w:rPr>
          <w:rFonts w:asciiTheme="majorHAnsi" w:hAnsiTheme="majorHAnsi"/>
          <w:b/>
          <w:color w:val="E36C0A" w:themeColor="accent6" w:themeShade="BF"/>
          <w:sz w:val="28"/>
          <w:szCs w:val="28"/>
        </w:rPr>
      </w:pPr>
    </w:p>
    <w:p w14:paraId="1E520E05" w14:textId="77777777" w:rsidR="00F2363C" w:rsidRDefault="00F2363C" w:rsidP="00EB4879">
      <w:pPr>
        <w:tabs>
          <w:tab w:val="left" w:pos="7050"/>
        </w:tabs>
        <w:spacing w:after="0"/>
        <w:rPr>
          <w:rFonts w:asciiTheme="majorHAnsi" w:hAnsiTheme="majorHAnsi"/>
          <w:b/>
          <w:color w:val="E36C0A" w:themeColor="accent6" w:themeShade="BF"/>
          <w:sz w:val="28"/>
          <w:szCs w:val="28"/>
        </w:rPr>
      </w:pPr>
    </w:p>
    <w:p w14:paraId="0B3370D0" w14:textId="2459A66B" w:rsidR="00EB4879" w:rsidRPr="00A07439" w:rsidRDefault="00EB4879" w:rsidP="00EB4879">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EVALUATION:  COMPARING COSTS AND BENEFITS</w:t>
      </w:r>
    </w:p>
    <w:p w14:paraId="4C833A59" w14:textId="77777777" w:rsidR="00F2363C" w:rsidRDefault="00F2363C" w:rsidP="00B64F64">
      <w:pPr>
        <w:spacing w:after="0"/>
        <w:rPr>
          <w:rFonts w:asciiTheme="majorHAnsi" w:hAnsiTheme="majorHAnsi"/>
          <w:sz w:val="24"/>
          <w:szCs w:val="24"/>
        </w:rPr>
      </w:pPr>
    </w:p>
    <w:p w14:paraId="0BD7DD19" w14:textId="6F0C78CD" w:rsidR="00B64F64" w:rsidRDefault="00B64F64" w:rsidP="00B64F64">
      <w:pPr>
        <w:spacing w:after="0"/>
        <w:rPr>
          <w:rFonts w:asciiTheme="majorHAnsi" w:hAnsiTheme="majorHAnsi"/>
          <w:sz w:val="24"/>
          <w:szCs w:val="24"/>
        </w:rPr>
      </w:pPr>
      <w:r w:rsidRPr="00B64F64">
        <w:rPr>
          <w:rFonts w:asciiTheme="majorHAnsi" w:hAnsiTheme="majorHAnsi"/>
          <w:sz w:val="24"/>
          <w:szCs w:val="24"/>
        </w:rPr>
        <w:t xml:space="preserve">The direct costs and direct benefits </w:t>
      </w:r>
      <w:r w:rsidR="004D2791">
        <w:rPr>
          <w:rFonts w:asciiTheme="majorHAnsi" w:hAnsiTheme="majorHAnsi"/>
          <w:sz w:val="24"/>
          <w:szCs w:val="24"/>
        </w:rPr>
        <w:t xml:space="preserve">of the credit </w:t>
      </w:r>
      <w:r w:rsidRPr="00B64F64">
        <w:rPr>
          <w:rFonts w:asciiTheme="majorHAnsi" w:hAnsiTheme="majorHAnsi"/>
          <w:sz w:val="24"/>
          <w:szCs w:val="24"/>
        </w:rPr>
        <w:t>are equal. When the Commonwealth issues credits to some taxpayers, the credits are the benefits to these taxpayers. However, some people will bear the cost as reduced government spending or reduce</w:t>
      </w:r>
      <w:r w:rsidR="00BE7CE7">
        <w:rPr>
          <w:rFonts w:asciiTheme="majorHAnsi" w:hAnsiTheme="majorHAnsi"/>
          <w:sz w:val="24"/>
          <w:szCs w:val="24"/>
        </w:rPr>
        <w:t>d</w:t>
      </w:r>
      <w:r w:rsidRPr="00B64F64">
        <w:rPr>
          <w:rFonts w:asciiTheme="majorHAnsi" w:hAnsiTheme="majorHAnsi"/>
          <w:sz w:val="24"/>
          <w:szCs w:val="24"/>
        </w:rPr>
        <w:t xml:space="preserve"> tax incentives. </w:t>
      </w:r>
      <w:r w:rsidR="004D2791">
        <w:rPr>
          <w:rFonts w:asciiTheme="majorHAnsi" w:hAnsiTheme="majorHAnsi"/>
          <w:sz w:val="24"/>
          <w:szCs w:val="24"/>
        </w:rPr>
        <w:t xml:space="preserve"> </w:t>
      </w:r>
      <w:r w:rsidRPr="00B64F64">
        <w:rPr>
          <w:rFonts w:asciiTheme="majorHAnsi" w:hAnsiTheme="majorHAnsi"/>
          <w:sz w:val="24"/>
          <w:szCs w:val="24"/>
        </w:rPr>
        <w:t>These are the direct costs and benefits.</w:t>
      </w:r>
      <w:r>
        <w:rPr>
          <w:rFonts w:asciiTheme="majorHAnsi" w:hAnsiTheme="majorHAnsi"/>
          <w:sz w:val="24"/>
          <w:szCs w:val="24"/>
        </w:rPr>
        <w:t xml:space="preserve">  </w:t>
      </w:r>
      <w:r w:rsidRPr="00B64F64">
        <w:rPr>
          <w:rFonts w:asciiTheme="majorHAnsi" w:hAnsiTheme="majorHAnsi"/>
          <w:sz w:val="24"/>
          <w:szCs w:val="24"/>
        </w:rPr>
        <w:t xml:space="preserve">Given this, the comparison of costs </w:t>
      </w:r>
      <w:r w:rsidR="00017592">
        <w:rPr>
          <w:rFonts w:asciiTheme="majorHAnsi" w:hAnsiTheme="majorHAnsi"/>
          <w:sz w:val="24"/>
          <w:szCs w:val="24"/>
        </w:rPr>
        <w:t xml:space="preserve">to </w:t>
      </w:r>
      <w:r w:rsidRPr="00B64F64">
        <w:rPr>
          <w:rFonts w:asciiTheme="majorHAnsi" w:hAnsiTheme="majorHAnsi"/>
          <w:sz w:val="24"/>
          <w:szCs w:val="24"/>
        </w:rPr>
        <w:t>benefits</w:t>
      </w:r>
      <w:r w:rsidR="00017592">
        <w:rPr>
          <w:rFonts w:asciiTheme="majorHAnsi" w:hAnsiTheme="majorHAnsi"/>
          <w:sz w:val="24"/>
          <w:szCs w:val="24"/>
        </w:rPr>
        <w:t xml:space="preserve"> requires an assessment of the credit’s impact on the overall economy.  </w:t>
      </w:r>
    </w:p>
    <w:p w14:paraId="7349B0C4" w14:textId="77777777" w:rsidR="00017592" w:rsidRDefault="00017592" w:rsidP="00B64F64">
      <w:pPr>
        <w:spacing w:after="0"/>
        <w:rPr>
          <w:rFonts w:asciiTheme="majorHAnsi" w:hAnsiTheme="majorHAnsi"/>
          <w:sz w:val="24"/>
          <w:szCs w:val="24"/>
        </w:rPr>
      </w:pPr>
    </w:p>
    <w:p w14:paraId="6D0F413E" w14:textId="65FE7CF4" w:rsidR="00157B59" w:rsidRDefault="000276CE" w:rsidP="00157B59">
      <w:pPr>
        <w:spacing w:after="0"/>
        <w:rPr>
          <w:rFonts w:asciiTheme="majorHAnsi" w:hAnsiTheme="majorHAnsi"/>
          <w:sz w:val="24"/>
          <w:szCs w:val="24"/>
        </w:rPr>
      </w:pPr>
      <w:r>
        <w:rPr>
          <w:rFonts w:asciiTheme="majorHAnsi" w:hAnsiTheme="majorHAnsi"/>
          <w:sz w:val="24"/>
          <w:szCs w:val="24"/>
        </w:rPr>
        <w:t>Historic p</w:t>
      </w:r>
      <w:r w:rsidRPr="00F80B9F">
        <w:rPr>
          <w:rFonts w:asciiTheme="majorHAnsi" w:hAnsiTheme="majorHAnsi"/>
          <w:sz w:val="24"/>
          <w:szCs w:val="24"/>
        </w:rPr>
        <w:t xml:space="preserve">reservation projects </w:t>
      </w:r>
      <w:r>
        <w:rPr>
          <w:rFonts w:asciiTheme="majorHAnsi" w:hAnsiTheme="majorHAnsi"/>
          <w:sz w:val="24"/>
          <w:szCs w:val="24"/>
        </w:rPr>
        <w:t>provide</w:t>
      </w:r>
      <w:r w:rsidR="0044629D">
        <w:rPr>
          <w:rFonts w:asciiTheme="majorHAnsi" w:hAnsiTheme="majorHAnsi"/>
          <w:sz w:val="24"/>
          <w:szCs w:val="24"/>
        </w:rPr>
        <w:t xml:space="preserve"> important</w:t>
      </w:r>
      <w:r w:rsidR="0034332B">
        <w:rPr>
          <w:rFonts w:asciiTheme="majorHAnsi" w:hAnsiTheme="majorHAnsi"/>
          <w:sz w:val="24"/>
          <w:szCs w:val="24"/>
        </w:rPr>
        <w:t xml:space="preserve"> in</w:t>
      </w:r>
      <w:r w:rsidR="00157B59">
        <w:rPr>
          <w:rFonts w:asciiTheme="majorHAnsi" w:hAnsiTheme="majorHAnsi"/>
          <w:sz w:val="24"/>
          <w:szCs w:val="24"/>
        </w:rPr>
        <w:t>direct</w:t>
      </w:r>
      <w:r w:rsidR="0034332B">
        <w:rPr>
          <w:rFonts w:asciiTheme="majorHAnsi" w:hAnsiTheme="majorHAnsi"/>
          <w:sz w:val="24"/>
          <w:szCs w:val="24"/>
        </w:rPr>
        <w:t xml:space="preserve"> </w:t>
      </w:r>
      <w:r>
        <w:rPr>
          <w:rFonts w:asciiTheme="majorHAnsi" w:hAnsiTheme="majorHAnsi"/>
          <w:sz w:val="24"/>
          <w:szCs w:val="24"/>
        </w:rPr>
        <w:t>benefit</w:t>
      </w:r>
      <w:r w:rsidR="0044629D">
        <w:rPr>
          <w:rFonts w:asciiTheme="majorHAnsi" w:hAnsiTheme="majorHAnsi"/>
          <w:sz w:val="24"/>
          <w:szCs w:val="24"/>
        </w:rPr>
        <w:t>s</w:t>
      </w:r>
      <w:r>
        <w:rPr>
          <w:rFonts w:asciiTheme="majorHAnsi" w:hAnsiTheme="majorHAnsi"/>
          <w:sz w:val="24"/>
          <w:szCs w:val="24"/>
        </w:rPr>
        <w:t xml:space="preserve"> to the tourism industry, as they </w:t>
      </w:r>
      <w:r w:rsidR="00157B59" w:rsidRPr="00F80B9F">
        <w:rPr>
          <w:rFonts w:asciiTheme="majorHAnsi" w:hAnsiTheme="majorHAnsi"/>
          <w:sz w:val="24"/>
          <w:szCs w:val="24"/>
        </w:rPr>
        <w:t xml:space="preserve">help </w:t>
      </w:r>
      <w:r w:rsidRPr="00F80B9F">
        <w:rPr>
          <w:rFonts w:asciiTheme="majorHAnsi" w:hAnsiTheme="majorHAnsi"/>
          <w:sz w:val="24"/>
          <w:szCs w:val="24"/>
        </w:rPr>
        <w:t>preserve</w:t>
      </w:r>
      <w:r w:rsidR="00157B59" w:rsidRPr="00F80B9F">
        <w:rPr>
          <w:rFonts w:asciiTheme="majorHAnsi" w:hAnsiTheme="majorHAnsi"/>
          <w:sz w:val="24"/>
          <w:szCs w:val="24"/>
        </w:rPr>
        <w:t xml:space="preserve"> properties that may be of interest to tourists</w:t>
      </w:r>
      <w:r>
        <w:rPr>
          <w:rFonts w:asciiTheme="majorHAnsi" w:hAnsiTheme="majorHAnsi"/>
          <w:sz w:val="24"/>
          <w:szCs w:val="24"/>
        </w:rPr>
        <w:t xml:space="preserve">.  Rehabilitation of the </w:t>
      </w:r>
      <w:r w:rsidR="00157B59" w:rsidRPr="00F80B9F">
        <w:rPr>
          <w:rFonts w:asciiTheme="majorHAnsi" w:hAnsiTheme="majorHAnsi"/>
          <w:sz w:val="24"/>
          <w:szCs w:val="24"/>
        </w:rPr>
        <w:t>aesthetic quality or commercial viability of the properties</w:t>
      </w:r>
      <w:r>
        <w:rPr>
          <w:rFonts w:asciiTheme="majorHAnsi" w:hAnsiTheme="majorHAnsi"/>
          <w:sz w:val="24"/>
          <w:szCs w:val="24"/>
        </w:rPr>
        <w:t xml:space="preserve"> may also</w:t>
      </w:r>
      <w:r w:rsidR="00157B59" w:rsidRPr="00F80B9F">
        <w:rPr>
          <w:rFonts w:asciiTheme="majorHAnsi" w:hAnsiTheme="majorHAnsi"/>
          <w:sz w:val="24"/>
          <w:szCs w:val="24"/>
        </w:rPr>
        <w:t xml:space="preserve"> benefit the </w:t>
      </w:r>
      <w:r>
        <w:rPr>
          <w:rFonts w:asciiTheme="majorHAnsi" w:hAnsiTheme="majorHAnsi"/>
          <w:sz w:val="24"/>
          <w:szCs w:val="24"/>
        </w:rPr>
        <w:t xml:space="preserve">broader </w:t>
      </w:r>
      <w:r w:rsidR="00157B59" w:rsidRPr="00F80B9F">
        <w:rPr>
          <w:rFonts w:asciiTheme="majorHAnsi" w:hAnsiTheme="majorHAnsi"/>
          <w:sz w:val="24"/>
          <w:szCs w:val="24"/>
        </w:rPr>
        <w:t xml:space="preserve">community by increasing property values and encouraging business activity in the area. </w:t>
      </w:r>
    </w:p>
    <w:p w14:paraId="7D46D30B" w14:textId="77777777" w:rsidR="004C7F8B" w:rsidRDefault="004C7F8B" w:rsidP="00157B59">
      <w:pPr>
        <w:spacing w:after="0"/>
        <w:rPr>
          <w:rFonts w:asciiTheme="majorHAnsi" w:hAnsiTheme="majorHAnsi"/>
          <w:sz w:val="24"/>
          <w:szCs w:val="24"/>
        </w:rPr>
      </w:pPr>
    </w:p>
    <w:p w14:paraId="211B4003" w14:textId="77777777" w:rsidR="00FD652A" w:rsidRDefault="00E05E37" w:rsidP="004C7F8B">
      <w:pPr>
        <w:spacing w:after="0"/>
        <w:rPr>
          <w:rFonts w:asciiTheme="majorHAnsi" w:hAnsiTheme="majorHAnsi"/>
          <w:sz w:val="24"/>
          <w:szCs w:val="24"/>
        </w:rPr>
      </w:pPr>
      <w:r>
        <w:rPr>
          <w:rFonts w:asciiTheme="majorHAnsi" w:hAnsiTheme="majorHAnsi"/>
          <w:sz w:val="24"/>
          <w:szCs w:val="24"/>
        </w:rPr>
        <w:t xml:space="preserve">Tourism is an important segment of the state’s economy.  In their 2020 annual report, the Massachusetts Office of Travel and Tourism estimates that spending by tourists created 153,200 jobs in calendar year 2018.  </w:t>
      </w:r>
      <w:r w:rsidR="00FD652A">
        <w:rPr>
          <w:rFonts w:asciiTheme="majorHAnsi" w:hAnsiTheme="majorHAnsi"/>
          <w:sz w:val="24"/>
          <w:szCs w:val="24"/>
        </w:rPr>
        <w:t xml:space="preserve">As would be expected, 60% of these jobs are in the Lodging and Food service industries, but </w:t>
      </w:r>
      <w:r w:rsidR="003B2BF9">
        <w:rPr>
          <w:rFonts w:asciiTheme="majorHAnsi" w:hAnsiTheme="majorHAnsi"/>
          <w:sz w:val="24"/>
          <w:szCs w:val="24"/>
        </w:rPr>
        <w:t>in addition t</w:t>
      </w:r>
      <w:r w:rsidR="00FD652A">
        <w:rPr>
          <w:rFonts w:asciiTheme="majorHAnsi" w:hAnsiTheme="majorHAnsi"/>
          <w:sz w:val="24"/>
          <w:szCs w:val="24"/>
        </w:rPr>
        <w:t>ourism also supported 21,800 jobs in the Public/Auto transportation industry sector and 22,700 jobs in the Entertainment and Recreation sector.</w:t>
      </w:r>
      <w:r w:rsidR="00FD652A" w:rsidRPr="00FD652A">
        <w:rPr>
          <w:rStyle w:val="FootnoteReference"/>
          <w:rFonts w:asciiTheme="majorHAnsi" w:hAnsiTheme="majorHAnsi"/>
          <w:sz w:val="24"/>
          <w:szCs w:val="24"/>
        </w:rPr>
        <w:t xml:space="preserve"> </w:t>
      </w:r>
      <w:r w:rsidR="00FD652A">
        <w:rPr>
          <w:rStyle w:val="FootnoteReference"/>
          <w:rFonts w:asciiTheme="majorHAnsi" w:hAnsiTheme="majorHAnsi"/>
          <w:sz w:val="24"/>
          <w:szCs w:val="24"/>
        </w:rPr>
        <w:footnoteReference w:id="1"/>
      </w:r>
      <w:r w:rsidR="00FD652A">
        <w:rPr>
          <w:rFonts w:asciiTheme="majorHAnsi" w:hAnsiTheme="majorHAnsi"/>
          <w:sz w:val="24"/>
          <w:szCs w:val="24"/>
        </w:rPr>
        <w:t xml:space="preserve">   </w:t>
      </w:r>
    </w:p>
    <w:p w14:paraId="2D738609" w14:textId="77777777" w:rsidR="00173AD9" w:rsidRDefault="00173AD9" w:rsidP="00173AD9">
      <w:pPr>
        <w:spacing w:after="0"/>
        <w:rPr>
          <w:rFonts w:asciiTheme="majorHAnsi" w:hAnsiTheme="majorHAnsi"/>
          <w:sz w:val="24"/>
          <w:szCs w:val="24"/>
        </w:rPr>
      </w:pPr>
    </w:p>
    <w:p w14:paraId="43E9E408" w14:textId="77777777" w:rsidR="00173AD9" w:rsidRDefault="00173AD9" w:rsidP="00173AD9">
      <w:pPr>
        <w:spacing w:after="0"/>
        <w:rPr>
          <w:rFonts w:asciiTheme="majorHAnsi" w:hAnsiTheme="majorHAnsi"/>
          <w:sz w:val="24"/>
          <w:szCs w:val="24"/>
        </w:rPr>
      </w:pPr>
      <w:r>
        <w:rPr>
          <w:rFonts w:asciiTheme="majorHAnsi" w:hAnsiTheme="majorHAnsi"/>
          <w:sz w:val="24"/>
          <w:szCs w:val="24"/>
        </w:rPr>
        <w:t xml:space="preserve">Historic preservation contributes to an area’s appeal to what is termed “Heritage Tourism”, which </w:t>
      </w:r>
      <w:r w:rsidRPr="000276CE">
        <w:rPr>
          <w:rFonts w:asciiTheme="majorHAnsi" w:hAnsiTheme="majorHAnsi"/>
          <w:sz w:val="24"/>
          <w:szCs w:val="24"/>
        </w:rPr>
        <w:t>is tourism based on the historical significance of an area.  A 2002 study</w:t>
      </w:r>
      <w:r>
        <w:rPr>
          <w:rFonts w:asciiTheme="majorHAnsi" w:hAnsiTheme="majorHAnsi"/>
          <w:sz w:val="24"/>
          <w:szCs w:val="24"/>
        </w:rPr>
        <w:t xml:space="preserve"> conducted on behalf of the Massachusetts Historical Commission investigated t</w:t>
      </w:r>
      <w:r w:rsidRPr="000276CE">
        <w:rPr>
          <w:rFonts w:asciiTheme="majorHAnsi" w:hAnsiTheme="majorHAnsi"/>
          <w:sz w:val="24"/>
          <w:szCs w:val="24"/>
        </w:rPr>
        <w:t xml:space="preserve">he impact of </w:t>
      </w:r>
      <w:r>
        <w:rPr>
          <w:rFonts w:asciiTheme="majorHAnsi" w:hAnsiTheme="majorHAnsi"/>
          <w:sz w:val="24"/>
          <w:szCs w:val="24"/>
        </w:rPr>
        <w:t xml:space="preserve">historic preservation and </w:t>
      </w:r>
      <w:r w:rsidRPr="000276CE">
        <w:rPr>
          <w:rFonts w:asciiTheme="majorHAnsi" w:hAnsiTheme="majorHAnsi"/>
          <w:sz w:val="24"/>
          <w:szCs w:val="24"/>
        </w:rPr>
        <w:t>Heritage Tourism</w:t>
      </w:r>
      <w:r>
        <w:rPr>
          <w:rFonts w:asciiTheme="majorHAnsi" w:hAnsiTheme="majorHAnsi"/>
          <w:sz w:val="24"/>
          <w:szCs w:val="24"/>
        </w:rPr>
        <w:t xml:space="preserve"> in Massachusetts.  Among its findings it noted that </w:t>
      </w:r>
      <w:r w:rsidRPr="000276CE">
        <w:rPr>
          <w:rFonts w:asciiTheme="majorHAnsi" w:hAnsiTheme="majorHAnsi"/>
          <w:sz w:val="24"/>
          <w:szCs w:val="24"/>
        </w:rPr>
        <w:t>heritage travelers</w:t>
      </w:r>
      <w:r>
        <w:rPr>
          <w:rFonts w:asciiTheme="majorHAnsi" w:hAnsiTheme="majorHAnsi"/>
          <w:sz w:val="24"/>
          <w:szCs w:val="24"/>
        </w:rPr>
        <w:t xml:space="preserve"> </w:t>
      </w:r>
      <w:r w:rsidRPr="000276CE">
        <w:rPr>
          <w:rFonts w:asciiTheme="majorHAnsi" w:hAnsiTheme="majorHAnsi"/>
          <w:sz w:val="24"/>
          <w:szCs w:val="24"/>
        </w:rPr>
        <w:t xml:space="preserve">spend </w:t>
      </w:r>
      <w:r>
        <w:rPr>
          <w:rFonts w:asciiTheme="majorHAnsi" w:hAnsiTheme="majorHAnsi"/>
          <w:sz w:val="24"/>
          <w:szCs w:val="24"/>
        </w:rPr>
        <w:t xml:space="preserve">on average </w:t>
      </w:r>
      <w:r w:rsidRPr="000276CE">
        <w:rPr>
          <w:rFonts w:asciiTheme="majorHAnsi" w:hAnsiTheme="majorHAnsi"/>
          <w:sz w:val="24"/>
          <w:szCs w:val="24"/>
        </w:rPr>
        <w:t>considerably more</w:t>
      </w:r>
      <w:r>
        <w:rPr>
          <w:rFonts w:asciiTheme="majorHAnsi" w:hAnsiTheme="majorHAnsi"/>
          <w:sz w:val="24"/>
          <w:szCs w:val="24"/>
        </w:rPr>
        <w:t xml:space="preserve"> than average </w:t>
      </w:r>
      <w:r w:rsidRPr="000276CE">
        <w:rPr>
          <w:rFonts w:asciiTheme="majorHAnsi" w:hAnsiTheme="majorHAnsi"/>
          <w:sz w:val="24"/>
          <w:szCs w:val="24"/>
        </w:rPr>
        <w:t>t</w:t>
      </w:r>
      <w:r>
        <w:rPr>
          <w:rFonts w:asciiTheme="majorHAnsi" w:hAnsiTheme="majorHAnsi"/>
          <w:sz w:val="24"/>
          <w:szCs w:val="24"/>
        </w:rPr>
        <w:t>ourist</w:t>
      </w:r>
      <w:r w:rsidRPr="000276CE">
        <w:rPr>
          <w:rFonts w:asciiTheme="majorHAnsi" w:hAnsiTheme="majorHAnsi"/>
          <w:sz w:val="24"/>
          <w:szCs w:val="24"/>
        </w:rPr>
        <w:t xml:space="preserve">s. </w:t>
      </w:r>
      <w:r>
        <w:rPr>
          <w:rFonts w:asciiTheme="majorHAnsi" w:hAnsiTheme="majorHAnsi"/>
          <w:sz w:val="24"/>
          <w:szCs w:val="24"/>
        </w:rPr>
        <w:t xml:space="preserve"> In addition</w:t>
      </w:r>
      <w:r w:rsidRPr="000276CE">
        <w:rPr>
          <w:rFonts w:asciiTheme="majorHAnsi" w:hAnsiTheme="majorHAnsi"/>
          <w:sz w:val="24"/>
          <w:szCs w:val="24"/>
        </w:rPr>
        <w:t>, a much higher share of heritage travelers come from out of</w:t>
      </w:r>
      <w:r>
        <w:rPr>
          <w:rFonts w:asciiTheme="majorHAnsi" w:hAnsiTheme="majorHAnsi"/>
          <w:sz w:val="24"/>
          <w:szCs w:val="24"/>
        </w:rPr>
        <w:t xml:space="preserve"> </w:t>
      </w:r>
      <w:r w:rsidRPr="000276CE">
        <w:rPr>
          <w:rFonts w:asciiTheme="majorHAnsi" w:hAnsiTheme="majorHAnsi"/>
          <w:sz w:val="24"/>
          <w:szCs w:val="24"/>
        </w:rPr>
        <w:t>state (90 percent for the heritage group versus 79 percent for all Massachusetts travelers).</w:t>
      </w:r>
      <w:r>
        <w:rPr>
          <w:rStyle w:val="FootnoteReference"/>
          <w:rFonts w:asciiTheme="majorHAnsi" w:hAnsiTheme="majorHAnsi"/>
          <w:sz w:val="24"/>
          <w:szCs w:val="24"/>
        </w:rPr>
        <w:footnoteReference w:id="2"/>
      </w:r>
      <w:r w:rsidRPr="000276CE">
        <w:rPr>
          <w:rFonts w:asciiTheme="majorHAnsi" w:hAnsiTheme="majorHAnsi"/>
          <w:sz w:val="24"/>
          <w:szCs w:val="24"/>
        </w:rPr>
        <w:t xml:space="preserve"> </w:t>
      </w:r>
      <w:r>
        <w:rPr>
          <w:rFonts w:asciiTheme="majorHAnsi" w:hAnsiTheme="majorHAnsi"/>
          <w:sz w:val="24"/>
          <w:szCs w:val="24"/>
        </w:rPr>
        <w:t xml:space="preserve"> </w:t>
      </w:r>
      <w:r w:rsidR="003B2BF9">
        <w:rPr>
          <w:rFonts w:asciiTheme="majorHAnsi" w:hAnsiTheme="majorHAnsi"/>
          <w:sz w:val="24"/>
          <w:szCs w:val="24"/>
        </w:rPr>
        <w:t xml:space="preserve">Spending by out-of-state visitors is a direct injection into the local economy.  </w:t>
      </w:r>
      <w:r w:rsidRPr="000276CE">
        <w:rPr>
          <w:rFonts w:asciiTheme="majorHAnsi" w:hAnsiTheme="majorHAnsi"/>
          <w:sz w:val="24"/>
          <w:szCs w:val="24"/>
        </w:rPr>
        <w:t xml:space="preserve">These traits combined </w:t>
      </w:r>
      <w:r>
        <w:rPr>
          <w:rFonts w:asciiTheme="majorHAnsi" w:hAnsiTheme="majorHAnsi"/>
          <w:sz w:val="24"/>
          <w:szCs w:val="24"/>
        </w:rPr>
        <w:t xml:space="preserve">to </w:t>
      </w:r>
      <w:r w:rsidRPr="000276CE">
        <w:rPr>
          <w:rFonts w:asciiTheme="majorHAnsi" w:hAnsiTheme="majorHAnsi"/>
          <w:sz w:val="24"/>
          <w:szCs w:val="24"/>
        </w:rPr>
        <w:t>accentuate the economic contribution of</w:t>
      </w:r>
      <w:r>
        <w:rPr>
          <w:rFonts w:asciiTheme="majorHAnsi" w:hAnsiTheme="majorHAnsi"/>
          <w:sz w:val="24"/>
          <w:szCs w:val="24"/>
        </w:rPr>
        <w:t xml:space="preserve"> </w:t>
      </w:r>
      <w:r w:rsidRPr="000276CE">
        <w:rPr>
          <w:rFonts w:asciiTheme="majorHAnsi" w:hAnsiTheme="majorHAnsi"/>
          <w:sz w:val="24"/>
          <w:szCs w:val="24"/>
        </w:rPr>
        <w:t>the heritage traveler</w:t>
      </w:r>
      <w:r>
        <w:rPr>
          <w:rFonts w:asciiTheme="majorHAnsi" w:hAnsiTheme="majorHAnsi"/>
          <w:sz w:val="24"/>
          <w:szCs w:val="24"/>
        </w:rPr>
        <w:t>s to Massachusetts</w:t>
      </w:r>
    </w:p>
    <w:p w14:paraId="7EDDDBCC" w14:textId="77777777" w:rsidR="00FD652A" w:rsidRDefault="00FD652A" w:rsidP="004C7F8B">
      <w:pPr>
        <w:spacing w:after="0"/>
        <w:rPr>
          <w:rFonts w:asciiTheme="majorHAnsi" w:hAnsiTheme="majorHAnsi"/>
          <w:sz w:val="24"/>
          <w:szCs w:val="24"/>
        </w:rPr>
      </w:pPr>
    </w:p>
    <w:p w14:paraId="20461999" w14:textId="77777777" w:rsidR="004C7F8B" w:rsidRDefault="00227294" w:rsidP="004C7F8B">
      <w:pPr>
        <w:spacing w:after="0"/>
        <w:rPr>
          <w:rFonts w:asciiTheme="majorHAnsi" w:hAnsiTheme="majorHAnsi"/>
          <w:sz w:val="24"/>
          <w:szCs w:val="24"/>
        </w:rPr>
      </w:pPr>
      <w:r>
        <w:rPr>
          <w:rFonts w:asciiTheme="majorHAnsi" w:hAnsiTheme="majorHAnsi"/>
          <w:sz w:val="24"/>
          <w:szCs w:val="24"/>
        </w:rPr>
        <w:t xml:space="preserve">While tourists visit the state for many reasons, the historical significance of the area is often cited as a reason </w:t>
      </w:r>
      <w:r w:rsidR="00FE6E3A">
        <w:rPr>
          <w:rFonts w:asciiTheme="majorHAnsi" w:hAnsiTheme="majorHAnsi"/>
          <w:sz w:val="24"/>
          <w:szCs w:val="24"/>
        </w:rPr>
        <w:t xml:space="preserve">for </w:t>
      </w:r>
      <w:r>
        <w:rPr>
          <w:rFonts w:asciiTheme="majorHAnsi" w:hAnsiTheme="majorHAnsi"/>
          <w:sz w:val="24"/>
          <w:szCs w:val="24"/>
        </w:rPr>
        <w:t xml:space="preserve">traveling here.  </w:t>
      </w:r>
      <w:r w:rsidR="004C7F8B">
        <w:rPr>
          <w:rFonts w:asciiTheme="majorHAnsi" w:hAnsiTheme="majorHAnsi"/>
          <w:sz w:val="24"/>
          <w:szCs w:val="24"/>
        </w:rPr>
        <w:t>Massachusetts in general, and Boston in particular, are regularly cited among the most popular destinations for a vacation with historical interest.</w:t>
      </w:r>
      <w:r w:rsidR="003B2BF9">
        <w:rPr>
          <w:rFonts w:asciiTheme="majorHAnsi" w:hAnsiTheme="majorHAnsi"/>
          <w:sz w:val="24"/>
          <w:szCs w:val="24"/>
        </w:rPr>
        <w:t xml:space="preserve"> </w:t>
      </w:r>
      <w:r w:rsidR="00E13266">
        <w:rPr>
          <w:rFonts w:asciiTheme="majorHAnsi" w:hAnsiTheme="majorHAnsi"/>
          <w:sz w:val="24"/>
          <w:szCs w:val="24"/>
        </w:rPr>
        <w:t xml:space="preserve"> In its compilation of the”10 </w:t>
      </w:r>
      <w:r w:rsidR="00E13266" w:rsidRPr="002A470E">
        <w:rPr>
          <w:rFonts w:asciiTheme="majorHAnsi" w:hAnsiTheme="majorHAnsi"/>
          <w:sz w:val="24"/>
          <w:szCs w:val="24"/>
        </w:rPr>
        <w:t>Best Historical Cities to Visit in the USA</w:t>
      </w:r>
      <w:r w:rsidR="00E13266">
        <w:rPr>
          <w:rFonts w:asciiTheme="majorHAnsi" w:hAnsiTheme="majorHAnsi"/>
          <w:sz w:val="24"/>
          <w:szCs w:val="24"/>
        </w:rPr>
        <w:t>”,</w:t>
      </w:r>
      <w:r w:rsidR="004C7F8B">
        <w:rPr>
          <w:rFonts w:asciiTheme="majorHAnsi" w:hAnsiTheme="majorHAnsi"/>
          <w:sz w:val="24"/>
          <w:szCs w:val="24"/>
        </w:rPr>
        <w:t xml:space="preserve"> </w:t>
      </w:r>
      <w:r w:rsidR="004C7F8B" w:rsidRPr="00E13266">
        <w:rPr>
          <w:rFonts w:asciiTheme="majorHAnsi" w:hAnsiTheme="majorHAnsi"/>
          <w:i/>
          <w:iCs/>
          <w:sz w:val="24"/>
          <w:szCs w:val="24"/>
        </w:rPr>
        <w:t>US News and World Report</w:t>
      </w:r>
      <w:r w:rsidR="004C7F8B">
        <w:rPr>
          <w:rFonts w:asciiTheme="majorHAnsi" w:hAnsiTheme="majorHAnsi"/>
          <w:sz w:val="24"/>
          <w:szCs w:val="24"/>
        </w:rPr>
        <w:t xml:space="preserve"> listed </w:t>
      </w:r>
      <w:r w:rsidR="00173AD9">
        <w:rPr>
          <w:rFonts w:asciiTheme="majorHAnsi" w:hAnsiTheme="majorHAnsi"/>
          <w:sz w:val="24"/>
          <w:szCs w:val="24"/>
        </w:rPr>
        <w:t>3</w:t>
      </w:r>
      <w:r w:rsidR="004C7F8B">
        <w:rPr>
          <w:rFonts w:asciiTheme="majorHAnsi" w:hAnsiTheme="majorHAnsi"/>
          <w:sz w:val="24"/>
          <w:szCs w:val="24"/>
        </w:rPr>
        <w:t xml:space="preserve"> Massachusetts cities</w:t>
      </w:r>
      <w:r w:rsidR="00E13266">
        <w:rPr>
          <w:rFonts w:asciiTheme="majorHAnsi" w:hAnsiTheme="majorHAnsi"/>
          <w:sz w:val="24"/>
          <w:szCs w:val="24"/>
        </w:rPr>
        <w:t xml:space="preserve">:  </w:t>
      </w:r>
      <w:r w:rsidR="004C7F8B">
        <w:rPr>
          <w:rFonts w:asciiTheme="majorHAnsi" w:hAnsiTheme="majorHAnsi"/>
          <w:sz w:val="24"/>
          <w:szCs w:val="24"/>
        </w:rPr>
        <w:t>Boston at #2</w:t>
      </w:r>
      <w:r w:rsidR="00FD652A">
        <w:rPr>
          <w:rFonts w:asciiTheme="majorHAnsi" w:hAnsiTheme="majorHAnsi"/>
          <w:sz w:val="24"/>
          <w:szCs w:val="24"/>
        </w:rPr>
        <w:t>, Plymouth at #8,</w:t>
      </w:r>
      <w:r w:rsidR="004C7F8B">
        <w:rPr>
          <w:rFonts w:asciiTheme="majorHAnsi" w:hAnsiTheme="majorHAnsi"/>
          <w:sz w:val="24"/>
          <w:szCs w:val="24"/>
        </w:rPr>
        <w:t xml:space="preserve"> and Salem at #1</w:t>
      </w:r>
      <w:r w:rsidR="00E13266">
        <w:rPr>
          <w:rFonts w:asciiTheme="majorHAnsi" w:hAnsiTheme="majorHAnsi"/>
          <w:sz w:val="24"/>
          <w:szCs w:val="24"/>
        </w:rPr>
        <w:t>0</w:t>
      </w:r>
      <w:r w:rsidR="004C7F8B" w:rsidRPr="000276CE">
        <w:rPr>
          <w:rFonts w:asciiTheme="majorHAnsi" w:hAnsiTheme="majorHAnsi"/>
          <w:sz w:val="24"/>
          <w:szCs w:val="24"/>
        </w:rPr>
        <w:t>.</w:t>
      </w:r>
      <w:r w:rsidR="00E13266" w:rsidRPr="00E13266">
        <w:rPr>
          <w:rStyle w:val="FootnoteReference"/>
          <w:rFonts w:asciiTheme="majorHAnsi" w:hAnsiTheme="majorHAnsi"/>
          <w:sz w:val="24"/>
          <w:szCs w:val="24"/>
        </w:rPr>
        <w:t xml:space="preserve"> </w:t>
      </w:r>
      <w:r w:rsidR="00E13266">
        <w:rPr>
          <w:rStyle w:val="FootnoteReference"/>
          <w:rFonts w:asciiTheme="majorHAnsi" w:hAnsiTheme="majorHAnsi"/>
          <w:sz w:val="24"/>
          <w:szCs w:val="24"/>
        </w:rPr>
        <w:footnoteReference w:id="3"/>
      </w:r>
      <w:r w:rsidR="00017592" w:rsidRPr="00017592">
        <w:rPr>
          <w:rFonts w:asciiTheme="majorHAnsi" w:hAnsiTheme="majorHAnsi"/>
          <w:sz w:val="24"/>
          <w:szCs w:val="24"/>
        </w:rPr>
        <w:t xml:space="preserve"> </w:t>
      </w:r>
      <w:r w:rsidR="00017592">
        <w:rPr>
          <w:rFonts w:asciiTheme="majorHAnsi" w:hAnsiTheme="majorHAnsi"/>
          <w:sz w:val="24"/>
          <w:szCs w:val="24"/>
        </w:rPr>
        <w:t xml:space="preserve"> This ranking is based on a survey of the magazine’s readers and input from </w:t>
      </w:r>
      <w:r w:rsidR="00017592">
        <w:rPr>
          <w:rFonts w:asciiTheme="majorHAnsi" w:hAnsiTheme="majorHAnsi"/>
          <w:sz w:val="24"/>
          <w:szCs w:val="24"/>
        </w:rPr>
        <w:lastRenderedPageBreak/>
        <w:t xml:space="preserve">their editors.  The fact that Massachusetts is so well represented is evidence that its history is a strong draw for tourism.  </w:t>
      </w:r>
    </w:p>
    <w:p w14:paraId="3C50B90E" w14:textId="77777777" w:rsidR="004C7F8B" w:rsidRDefault="004C7F8B" w:rsidP="004C7F8B">
      <w:pPr>
        <w:spacing w:after="0"/>
        <w:rPr>
          <w:rFonts w:asciiTheme="majorHAnsi" w:hAnsiTheme="majorHAnsi"/>
          <w:sz w:val="24"/>
          <w:szCs w:val="24"/>
        </w:rPr>
      </w:pPr>
      <w:r>
        <w:rPr>
          <w:rFonts w:asciiTheme="majorHAnsi" w:hAnsiTheme="majorHAnsi"/>
          <w:sz w:val="24"/>
          <w:szCs w:val="24"/>
        </w:rPr>
        <w:t xml:space="preserve">  </w:t>
      </w:r>
    </w:p>
    <w:p w14:paraId="7FD829F2" w14:textId="77777777" w:rsidR="00227294" w:rsidRDefault="00227294" w:rsidP="00227294">
      <w:pPr>
        <w:spacing w:after="0"/>
        <w:rPr>
          <w:rFonts w:asciiTheme="majorHAnsi" w:hAnsiTheme="majorHAnsi"/>
          <w:sz w:val="24"/>
          <w:szCs w:val="24"/>
        </w:rPr>
      </w:pPr>
      <w:r>
        <w:rPr>
          <w:rFonts w:asciiTheme="majorHAnsi" w:hAnsiTheme="majorHAnsi"/>
          <w:sz w:val="24"/>
          <w:szCs w:val="24"/>
        </w:rPr>
        <w:t xml:space="preserve">While it is difficult to quantify how much of the success of the </w:t>
      </w:r>
      <w:r w:rsidR="003B2BF9">
        <w:rPr>
          <w:rFonts w:asciiTheme="majorHAnsi" w:hAnsiTheme="majorHAnsi"/>
          <w:sz w:val="24"/>
          <w:szCs w:val="24"/>
        </w:rPr>
        <w:t xml:space="preserve">heritage </w:t>
      </w:r>
      <w:r>
        <w:rPr>
          <w:rFonts w:asciiTheme="majorHAnsi" w:hAnsiTheme="majorHAnsi"/>
          <w:sz w:val="24"/>
          <w:szCs w:val="24"/>
        </w:rPr>
        <w:t xml:space="preserve">tourism industry </w:t>
      </w:r>
      <w:r w:rsidR="003B2BF9">
        <w:rPr>
          <w:rFonts w:asciiTheme="majorHAnsi" w:hAnsiTheme="majorHAnsi"/>
          <w:sz w:val="24"/>
          <w:szCs w:val="24"/>
        </w:rPr>
        <w:t>in Massachusetts should be attributed to t</w:t>
      </w:r>
      <w:r>
        <w:rPr>
          <w:rFonts w:asciiTheme="majorHAnsi" w:hAnsiTheme="majorHAnsi"/>
          <w:sz w:val="24"/>
          <w:szCs w:val="24"/>
        </w:rPr>
        <w:t xml:space="preserve">he Historic Buildings Rehabilitation credit, we can be certain that the credit serves to preserve the historical character that draws many tourists to the state.  We believe it likely that these economic benefits more than offset the cost of this credit.   </w:t>
      </w:r>
    </w:p>
    <w:p w14:paraId="22CE1D48" w14:textId="77777777" w:rsidR="00227294" w:rsidRDefault="00227294" w:rsidP="000276CE">
      <w:pPr>
        <w:spacing w:after="0"/>
        <w:rPr>
          <w:rFonts w:asciiTheme="majorHAnsi" w:hAnsiTheme="majorHAnsi"/>
          <w:sz w:val="24"/>
          <w:szCs w:val="24"/>
        </w:rPr>
      </w:pPr>
    </w:p>
    <w:p w14:paraId="58460A14" w14:textId="77777777" w:rsidR="00227294" w:rsidRDefault="00227294" w:rsidP="000276CE">
      <w:pPr>
        <w:spacing w:after="0"/>
        <w:rPr>
          <w:rFonts w:asciiTheme="majorHAnsi" w:hAnsiTheme="majorHAnsi"/>
          <w:sz w:val="24"/>
          <w:szCs w:val="24"/>
        </w:rPr>
      </w:pPr>
    </w:p>
    <w:p w14:paraId="11FD8094" w14:textId="77777777" w:rsidR="004C070C" w:rsidRDefault="0081648A" w:rsidP="0081648A">
      <w:pPr>
        <w:rPr>
          <w:rFonts w:asciiTheme="majorHAnsi" w:hAnsiTheme="majorHAnsi"/>
          <w:sz w:val="24"/>
          <w:szCs w:val="24"/>
        </w:rPr>
      </w:pPr>
      <w:r w:rsidRPr="00C97CE7">
        <w:rPr>
          <w:rFonts w:asciiTheme="majorHAnsi" w:eastAsiaTheme="majorEastAsia" w:hAnsiTheme="majorHAnsi" w:cstheme="majorBidi"/>
          <w:b/>
          <w:bCs/>
          <w:color w:val="E36C0A" w:themeColor="accent6" w:themeShade="BF"/>
          <w:sz w:val="28"/>
          <w:szCs w:val="28"/>
        </w:rPr>
        <w:t>SIMILAR TAX EXPENDITURES OFFERED BY OTHER STATES</w:t>
      </w:r>
    </w:p>
    <w:p w14:paraId="453A630A" w14:textId="77777777" w:rsidR="004C070C" w:rsidRDefault="004C070C" w:rsidP="000276CE">
      <w:pPr>
        <w:spacing w:after="0"/>
        <w:rPr>
          <w:rFonts w:asciiTheme="majorHAnsi" w:hAnsiTheme="majorHAnsi"/>
          <w:sz w:val="24"/>
          <w:szCs w:val="24"/>
        </w:rPr>
      </w:pPr>
      <w:r>
        <w:rPr>
          <w:rFonts w:asciiTheme="majorHAnsi" w:hAnsiTheme="majorHAnsi"/>
          <w:sz w:val="24"/>
          <w:szCs w:val="24"/>
        </w:rPr>
        <w:t xml:space="preserve">Other states offer credits to taxpayers that rehabilitate historic buildings.  These credits are generally based on a percentage of the costs of rehabilitation.  Several of these states cap the total amount of credit available statewide as does Massachusetts.  A variety of limitations and carry over rules apply.  </w:t>
      </w:r>
      <w:r w:rsidR="00E54776">
        <w:rPr>
          <w:rFonts w:asciiTheme="majorHAnsi" w:hAnsiTheme="majorHAnsi"/>
          <w:sz w:val="24"/>
          <w:szCs w:val="24"/>
        </w:rPr>
        <w:t xml:space="preserve">Finally, the credit is refundable in some of these states, but not others.  States with a historic building renovation credit include New York, Maine, Rhode Island, Connecticut, Delaware, Maryland and Pennsylvania.  </w:t>
      </w:r>
    </w:p>
    <w:p w14:paraId="6BF65617" w14:textId="77777777" w:rsidR="000276CE" w:rsidRDefault="000276CE" w:rsidP="00157B59">
      <w:pPr>
        <w:spacing w:after="0"/>
        <w:rPr>
          <w:rFonts w:asciiTheme="majorHAnsi" w:hAnsiTheme="majorHAnsi"/>
          <w:sz w:val="24"/>
          <w:szCs w:val="24"/>
        </w:rPr>
      </w:pPr>
    </w:p>
    <w:p w14:paraId="645199ED" w14:textId="77777777" w:rsidR="00EB4879" w:rsidRDefault="00EB4879" w:rsidP="00EB4879">
      <w:pPr>
        <w:tabs>
          <w:tab w:val="left" w:pos="7050"/>
        </w:tabs>
        <w:spacing w:after="0"/>
        <w:rPr>
          <w:rFonts w:asciiTheme="majorHAnsi" w:hAnsiTheme="majorHAnsi"/>
          <w:bCs/>
          <w:sz w:val="24"/>
          <w:szCs w:val="23"/>
        </w:rPr>
      </w:pPr>
    </w:p>
    <w:p w14:paraId="298B16C1" w14:textId="77777777" w:rsidR="00BF3530" w:rsidRPr="00A07439" w:rsidRDefault="00BF3530" w:rsidP="00BF3530">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57F4B50A" w14:textId="77777777" w:rsidR="00BF3530" w:rsidRDefault="00BF3530" w:rsidP="00BF3530">
      <w:pPr>
        <w:tabs>
          <w:tab w:val="left" w:pos="7050"/>
        </w:tabs>
        <w:spacing w:after="0"/>
        <w:rPr>
          <w:rFonts w:asciiTheme="majorHAnsi" w:hAnsiTheme="majorHAnsi"/>
          <w:bCs/>
          <w:sz w:val="24"/>
          <w:szCs w:val="23"/>
        </w:rPr>
      </w:pPr>
    </w:p>
    <w:p w14:paraId="61D2330C" w14:textId="77777777" w:rsidR="00BF3530" w:rsidRDefault="00BF3530" w:rsidP="00BF3530">
      <w:pPr>
        <w:tabs>
          <w:tab w:val="left" w:pos="7050"/>
        </w:tabs>
        <w:spacing w:after="0"/>
        <w:rPr>
          <w:rFonts w:asciiTheme="majorHAnsi" w:hAnsiTheme="majorHAnsi"/>
          <w:bCs/>
          <w:sz w:val="24"/>
          <w:szCs w:val="23"/>
        </w:rPr>
      </w:pPr>
      <w:r>
        <w:rPr>
          <w:rFonts w:asciiTheme="majorHAnsi" w:hAnsiTheme="majorHAnsi"/>
          <w:bCs/>
          <w:sz w:val="24"/>
          <w:szCs w:val="23"/>
        </w:rPr>
        <w:t xml:space="preserve">The chart below shows the </w:t>
      </w:r>
      <w:r w:rsidR="00220F4D">
        <w:rPr>
          <w:rFonts w:asciiTheme="majorHAnsi" w:hAnsiTheme="majorHAnsi"/>
          <w:bCs/>
          <w:sz w:val="24"/>
          <w:szCs w:val="23"/>
        </w:rPr>
        <w:t>total Historic Rehabilitation credits claimed, actual and project</w:t>
      </w:r>
      <w:r w:rsidR="001C33A6">
        <w:rPr>
          <w:rFonts w:asciiTheme="majorHAnsi" w:hAnsiTheme="majorHAnsi"/>
          <w:bCs/>
          <w:sz w:val="24"/>
          <w:szCs w:val="23"/>
        </w:rPr>
        <w:t>ions to FY2022</w:t>
      </w:r>
      <w:r w:rsidR="00220F4D">
        <w:rPr>
          <w:rFonts w:asciiTheme="majorHAnsi" w:hAnsiTheme="majorHAnsi"/>
          <w:bCs/>
          <w:sz w:val="24"/>
          <w:szCs w:val="23"/>
        </w:rPr>
        <w:t xml:space="preserve">.  </w:t>
      </w:r>
    </w:p>
    <w:p w14:paraId="57FD3B35" w14:textId="77777777" w:rsidR="008045E3" w:rsidRPr="00573916" w:rsidRDefault="008045E3" w:rsidP="00BF3530">
      <w:pPr>
        <w:tabs>
          <w:tab w:val="left" w:pos="7050"/>
        </w:tabs>
        <w:spacing w:after="0"/>
        <w:rPr>
          <w:rFonts w:asciiTheme="majorHAnsi" w:hAnsiTheme="majorHAnsi"/>
          <w:bCs/>
          <w:sz w:val="24"/>
          <w:szCs w:val="23"/>
        </w:rPr>
      </w:pPr>
    </w:p>
    <w:p w14:paraId="28D55704" w14:textId="77777777" w:rsidR="00E34976" w:rsidRPr="00573916" w:rsidRDefault="00A23FF7" w:rsidP="00E34976">
      <w:pPr>
        <w:tabs>
          <w:tab w:val="left" w:pos="7050"/>
        </w:tabs>
        <w:spacing w:after="0"/>
        <w:jc w:val="center"/>
        <w:rPr>
          <w:rFonts w:asciiTheme="majorHAnsi" w:hAnsiTheme="majorHAnsi"/>
          <w:sz w:val="24"/>
          <w:szCs w:val="24"/>
        </w:rPr>
      </w:pPr>
      <w:r>
        <w:rPr>
          <w:noProof/>
        </w:rPr>
        <w:drawing>
          <wp:inline distT="0" distB="0" distL="0" distR="0" wp14:anchorId="47356B41" wp14:editId="676074A7">
            <wp:extent cx="4572000" cy="2743200"/>
            <wp:effectExtent l="0" t="0" r="0" b="0"/>
            <wp:docPr id="2" name="Chart 2">
              <a:extLst xmlns:a="http://schemas.openxmlformats.org/drawingml/2006/main">
                <a:ext uri="{FF2B5EF4-FFF2-40B4-BE49-F238E27FC236}">
                  <a16:creationId xmlns:a16="http://schemas.microsoft.com/office/drawing/2014/main" id="{86ACD279-9879-4578-B0EF-DD7190A04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780A79" w14:textId="77777777" w:rsidR="00E34976" w:rsidRDefault="00E34976" w:rsidP="00E34976">
      <w:pPr>
        <w:tabs>
          <w:tab w:val="left" w:pos="7050"/>
        </w:tabs>
        <w:spacing w:after="0"/>
        <w:rPr>
          <w:rFonts w:asciiTheme="majorHAnsi" w:hAnsiTheme="majorHAnsi"/>
          <w:bCs/>
          <w:sz w:val="24"/>
          <w:szCs w:val="23"/>
        </w:rPr>
      </w:pPr>
    </w:p>
    <w:p w14:paraId="67368B83" w14:textId="77777777" w:rsidR="00E34976" w:rsidRDefault="00E34976" w:rsidP="00E34976">
      <w:pPr>
        <w:tabs>
          <w:tab w:val="left" w:pos="7050"/>
        </w:tabs>
        <w:spacing w:after="0"/>
        <w:rPr>
          <w:rFonts w:asciiTheme="majorHAnsi" w:hAnsiTheme="majorHAnsi"/>
          <w:bCs/>
          <w:sz w:val="24"/>
          <w:szCs w:val="23"/>
        </w:rPr>
      </w:pPr>
      <w:r>
        <w:rPr>
          <w:rFonts w:asciiTheme="majorHAnsi" w:hAnsiTheme="majorHAnsi"/>
          <w:bCs/>
          <w:sz w:val="24"/>
          <w:szCs w:val="23"/>
        </w:rPr>
        <w:lastRenderedPageBreak/>
        <w:t xml:space="preserve">The intent of the credit has been to incentivize </w:t>
      </w:r>
      <w:r w:rsidRPr="00A35516">
        <w:rPr>
          <w:rFonts w:asciiTheme="majorHAnsi" w:hAnsiTheme="majorHAnsi"/>
          <w:sz w:val="24"/>
          <w:szCs w:val="24"/>
        </w:rPr>
        <w:t>private sector investment in the rehabilitation and re-</w:t>
      </w:r>
      <w:r>
        <w:rPr>
          <w:rFonts w:asciiTheme="majorHAnsi" w:hAnsiTheme="majorHAnsi"/>
          <w:sz w:val="24"/>
          <w:szCs w:val="24"/>
        </w:rPr>
        <w:t xml:space="preserve">purposing </w:t>
      </w:r>
      <w:r w:rsidRPr="00A35516">
        <w:rPr>
          <w:rFonts w:asciiTheme="majorHAnsi" w:hAnsiTheme="majorHAnsi"/>
          <w:sz w:val="24"/>
          <w:szCs w:val="24"/>
        </w:rPr>
        <w:t>of historic buildings</w:t>
      </w:r>
      <w:r>
        <w:rPr>
          <w:rFonts w:asciiTheme="majorHAnsi" w:hAnsiTheme="majorHAnsi"/>
          <w:sz w:val="24"/>
          <w:szCs w:val="24"/>
        </w:rPr>
        <w:t>.  On that score, as the chart shows, the credit has been achieving its purpose.  S</w:t>
      </w:r>
      <w:r>
        <w:rPr>
          <w:rFonts w:asciiTheme="majorHAnsi" w:hAnsiTheme="majorHAnsi"/>
          <w:bCs/>
          <w:sz w:val="24"/>
          <w:szCs w:val="23"/>
        </w:rPr>
        <w:t xml:space="preserve">ince its introduction in 2005, the cap on the credit amount that the Massachusetts Historical Society may approve has increased from $15 to $55 million.   These increases have been in response to the credit’s success in contributing to projects that rehabilitate historic structures.  </w:t>
      </w:r>
    </w:p>
    <w:p w14:paraId="32930C56" w14:textId="77777777" w:rsidR="00BF3530" w:rsidRDefault="00BF3530" w:rsidP="00BF3530">
      <w:pPr>
        <w:tabs>
          <w:tab w:val="left" w:pos="7050"/>
        </w:tabs>
        <w:spacing w:after="0"/>
        <w:jc w:val="center"/>
        <w:rPr>
          <w:rFonts w:asciiTheme="majorHAnsi" w:hAnsiTheme="majorHAnsi"/>
          <w:sz w:val="24"/>
          <w:szCs w:val="24"/>
        </w:rPr>
      </w:pPr>
    </w:p>
    <w:p w14:paraId="4E4D20B9" w14:textId="77777777" w:rsidR="00BF3530" w:rsidRDefault="00BF3530" w:rsidP="00BF3530">
      <w:pPr>
        <w:tabs>
          <w:tab w:val="left" w:pos="7050"/>
        </w:tabs>
        <w:spacing w:after="0"/>
        <w:rPr>
          <w:rFonts w:asciiTheme="majorHAnsi" w:hAnsiTheme="majorHAnsi"/>
          <w:sz w:val="24"/>
          <w:szCs w:val="24"/>
        </w:rPr>
      </w:pPr>
    </w:p>
    <w:p w14:paraId="7FED3F1B" w14:textId="77777777" w:rsidR="009107A3" w:rsidRDefault="009107A3" w:rsidP="009107A3">
      <w:pPr>
        <w:rPr>
          <w:rFonts w:eastAsia="Times New Roman"/>
          <w:sz w:val="28"/>
          <w:szCs w:val="28"/>
        </w:rPr>
      </w:pPr>
      <w:r>
        <w:rPr>
          <w:rFonts w:eastAsia="Times New Roman"/>
          <w:sz w:val="28"/>
          <w:szCs w:val="28"/>
          <w:highlight w:val="cyan"/>
        </w:rPr>
        <w:t>To be completed further by TERC</w:t>
      </w:r>
    </w:p>
    <w:p w14:paraId="4B9AF036" w14:textId="77777777" w:rsidR="009107A3" w:rsidRDefault="009107A3" w:rsidP="009107A3">
      <w:pPr>
        <w:rPr>
          <w:rFonts w:eastAsia="Times New Roman"/>
          <w:sz w:val="28"/>
          <w:szCs w:val="28"/>
        </w:rPr>
      </w:pPr>
    </w:p>
    <w:p w14:paraId="11FE15C5" w14:textId="77777777" w:rsidR="008045E3" w:rsidRPr="00BD6A73" w:rsidRDefault="009107A3" w:rsidP="008045E3">
      <w:pPr>
        <w:rPr>
          <w:rFonts w:asciiTheme="majorHAnsi" w:hAnsiTheme="majorHAnsi"/>
          <w:sz w:val="24"/>
          <w:szCs w:val="24"/>
        </w:rPr>
      </w:pPr>
      <w:r>
        <w:rPr>
          <w:rFonts w:eastAsia="Times New Roman"/>
          <w:sz w:val="28"/>
          <w:szCs w:val="28"/>
          <w:highlight w:val="cyan"/>
        </w:rPr>
        <w:t>Conclusion/Recommendations: [To be Entered by TERC]</w:t>
      </w:r>
    </w:p>
    <w:sectPr w:rsidR="008045E3" w:rsidRPr="00BD6A73" w:rsidSect="00ED458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8126" w14:textId="77777777" w:rsidR="00DE5F9F" w:rsidRDefault="00DE5F9F" w:rsidP="00110E98">
      <w:pPr>
        <w:spacing w:after="0" w:line="240" w:lineRule="auto"/>
      </w:pPr>
      <w:r>
        <w:separator/>
      </w:r>
    </w:p>
  </w:endnote>
  <w:endnote w:type="continuationSeparator" w:id="0">
    <w:p w14:paraId="406D4C5F" w14:textId="77777777" w:rsidR="00DE5F9F" w:rsidRDefault="00DE5F9F"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09C2" w14:textId="77777777" w:rsidR="00784A69" w:rsidRDefault="0078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BA2D" w14:textId="77777777" w:rsidR="00B204AF" w:rsidRPr="00B204AF" w:rsidRDefault="00B204AF" w:rsidP="00784433">
    <w:pPr>
      <w:pStyle w:val="Footer"/>
      <w:rPr>
        <w:rFonts w:asciiTheme="majorHAnsi" w:hAnsiTheme="majorHAnsi"/>
        <w:sz w:val="24"/>
      </w:rPr>
    </w:pPr>
  </w:p>
  <w:p w14:paraId="4E683D11" w14:textId="77777777" w:rsidR="00B204AF" w:rsidRDefault="00B2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1758" w14:textId="77777777" w:rsidR="00784A69" w:rsidRDefault="0078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1ABB" w14:textId="77777777" w:rsidR="00DE5F9F" w:rsidRDefault="00DE5F9F" w:rsidP="00110E98">
      <w:pPr>
        <w:spacing w:after="0" w:line="240" w:lineRule="auto"/>
      </w:pPr>
      <w:r>
        <w:separator/>
      </w:r>
    </w:p>
  </w:footnote>
  <w:footnote w:type="continuationSeparator" w:id="0">
    <w:p w14:paraId="2BE6958A" w14:textId="77777777" w:rsidR="00DE5F9F" w:rsidRDefault="00DE5F9F" w:rsidP="00110E98">
      <w:pPr>
        <w:spacing w:after="0" w:line="240" w:lineRule="auto"/>
      </w:pPr>
      <w:r>
        <w:continuationSeparator/>
      </w:r>
    </w:p>
  </w:footnote>
  <w:footnote w:id="1">
    <w:p w14:paraId="7220EB86" w14:textId="77777777" w:rsidR="00FD652A" w:rsidRDefault="00FD652A" w:rsidP="00FD652A">
      <w:pPr>
        <w:pStyle w:val="FootnoteText"/>
      </w:pPr>
      <w:r>
        <w:rPr>
          <w:rStyle w:val="FootnoteReference"/>
        </w:rPr>
        <w:footnoteRef/>
      </w:r>
      <w:r>
        <w:t xml:space="preserve"> See table on page 7 at  </w:t>
      </w:r>
      <w:hyperlink r:id="rId1" w:history="1">
        <w:r w:rsidRPr="0005738B">
          <w:rPr>
            <w:rStyle w:val="Hyperlink"/>
          </w:rPr>
          <w:t>https://www.massvacation.com/wp-content/uploads/2020/06/2020_Annual_Report.pdf</w:t>
        </w:r>
      </w:hyperlink>
      <w:r>
        <w:t xml:space="preserve"> </w:t>
      </w:r>
    </w:p>
  </w:footnote>
  <w:footnote w:id="2">
    <w:p w14:paraId="73F86112" w14:textId="77777777" w:rsidR="00173AD9" w:rsidRDefault="00173AD9" w:rsidP="00173AD9">
      <w:pPr>
        <w:pStyle w:val="FootnoteText"/>
      </w:pPr>
      <w:r>
        <w:rPr>
          <w:rStyle w:val="FootnoteReference"/>
        </w:rPr>
        <w:footnoteRef/>
      </w:r>
      <w:r>
        <w:t xml:space="preserve"> See page 8 of “</w:t>
      </w:r>
      <w:hyperlink r:id="rId2" w:history="1">
        <w:r w:rsidRPr="0066423C">
          <w:t>Economic Impacts of Historic Preservation in Massachusetts</w:t>
        </w:r>
      </w:hyperlink>
      <w:r>
        <w:t>”, available on the Massachusetts</w:t>
      </w:r>
    </w:p>
    <w:p w14:paraId="1AB0F73D" w14:textId="77777777" w:rsidR="00173AD9" w:rsidRDefault="00173AD9" w:rsidP="00173AD9">
      <w:pPr>
        <w:pStyle w:val="FootnoteText"/>
      </w:pPr>
      <w:r>
        <w:t xml:space="preserve">Historical Commission home page (see “Learning and Research” section): </w:t>
      </w:r>
      <w:hyperlink r:id="rId3" w:history="1">
        <w:r>
          <w:rPr>
            <w:rStyle w:val="Hyperlink"/>
          </w:rPr>
          <w:t>https://www.sec.state.ma.us/mhc/</w:t>
        </w:r>
      </w:hyperlink>
    </w:p>
  </w:footnote>
  <w:footnote w:id="3">
    <w:p w14:paraId="120990D7" w14:textId="77777777" w:rsidR="00E13266" w:rsidRDefault="00E13266" w:rsidP="00E13266">
      <w:pPr>
        <w:pStyle w:val="FootnoteText"/>
      </w:pPr>
      <w:r>
        <w:rPr>
          <w:rStyle w:val="FootnoteReference"/>
        </w:rPr>
        <w:footnoteRef/>
      </w:r>
      <w:r>
        <w:t xml:space="preserve"> </w:t>
      </w:r>
      <w:hyperlink r:id="rId4" w:history="1">
        <w:r w:rsidRPr="0005738B">
          <w:rPr>
            <w:rStyle w:val="Hyperlink"/>
          </w:rPr>
          <w:t>https://travel.usnews.com/rankings/best-us-historic-destinations/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287D" w14:textId="1C0BE8ED" w:rsidR="00784A69" w:rsidRDefault="00F022E4">
    <w:pPr>
      <w:pStyle w:val="Header"/>
    </w:pPr>
    <w:r>
      <w:rPr>
        <w:noProof/>
      </w:rPr>
      <w:pict w14:anchorId="017FB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40376" o:spid="_x0000_s614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48F1" w14:textId="6F47F9B2" w:rsidR="00784A69" w:rsidRDefault="00F022E4">
    <w:pPr>
      <w:pStyle w:val="Header"/>
    </w:pPr>
    <w:r>
      <w:rPr>
        <w:noProof/>
      </w:rPr>
      <w:pict w14:anchorId="588E8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40377" o:spid="_x0000_s614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83E9" w14:textId="5529E9DB" w:rsidR="00784A69" w:rsidRDefault="00F022E4">
    <w:pPr>
      <w:pStyle w:val="Header"/>
    </w:pPr>
    <w:r>
      <w:rPr>
        <w:noProof/>
      </w:rPr>
      <w:pict w14:anchorId="4C041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40375"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D7CD6"/>
    <w:multiLevelType w:val="multilevel"/>
    <w:tmpl w:val="0618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7213D"/>
    <w:multiLevelType w:val="multilevel"/>
    <w:tmpl w:val="8C80AA0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5" w15:restartNumberingAfterBreak="0">
    <w:nsid w:val="1E70659F"/>
    <w:multiLevelType w:val="hybridMultilevel"/>
    <w:tmpl w:val="C2F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24FCD"/>
    <w:multiLevelType w:val="multilevel"/>
    <w:tmpl w:val="837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F7EF3"/>
    <w:multiLevelType w:val="multilevel"/>
    <w:tmpl w:val="0BB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53FD7"/>
    <w:multiLevelType w:val="hybridMultilevel"/>
    <w:tmpl w:val="938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1727D"/>
    <w:multiLevelType w:val="hybridMultilevel"/>
    <w:tmpl w:val="F484F3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6"/>
  </w:num>
  <w:num w:numId="5">
    <w:abstractNumId w:val="8"/>
  </w:num>
  <w:num w:numId="6">
    <w:abstractNumId w:val="11"/>
  </w:num>
  <w:num w:numId="7">
    <w:abstractNumId w:val="6"/>
  </w:num>
  <w:num w:numId="8">
    <w:abstractNumId w:val="2"/>
  </w:num>
  <w:num w:numId="9">
    <w:abstractNumId w:val="1"/>
  </w:num>
  <w:num w:numId="10">
    <w:abstractNumId w:val="15"/>
  </w:num>
  <w:num w:numId="11">
    <w:abstractNumId w:val="7"/>
  </w:num>
  <w:num w:numId="12">
    <w:abstractNumId w:val="5"/>
  </w:num>
  <w:num w:numId="13">
    <w:abstractNumId w:val="14"/>
  </w:num>
  <w:num w:numId="14">
    <w:abstractNumId w:val="13"/>
  </w:num>
  <w:num w:numId="15">
    <w:abstractNumId w:val="4"/>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3F"/>
    <w:rsid w:val="00003921"/>
    <w:rsid w:val="0000728B"/>
    <w:rsid w:val="00011C3A"/>
    <w:rsid w:val="00017592"/>
    <w:rsid w:val="0002044C"/>
    <w:rsid w:val="000230AD"/>
    <w:rsid w:val="000276CE"/>
    <w:rsid w:val="00046C6A"/>
    <w:rsid w:val="0006078E"/>
    <w:rsid w:val="00066F7A"/>
    <w:rsid w:val="00070EA9"/>
    <w:rsid w:val="00084664"/>
    <w:rsid w:val="00095CD7"/>
    <w:rsid w:val="000A4DDB"/>
    <w:rsid w:val="000A5DC4"/>
    <w:rsid w:val="000B76D8"/>
    <w:rsid w:val="000C56D9"/>
    <w:rsid w:val="000E27A7"/>
    <w:rsid w:val="000F3809"/>
    <w:rsid w:val="000F477B"/>
    <w:rsid w:val="00107835"/>
    <w:rsid w:val="00110E98"/>
    <w:rsid w:val="0011678F"/>
    <w:rsid w:val="00117D55"/>
    <w:rsid w:val="00122D60"/>
    <w:rsid w:val="001243A2"/>
    <w:rsid w:val="00127CCC"/>
    <w:rsid w:val="00141566"/>
    <w:rsid w:val="001464FC"/>
    <w:rsid w:val="00152662"/>
    <w:rsid w:val="00157B59"/>
    <w:rsid w:val="001640CA"/>
    <w:rsid w:val="00173AD9"/>
    <w:rsid w:val="00176C59"/>
    <w:rsid w:val="00183ABF"/>
    <w:rsid w:val="00192340"/>
    <w:rsid w:val="0019515B"/>
    <w:rsid w:val="001953FF"/>
    <w:rsid w:val="001A21D2"/>
    <w:rsid w:val="001B51D6"/>
    <w:rsid w:val="001C33A6"/>
    <w:rsid w:val="001D1D18"/>
    <w:rsid w:val="001E7FD3"/>
    <w:rsid w:val="001F1803"/>
    <w:rsid w:val="00210714"/>
    <w:rsid w:val="002116BE"/>
    <w:rsid w:val="00220F4D"/>
    <w:rsid w:val="002246A3"/>
    <w:rsid w:val="00227294"/>
    <w:rsid w:val="00235025"/>
    <w:rsid w:val="002403C1"/>
    <w:rsid w:val="002437D7"/>
    <w:rsid w:val="00244D60"/>
    <w:rsid w:val="00245D07"/>
    <w:rsid w:val="00263872"/>
    <w:rsid w:val="00272415"/>
    <w:rsid w:val="002768F2"/>
    <w:rsid w:val="00282EBF"/>
    <w:rsid w:val="0028699E"/>
    <w:rsid w:val="00291074"/>
    <w:rsid w:val="00292353"/>
    <w:rsid w:val="002970B4"/>
    <w:rsid w:val="002A470E"/>
    <w:rsid w:val="002A54D6"/>
    <w:rsid w:val="002A71E8"/>
    <w:rsid w:val="002D74AE"/>
    <w:rsid w:val="002E2DC9"/>
    <w:rsid w:val="002F07BD"/>
    <w:rsid w:val="002F10DB"/>
    <w:rsid w:val="002F5704"/>
    <w:rsid w:val="0030425B"/>
    <w:rsid w:val="003229C4"/>
    <w:rsid w:val="00324074"/>
    <w:rsid w:val="00333FEA"/>
    <w:rsid w:val="0033710A"/>
    <w:rsid w:val="0034332B"/>
    <w:rsid w:val="00344841"/>
    <w:rsid w:val="00355122"/>
    <w:rsid w:val="00355A51"/>
    <w:rsid w:val="00380D5D"/>
    <w:rsid w:val="003B2BF9"/>
    <w:rsid w:val="003C1700"/>
    <w:rsid w:val="003C73F9"/>
    <w:rsid w:val="003E71AD"/>
    <w:rsid w:val="003F1AB9"/>
    <w:rsid w:val="004064C7"/>
    <w:rsid w:val="004351B8"/>
    <w:rsid w:val="0044629D"/>
    <w:rsid w:val="00466D0B"/>
    <w:rsid w:val="00481E5A"/>
    <w:rsid w:val="00485FBB"/>
    <w:rsid w:val="00486F3F"/>
    <w:rsid w:val="0048718A"/>
    <w:rsid w:val="004A1129"/>
    <w:rsid w:val="004A3B69"/>
    <w:rsid w:val="004B14D0"/>
    <w:rsid w:val="004C0367"/>
    <w:rsid w:val="004C070C"/>
    <w:rsid w:val="004C3153"/>
    <w:rsid w:val="004C45A3"/>
    <w:rsid w:val="004C7F8B"/>
    <w:rsid w:val="004D17D2"/>
    <w:rsid w:val="004D2791"/>
    <w:rsid w:val="004D4679"/>
    <w:rsid w:val="004D54CC"/>
    <w:rsid w:val="00503DFA"/>
    <w:rsid w:val="00515EE7"/>
    <w:rsid w:val="00530737"/>
    <w:rsid w:val="005529C5"/>
    <w:rsid w:val="00565D22"/>
    <w:rsid w:val="00567D60"/>
    <w:rsid w:val="00576773"/>
    <w:rsid w:val="005828C3"/>
    <w:rsid w:val="0058366F"/>
    <w:rsid w:val="005A0637"/>
    <w:rsid w:val="005A53F3"/>
    <w:rsid w:val="005B1BBE"/>
    <w:rsid w:val="005B739C"/>
    <w:rsid w:val="005D0F76"/>
    <w:rsid w:val="005D386F"/>
    <w:rsid w:val="005D5FFF"/>
    <w:rsid w:val="005D6822"/>
    <w:rsid w:val="005E2689"/>
    <w:rsid w:val="005E56CD"/>
    <w:rsid w:val="006016F3"/>
    <w:rsid w:val="00616EEB"/>
    <w:rsid w:val="00617863"/>
    <w:rsid w:val="00664139"/>
    <w:rsid w:val="0066423C"/>
    <w:rsid w:val="006678F7"/>
    <w:rsid w:val="00682CCB"/>
    <w:rsid w:val="006838C3"/>
    <w:rsid w:val="00683ED4"/>
    <w:rsid w:val="006A0321"/>
    <w:rsid w:val="006A1AA0"/>
    <w:rsid w:val="006A209C"/>
    <w:rsid w:val="006D4359"/>
    <w:rsid w:val="006F4DB1"/>
    <w:rsid w:val="007361C4"/>
    <w:rsid w:val="0074239C"/>
    <w:rsid w:val="00752901"/>
    <w:rsid w:val="00784433"/>
    <w:rsid w:val="00784A69"/>
    <w:rsid w:val="007A3349"/>
    <w:rsid w:val="007C3ABD"/>
    <w:rsid w:val="007D22BA"/>
    <w:rsid w:val="007E4AA9"/>
    <w:rsid w:val="007E6C12"/>
    <w:rsid w:val="007F1706"/>
    <w:rsid w:val="00803E44"/>
    <w:rsid w:val="008045E3"/>
    <w:rsid w:val="00804B9E"/>
    <w:rsid w:val="008119A2"/>
    <w:rsid w:val="0081648A"/>
    <w:rsid w:val="00823815"/>
    <w:rsid w:val="00825432"/>
    <w:rsid w:val="00826932"/>
    <w:rsid w:val="008337C2"/>
    <w:rsid w:val="008446C2"/>
    <w:rsid w:val="00881147"/>
    <w:rsid w:val="008903C5"/>
    <w:rsid w:val="00893A12"/>
    <w:rsid w:val="00895ECF"/>
    <w:rsid w:val="008C2341"/>
    <w:rsid w:val="008D1A41"/>
    <w:rsid w:val="00907C7E"/>
    <w:rsid w:val="009107A3"/>
    <w:rsid w:val="009163C7"/>
    <w:rsid w:val="00921525"/>
    <w:rsid w:val="009223DE"/>
    <w:rsid w:val="00931D84"/>
    <w:rsid w:val="00960EC0"/>
    <w:rsid w:val="009646B0"/>
    <w:rsid w:val="00967A30"/>
    <w:rsid w:val="00973CC8"/>
    <w:rsid w:val="009A45AA"/>
    <w:rsid w:val="009A469D"/>
    <w:rsid w:val="009A55CB"/>
    <w:rsid w:val="009B2E3C"/>
    <w:rsid w:val="009D167F"/>
    <w:rsid w:val="009E3689"/>
    <w:rsid w:val="00A028C0"/>
    <w:rsid w:val="00A07796"/>
    <w:rsid w:val="00A12794"/>
    <w:rsid w:val="00A23FF7"/>
    <w:rsid w:val="00A25634"/>
    <w:rsid w:val="00A35516"/>
    <w:rsid w:val="00A44E82"/>
    <w:rsid w:val="00A51E85"/>
    <w:rsid w:val="00A54CC0"/>
    <w:rsid w:val="00A6097D"/>
    <w:rsid w:val="00A62A00"/>
    <w:rsid w:val="00A658D3"/>
    <w:rsid w:val="00A726EE"/>
    <w:rsid w:val="00A7283F"/>
    <w:rsid w:val="00A741A4"/>
    <w:rsid w:val="00A84539"/>
    <w:rsid w:val="00A846CA"/>
    <w:rsid w:val="00A90DB7"/>
    <w:rsid w:val="00A94CCD"/>
    <w:rsid w:val="00AD2A39"/>
    <w:rsid w:val="00AF4A8F"/>
    <w:rsid w:val="00AF4D9B"/>
    <w:rsid w:val="00AF7B2C"/>
    <w:rsid w:val="00B204AF"/>
    <w:rsid w:val="00B37DB1"/>
    <w:rsid w:val="00B46E08"/>
    <w:rsid w:val="00B51192"/>
    <w:rsid w:val="00B5475E"/>
    <w:rsid w:val="00B64F64"/>
    <w:rsid w:val="00B77D67"/>
    <w:rsid w:val="00B80C28"/>
    <w:rsid w:val="00BA336C"/>
    <w:rsid w:val="00BC6806"/>
    <w:rsid w:val="00BD3224"/>
    <w:rsid w:val="00BD6A73"/>
    <w:rsid w:val="00BE01E6"/>
    <w:rsid w:val="00BE7CE7"/>
    <w:rsid w:val="00BF3530"/>
    <w:rsid w:val="00C07688"/>
    <w:rsid w:val="00C1578D"/>
    <w:rsid w:val="00C24414"/>
    <w:rsid w:val="00C252CB"/>
    <w:rsid w:val="00C32936"/>
    <w:rsid w:val="00C40C1E"/>
    <w:rsid w:val="00C55640"/>
    <w:rsid w:val="00C74DE0"/>
    <w:rsid w:val="00C76723"/>
    <w:rsid w:val="00C80211"/>
    <w:rsid w:val="00C83E56"/>
    <w:rsid w:val="00CB1376"/>
    <w:rsid w:val="00CC05CE"/>
    <w:rsid w:val="00CC208F"/>
    <w:rsid w:val="00CD1346"/>
    <w:rsid w:val="00CD1B5C"/>
    <w:rsid w:val="00CE3154"/>
    <w:rsid w:val="00CF41DD"/>
    <w:rsid w:val="00CF49D8"/>
    <w:rsid w:val="00D13CE7"/>
    <w:rsid w:val="00D17E9D"/>
    <w:rsid w:val="00D17F0C"/>
    <w:rsid w:val="00D27042"/>
    <w:rsid w:val="00D363DB"/>
    <w:rsid w:val="00D40764"/>
    <w:rsid w:val="00D420BF"/>
    <w:rsid w:val="00D4431A"/>
    <w:rsid w:val="00D5742B"/>
    <w:rsid w:val="00D712C8"/>
    <w:rsid w:val="00D73C34"/>
    <w:rsid w:val="00D73F36"/>
    <w:rsid w:val="00D777F0"/>
    <w:rsid w:val="00D80D2E"/>
    <w:rsid w:val="00D86F57"/>
    <w:rsid w:val="00DA0F30"/>
    <w:rsid w:val="00DB768B"/>
    <w:rsid w:val="00DE0DA2"/>
    <w:rsid w:val="00DE5262"/>
    <w:rsid w:val="00DE5F9F"/>
    <w:rsid w:val="00E05E37"/>
    <w:rsid w:val="00E13266"/>
    <w:rsid w:val="00E216AC"/>
    <w:rsid w:val="00E247AF"/>
    <w:rsid w:val="00E34976"/>
    <w:rsid w:val="00E37E72"/>
    <w:rsid w:val="00E54776"/>
    <w:rsid w:val="00E671DE"/>
    <w:rsid w:val="00E70EFC"/>
    <w:rsid w:val="00E72A52"/>
    <w:rsid w:val="00E92C1D"/>
    <w:rsid w:val="00E96B37"/>
    <w:rsid w:val="00EA0620"/>
    <w:rsid w:val="00EB40E2"/>
    <w:rsid w:val="00EB4879"/>
    <w:rsid w:val="00ED3285"/>
    <w:rsid w:val="00ED4589"/>
    <w:rsid w:val="00EF4AAA"/>
    <w:rsid w:val="00EF6EFC"/>
    <w:rsid w:val="00F022E4"/>
    <w:rsid w:val="00F02A0B"/>
    <w:rsid w:val="00F065BC"/>
    <w:rsid w:val="00F076B1"/>
    <w:rsid w:val="00F14219"/>
    <w:rsid w:val="00F22DAA"/>
    <w:rsid w:val="00F2363C"/>
    <w:rsid w:val="00F24AE3"/>
    <w:rsid w:val="00F42D99"/>
    <w:rsid w:val="00F438E6"/>
    <w:rsid w:val="00F51224"/>
    <w:rsid w:val="00F52BAF"/>
    <w:rsid w:val="00F544A1"/>
    <w:rsid w:val="00F71FA6"/>
    <w:rsid w:val="00F7586D"/>
    <w:rsid w:val="00F76A95"/>
    <w:rsid w:val="00F80B9F"/>
    <w:rsid w:val="00F820D5"/>
    <w:rsid w:val="00F82F4E"/>
    <w:rsid w:val="00F93830"/>
    <w:rsid w:val="00FA211C"/>
    <w:rsid w:val="00FA2A6F"/>
    <w:rsid w:val="00FA40F8"/>
    <w:rsid w:val="00FB56A3"/>
    <w:rsid w:val="00FC5D6C"/>
    <w:rsid w:val="00FC7795"/>
    <w:rsid w:val="00FD22D7"/>
    <w:rsid w:val="00FD652A"/>
    <w:rsid w:val="00FE62FA"/>
    <w:rsid w:val="00FE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EA3C676"/>
  <w15:docId w15:val="{806C12AC-E189-427B-BE90-AD3F6234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741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paragraph" w:styleId="NormalWeb">
    <w:name w:val="Normal (Web)"/>
    <w:basedOn w:val="Normal"/>
    <w:uiPriority w:val="99"/>
    <w:semiHidden/>
    <w:unhideWhenUsed/>
    <w:rsid w:val="00D86F57"/>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D86F57"/>
    <w:rPr>
      <w:b/>
      <w:bCs/>
      <w:i/>
      <w:iCs/>
      <w:color w:val="4F81BD" w:themeColor="accent1"/>
    </w:rPr>
  </w:style>
  <w:style w:type="character" w:styleId="Emphasis">
    <w:name w:val="Emphasis"/>
    <w:basedOn w:val="DefaultParagraphFont"/>
    <w:uiPriority w:val="20"/>
    <w:qFormat/>
    <w:rsid w:val="00931D84"/>
    <w:rPr>
      <w:i/>
      <w:iCs/>
    </w:rPr>
  </w:style>
  <w:style w:type="paragraph" w:styleId="NoSpacing">
    <w:name w:val="No Spacing"/>
    <w:uiPriority w:val="1"/>
    <w:qFormat/>
    <w:rsid w:val="00BF3530"/>
    <w:pPr>
      <w:spacing w:after="0" w:line="240" w:lineRule="auto"/>
    </w:pPr>
  </w:style>
  <w:style w:type="paragraph" w:styleId="Revision">
    <w:name w:val="Revision"/>
    <w:hidden/>
    <w:uiPriority w:val="99"/>
    <w:semiHidden/>
    <w:rsid w:val="00C76723"/>
    <w:pPr>
      <w:spacing w:after="0" w:line="240" w:lineRule="auto"/>
    </w:pPr>
  </w:style>
  <w:style w:type="character" w:styleId="FollowedHyperlink">
    <w:name w:val="FollowedHyperlink"/>
    <w:basedOn w:val="DefaultParagraphFont"/>
    <w:uiPriority w:val="99"/>
    <w:semiHidden/>
    <w:unhideWhenUsed/>
    <w:rsid w:val="004D17D2"/>
    <w:rPr>
      <w:color w:val="800080" w:themeColor="followedHyperlink"/>
      <w:u w:val="single"/>
    </w:rPr>
  </w:style>
  <w:style w:type="character" w:customStyle="1" w:styleId="UnresolvedMention1">
    <w:name w:val="Unresolved Mention1"/>
    <w:basedOn w:val="DefaultParagraphFont"/>
    <w:uiPriority w:val="99"/>
    <w:semiHidden/>
    <w:unhideWhenUsed/>
    <w:rsid w:val="004D17D2"/>
    <w:rPr>
      <w:color w:val="605E5C"/>
      <w:shd w:val="clear" w:color="auto" w:fill="E1DFDD"/>
    </w:rPr>
  </w:style>
  <w:style w:type="character" w:customStyle="1" w:styleId="Heading6Char">
    <w:name w:val="Heading 6 Char"/>
    <w:basedOn w:val="DefaultParagraphFont"/>
    <w:link w:val="Heading6"/>
    <w:uiPriority w:val="9"/>
    <w:rsid w:val="00A741A4"/>
    <w:rPr>
      <w:rFonts w:ascii="Times New Roman" w:eastAsia="Times New Roman" w:hAnsi="Times New Roman" w:cs="Times New Roman"/>
      <w:b/>
      <w:bCs/>
      <w:sz w:val="15"/>
      <w:szCs w:val="15"/>
    </w:rPr>
  </w:style>
  <w:style w:type="paragraph" w:customStyle="1" w:styleId="p1">
    <w:name w:val="p1"/>
    <w:basedOn w:val="Normal"/>
    <w:rsid w:val="005B73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39C"/>
    <w:rPr>
      <w:b/>
      <w:bCs/>
    </w:rPr>
  </w:style>
  <w:style w:type="character" w:customStyle="1" w:styleId="s1">
    <w:name w:val="s1"/>
    <w:basedOn w:val="DefaultParagraphFont"/>
    <w:rsid w:val="005B739C"/>
  </w:style>
  <w:style w:type="character" w:customStyle="1" w:styleId="s2">
    <w:name w:val="s2"/>
    <w:basedOn w:val="DefaultParagraphFont"/>
    <w:rsid w:val="005B739C"/>
  </w:style>
  <w:style w:type="character" w:customStyle="1" w:styleId="UnresolvedMention2">
    <w:name w:val="Unresolved Mention2"/>
    <w:basedOn w:val="DefaultParagraphFont"/>
    <w:uiPriority w:val="99"/>
    <w:semiHidden/>
    <w:unhideWhenUsed/>
    <w:rsid w:val="002A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626136">
      <w:bodyDiv w:val="1"/>
      <w:marLeft w:val="0"/>
      <w:marRight w:val="0"/>
      <w:marTop w:val="0"/>
      <w:marBottom w:val="0"/>
      <w:divBdr>
        <w:top w:val="none" w:sz="0" w:space="0" w:color="auto"/>
        <w:left w:val="none" w:sz="0" w:space="0" w:color="auto"/>
        <w:bottom w:val="none" w:sz="0" w:space="0" w:color="auto"/>
        <w:right w:val="none" w:sz="0" w:space="0" w:color="auto"/>
      </w:divBdr>
    </w:div>
    <w:div w:id="695616437">
      <w:bodyDiv w:val="1"/>
      <w:marLeft w:val="0"/>
      <w:marRight w:val="0"/>
      <w:marTop w:val="0"/>
      <w:marBottom w:val="0"/>
      <w:divBdr>
        <w:top w:val="none" w:sz="0" w:space="0" w:color="auto"/>
        <w:left w:val="none" w:sz="0" w:space="0" w:color="auto"/>
        <w:bottom w:val="none" w:sz="0" w:space="0" w:color="auto"/>
        <w:right w:val="none" w:sz="0" w:space="0" w:color="auto"/>
      </w:divBdr>
    </w:div>
    <w:div w:id="760446183">
      <w:bodyDiv w:val="1"/>
      <w:marLeft w:val="0"/>
      <w:marRight w:val="0"/>
      <w:marTop w:val="0"/>
      <w:marBottom w:val="0"/>
      <w:divBdr>
        <w:top w:val="none" w:sz="0" w:space="0" w:color="auto"/>
        <w:left w:val="none" w:sz="0" w:space="0" w:color="auto"/>
        <w:bottom w:val="none" w:sz="0" w:space="0" w:color="auto"/>
        <w:right w:val="none" w:sz="0" w:space="0" w:color="auto"/>
      </w:divBdr>
    </w:div>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 w:id="1526480498">
      <w:bodyDiv w:val="1"/>
      <w:marLeft w:val="0"/>
      <w:marRight w:val="0"/>
      <w:marTop w:val="0"/>
      <w:marBottom w:val="0"/>
      <w:divBdr>
        <w:top w:val="none" w:sz="0" w:space="0" w:color="auto"/>
        <w:left w:val="none" w:sz="0" w:space="0" w:color="auto"/>
        <w:bottom w:val="none" w:sz="0" w:space="0" w:color="auto"/>
        <w:right w:val="none" w:sz="0" w:space="0" w:color="auto"/>
      </w:divBdr>
    </w:div>
    <w:div w:id="1643390120">
      <w:bodyDiv w:val="1"/>
      <w:marLeft w:val="0"/>
      <w:marRight w:val="0"/>
      <w:marTop w:val="0"/>
      <w:marBottom w:val="0"/>
      <w:divBdr>
        <w:top w:val="none" w:sz="0" w:space="0" w:color="auto"/>
        <w:left w:val="none" w:sz="0" w:space="0" w:color="auto"/>
        <w:bottom w:val="none" w:sz="0" w:space="0" w:color="auto"/>
        <w:right w:val="none" w:sz="0" w:space="0" w:color="auto"/>
      </w:divBdr>
    </w:div>
    <w:div w:id="1767578565">
      <w:bodyDiv w:val="1"/>
      <w:marLeft w:val="0"/>
      <w:marRight w:val="0"/>
      <w:marTop w:val="0"/>
      <w:marBottom w:val="0"/>
      <w:divBdr>
        <w:top w:val="none" w:sz="0" w:space="0" w:color="auto"/>
        <w:left w:val="none" w:sz="0" w:space="0" w:color="auto"/>
        <w:bottom w:val="none" w:sz="0" w:space="0" w:color="auto"/>
        <w:right w:val="none" w:sz="0" w:space="0" w:color="auto"/>
      </w:divBdr>
      <w:divsChild>
        <w:div w:id="44007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ec.state.ma.us/mhc/" TargetMode="External"/><Relationship Id="rId2" Type="http://schemas.openxmlformats.org/officeDocument/2006/relationships/hyperlink" Target="C://Users/liuf/AppData/Local/Microsoft/Windows/INetCache/IE/4C8S1Y6P/Economic_Impacts_2002.pdf" TargetMode="External"/><Relationship Id="rId1" Type="http://schemas.openxmlformats.org/officeDocument/2006/relationships/hyperlink" Target="https://www.massvacation.com/wp-content/uploads/2020/06/2020_Annual_Report.pdf" TargetMode="External"/><Relationship Id="rId4" Type="http://schemas.openxmlformats.org/officeDocument/2006/relationships/hyperlink" Target="https://travel.usnews.com/rankings/best-us-historic-destinat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or-bos3\groups\stpl\baer\TAXUNIT\TEB\TEB%20-%20Commission%20-%202019\TERC%20First%20Year%20Reports\John\1-610%20&amp;%202-610%20(Historic%20Buildings%20credit)\1-610-21%20+%202.610%20(cor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Historic Building Credits FY10</a:t>
            </a:r>
            <a:r>
              <a:rPr lang="en-US" baseline="0"/>
              <a:t> to FY22</a:t>
            </a:r>
            <a:r>
              <a:rPr lang="en-US"/>
              <a:t> </a:t>
            </a:r>
          </a:p>
          <a:p>
            <a:pPr>
              <a:defRPr sz="1400" b="0" i="0" u="none" strike="noStrike" kern="1200" spc="0" baseline="0">
                <a:solidFill>
                  <a:schemeClr val="tx1">
                    <a:lumMod val="65000"/>
                    <a:lumOff val="35000"/>
                  </a:schemeClr>
                </a:solidFill>
                <a:latin typeface="+mn-lt"/>
                <a:ea typeface="+mn-ea"/>
                <a:cs typeface="+mn-cs"/>
              </a:defRPr>
            </a:pPr>
            <a:r>
              <a:rPr lang="en-US" sz="1100"/>
              <a:t>($millions)</a:t>
            </a:r>
          </a:p>
        </c:rich>
      </c:tx>
      <c:layout>
        <c:manualLayout>
          <c:xMode val="edge"/>
          <c:yMode val="edge"/>
          <c:x val="0.183826334208224"/>
          <c:y val="1.8518518518518517E-2"/>
        </c:manualLayout>
      </c:layout>
      <c:overlay val="0"/>
      <c:spPr>
        <a:noFill/>
        <a:ln>
          <a:noFill/>
        </a:ln>
        <a:effectLst/>
      </c:spPr>
    </c:title>
    <c:autoTitleDeleted val="0"/>
    <c:plotArea>
      <c:layout>
        <c:manualLayout>
          <c:layoutTarget val="inner"/>
          <c:xMode val="edge"/>
          <c:yMode val="edge"/>
          <c:x val="9.7821522309711292E-2"/>
          <c:y val="0.20598388743073781"/>
          <c:w val="0.85991885389326339"/>
          <c:h val="0.6587117235345582"/>
        </c:manualLayout>
      </c:layout>
      <c:lineChart>
        <c:grouping val="standard"/>
        <c:varyColors val="0"/>
        <c:ser>
          <c:idx val="0"/>
          <c:order val="0"/>
          <c:spPr>
            <a:ln w="28575" cap="rnd">
              <a:solidFill>
                <a:schemeClr val="accent1"/>
              </a:solidFill>
              <a:round/>
            </a:ln>
            <a:effectLst/>
          </c:spPr>
          <c:marker>
            <c:symbol val="none"/>
          </c:marker>
          <c:cat>
            <c:numRef>
              <c:f>Sheet2!$G$6:$S$6</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Sheet2!$G$14:$S$14</c:f>
              <c:numCache>
                <c:formatCode>_("$"* #,##0.0_);_("$"* \(#,##0.0\);_("$"* "-"??_);_(@_)</c:formatCode>
                <c:ptCount val="13"/>
                <c:pt idx="0">
                  <c:v>34.877172000000002</c:v>
                </c:pt>
                <c:pt idx="1">
                  <c:v>37.725692000000002</c:v>
                </c:pt>
                <c:pt idx="2">
                  <c:v>43.583340999999997</c:v>
                </c:pt>
                <c:pt idx="3">
                  <c:v>41.915344999999995</c:v>
                </c:pt>
                <c:pt idx="4">
                  <c:v>37.172164000000002</c:v>
                </c:pt>
                <c:pt idx="5">
                  <c:v>41.296124999999996</c:v>
                </c:pt>
                <c:pt idx="6">
                  <c:v>34.949356999999999</c:v>
                </c:pt>
                <c:pt idx="7">
                  <c:v>37.30818641736392</c:v>
                </c:pt>
                <c:pt idx="8">
                  <c:v>41.945002911780293</c:v>
                </c:pt>
                <c:pt idx="9">
                  <c:v>52.515693355592113</c:v>
                </c:pt>
                <c:pt idx="10">
                  <c:v>53.233571278976918</c:v>
                </c:pt>
                <c:pt idx="11">
                  <c:v>53.966528848759765</c:v>
                </c:pt>
                <c:pt idx="12">
                  <c:v>54.715040768530677</c:v>
                </c:pt>
              </c:numCache>
            </c:numRef>
          </c:val>
          <c:smooth val="0"/>
          <c:extLst>
            <c:ext xmlns:c16="http://schemas.microsoft.com/office/drawing/2014/chart" uri="{C3380CC4-5D6E-409C-BE32-E72D297353CC}">
              <c16:uniqueId val="{00000000-E384-4F41-8F33-D355269D61C8}"/>
            </c:ext>
          </c:extLst>
        </c:ser>
        <c:dLbls>
          <c:showLegendKey val="0"/>
          <c:showVal val="0"/>
          <c:showCatName val="0"/>
          <c:showSerName val="0"/>
          <c:showPercent val="0"/>
          <c:showBubbleSize val="0"/>
        </c:dLbls>
        <c:smooth val="0"/>
        <c:axId val="31546752"/>
        <c:axId val="95413376"/>
      </c:lineChart>
      <c:catAx>
        <c:axId val="3154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13376"/>
        <c:crosses val="autoZero"/>
        <c:auto val="1"/>
        <c:lblAlgn val="ctr"/>
        <c:lblOffset val="100"/>
        <c:noMultiLvlLbl val="0"/>
      </c:catAx>
      <c:valAx>
        <c:axId val="9541337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_);_(&quot;$&quot;* \(#,##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46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C8B7-907D-4273-A0D9-15200D1D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1505</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Cummings, Ellen M. (DOR)</cp:lastModifiedBy>
  <cp:revision>2</cp:revision>
  <cp:lastPrinted>2020-01-28T19:08:00Z</cp:lastPrinted>
  <dcterms:created xsi:type="dcterms:W3CDTF">2020-11-04T18:39:00Z</dcterms:created>
  <dcterms:modified xsi:type="dcterms:W3CDTF">2020-11-04T18:39:00Z</dcterms:modified>
</cp:coreProperties>
</file>