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576"/>
      </w:tblGrid>
      <w:tr w:rsidR="0062172D" w:rsidRPr="002C2079" w14:paraId="3011A9A5" w14:textId="77777777" w:rsidTr="00B267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95638CB" w14:textId="77777777" w:rsidR="0062172D" w:rsidRDefault="0062172D" w:rsidP="00B267BF">
            <w:pPr>
              <w:jc w:val="center"/>
              <w:rPr>
                <w:color w:val="150399"/>
                <w:sz w:val="28"/>
                <w:szCs w:val="28"/>
              </w:rPr>
            </w:pPr>
            <w:bookmarkStart w:id="0" w:name="_GoBack"/>
            <w:bookmarkEnd w:id="0"/>
            <w:r w:rsidRPr="002C2079">
              <w:rPr>
                <w:rFonts w:cs="Times New Roman"/>
                <w:sz w:val="24"/>
              </w:rPr>
              <w:br w:type="page"/>
            </w:r>
            <w:r w:rsidRPr="008C2341">
              <w:rPr>
                <w:color w:val="150399"/>
                <w:sz w:val="28"/>
                <w:szCs w:val="28"/>
              </w:rPr>
              <w:t xml:space="preserve">PROPOSED MASSACHUSETTS TAX EXPENDITURES </w:t>
            </w:r>
          </w:p>
          <w:p w14:paraId="5BCDB4E3" w14:textId="77777777" w:rsidR="0062172D" w:rsidRPr="008C2341" w:rsidRDefault="0062172D" w:rsidP="00B267BF">
            <w:pPr>
              <w:jc w:val="center"/>
              <w:rPr>
                <w:b w:val="0"/>
                <w:bCs w:val="0"/>
                <w:color w:val="150399"/>
                <w:sz w:val="28"/>
                <w:szCs w:val="28"/>
              </w:rPr>
            </w:pPr>
            <w:r w:rsidRPr="008C2341">
              <w:rPr>
                <w:color w:val="150399"/>
                <w:sz w:val="28"/>
                <w:szCs w:val="28"/>
              </w:rPr>
              <w:t>EVALUATION SUMMARY</w:t>
            </w:r>
            <w:r>
              <w:rPr>
                <w:color w:val="150399"/>
                <w:sz w:val="28"/>
                <w:szCs w:val="28"/>
              </w:rPr>
              <w:t xml:space="preserve"> </w:t>
            </w:r>
          </w:p>
          <w:p w14:paraId="7DA14CF1" w14:textId="77777777" w:rsidR="0062172D" w:rsidRPr="004B14D0" w:rsidRDefault="0062172D" w:rsidP="00B267BF">
            <w:pPr>
              <w:rPr>
                <w:color w:val="150399"/>
                <w:sz w:val="28"/>
                <w:szCs w:val="28"/>
              </w:rPr>
            </w:pPr>
          </w:p>
        </w:tc>
      </w:tr>
      <w:tr w:rsidR="0062172D" w:rsidRPr="002C2079" w14:paraId="68BEF3EA" w14:textId="77777777" w:rsidTr="00B26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0A5EE97" w14:textId="77777777" w:rsidR="0062172D" w:rsidRPr="002C2079" w:rsidRDefault="0062172D" w:rsidP="00B267BF">
            <w:pPr>
              <w:jc w:val="center"/>
              <w:rPr>
                <w:rFonts w:asciiTheme="majorHAnsi" w:hAnsiTheme="majorHAnsi"/>
              </w:rPr>
            </w:pPr>
            <w:r w:rsidRPr="002C2079">
              <w:rPr>
                <w:rFonts w:asciiTheme="majorHAnsi" w:hAnsiTheme="majorHAnsi"/>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70"/>
      </w:tblGrid>
      <w:tr w:rsidR="0062172D" w:rsidRPr="002C2079" w14:paraId="567A77CC" w14:textId="77777777" w:rsidTr="00B267BF">
        <w:trPr>
          <w:trHeight w:val="360"/>
        </w:trPr>
        <w:tc>
          <w:tcPr>
            <w:tcW w:w="4788" w:type="dxa"/>
          </w:tcPr>
          <w:p w14:paraId="00A048C7" w14:textId="77777777" w:rsidR="0062172D" w:rsidRPr="002C2079" w:rsidRDefault="0062172D" w:rsidP="00B267BF">
            <w:pPr>
              <w:tabs>
                <w:tab w:val="left" w:pos="7050"/>
              </w:tabs>
              <w:rPr>
                <w:rFonts w:asciiTheme="majorHAnsi" w:hAnsiTheme="majorHAnsi"/>
              </w:rPr>
            </w:pPr>
          </w:p>
        </w:tc>
        <w:tc>
          <w:tcPr>
            <w:tcW w:w="4770" w:type="dxa"/>
          </w:tcPr>
          <w:p w14:paraId="2014BBEF" w14:textId="77777777" w:rsidR="0062172D" w:rsidRPr="002C2079" w:rsidRDefault="0062172D" w:rsidP="00B267BF">
            <w:pPr>
              <w:tabs>
                <w:tab w:val="left" w:pos="7050"/>
              </w:tabs>
              <w:rPr>
                <w:rFonts w:asciiTheme="majorHAnsi" w:hAnsiTheme="majorHAnsi"/>
              </w:rPr>
            </w:pPr>
          </w:p>
        </w:tc>
      </w:tr>
      <w:tr w:rsidR="0062172D" w:rsidRPr="002C2079" w14:paraId="57A1C7E1" w14:textId="77777777" w:rsidTr="00B267BF">
        <w:tc>
          <w:tcPr>
            <w:tcW w:w="4788" w:type="dxa"/>
          </w:tcPr>
          <w:p w14:paraId="3352A663" w14:textId="77777777" w:rsidR="0062172D" w:rsidRPr="00382B28" w:rsidRDefault="0062172D" w:rsidP="00B267BF">
            <w:pPr>
              <w:tabs>
                <w:tab w:val="left" w:pos="7050"/>
              </w:tabs>
              <w:rPr>
                <w:rFonts w:asciiTheme="majorHAnsi" w:eastAsiaTheme="majorEastAsia" w:hAnsiTheme="majorHAnsi" w:cstheme="majorBidi"/>
                <w:b/>
                <w:bCs/>
                <w:color w:val="000000" w:themeColor="text1"/>
                <w:sz w:val="24"/>
                <w:szCs w:val="24"/>
              </w:rPr>
            </w:pPr>
            <w:r w:rsidRPr="00382B28">
              <w:rPr>
                <w:rFonts w:asciiTheme="majorHAnsi" w:eastAsiaTheme="majorEastAsia" w:hAnsiTheme="majorHAnsi" w:cstheme="majorBidi"/>
                <w:b/>
                <w:bCs/>
                <w:color w:val="000000" w:themeColor="text1"/>
                <w:sz w:val="24"/>
                <w:szCs w:val="24"/>
              </w:rPr>
              <w:t>TAX EXPENDITURE TITLE</w:t>
            </w:r>
          </w:p>
          <w:p w14:paraId="04C5FAE3" w14:textId="77777777" w:rsidR="0062172D" w:rsidRPr="002C2079" w:rsidRDefault="0062172D" w:rsidP="00B267BF">
            <w:pPr>
              <w:tabs>
                <w:tab w:val="left" w:pos="7050"/>
              </w:tabs>
              <w:rPr>
                <w:rFonts w:asciiTheme="majorHAnsi" w:hAnsiTheme="majorHAnsi"/>
              </w:rPr>
            </w:pPr>
          </w:p>
        </w:tc>
        <w:tc>
          <w:tcPr>
            <w:tcW w:w="4770" w:type="dxa"/>
          </w:tcPr>
          <w:p w14:paraId="3A367E8D" w14:textId="77777777" w:rsidR="0062172D" w:rsidRPr="002C2079" w:rsidRDefault="0062172D" w:rsidP="00B267BF">
            <w:pPr>
              <w:tabs>
                <w:tab w:val="left" w:pos="7050"/>
              </w:tabs>
              <w:rPr>
                <w:rFonts w:asciiTheme="majorHAnsi" w:hAnsiTheme="majorHAnsi"/>
              </w:rPr>
            </w:pPr>
            <w:r w:rsidRPr="00382B28">
              <w:rPr>
                <w:rFonts w:asciiTheme="majorHAnsi" w:hAnsiTheme="majorHAnsi"/>
                <w:sz w:val="24"/>
                <w:szCs w:val="24"/>
              </w:rPr>
              <w:t>Medical Device User Fee Credit</w:t>
            </w:r>
          </w:p>
        </w:tc>
      </w:tr>
      <w:tr w:rsidR="0062172D" w:rsidRPr="002C2079" w14:paraId="453CEB57" w14:textId="77777777" w:rsidTr="00B267BF">
        <w:tc>
          <w:tcPr>
            <w:tcW w:w="4788" w:type="dxa"/>
          </w:tcPr>
          <w:p w14:paraId="747DE8B6" w14:textId="77777777" w:rsidR="0062172D" w:rsidRPr="00382B28" w:rsidRDefault="0062172D" w:rsidP="00B267BF">
            <w:pPr>
              <w:tabs>
                <w:tab w:val="left" w:pos="7050"/>
              </w:tabs>
              <w:rPr>
                <w:rFonts w:asciiTheme="majorHAnsi" w:eastAsiaTheme="majorEastAsia" w:hAnsiTheme="majorHAnsi" w:cstheme="majorBidi"/>
                <w:b/>
                <w:bCs/>
                <w:color w:val="000000" w:themeColor="text1"/>
                <w:sz w:val="24"/>
                <w:szCs w:val="24"/>
              </w:rPr>
            </w:pPr>
            <w:r w:rsidRPr="00382B28">
              <w:rPr>
                <w:rFonts w:asciiTheme="majorHAnsi" w:eastAsiaTheme="majorEastAsia" w:hAnsiTheme="majorHAnsi" w:cstheme="majorBidi"/>
                <w:b/>
                <w:bCs/>
                <w:color w:val="000000" w:themeColor="text1"/>
                <w:sz w:val="24"/>
                <w:szCs w:val="24"/>
              </w:rPr>
              <w:t>TAX EXPENDITURE NUMBER</w:t>
            </w:r>
          </w:p>
          <w:p w14:paraId="1D55967D" w14:textId="77777777" w:rsidR="0062172D" w:rsidRPr="002C2079" w:rsidRDefault="0062172D" w:rsidP="00B267BF">
            <w:pPr>
              <w:tabs>
                <w:tab w:val="left" w:pos="7050"/>
              </w:tabs>
              <w:rPr>
                <w:rFonts w:asciiTheme="majorHAnsi" w:hAnsiTheme="majorHAnsi"/>
              </w:rPr>
            </w:pPr>
          </w:p>
        </w:tc>
        <w:tc>
          <w:tcPr>
            <w:tcW w:w="4770" w:type="dxa"/>
          </w:tcPr>
          <w:p w14:paraId="777B035C" w14:textId="77777777" w:rsidR="0062172D" w:rsidRPr="002C2079" w:rsidRDefault="0062172D" w:rsidP="00B267BF">
            <w:pPr>
              <w:tabs>
                <w:tab w:val="left" w:pos="7050"/>
              </w:tabs>
              <w:rPr>
                <w:rFonts w:asciiTheme="majorHAnsi" w:hAnsiTheme="majorHAnsi"/>
              </w:rPr>
            </w:pPr>
            <w:r>
              <w:rPr>
                <w:rFonts w:asciiTheme="majorHAnsi" w:hAnsiTheme="majorHAnsi"/>
                <w:sz w:val="24"/>
                <w:szCs w:val="24"/>
              </w:rPr>
              <w:t xml:space="preserve">1.613 and </w:t>
            </w:r>
            <w:r w:rsidRPr="00382B28">
              <w:rPr>
                <w:rFonts w:asciiTheme="majorHAnsi" w:hAnsiTheme="majorHAnsi"/>
                <w:sz w:val="24"/>
                <w:szCs w:val="24"/>
              </w:rPr>
              <w:t>2.615</w:t>
            </w:r>
          </w:p>
        </w:tc>
      </w:tr>
      <w:tr w:rsidR="0062172D" w:rsidRPr="002C2079" w14:paraId="76D1575B" w14:textId="77777777" w:rsidTr="00B267BF">
        <w:tc>
          <w:tcPr>
            <w:tcW w:w="4788" w:type="dxa"/>
          </w:tcPr>
          <w:p w14:paraId="4D1D3974" w14:textId="77777777" w:rsidR="0062172D" w:rsidRPr="00382B28" w:rsidRDefault="0062172D" w:rsidP="00B267BF">
            <w:pPr>
              <w:tabs>
                <w:tab w:val="left" w:pos="7050"/>
              </w:tabs>
              <w:rPr>
                <w:rFonts w:asciiTheme="majorHAnsi" w:eastAsiaTheme="majorEastAsia" w:hAnsiTheme="majorHAnsi" w:cstheme="majorBidi"/>
                <w:b/>
                <w:bCs/>
                <w:color w:val="000000" w:themeColor="text1"/>
                <w:sz w:val="24"/>
                <w:szCs w:val="24"/>
              </w:rPr>
            </w:pPr>
            <w:r w:rsidRPr="00382B28">
              <w:rPr>
                <w:rFonts w:asciiTheme="majorHAnsi" w:eastAsiaTheme="majorEastAsia" w:hAnsiTheme="majorHAnsi" w:cstheme="majorBidi"/>
                <w:b/>
                <w:bCs/>
                <w:color w:val="000000" w:themeColor="text1"/>
                <w:sz w:val="24"/>
                <w:szCs w:val="24"/>
              </w:rPr>
              <w:t>TAX EXPENDITURE CATEGORY</w:t>
            </w:r>
          </w:p>
          <w:p w14:paraId="7531F09A" w14:textId="77777777" w:rsidR="0062172D" w:rsidRPr="002C2079" w:rsidRDefault="0062172D" w:rsidP="00B267BF">
            <w:pPr>
              <w:tabs>
                <w:tab w:val="left" w:pos="7050"/>
              </w:tabs>
              <w:rPr>
                <w:rFonts w:asciiTheme="majorHAnsi" w:hAnsiTheme="majorHAnsi"/>
              </w:rPr>
            </w:pPr>
          </w:p>
        </w:tc>
        <w:tc>
          <w:tcPr>
            <w:tcW w:w="4770" w:type="dxa"/>
          </w:tcPr>
          <w:p w14:paraId="17E83F81" w14:textId="77777777" w:rsidR="0062172D" w:rsidRPr="00382B28" w:rsidRDefault="0062172D" w:rsidP="00B267BF">
            <w:pPr>
              <w:tabs>
                <w:tab w:val="left" w:pos="7050"/>
              </w:tabs>
              <w:rPr>
                <w:rFonts w:asciiTheme="majorHAnsi" w:hAnsiTheme="majorHAnsi"/>
                <w:sz w:val="24"/>
                <w:szCs w:val="24"/>
              </w:rPr>
            </w:pPr>
            <w:r w:rsidRPr="00382B28">
              <w:rPr>
                <w:rFonts w:asciiTheme="majorHAnsi" w:hAnsiTheme="majorHAnsi"/>
                <w:sz w:val="24"/>
                <w:szCs w:val="24"/>
              </w:rPr>
              <w:t xml:space="preserve">Credit against tax </w:t>
            </w:r>
            <w:r w:rsidRPr="00382B28">
              <w:rPr>
                <w:rFonts w:asciiTheme="majorHAnsi" w:hAnsiTheme="majorHAnsi"/>
                <w:i/>
                <w:sz w:val="24"/>
                <w:szCs w:val="24"/>
              </w:rPr>
              <w:t>(personal income tax, corporate and business excise tax)</w:t>
            </w:r>
          </w:p>
          <w:p w14:paraId="43D8FF92" w14:textId="77777777" w:rsidR="0062172D" w:rsidRPr="002C2079" w:rsidRDefault="0062172D" w:rsidP="00B267BF">
            <w:pPr>
              <w:tabs>
                <w:tab w:val="left" w:pos="7050"/>
              </w:tabs>
              <w:rPr>
                <w:rFonts w:asciiTheme="majorHAnsi" w:hAnsiTheme="majorHAnsi"/>
              </w:rPr>
            </w:pPr>
            <w:r w:rsidRPr="00382B28">
              <w:rPr>
                <w:rFonts w:asciiTheme="majorHAnsi" w:hAnsiTheme="majorHAnsi"/>
                <w:sz w:val="24"/>
                <w:szCs w:val="24"/>
              </w:rPr>
              <w:t xml:space="preserve"> </w:t>
            </w:r>
          </w:p>
        </w:tc>
      </w:tr>
      <w:tr w:rsidR="0062172D" w:rsidRPr="002C2079" w14:paraId="5044B32D" w14:textId="77777777" w:rsidTr="00B267BF">
        <w:tc>
          <w:tcPr>
            <w:tcW w:w="4788" w:type="dxa"/>
          </w:tcPr>
          <w:p w14:paraId="58113DA9" w14:textId="77777777" w:rsidR="0062172D" w:rsidRPr="00382B28" w:rsidRDefault="0062172D" w:rsidP="00B267BF">
            <w:pPr>
              <w:tabs>
                <w:tab w:val="left" w:pos="7050"/>
              </w:tabs>
              <w:rPr>
                <w:rFonts w:asciiTheme="majorHAnsi" w:eastAsiaTheme="majorEastAsia" w:hAnsiTheme="majorHAnsi" w:cstheme="majorBidi"/>
                <w:b/>
                <w:bCs/>
                <w:color w:val="000000" w:themeColor="text1"/>
                <w:sz w:val="24"/>
                <w:szCs w:val="24"/>
              </w:rPr>
            </w:pPr>
            <w:r w:rsidRPr="00382B28">
              <w:rPr>
                <w:rFonts w:asciiTheme="majorHAnsi" w:eastAsiaTheme="majorEastAsia" w:hAnsiTheme="majorHAnsi" w:cstheme="majorBidi"/>
                <w:b/>
                <w:bCs/>
                <w:color w:val="000000" w:themeColor="text1"/>
                <w:sz w:val="24"/>
                <w:szCs w:val="24"/>
              </w:rPr>
              <w:t>TAX TYPE</w:t>
            </w:r>
          </w:p>
          <w:p w14:paraId="2877631F" w14:textId="77777777" w:rsidR="0062172D" w:rsidRPr="002C2079" w:rsidRDefault="0062172D" w:rsidP="00B267BF">
            <w:pPr>
              <w:tabs>
                <w:tab w:val="left" w:pos="7050"/>
              </w:tabs>
              <w:rPr>
                <w:rFonts w:asciiTheme="majorHAnsi" w:hAnsiTheme="majorHAnsi"/>
              </w:rPr>
            </w:pPr>
          </w:p>
        </w:tc>
        <w:tc>
          <w:tcPr>
            <w:tcW w:w="4770" w:type="dxa"/>
          </w:tcPr>
          <w:p w14:paraId="0722773A" w14:textId="77777777" w:rsidR="0062172D" w:rsidRPr="002C2079" w:rsidRDefault="0062172D" w:rsidP="00B267BF">
            <w:pPr>
              <w:tabs>
                <w:tab w:val="left" w:pos="7050"/>
              </w:tabs>
              <w:rPr>
                <w:rFonts w:asciiTheme="majorHAnsi" w:hAnsiTheme="majorHAnsi"/>
              </w:rPr>
            </w:pPr>
            <w:r>
              <w:rPr>
                <w:rFonts w:asciiTheme="majorHAnsi" w:hAnsiTheme="majorHAnsi"/>
                <w:sz w:val="24"/>
                <w:szCs w:val="24"/>
              </w:rPr>
              <w:t xml:space="preserve">Personal income tax; </w:t>
            </w:r>
            <w:r w:rsidRPr="00382B28">
              <w:rPr>
                <w:rFonts w:asciiTheme="majorHAnsi" w:hAnsiTheme="majorHAnsi"/>
                <w:sz w:val="24"/>
                <w:szCs w:val="24"/>
              </w:rPr>
              <w:t>Corporate and business excise</w:t>
            </w:r>
          </w:p>
        </w:tc>
      </w:tr>
      <w:tr w:rsidR="00D6250D" w:rsidRPr="002C2079" w14:paraId="4656A98D" w14:textId="77777777" w:rsidTr="00B267BF">
        <w:tc>
          <w:tcPr>
            <w:tcW w:w="4788" w:type="dxa"/>
          </w:tcPr>
          <w:p w14:paraId="7A3A7664" w14:textId="77777777" w:rsidR="00D6250D" w:rsidRPr="00382B28" w:rsidRDefault="00D6250D" w:rsidP="00B267BF">
            <w:pPr>
              <w:tabs>
                <w:tab w:val="left" w:pos="7050"/>
              </w:tabs>
              <w:rPr>
                <w:rFonts w:asciiTheme="majorHAnsi" w:eastAsiaTheme="majorEastAsia" w:hAnsiTheme="majorHAnsi" w:cstheme="majorBidi"/>
                <w:b/>
                <w:bCs/>
                <w:color w:val="000000" w:themeColor="text1"/>
                <w:sz w:val="24"/>
                <w:szCs w:val="24"/>
              </w:rPr>
            </w:pPr>
          </w:p>
        </w:tc>
        <w:tc>
          <w:tcPr>
            <w:tcW w:w="4770" w:type="dxa"/>
          </w:tcPr>
          <w:p w14:paraId="2FDCD7FC" w14:textId="77777777" w:rsidR="00D6250D" w:rsidRDefault="00D6250D" w:rsidP="00B267BF">
            <w:pPr>
              <w:tabs>
                <w:tab w:val="left" w:pos="7050"/>
              </w:tabs>
              <w:rPr>
                <w:rFonts w:asciiTheme="majorHAnsi" w:hAnsiTheme="majorHAnsi"/>
                <w:sz w:val="24"/>
                <w:szCs w:val="24"/>
              </w:rPr>
            </w:pPr>
          </w:p>
        </w:tc>
      </w:tr>
      <w:tr w:rsidR="0062172D" w:rsidRPr="002C2079" w14:paraId="64AB2E8A" w14:textId="77777777" w:rsidTr="00B267BF">
        <w:tc>
          <w:tcPr>
            <w:tcW w:w="4788" w:type="dxa"/>
          </w:tcPr>
          <w:p w14:paraId="769AADA5" w14:textId="77777777" w:rsidR="0062172D" w:rsidRPr="00382B28" w:rsidRDefault="0062172D" w:rsidP="00B267BF">
            <w:pPr>
              <w:tabs>
                <w:tab w:val="left" w:pos="7050"/>
              </w:tabs>
              <w:rPr>
                <w:rFonts w:asciiTheme="majorHAnsi" w:eastAsiaTheme="majorEastAsia" w:hAnsiTheme="majorHAnsi" w:cstheme="majorBidi"/>
                <w:b/>
                <w:bCs/>
                <w:color w:val="000000" w:themeColor="text1"/>
                <w:sz w:val="24"/>
                <w:szCs w:val="24"/>
              </w:rPr>
            </w:pPr>
            <w:r w:rsidRPr="00382B28">
              <w:rPr>
                <w:rFonts w:asciiTheme="majorHAnsi" w:eastAsiaTheme="majorEastAsia" w:hAnsiTheme="majorHAnsi" w:cstheme="majorBidi"/>
                <w:b/>
                <w:bCs/>
                <w:color w:val="000000" w:themeColor="text1"/>
                <w:sz w:val="24"/>
                <w:szCs w:val="24"/>
              </w:rPr>
              <w:t>LEGAL REFERENCE</w:t>
            </w:r>
          </w:p>
          <w:p w14:paraId="27048D27" w14:textId="77777777" w:rsidR="0062172D" w:rsidRPr="002C2079" w:rsidRDefault="0062172D" w:rsidP="00B267BF">
            <w:pPr>
              <w:tabs>
                <w:tab w:val="left" w:pos="7050"/>
              </w:tabs>
              <w:rPr>
                <w:rFonts w:asciiTheme="majorHAnsi" w:hAnsiTheme="majorHAnsi"/>
              </w:rPr>
            </w:pPr>
          </w:p>
        </w:tc>
        <w:tc>
          <w:tcPr>
            <w:tcW w:w="4770" w:type="dxa"/>
          </w:tcPr>
          <w:p w14:paraId="74A7CE88" w14:textId="77777777" w:rsidR="0062172D" w:rsidRPr="002C2079" w:rsidRDefault="0062172D" w:rsidP="00B267BF">
            <w:pPr>
              <w:tabs>
                <w:tab w:val="left" w:pos="7050"/>
              </w:tabs>
              <w:rPr>
                <w:rFonts w:asciiTheme="majorHAnsi" w:hAnsiTheme="majorHAnsi"/>
              </w:rPr>
            </w:pPr>
            <w:r w:rsidRPr="00382B28">
              <w:rPr>
                <w:rFonts w:asciiTheme="majorHAnsi" w:hAnsiTheme="majorHAnsi"/>
                <w:sz w:val="24"/>
                <w:szCs w:val="24"/>
              </w:rPr>
              <w:t>M.G.L. c. 63, § 31L; c. 62, § 6½</w:t>
            </w:r>
          </w:p>
        </w:tc>
      </w:tr>
      <w:tr w:rsidR="0062172D" w:rsidRPr="002C2079" w14:paraId="798F4DD0" w14:textId="77777777" w:rsidTr="00B267BF">
        <w:tc>
          <w:tcPr>
            <w:tcW w:w="4788" w:type="dxa"/>
          </w:tcPr>
          <w:p w14:paraId="16255D25" w14:textId="77777777" w:rsidR="0062172D" w:rsidRPr="00382B28" w:rsidRDefault="0062172D" w:rsidP="00B267BF">
            <w:pPr>
              <w:tabs>
                <w:tab w:val="left" w:pos="7050"/>
              </w:tabs>
              <w:rPr>
                <w:rFonts w:asciiTheme="majorHAnsi" w:eastAsiaTheme="majorEastAsia" w:hAnsiTheme="majorHAnsi" w:cstheme="majorBidi"/>
                <w:b/>
                <w:bCs/>
                <w:color w:val="000000" w:themeColor="text1"/>
                <w:sz w:val="24"/>
                <w:szCs w:val="24"/>
              </w:rPr>
            </w:pPr>
            <w:r w:rsidRPr="00382B28">
              <w:rPr>
                <w:rFonts w:asciiTheme="majorHAnsi" w:eastAsiaTheme="majorEastAsia" w:hAnsiTheme="majorHAnsi" w:cstheme="majorBidi"/>
                <w:b/>
                <w:bCs/>
                <w:color w:val="000000" w:themeColor="text1"/>
                <w:sz w:val="24"/>
                <w:szCs w:val="24"/>
              </w:rPr>
              <w:t>YEAR ENACTED</w:t>
            </w:r>
          </w:p>
          <w:p w14:paraId="32731555" w14:textId="77777777" w:rsidR="0062172D" w:rsidRPr="002C2079" w:rsidRDefault="0062172D" w:rsidP="00B267BF">
            <w:pPr>
              <w:tabs>
                <w:tab w:val="left" w:pos="7050"/>
              </w:tabs>
              <w:rPr>
                <w:rFonts w:asciiTheme="majorHAnsi" w:hAnsiTheme="majorHAnsi"/>
              </w:rPr>
            </w:pPr>
          </w:p>
        </w:tc>
        <w:tc>
          <w:tcPr>
            <w:tcW w:w="4770" w:type="dxa"/>
          </w:tcPr>
          <w:p w14:paraId="04061CE6" w14:textId="77777777" w:rsidR="0062172D" w:rsidRPr="002C2079" w:rsidRDefault="0062172D" w:rsidP="00B267BF">
            <w:pPr>
              <w:tabs>
                <w:tab w:val="left" w:pos="7050"/>
              </w:tabs>
              <w:rPr>
                <w:rFonts w:asciiTheme="majorHAnsi" w:hAnsiTheme="majorHAnsi"/>
              </w:rPr>
            </w:pPr>
            <w:r>
              <w:rPr>
                <w:rFonts w:asciiTheme="majorHAnsi" w:hAnsiTheme="majorHAnsi"/>
                <w:sz w:val="24"/>
                <w:szCs w:val="24"/>
              </w:rPr>
              <w:t>2006 (</w:t>
            </w:r>
            <w:r w:rsidRPr="00382B28">
              <w:rPr>
                <w:rFonts w:asciiTheme="majorHAnsi" w:hAnsiTheme="majorHAnsi"/>
                <w:sz w:val="24"/>
                <w:szCs w:val="24"/>
              </w:rPr>
              <w:t>St. 2006, c. 144-145</w:t>
            </w:r>
            <w:r>
              <w:rPr>
                <w:rFonts w:asciiTheme="majorHAnsi" w:hAnsiTheme="majorHAnsi"/>
                <w:sz w:val="24"/>
                <w:szCs w:val="24"/>
              </w:rPr>
              <w:t>)</w:t>
            </w:r>
          </w:p>
        </w:tc>
      </w:tr>
      <w:tr w:rsidR="0062172D" w:rsidRPr="002C2079" w14:paraId="6E5D83BB" w14:textId="77777777" w:rsidTr="00B267BF">
        <w:tc>
          <w:tcPr>
            <w:tcW w:w="4788" w:type="dxa"/>
          </w:tcPr>
          <w:p w14:paraId="09A90F7D" w14:textId="77777777" w:rsidR="0062172D" w:rsidRPr="002C2079" w:rsidRDefault="0062172D" w:rsidP="00B267BF">
            <w:pPr>
              <w:tabs>
                <w:tab w:val="left" w:pos="7050"/>
              </w:tabs>
              <w:rPr>
                <w:rFonts w:asciiTheme="majorHAnsi" w:hAnsiTheme="majorHAnsi"/>
              </w:rPr>
            </w:pPr>
            <w:r w:rsidRPr="00382B28">
              <w:rPr>
                <w:rFonts w:asciiTheme="majorHAnsi" w:eastAsiaTheme="majorEastAsia" w:hAnsiTheme="majorHAnsi" w:cstheme="majorBidi"/>
                <w:b/>
                <w:bCs/>
                <w:color w:val="000000" w:themeColor="text1"/>
                <w:sz w:val="24"/>
                <w:szCs w:val="24"/>
              </w:rPr>
              <w:t>REPEAL/EXPIRATION DATE</w:t>
            </w:r>
          </w:p>
        </w:tc>
        <w:tc>
          <w:tcPr>
            <w:tcW w:w="4770" w:type="dxa"/>
          </w:tcPr>
          <w:p w14:paraId="35C3E9AE" w14:textId="77777777" w:rsidR="0062172D" w:rsidRPr="00382B28" w:rsidRDefault="0062172D" w:rsidP="00B267BF">
            <w:pPr>
              <w:tabs>
                <w:tab w:val="left" w:pos="7050"/>
              </w:tabs>
              <w:rPr>
                <w:rFonts w:asciiTheme="majorHAnsi" w:hAnsiTheme="majorHAnsi"/>
                <w:sz w:val="24"/>
                <w:szCs w:val="24"/>
              </w:rPr>
            </w:pPr>
            <w:r w:rsidRPr="00382B28">
              <w:rPr>
                <w:rFonts w:asciiTheme="majorHAnsi" w:hAnsiTheme="majorHAnsi"/>
                <w:sz w:val="24"/>
                <w:szCs w:val="24"/>
              </w:rPr>
              <w:t>None</w:t>
            </w:r>
          </w:p>
          <w:p w14:paraId="37E885B0" w14:textId="77777777" w:rsidR="0062172D" w:rsidRPr="002C2079" w:rsidRDefault="0062172D" w:rsidP="00B267BF">
            <w:pPr>
              <w:tabs>
                <w:tab w:val="left" w:pos="7050"/>
              </w:tabs>
              <w:rPr>
                <w:rFonts w:asciiTheme="majorHAnsi" w:hAnsiTheme="majorHAnsi"/>
              </w:rPr>
            </w:pPr>
          </w:p>
        </w:tc>
      </w:tr>
      <w:tr w:rsidR="0062172D" w:rsidRPr="002C2079" w14:paraId="009AC1C6" w14:textId="77777777" w:rsidTr="00B267BF">
        <w:tc>
          <w:tcPr>
            <w:tcW w:w="4788" w:type="dxa"/>
          </w:tcPr>
          <w:p w14:paraId="14939220" w14:textId="77777777" w:rsidR="0062172D" w:rsidRPr="00382B28" w:rsidRDefault="0062172D" w:rsidP="00B267BF">
            <w:pPr>
              <w:tabs>
                <w:tab w:val="left" w:pos="7050"/>
              </w:tabs>
              <w:rPr>
                <w:rFonts w:asciiTheme="majorHAnsi" w:eastAsiaTheme="majorEastAsia" w:hAnsiTheme="majorHAnsi" w:cstheme="majorBidi"/>
                <w:b/>
                <w:bCs/>
                <w:color w:val="000000" w:themeColor="text1"/>
                <w:sz w:val="24"/>
                <w:szCs w:val="24"/>
              </w:rPr>
            </w:pPr>
            <w:r w:rsidRPr="00382B28">
              <w:rPr>
                <w:rFonts w:asciiTheme="majorHAnsi" w:eastAsiaTheme="majorEastAsia" w:hAnsiTheme="majorHAnsi" w:cstheme="majorBidi"/>
                <w:b/>
                <w:bCs/>
                <w:color w:val="000000" w:themeColor="text1"/>
                <w:sz w:val="24"/>
                <w:szCs w:val="24"/>
              </w:rPr>
              <w:t>ANNUAL REVENUE IMPACT</w:t>
            </w:r>
          </w:p>
          <w:p w14:paraId="7C598C65" w14:textId="77777777" w:rsidR="0062172D" w:rsidRPr="002C2079" w:rsidRDefault="0062172D" w:rsidP="00B267BF">
            <w:pPr>
              <w:tabs>
                <w:tab w:val="left" w:pos="7050"/>
              </w:tabs>
              <w:rPr>
                <w:rFonts w:asciiTheme="majorHAnsi" w:hAnsiTheme="majorHAnsi"/>
              </w:rPr>
            </w:pPr>
          </w:p>
        </w:tc>
        <w:tc>
          <w:tcPr>
            <w:tcW w:w="4770" w:type="dxa"/>
          </w:tcPr>
          <w:p w14:paraId="126BF66E" w14:textId="0A7815BF" w:rsidR="0062172D" w:rsidRDefault="0062172D" w:rsidP="00B267BF">
            <w:pPr>
              <w:tabs>
                <w:tab w:val="left" w:pos="7050"/>
              </w:tabs>
              <w:rPr>
                <w:rFonts w:asciiTheme="majorHAnsi" w:hAnsiTheme="majorHAnsi"/>
                <w:sz w:val="24"/>
                <w:szCs w:val="24"/>
              </w:rPr>
            </w:pPr>
            <w:r w:rsidRPr="00382B28">
              <w:rPr>
                <w:rFonts w:asciiTheme="majorHAnsi" w:hAnsiTheme="majorHAnsi"/>
                <w:sz w:val="24"/>
                <w:szCs w:val="24"/>
              </w:rPr>
              <w:t>Tax loss of $0.4 - $0.</w:t>
            </w:r>
            <w:r w:rsidR="00BE1E02">
              <w:rPr>
                <w:rFonts w:asciiTheme="majorHAnsi" w:hAnsiTheme="majorHAnsi"/>
                <w:sz w:val="24"/>
                <w:szCs w:val="24"/>
              </w:rPr>
              <w:t>6</w:t>
            </w:r>
            <w:r w:rsidR="00BE1E02" w:rsidRPr="00382B28">
              <w:rPr>
                <w:rFonts w:asciiTheme="majorHAnsi" w:hAnsiTheme="majorHAnsi"/>
                <w:sz w:val="24"/>
                <w:szCs w:val="24"/>
              </w:rPr>
              <w:t xml:space="preserve"> </w:t>
            </w:r>
            <w:r w:rsidRPr="00382B28">
              <w:rPr>
                <w:rFonts w:asciiTheme="majorHAnsi" w:hAnsiTheme="majorHAnsi"/>
                <w:sz w:val="24"/>
                <w:szCs w:val="24"/>
              </w:rPr>
              <w:t xml:space="preserve">million annually from corporate </w:t>
            </w:r>
            <w:r>
              <w:rPr>
                <w:rFonts w:asciiTheme="majorHAnsi" w:hAnsiTheme="majorHAnsi"/>
                <w:sz w:val="24"/>
                <w:szCs w:val="24"/>
              </w:rPr>
              <w:t>excise</w:t>
            </w:r>
            <w:r w:rsidRPr="00382B28">
              <w:rPr>
                <w:rFonts w:asciiTheme="majorHAnsi" w:hAnsiTheme="majorHAnsi"/>
                <w:sz w:val="24"/>
                <w:szCs w:val="24"/>
              </w:rPr>
              <w:t xml:space="preserve"> filers and negligible from personal income tax filers </w:t>
            </w:r>
            <w:r>
              <w:rPr>
                <w:rFonts w:asciiTheme="majorHAnsi" w:hAnsiTheme="majorHAnsi"/>
                <w:sz w:val="24"/>
                <w:szCs w:val="24"/>
              </w:rPr>
              <w:t xml:space="preserve">during </w:t>
            </w:r>
            <w:r w:rsidRPr="00382B28">
              <w:rPr>
                <w:rFonts w:asciiTheme="majorHAnsi" w:hAnsiTheme="majorHAnsi"/>
                <w:sz w:val="24"/>
                <w:szCs w:val="24"/>
              </w:rPr>
              <w:t>FY18-FY22</w:t>
            </w:r>
          </w:p>
          <w:p w14:paraId="52D997A0" w14:textId="77777777" w:rsidR="0062172D" w:rsidRPr="002C2079" w:rsidRDefault="0062172D" w:rsidP="00B267BF">
            <w:pPr>
              <w:tabs>
                <w:tab w:val="left" w:pos="7050"/>
              </w:tabs>
              <w:rPr>
                <w:rFonts w:asciiTheme="majorHAnsi" w:hAnsiTheme="majorHAnsi"/>
              </w:rPr>
            </w:pPr>
          </w:p>
        </w:tc>
      </w:tr>
      <w:tr w:rsidR="0062172D" w:rsidRPr="002C2079" w14:paraId="5ECD7D2E" w14:textId="77777777" w:rsidTr="00B267BF">
        <w:tc>
          <w:tcPr>
            <w:tcW w:w="4788" w:type="dxa"/>
          </w:tcPr>
          <w:p w14:paraId="4C088AF1" w14:textId="77777777" w:rsidR="0062172D" w:rsidRPr="002C2079" w:rsidRDefault="0062172D" w:rsidP="00B267BF">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 xml:space="preserve">NUMBER OF TAXPAYERS </w:t>
            </w:r>
          </w:p>
        </w:tc>
        <w:tc>
          <w:tcPr>
            <w:tcW w:w="4770" w:type="dxa"/>
          </w:tcPr>
          <w:p w14:paraId="7EC71A5D" w14:textId="77777777" w:rsidR="0062172D" w:rsidRPr="009552B7" w:rsidRDefault="0062172D" w:rsidP="00B267BF">
            <w:pPr>
              <w:tabs>
                <w:tab w:val="left" w:pos="7050"/>
              </w:tabs>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4 claims in 2017 and 6 claims in 2016</w:t>
            </w:r>
          </w:p>
          <w:p w14:paraId="374B4CC9" w14:textId="77777777" w:rsidR="0062172D" w:rsidRPr="002C2079" w:rsidRDefault="0062172D" w:rsidP="00B267BF">
            <w:pPr>
              <w:tabs>
                <w:tab w:val="left" w:pos="7050"/>
              </w:tabs>
              <w:rPr>
                <w:rFonts w:asciiTheme="majorHAnsi" w:hAnsiTheme="majorHAnsi"/>
              </w:rPr>
            </w:pPr>
          </w:p>
        </w:tc>
      </w:tr>
      <w:tr w:rsidR="0062172D" w:rsidRPr="002C2079" w14:paraId="3B9E03D3" w14:textId="77777777" w:rsidTr="00B267BF">
        <w:tc>
          <w:tcPr>
            <w:tcW w:w="4788" w:type="dxa"/>
          </w:tcPr>
          <w:p w14:paraId="0C483677" w14:textId="77777777" w:rsidR="0062172D" w:rsidRPr="002C2079" w:rsidRDefault="0062172D" w:rsidP="00B267BF">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AVERAGE TAXPAYER BENEFIT</w:t>
            </w:r>
          </w:p>
        </w:tc>
        <w:tc>
          <w:tcPr>
            <w:tcW w:w="4770" w:type="dxa"/>
          </w:tcPr>
          <w:p w14:paraId="495E2429" w14:textId="77777777" w:rsidR="0062172D" w:rsidRPr="009552B7" w:rsidRDefault="0062172D" w:rsidP="00B267BF">
            <w:pPr>
              <w:tabs>
                <w:tab w:val="left" w:pos="7050"/>
              </w:tabs>
              <w:rPr>
                <w:rFonts w:asciiTheme="majorHAnsi" w:hAnsiTheme="majorHAnsi"/>
                <w:sz w:val="24"/>
                <w:szCs w:val="24"/>
              </w:rPr>
            </w:pPr>
            <w:r w:rsidRPr="009552B7">
              <w:rPr>
                <w:rFonts w:asciiTheme="majorHAnsi" w:eastAsiaTheme="majorEastAsia" w:hAnsiTheme="majorHAnsi" w:cstheme="majorBidi"/>
                <w:bCs/>
                <w:color w:val="000000" w:themeColor="text1"/>
                <w:sz w:val="24"/>
                <w:szCs w:val="24"/>
              </w:rPr>
              <w:t>$34,000 (2017), $124,800 (2016) per claim.</w:t>
            </w:r>
          </w:p>
        </w:tc>
      </w:tr>
    </w:tbl>
    <w:p w14:paraId="380581B5" w14:textId="77777777" w:rsidR="0062172D" w:rsidRDefault="0062172D" w:rsidP="0062172D">
      <w:pPr>
        <w:rPr>
          <w:b/>
          <w:bCs/>
        </w:rPr>
      </w:pPr>
    </w:p>
    <w:tbl>
      <w:tblPr>
        <w:tblStyle w:val="TableGrid"/>
        <w:tblW w:w="0" w:type="auto"/>
        <w:tblLook w:val="04A0" w:firstRow="1" w:lastRow="0" w:firstColumn="1" w:lastColumn="0" w:noHBand="0" w:noVBand="1"/>
      </w:tblPr>
      <w:tblGrid>
        <w:gridCol w:w="4788"/>
        <w:gridCol w:w="4788"/>
      </w:tblGrid>
      <w:tr w:rsidR="0062172D" w14:paraId="26804F22" w14:textId="77777777" w:rsidTr="00B267BF">
        <w:tc>
          <w:tcPr>
            <w:tcW w:w="4788" w:type="dxa"/>
          </w:tcPr>
          <w:p w14:paraId="464DBE3E" w14:textId="77777777" w:rsidR="0062172D" w:rsidRPr="00382B28" w:rsidRDefault="0062172D" w:rsidP="00B267BF">
            <w:pPr>
              <w:tabs>
                <w:tab w:val="left" w:pos="7050"/>
              </w:tabs>
              <w:rPr>
                <w:rFonts w:asciiTheme="majorHAnsi" w:eastAsiaTheme="majorEastAsia" w:hAnsiTheme="majorHAnsi" w:cstheme="majorBidi"/>
                <w:b/>
                <w:bCs/>
                <w:color w:val="000000" w:themeColor="text1"/>
                <w:sz w:val="24"/>
                <w:szCs w:val="24"/>
              </w:rPr>
            </w:pPr>
            <w:r w:rsidRPr="00382B28">
              <w:rPr>
                <w:rFonts w:asciiTheme="majorHAnsi" w:eastAsiaTheme="majorEastAsia" w:hAnsiTheme="majorHAnsi" w:cstheme="majorBidi"/>
                <w:b/>
                <w:bCs/>
                <w:color w:val="000000" w:themeColor="text1"/>
                <w:sz w:val="24"/>
                <w:szCs w:val="24"/>
              </w:rPr>
              <w:t>Description of the Tax Expenditure:</w:t>
            </w:r>
          </w:p>
          <w:p w14:paraId="2F8820EC" w14:textId="77777777" w:rsidR="0062172D" w:rsidRDefault="0062172D" w:rsidP="00B267BF">
            <w:pPr>
              <w:tabs>
                <w:tab w:val="left" w:pos="7050"/>
              </w:tabs>
              <w:rPr>
                <w:rFonts w:asciiTheme="majorHAnsi" w:eastAsiaTheme="majorEastAsia" w:hAnsiTheme="majorHAnsi" w:cstheme="majorBidi"/>
                <w:bCs/>
                <w:color w:val="000000" w:themeColor="text1"/>
                <w:sz w:val="24"/>
                <w:szCs w:val="24"/>
              </w:rPr>
            </w:pPr>
            <w:r w:rsidRPr="00382B28">
              <w:rPr>
                <w:rFonts w:asciiTheme="majorHAnsi" w:eastAsiaTheme="majorEastAsia" w:hAnsiTheme="majorHAnsi" w:cstheme="majorBidi"/>
                <w:bCs/>
                <w:color w:val="000000" w:themeColor="text1"/>
                <w:sz w:val="24"/>
                <w:szCs w:val="24"/>
              </w:rPr>
              <w:t xml:space="preserve">The Medical Device Credit is equal to 100% of the user fees actually paid to the United States Food and Drug Administration (FDA) by a medical device company during the taxable year for which the tax is due for pre-market submissions to market new technologies or upgrades, changes, or enhancements to existing technologies, developed or manufactured in Massachusetts. </w:t>
            </w:r>
          </w:p>
          <w:p w14:paraId="1463D3C1" w14:textId="77777777" w:rsidR="0062172D" w:rsidRPr="00565D22" w:rsidRDefault="0062172D" w:rsidP="00B267BF">
            <w:pPr>
              <w:tabs>
                <w:tab w:val="left" w:pos="7050"/>
              </w:tabs>
              <w:rPr>
                <w:rFonts w:asciiTheme="majorHAnsi" w:eastAsiaTheme="majorEastAsia" w:hAnsiTheme="majorHAnsi" w:cstheme="majorBidi"/>
                <w:b/>
                <w:bCs/>
                <w:color w:val="000000" w:themeColor="text1"/>
                <w:sz w:val="24"/>
              </w:rPr>
            </w:pPr>
          </w:p>
        </w:tc>
        <w:tc>
          <w:tcPr>
            <w:tcW w:w="4788" w:type="dxa"/>
          </w:tcPr>
          <w:p w14:paraId="54BF5AAB" w14:textId="77777777" w:rsidR="0062172D" w:rsidRPr="00382B28" w:rsidRDefault="0062172D" w:rsidP="00B267BF">
            <w:pPr>
              <w:tabs>
                <w:tab w:val="left" w:pos="7050"/>
              </w:tabs>
              <w:rPr>
                <w:rFonts w:asciiTheme="majorHAnsi" w:eastAsiaTheme="majorEastAsia" w:hAnsiTheme="majorHAnsi" w:cstheme="majorBidi"/>
                <w:b/>
                <w:bCs/>
                <w:color w:val="000000" w:themeColor="text1"/>
                <w:sz w:val="24"/>
                <w:szCs w:val="24"/>
              </w:rPr>
            </w:pPr>
            <w:r w:rsidRPr="00382B28">
              <w:rPr>
                <w:rFonts w:asciiTheme="majorHAnsi" w:eastAsiaTheme="majorEastAsia" w:hAnsiTheme="majorHAnsi" w:cstheme="majorBidi"/>
                <w:b/>
                <w:bCs/>
                <w:color w:val="000000" w:themeColor="text1"/>
                <w:sz w:val="24"/>
                <w:szCs w:val="24"/>
              </w:rPr>
              <w:t>Is the purpose defined in the statute?</w:t>
            </w:r>
          </w:p>
          <w:p w14:paraId="4C063DDE" w14:textId="77777777" w:rsidR="0062172D" w:rsidRDefault="0062172D" w:rsidP="00B267BF">
            <w:pPr>
              <w:rPr>
                <w:b/>
                <w:bCs/>
              </w:rPr>
            </w:pPr>
            <w:r w:rsidRPr="00382B28">
              <w:rPr>
                <w:rFonts w:asciiTheme="majorHAnsi" w:eastAsiaTheme="majorEastAsia" w:hAnsiTheme="majorHAnsi" w:cstheme="majorBidi"/>
                <w:bCs/>
                <w:color w:val="000000" w:themeColor="text1"/>
                <w:sz w:val="24"/>
                <w:szCs w:val="24"/>
              </w:rPr>
              <w:t xml:space="preserve">The statute does not explicitly state the purpose of this tax expenditure.  </w:t>
            </w:r>
            <w:r w:rsidRPr="00BC2DFF">
              <w:rPr>
                <w:rFonts w:asciiTheme="majorHAnsi" w:eastAsiaTheme="majorEastAsia" w:hAnsiTheme="majorHAnsi" w:cstheme="majorBidi"/>
                <w:bCs/>
                <w:color w:val="000000" w:themeColor="text1"/>
                <w:sz w:val="24"/>
                <w:szCs w:val="24"/>
              </w:rPr>
              <w:t>The purpose of the credit is to reimburse medical companies for these expenses, with the additional incentive that the credit itself may be sold to another taxpayer.  As a result, it can be inferred that the tax expenditure is designed to expand, develop, and facilitate medical device companies in Massachusetts.</w:t>
            </w:r>
          </w:p>
        </w:tc>
      </w:tr>
      <w:tr w:rsidR="0062172D" w14:paraId="635857EC" w14:textId="77777777" w:rsidTr="00B267BF">
        <w:tc>
          <w:tcPr>
            <w:tcW w:w="4788" w:type="dxa"/>
          </w:tcPr>
          <w:p w14:paraId="23688AE5" w14:textId="77777777" w:rsidR="0062172D" w:rsidRPr="00382B28" w:rsidRDefault="0062172D" w:rsidP="00B267BF">
            <w:pPr>
              <w:tabs>
                <w:tab w:val="left" w:pos="7050"/>
              </w:tabs>
              <w:rPr>
                <w:rFonts w:asciiTheme="majorHAnsi" w:eastAsiaTheme="majorEastAsia" w:hAnsiTheme="majorHAnsi" w:cstheme="majorBidi"/>
                <w:b/>
                <w:bCs/>
                <w:color w:val="000000" w:themeColor="text1"/>
                <w:sz w:val="24"/>
                <w:szCs w:val="24"/>
              </w:rPr>
            </w:pPr>
            <w:r w:rsidRPr="00382B28">
              <w:rPr>
                <w:rFonts w:asciiTheme="majorHAnsi" w:eastAsiaTheme="majorEastAsia" w:hAnsiTheme="majorHAnsi" w:cstheme="majorBidi"/>
                <w:b/>
                <w:bCs/>
                <w:color w:val="000000" w:themeColor="text1"/>
                <w:sz w:val="24"/>
                <w:szCs w:val="24"/>
              </w:rPr>
              <w:t xml:space="preserve">What are the </w:t>
            </w:r>
            <w:r w:rsidR="007D17AF">
              <w:rPr>
                <w:rFonts w:asciiTheme="majorHAnsi" w:eastAsiaTheme="majorEastAsia" w:hAnsiTheme="majorHAnsi" w:cstheme="majorBidi"/>
                <w:b/>
                <w:bCs/>
                <w:color w:val="000000" w:themeColor="text1"/>
                <w:sz w:val="24"/>
                <w:szCs w:val="24"/>
              </w:rPr>
              <w:t>policy</w:t>
            </w:r>
            <w:r w:rsidRPr="00382B28">
              <w:rPr>
                <w:rFonts w:asciiTheme="majorHAnsi" w:eastAsiaTheme="majorEastAsia" w:hAnsiTheme="majorHAnsi" w:cstheme="majorBidi"/>
                <w:b/>
                <w:bCs/>
                <w:color w:val="000000" w:themeColor="text1"/>
                <w:sz w:val="24"/>
                <w:szCs w:val="24"/>
              </w:rPr>
              <w:t xml:space="preserve"> goals of the expenditure?</w:t>
            </w:r>
          </w:p>
          <w:p w14:paraId="7CA527DD" w14:textId="77777777" w:rsidR="0062172D" w:rsidRDefault="0062172D" w:rsidP="00B267BF">
            <w:pPr>
              <w:rPr>
                <w:b/>
                <w:bCs/>
              </w:rPr>
            </w:pPr>
            <w:r w:rsidRPr="00382B28">
              <w:rPr>
                <w:rFonts w:asciiTheme="majorHAnsi" w:eastAsiaTheme="majorEastAsia" w:hAnsiTheme="majorHAnsi" w:cstheme="majorBidi"/>
                <w:bCs/>
                <w:color w:val="000000" w:themeColor="text1"/>
                <w:sz w:val="24"/>
                <w:szCs w:val="24"/>
              </w:rPr>
              <w:t xml:space="preserve">The user fee structure imposed on medical </w:t>
            </w:r>
            <w:r w:rsidRPr="00382B28">
              <w:rPr>
                <w:rFonts w:asciiTheme="majorHAnsi" w:eastAsiaTheme="majorEastAsia" w:hAnsiTheme="majorHAnsi" w:cstheme="majorBidi"/>
                <w:bCs/>
                <w:color w:val="000000" w:themeColor="text1"/>
                <w:sz w:val="24"/>
                <w:szCs w:val="24"/>
              </w:rPr>
              <w:lastRenderedPageBreak/>
              <w:t>device companies that seek approval by the FDA for medical devices has been decried as a hidden tax on innovation.  As a result, the credit seeks to reimburse companies that incur such fees, thereby facilitating such companies to operate in Massachusetts.</w:t>
            </w:r>
          </w:p>
        </w:tc>
        <w:tc>
          <w:tcPr>
            <w:tcW w:w="4788" w:type="dxa"/>
          </w:tcPr>
          <w:p w14:paraId="66F73DB9" w14:textId="77777777" w:rsidR="0062172D" w:rsidRPr="00382B28" w:rsidRDefault="0062172D" w:rsidP="00B267BF">
            <w:pPr>
              <w:tabs>
                <w:tab w:val="left" w:pos="7050"/>
              </w:tabs>
              <w:rPr>
                <w:rFonts w:asciiTheme="majorHAnsi" w:eastAsiaTheme="majorEastAsia" w:hAnsiTheme="majorHAnsi" w:cstheme="majorBidi"/>
                <w:b/>
                <w:bCs/>
                <w:color w:val="000000" w:themeColor="text1"/>
                <w:sz w:val="24"/>
                <w:szCs w:val="24"/>
              </w:rPr>
            </w:pPr>
            <w:r w:rsidRPr="00382B28">
              <w:rPr>
                <w:rFonts w:asciiTheme="majorHAnsi" w:eastAsiaTheme="majorEastAsia" w:hAnsiTheme="majorHAnsi" w:cstheme="majorBidi"/>
                <w:b/>
                <w:bCs/>
                <w:color w:val="000000" w:themeColor="text1"/>
                <w:sz w:val="24"/>
                <w:szCs w:val="24"/>
              </w:rPr>
              <w:lastRenderedPageBreak/>
              <w:t>Are there other states with a similar Tax Expenditure?</w:t>
            </w:r>
          </w:p>
          <w:p w14:paraId="3607C689" w14:textId="77777777" w:rsidR="0062172D" w:rsidRDefault="0062172D" w:rsidP="00B267BF">
            <w:pPr>
              <w:rPr>
                <w:b/>
                <w:bCs/>
              </w:rPr>
            </w:pPr>
            <w:r>
              <w:rPr>
                <w:rFonts w:asciiTheme="majorHAnsi" w:hAnsiTheme="majorHAnsi"/>
                <w:bCs/>
                <w:sz w:val="24"/>
                <w:szCs w:val="24"/>
              </w:rPr>
              <w:t xml:space="preserve">No other states </w:t>
            </w:r>
            <w:r w:rsidRPr="00382B28">
              <w:rPr>
                <w:rFonts w:asciiTheme="majorHAnsi" w:hAnsiTheme="majorHAnsi"/>
                <w:bCs/>
                <w:sz w:val="24"/>
                <w:szCs w:val="24"/>
              </w:rPr>
              <w:t xml:space="preserve">provide a credit for user fees </w:t>
            </w:r>
            <w:r w:rsidRPr="00382B28">
              <w:rPr>
                <w:rFonts w:asciiTheme="majorHAnsi" w:hAnsiTheme="majorHAnsi"/>
                <w:bCs/>
                <w:sz w:val="24"/>
                <w:szCs w:val="24"/>
              </w:rPr>
              <w:lastRenderedPageBreak/>
              <w:t>borne by medical device companies.</w:t>
            </w:r>
          </w:p>
        </w:tc>
      </w:tr>
    </w:tbl>
    <w:tbl>
      <w:tblPr>
        <w:tblStyle w:val="MediumList1-Accent2"/>
        <w:tblW w:w="0" w:type="auto"/>
        <w:tblLook w:val="04A0" w:firstRow="1" w:lastRow="0" w:firstColumn="1" w:lastColumn="0" w:noHBand="0" w:noVBand="1"/>
      </w:tblPr>
      <w:tblGrid>
        <w:gridCol w:w="9576"/>
      </w:tblGrid>
      <w:tr w:rsidR="0062172D" w:rsidRPr="002C2079" w14:paraId="4ADD2439" w14:textId="77777777" w:rsidTr="00B267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F31F6FD" w14:textId="77777777" w:rsidR="0062172D" w:rsidRDefault="0062172D" w:rsidP="00B267BF">
            <w:pPr>
              <w:rPr>
                <w:sz w:val="28"/>
                <w:szCs w:val="28"/>
              </w:rPr>
            </w:pPr>
          </w:p>
        </w:tc>
      </w:tr>
      <w:tr w:rsidR="0062172D" w:rsidRPr="002C2079" w14:paraId="04B27305" w14:textId="77777777" w:rsidTr="00B26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C0504D" w:themeColor="accent2"/>
              <w:bottom w:val="single" w:sz="8" w:space="0" w:color="C0504D" w:themeColor="accent2"/>
            </w:tcBorders>
            <w:shd w:val="clear" w:color="auto" w:fill="B6DDE8" w:themeFill="accent5" w:themeFillTint="66"/>
          </w:tcPr>
          <w:p w14:paraId="20C37028" w14:textId="77777777" w:rsidR="0062172D" w:rsidRPr="002C2079" w:rsidRDefault="0062172D" w:rsidP="00B267BF">
            <w:pPr>
              <w:rPr>
                <w:rFonts w:asciiTheme="majorHAnsi" w:hAnsiTheme="majorHAnsi"/>
              </w:rPr>
            </w:pPr>
            <w:r w:rsidRPr="00AD2A39">
              <w:rPr>
                <w:sz w:val="28"/>
                <w:szCs w:val="28"/>
                <w:highlight w:val="cyan"/>
              </w:rPr>
              <w:t>Conclusion/Recommendations: [To be Entered by TERC]</w:t>
            </w:r>
          </w:p>
        </w:tc>
      </w:tr>
    </w:tbl>
    <w:p w14:paraId="4CF33B0A" w14:textId="77777777" w:rsidR="0062172D" w:rsidRPr="00B22F40" w:rsidRDefault="0062172D" w:rsidP="0062172D"/>
    <w:p w14:paraId="2A2CDFA0" w14:textId="77777777" w:rsidR="0062172D" w:rsidRDefault="0062172D" w:rsidP="0062172D">
      <w:r>
        <w:br w:type="page"/>
      </w:r>
    </w:p>
    <w:p w14:paraId="168BD3AC" w14:textId="77777777" w:rsidR="0062172D" w:rsidRPr="00B22F40" w:rsidRDefault="0062172D" w:rsidP="0062172D">
      <w:pPr>
        <w:sectPr w:rsidR="0062172D" w:rsidRPr="00B22F40" w:rsidSect="009D4E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7" w:left="1440" w:header="720" w:footer="720" w:gutter="0"/>
          <w:cols w:space="720"/>
          <w:docGrid w:linePitch="360"/>
        </w:sectPr>
      </w:pPr>
    </w:p>
    <w:tbl>
      <w:tblPr>
        <w:tblStyle w:val="MediumList1-Accent2"/>
        <w:tblW w:w="0" w:type="auto"/>
        <w:tblLook w:val="04A0" w:firstRow="1" w:lastRow="0" w:firstColumn="1" w:lastColumn="0" w:noHBand="0" w:noVBand="1"/>
      </w:tblPr>
      <w:tblGrid>
        <w:gridCol w:w="9576"/>
      </w:tblGrid>
      <w:tr w:rsidR="0062172D" w:rsidRPr="007C3ABD" w14:paraId="08837C9F" w14:textId="77777777" w:rsidTr="00B267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D441919" w14:textId="77777777" w:rsidR="0062172D" w:rsidRPr="00003921" w:rsidRDefault="0062172D" w:rsidP="00B267BF">
            <w:pPr>
              <w:jc w:val="center"/>
              <w:rPr>
                <w:sz w:val="36"/>
              </w:rPr>
            </w:pPr>
            <w:r w:rsidRPr="00003921">
              <w:rPr>
                <w:sz w:val="40"/>
                <w:szCs w:val="32"/>
              </w:rPr>
              <w:lastRenderedPageBreak/>
              <w:t>Incentive Evaluation</w:t>
            </w:r>
            <w:r>
              <w:rPr>
                <w:sz w:val="40"/>
                <w:szCs w:val="32"/>
              </w:rPr>
              <w:t xml:space="preserve"> Results</w:t>
            </w:r>
          </w:p>
        </w:tc>
      </w:tr>
    </w:tbl>
    <w:p w14:paraId="37509D81" w14:textId="77777777" w:rsidR="0062172D" w:rsidRDefault="0062172D" w:rsidP="0062172D">
      <w:pPr>
        <w:tabs>
          <w:tab w:val="left" w:pos="7050"/>
        </w:tabs>
        <w:spacing w:after="0"/>
        <w:rPr>
          <w:rFonts w:asciiTheme="majorHAnsi" w:hAnsiTheme="majorHAnsi"/>
          <w:b/>
          <w:sz w:val="28"/>
          <w:szCs w:val="24"/>
        </w:rPr>
      </w:pPr>
    </w:p>
    <w:p w14:paraId="2AB72B1E" w14:textId="77777777" w:rsidR="0062172D" w:rsidRPr="00382B28" w:rsidRDefault="0062172D" w:rsidP="0062172D">
      <w:pPr>
        <w:tabs>
          <w:tab w:val="left" w:pos="7050"/>
        </w:tabs>
        <w:spacing w:after="0"/>
        <w:rPr>
          <w:rFonts w:asciiTheme="majorHAnsi" w:hAnsiTheme="majorHAnsi"/>
          <w:b/>
          <w:color w:val="E36C0A" w:themeColor="accent6" w:themeShade="BF"/>
          <w:sz w:val="24"/>
          <w:szCs w:val="24"/>
        </w:rPr>
      </w:pPr>
      <w:r w:rsidRPr="00382B28">
        <w:rPr>
          <w:rFonts w:asciiTheme="majorHAnsi" w:hAnsiTheme="majorHAnsi"/>
          <w:b/>
          <w:color w:val="E36C0A" w:themeColor="accent6" w:themeShade="BF"/>
          <w:sz w:val="24"/>
          <w:szCs w:val="24"/>
        </w:rPr>
        <w:t>INTRODUCTION</w:t>
      </w:r>
    </w:p>
    <w:p w14:paraId="58E5AF92" w14:textId="77777777" w:rsidR="0062172D" w:rsidRPr="00670B6B" w:rsidRDefault="0062172D" w:rsidP="00670B6B">
      <w:pPr>
        <w:spacing w:after="0"/>
        <w:rPr>
          <w:rFonts w:asciiTheme="majorHAnsi" w:eastAsiaTheme="majorEastAsia" w:hAnsiTheme="majorHAnsi" w:cstheme="majorBidi"/>
          <w:bCs/>
          <w:color w:val="000000" w:themeColor="text1"/>
          <w:sz w:val="24"/>
          <w:szCs w:val="24"/>
        </w:rPr>
      </w:pPr>
      <w:r w:rsidRPr="00670B6B">
        <w:rPr>
          <w:rFonts w:asciiTheme="majorHAnsi" w:eastAsiaTheme="majorEastAsia" w:hAnsiTheme="majorHAnsi" w:cstheme="majorBidi"/>
          <w:bCs/>
          <w:color w:val="000000" w:themeColor="text1"/>
          <w:sz w:val="24"/>
          <w:szCs w:val="24"/>
        </w:rPr>
        <w:t xml:space="preserve">Medical device companies subject to tax under either the personal income tax under M.G.L. c. 62 or a corporate excise under M.G.L. c. 63, and which develop or manufacture medical devices in Massachusetts can claim a transferable credit equal to 100% of the user fees paid by them when submitting certain medical device applications and supplements to the FDA.  The credit may not be carried forward to subsequent tax years and is not refundable.  However, unused portions of the credit may be transferred, and the transferee may carry over the credit, but must use it within 5 years.    </w:t>
      </w:r>
    </w:p>
    <w:p w14:paraId="7E8D500C" w14:textId="77777777" w:rsidR="0062172D" w:rsidRPr="00382B28" w:rsidRDefault="0062172D" w:rsidP="0062172D">
      <w:pPr>
        <w:tabs>
          <w:tab w:val="left" w:pos="7050"/>
        </w:tabs>
        <w:spacing w:after="0"/>
        <w:rPr>
          <w:rFonts w:asciiTheme="majorHAnsi" w:hAnsiTheme="majorHAnsi"/>
          <w:sz w:val="24"/>
          <w:szCs w:val="24"/>
        </w:rPr>
      </w:pPr>
    </w:p>
    <w:p w14:paraId="0E44DEAA" w14:textId="77777777" w:rsidR="0062172D" w:rsidRPr="00670B6B" w:rsidRDefault="0062172D" w:rsidP="00670B6B">
      <w:pPr>
        <w:spacing w:after="0"/>
        <w:rPr>
          <w:rFonts w:asciiTheme="majorHAnsi" w:eastAsiaTheme="majorEastAsia" w:hAnsiTheme="majorHAnsi" w:cstheme="majorBidi"/>
          <w:bCs/>
          <w:color w:val="000000" w:themeColor="text1"/>
          <w:sz w:val="24"/>
          <w:szCs w:val="24"/>
        </w:rPr>
      </w:pPr>
      <w:r w:rsidRPr="00670B6B">
        <w:rPr>
          <w:rFonts w:asciiTheme="majorHAnsi" w:eastAsiaTheme="majorEastAsia" w:hAnsiTheme="majorHAnsi" w:cstheme="majorBidi"/>
          <w:bCs/>
          <w:color w:val="000000" w:themeColor="text1"/>
          <w:sz w:val="24"/>
          <w:szCs w:val="24"/>
        </w:rPr>
        <w:t xml:space="preserve">This particular tax expenditure was enacted on July 8, 2006, making the incentive applicable from tax years beginning on or after January 1, 2006.  St. 2006, c. 144, 145.  </w:t>
      </w:r>
    </w:p>
    <w:p w14:paraId="031ECE71" w14:textId="77777777" w:rsidR="0062172D" w:rsidRPr="00382B28" w:rsidRDefault="0062172D" w:rsidP="0062172D">
      <w:pPr>
        <w:tabs>
          <w:tab w:val="left" w:pos="7050"/>
        </w:tabs>
        <w:spacing w:after="0"/>
        <w:rPr>
          <w:rFonts w:asciiTheme="majorHAnsi" w:hAnsiTheme="majorHAnsi"/>
          <w:sz w:val="24"/>
          <w:szCs w:val="24"/>
        </w:rPr>
      </w:pPr>
    </w:p>
    <w:p w14:paraId="4FE27EBF" w14:textId="77777777" w:rsidR="0062172D" w:rsidRPr="00003FFA" w:rsidRDefault="0062172D" w:rsidP="0062172D">
      <w:pPr>
        <w:tabs>
          <w:tab w:val="left" w:pos="7050"/>
        </w:tabs>
        <w:spacing w:after="0"/>
        <w:rPr>
          <w:rFonts w:asciiTheme="majorHAnsi" w:hAnsiTheme="majorHAnsi"/>
          <w:sz w:val="24"/>
          <w:szCs w:val="24"/>
        </w:rPr>
      </w:pPr>
    </w:p>
    <w:p w14:paraId="3F2539FC" w14:textId="77777777" w:rsidR="00EF0FCC" w:rsidRPr="00A07439" w:rsidRDefault="00EF0FCC" w:rsidP="00EF0FCC">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POLICY GOAL</w:t>
      </w:r>
    </w:p>
    <w:p w14:paraId="122E45CD" w14:textId="77777777" w:rsidR="0062172D" w:rsidRPr="00BB467B" w:rsidRDefault="0062172D" w:rsidP="00670B6B">
      <w:pPr>
        <w:spacing w:after="0"/>
        <w:rPr>
          <w:rFonts w:asciiTheme="majorHAnsi" w:eastAsiaTheme="majorEastAsia" w:hAnsiTheme="majorHAnsi" w:cstheme="majorBidi"/>
          <w:bCs/>
          <w:color w:val="000000" w:themeColor="text1"/>
          <w:sz w:val="24"/>
          <w:szCs w:val="24"/>
        </w:rPr>
      </w:pPr>
      <w:r w:rsidRPr="00BB467B">
        <w:rPr>
          <w:rFonts w:asciiTheme="majorHAnsi" w:eastAsiaTheme="majorEastAsia" w:hAnsiTheme="majorHAnsi" w:cstheme="majorBidi"/>
          <w:bCs/>
          <w:color w:val="000000" w:themeColor="text1"/>
          <w:sz w:val="24"/>
          <w:szCs w:val="24"/>
        </w:rPr>
        <w:t xml:space="preserve">The statute does not explicitly state the purpose of this tax expenditure. </w:t>
      </w:r>
      <w:r>
        <w:rPr>
          <w:rFonts w:asciiTheme="majorHAnsi" w:eastAsiaTheme="majorEastAsia" w:hAnsiTheme="majorHAnsi" w:cstheme="majorBidi"/>
          <w:bCs/>
          <w:color w:val="000000" w:themeColor="text1"/>
          <w:sz w:val="24"/>
          <w:szCs w:val="24"/>
        </w:rPr>
        <w:t xml:space="preserve"> </w:t>
      </w:r>
      <w:r w:rsidRPr="007B51D8">
        <w:rPr>
          <w:rFonts w:asciiTheme="majorHAnsi" w:eastAsiaTheme="majorEastAsia" w:hAnsiTheme="majorHAnsi" w:cstheme="majorBidi"/>
          <w:bCs/>
          <w:color w:val="000000" w:themeColor="text1"/>
          <w:sz w:val="24"/>
          <w:szCs w:val="24"/>
        </w:rPr>
        <w:t xml:space="preserve">The purpose of the credit is to reimburse medical companies for these expenses, with the additional incentive that the credit itself may be sold to another taxpayer.  As a result, it can be inferred that the tax expenditure is designed to expand, develop, and facilitate medical device </w:t>
      </w:r>
      <w:r w:rsidR="007D17AF">
        <w:rPr>
          <w:rFonts w:asciiTheme="majorHAnsi" w:eastAsiaTheme="majorEastAsia" w:hAnsiTheme="majorHAnsi" w:cstheme="majorBidi"/>
          <w:bCs/>
          <w:color w:val="000000" w:themeColor="text1"/>
          <w:sz w:val="24"/>
          <w:szCs w:val="24"/>
        </w:rPr>
        <w:t>development</w:t>
      </w:r>
      <w:r w:rsidR="007D17AF" w:rsidRPr="007B51D8">
        <w:rPr>
          <w:rFonts w:asciiTheme="majorHAnsi" w:eastAsiaTheme="majorEastAsia" w:hAnsiTheme="majorHAnsi" w:cstheme="majorBidi"/>
          <w:bCs/>
          <w:color w:val="000000" w:themeColor="text1"/>
          <w:sz w:val="24"/>
          <w:szCs w:val="24"/>
        </w:rPr>
        <w:t xml:space="preserve"> </w:t>
      </w:r>
      <w:r w:rsidRPr="007B51D8">
        <w:rPr>
          <w:rFonts w:asciiTheme="majorHAnsi" w:eastAsiaTheme="majorEastAsia" w:hAnsiTheme="majorHAnsi" w:cstheme="majorBidi"/>
          <w:bCs/>
          <w:color w:val="000000" w:themeColor="text1"/>
          <w:sz w:val="24"/>
          <w:szCs w:val="24"/>
        </w:rPr>
        <w:t>in Massachusetts.</w:t>
      </w:r>
    </w:p>
    <w:p w14:paraId="1438875E" w14:textId="77777777" w:rsidR="0062172D" w:rsidRDefault="0062172D" w:rsidP="0062172D">
      <w:pPr>
        <w:tabs>
          <w:tab w:val="left" w:pos="7050"/>
        </w:tabs>
        <w:spacing w:after="0"/>
        <w:rPr>
          <w:rFonts w:asciiTheme="majorHAnsi" w:eastAsiaTheme="majorEastAsia" w:hAnsiTheme="majorHAnsi" w:cstheme="majorBidi"/>
          <w:bCs/>
          <w:color w:val="000000" w:themeColor="text1"/>
          <w:sz w:val="24"/>
          <w:szCs w:val="24"/>
        </w:rPr>
      </w:pPr>
    </w:p>
    <w:p w14:paraId="57ADD5F9" w14:textId="77777777" w:rsidR="0062172D" w:rsidRDefault="0062172D" w:rsidP="0062172D">
      <w:pPr>
        <w:tabs>
          <w:tab w:val="left" w:pos="7050"/>
        </w:tabs>
        <w:spacing w:after="0"/>
        <w:rPr>
          <w:rFonts w:asciiTheme="majorHAnsi" w:eastAsiaTheme="majorEastAsia" w:hAnsiTheme="majorHAnsi" w:cstheme="majorBidi"/>
          <w:bCs/>
          <w:color w:val="000000" w:themeColor="text1"/>
          <w:sz w:val="24"/>
          <w:szCs w:val="24"/>
        </w:rPr>
      </w:pPr>
    </w:p>
    <w:p w14:paraId="42F68D78" w14:textId="77777777" w:rsidR="0062172D" w:rsidRPr="00A07439" w:rsidRDefault="0062172D" w:rsidP="0062172D">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 xml:space="preserve">COSTS </w:t>
      </w:r>
    </w:p>
    <w:p w14:paraId="079E1089" w14:textId="07E4A448" w:rsidR="00BE1E02" w:rsidRDefault="0062172D" w:rsidP="0062172D">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The credit has no cap and is transferable. The revenue loss</w:t>
      </w:r>
      <w:r w:rsidR="00BE1E02">
        <w:rPr>
          <w:rFonts w:asciiTheme="majorHAnsi" w:eastAsiaTheme="majorEastAsia" w:hAnsiTheme="majorHAnsi" w:cstheme="majorBidi"/>
          <w:bCs/>
          <w:color w:val="000000" w:themeColor="text1"/>
          <w:sz w:val="24"/>
          <w:szCs w:val="24"/>
        </w:rPr>
        <w:t xml:space="preserve"> (see Table 1)</w:t>
      </w:r>
      <w:r>
        <w:rPr>
          <w:rFonts w:asciiTheme="majorHAnsi" w:eastAsiaTheme="majorEastAsia" w:hAnsiTheme="majorHAnsi" w:cstheme="majorBidi"/>
          <w:bCs/>
          <w:color w:val="000000" w:themeColor="text1"/>
          <w:sz w:val="24"/>
          <w:szCs w:val="24"/>
        </w:rPr>
        <w:t xml:space="preserve"> is estimated to be </w:t>
      </w:r>
      <w:r w:rsidRPr="00A47FC9">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0.4</w:t>
      </w:r>
      <w:r w:rsidRPr="00A47FC9">
        <w:rPr>
          <w:rFonts w:asciiTheme="majorHAnsi" w:eastAsiaTheme="majorEastAsia" w:hAnsiTheme="majorHAnsi" w:cstheme="majorBidi"/>
          <w:bCs/>
          <w:color w:val="000000" w:themeColor="text1"/>
          <w:sz w:val="24"/>
          <w:szCs w:val="24"/>
        </w:rPr>
        <w:t xml:space="preserve"> - $</w:t>
      </w:r>
      <w:r>
        <w:rPr>
          <w:rFonts w:asciiTheme="majorHAnsi" w:eastAsiaTheme="majorEastAsia" w:hAnsiTheme="majorHAnsi" w:cstheme="majorBidi"/>
          <w:bCs/>
          <w:color w:val="000000" w:themeColor="text1"/>
          <w:sz w:val="24"/>
          <w:szCs w:val="24"/>
        </w:rPr>
        <w:t>0.</w:t>
      </w:r>
      <w:r w:rsidR="00BE1E02">
        <w:rPr>
          <w:rFonts w:asciiTheme="majorHAnsi" w:eastAsiaTheme="majorEastAsia" w:hAnsiTheme="majorHAnsi" w:cstheme="majorBidi"/>
          <w:bCs/>
          <w:color w:val="000000" w:themeColor="text1"/>
          <w:sz w:val="24"/>
          <w:szCs w:val="24"/>
        </w:rPr>
        <w:t>6</w:t>
      </w:r>
      <w:r w:rsidR="00BE1E02" w:rsidRPr="00A47FC9">
        <w:rPr>
          <w:rFonts w:asciiTheme="majorHAnsi" w:eastAsiaTheme="majorEastAsia" w:hAnsiTheme="majorHAnsi" w:cstheme="majorBidi"/>
          <w:bCs/>
          <w:color w:val="000000" w:themeColor="text1"/>
          <w:sz w:val="24"/>
          <w:szCs w:val="24"/>
        </w:rPr>
        <w:t xml:space="preserve"> </w:t>
      </w:r>
      <w:r w:rsidRPr="00A47FC9">
        <w:rPr>
          <w:rFonts w:asciiTheme="majorHAnsi" w:eastAsiaTheme="majorEastAsia" w:hAnsiTheme="majorHAnsi" w:cstheme="majorBidi"/>
          <w:bCs/>
          <w:color w:val="000000" w:themeColor="text1"/>
          <w:sz w:val="24"/>
          <w:szCs w:val="24"/>
        </w:rPr>
        <w:t>million annually</w:t>
      </w:r>
      <w:r>
        <w:rPr>
          <w:rFonts w:asciiTheme="majorHAnsi" w:eastAsiaTheme="majorEastAsia" w:hAnsiTheme="majorHAnsi" w:cstheme="majorBidi"/>
          <w:bCs/>
          <w:color w:val="000000" w:themeColor="text1"/>
          <w:sz w:val="24"/>
          <w:szCs w:val="24"/>
        </w:rPr>
        <w:t xml:space="preserve"> </w:t>
      </w:r>
      <w:r w:rsidR="00D6250D">
        <w:rPr>
          <w:rFonts w:asciiTheme="majorHAnsi" w:eastAsiaTheme="majorEastAsia" w:hAnsiTheme="majorHAnsi" w:cstheme="majorBidi"/>
          <w:bCs/>
          <w:color w:val="000000" w:themeColor="text1"/>
          <w:sz w:val="24"/>
          <w:szCs w:val="24"/>
        </w:rPr>
        <w:t xml:space="preserve">for </w:t>
      </w:r>
      <w:r>
        <w:rPr>
          <w:rFonts w:asciiTheme="majorHAnsi" w:eastAsiaTheme="majorEastAsia" w:hAnsiTheme="majorHAnsi" w:cstheme="majorBidi"/>
          <w:bCs/>
          <w:color w:val="000000" w:themeColor="text1"/>
          <w:sz w:val="24"/>
          <w:szCs w:val="24"/>
        </w:rPr>
        <w:t xml:space="preserve">corporate excise and a negligible amount </w:t>
      </w:r>
      <w:r w:rsidR="00D6250D">
        <w:rPr>
          <w:rFonts w:asciiTheme="majorHAnsi" w:eastAsiaTheme="majorEastAsia" w:hAnsiTheme="majorHAnsi" w:cstheme="majorBidi"/>
          <w:bCs/>
          <w:color w:val="000000" w:themeColor="text1"/>
          <w:sz w:val="24"/>
          <w:szCs w:val="24"/>
        </w:rPr>
        <w:t xml:space="preserve">for </w:t>
      </w:r>
      <w:r>
        <w:rPr>
          <w:rFonts w:asciiTheme="majorHAnsi" w:eastAsiaTheme="majorEastAsia" w:hAnsiTheme="majorHAnsi" w:cstheme="majorBidi"/>
          <w:bCs/>
          <w:color w:val="000000" w:themeColor="text1"/>
          <w:sz w:val="24"/>
          <w:szCs w:val="24"/>
        </w:rPr>
        <w:t>personal income tax during</w:t>
      </w:r>
      <w:r w:rsidRPr="00A47FC9">
        <w:rPr>
          <w:rFonts w:asciiTheme="majorHAnsi" w:eastAsiaTheme="majorEastAsia" w:hAnsiTheme="majorHAnsi" w:cstheme="majorBidi"/>
          <w:bCs/>
          <w:color w:val="000000" w:themeColor="text1"/>
          <w:sz w:val="24"/>
          <w:szCs w:val="24"/>
        </w:rPr>
        <w:t xml:space="preserve"> FY18-FY22</w:t>
      </w:r>
      <w:r>
        <w:rPr>
          <w:rFonts w:asciiTheme="majorHAnsi" w:eastAsiaTheme="majorEastAsia" w:hAnsiTheme="majorHAnsi" w:cstheme="majorBidi"/>
          <w:bCs/>
          <w:color w:val="000000" w:themeColor="text1"/>
          <w:sz w:val="24"/>
          <w:szCs w:val="24"/>
        </w:rPr>
        <w:t xml:space="preserve">. </w:t>
      </w:r>
    </w:p>
    <w:p w14:paraId="55ED0660" w14:textId="77777777" w:rsidR="00BE1E02" w:rsidRDefault="00BE1E02" w:rsidP="0062172D">
      <w:pPr>
        <w:spacing w:after="0"/>
        <w:rPr>
          <w:rFonts w:asciiTheme="majorHAnsi" w:eastAsiaTheme="majorEastAsia" w:hAnsiTheme="majorHAnsi" w:cstheme="majorBidi"/>
          <w:bCs/>
          <w:color w:val="000000" w:themeColor="text1"/>
          <w:sz w:val="24"/>
          <w:szCs w:val="24"/>
        </w:rPr>
      </w:pPr>
    </w:p>
    <w:p w14:paraId="011A69F8" w14:textId="77777777" w:rsidR="00BE1E02" w:rsidRPr="006C3121" w:rsidRDefault="00BE1E02" w:rsidP="00F316CF">
      <w:pPr>
        <w:spacing w:after="0"/>
        <w:jc w:val="center"/>
        <w:rPr>
          <w:rFonts w:asciiTheme="majorHAnsi" w:eastAsiaTheme="majorEastAsia" w:hAnsiTheme="majorHAnsi" w:cstheme="majorBidi"/>
          <w:b/>
          <w:color w:val="000000" w:themeColor="text1"/>
          <w:sz w:val="24"/>
          <w:szCs w:val="24"/>
        </w:rPr>
      </w:pPr>
      <w:r w:rsidRPr="006C3121">
        <w:rPr>
          <w:rFonts w:asciiTheme="majorHAnsi" w:eastAsiaTheme="majorEastAsia" w:hAnsiTheme="majorHAnsi" w:cstheme="majorBidi"/>
          <w:b/>
          <w:color w:val="000000" w:themeColor="text1"/>
          <w:sz w:val="24"/>
          <w:szCs w:val="24"/>
        </w:rPr>
        <w:t xml:space="preserve">Table 1. Tax Revenue Loss Estimates for </w:t>
      </w:r>
      <w:r>
        <w:rPr>
          <w:rFonts w:asciiTheme="majorHAnsi" w:eastAsiaTheme="majorEastAsia" w:hAnsiTheme="majorHAnsi" w:cstheme="majorBidi"/>
          <w:b/>
          <w:color w:val="000000" w:themeColor="text1"/>
          <w:sz w:val="24"/>
          <w:szCs w:val="24"/>
        </w:rPr>
        <w:t>Medical Device User Fee Credit</w:t>
      </w:r>
    </w:p>
    <w:tbl>
      <w:tblPr>
        <w:tblW w:w="7900" w:type="dxa"/>
        <w:jc w:val="center"/>
        <w:tblLook w:val="04A0" w:firstRow="1" w:lastRow="0" w:firstColumn="1" w:lastColumn="0" w:noHBand="0" w:noVBand="1"/>
      </w:tblPr>
      <w:tblGrid>
        <w:gridCol w:w="3100"/>
        <w:gridCol w:w="960"/>
        <w:gridCol w:w="960"/>
        <w:gridCol w:w="960"/>
        <w:gridCol w:w="960"/>
        <w:gridCol w:w="960"/>
      </w:tblGrid>
      <w:tr w:rsidR="00F720D7" w:rsidRPr="00716C4A" w14:paraId="574F0C61" w14:textId="77777777" w:rsidTr="00F720D7">
        <w:trPr>
          <w:trHeight w:val="430"/>
          <w:jc w:val="center"/>
        </w:trPr>
        <w:tc>
          <w:tcPr>
            <w:tcW w:w="3100"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6D600171" w14:textId="77777777" w:rsidR="00BE1E02" w:rsidRPr="00716C4A" w:rsidRDefault="00BE1E02" w:rsidP="000F7C86">
            <w:pPr>
              <w:spacing w:after="0" w:line="240" w:lineRule="auto"/>
              <w:jc w:val="center"/>
              <w:rPr>
                <w:rFonts w:ascii="Cambria" w:eastAsia="Times New Roman" w:hAnsi="Cambria" w:cs="Arial"/>
                <w:sz w:val="20"/>
                <w:szCs w:val="20"/>
                <w:lang w:eastAsia="ko-KR"/>
              </w:rPr>
            </w:pPr>
            <w:r w:rsidRPr="00716C4A">
              <w:rPr>
                <w:rFonts w:ascii="Cambria" w:eastAsia="Times New Roman" w:hAnsi="Cambria" w:cs="Arial"/>
                <w:sz w:val="20"/>
                <w:szCs w:val="20"/>
                <w:lang w:eastAsia="ko-KR"/>
              </w:rPr>
              <w:t xml:space="preserve">Fiscal Year </w:t>
            </w:r>
          </w:p>
        </w:tc>
        <w:tc>
          <w:tcPr>
            <w:tcW w:w="96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17244EA8" w14:textId="77777777" w:rsidR="00BE1E02" w:rsidRPr="00716C4A" w:rsidRDefault="00BE1E02" w:rsidP="00F316CF">
            <w:pPr>
              <w:spacing w:after="0" w:line="240" w:lineRule="auto"/>
              <w:jc w:val="right"/>
              <w:rPr>
                <w:rFonts w:ascii="Cambria" w:eastAsia="Times New Roman" w:hAnsi="Cambria" w:cs="Arial"/>
                <w:sz w:val="20"/>
                <w:szCs w:val="20"/>
                <w:lang w:eastAsia="ko-KR"/>
              </w:rPr>
            </w:pPr>
            <w:r w:rsidRPr="00716C4A">
              <w:rPr>
                <w:rFonts w:ascii="Cambria" w:eastAsia="Times New Roman" w:hAnsi="Cambria" w:cs="Arial"/>
                <w:sz w:val="20"/>
                <w:szCs w:val="20"/>
                <w:lang w:eastAsia="ko-KR"/>
              </w:rPr>
              <w:t>2018</w:t>
            </w:r>
          </w:p>
        </w:tc>
        <w:tc>
          <w:tcPr>
            <w:tcW w:w="96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66EA32C2" w14:textId="77777777" w:rsidR="00BE1E02" w:rsidRPr="00716C4A" w:rsidRDefault="00BE1E02" w:rsidP="00F316CF">
            <w:pPr>
              <w:spacing w:after="0" w:line="240" w:lineRule="auto"/>
              <w:jc w:val="right"/>
              <w:rPr>
                <w:rFonts w:ascii="Cambria" w:eastAsia="Times New Roman" w:hAnsi="Cambria" w:cs="Arial"/>
                <w:sz w:val="20"/>
                <w:szCs w:val="20"/>
                <w:lang w:eastAsia="ko-KR"/>
              </w:rPr>
            </w:pPr>
            <w:r w:rsidRPr="00716C4A">
              <w:rPr>
                <w:rFonts w:ascii="Cambria" w:eastAsia="Times New Roman" w:hAnsi="Cambria" w:cs="Arial"/>
                <w:sz w:val="20"/>
                <w:szCs w:val="20"/>
                <w:lang w:eastAsia="ko-KR"/>
              </w:rPr>
              <w:t>2019</w:t>
            </w:r>
          </w:p>
        </w:tc>
        <w:tc>
          <w:tcPr>
            <w:tcW w:w="96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1AA315D" w14:textId="77777777" w:rsidR="00BE1E02" w:rsidRPr="00716C4A" w:rsidRDefault="00BE1E02" w:rsidP="00F316CF">
            <w:pPr>
              <w:spacing w:after="0" w:line="240" w:lineRule="auto"/>
              <w:jc w:val="right"/>
              <w:rPr>
                <w:rFonts w:ascii="Cambria" w:eastAsia="Times New Roman" w:hAnsi="Cambria" w:cs="Arial"/>
                <w:sz w:val="20"/>
                <w:szCs w:val="20"/>
                <w:lang w:eastAsia="ko-KR"/>
              </w:rPr>
            </w:pPr>
            <w:r w:rsidRPr="00716C4A">
              <w:rPr>
                <w:rFonts w:ascii="Cambria" w:eastAsia="Times New Roman" w:hAnsi="Cambria" w:cs="Arial"/>
                <w:sz w:val="20"/>
                <w:szCs w:val="20"/>
                <w:lang w:eastAsia="ko-KR"/>
              </w:rPr>
              <w:t>2020</w:t>
            </w:r>
          </w:p>
        </w:tc>
        <w:tc>
          <w:tcPr>
            <w:tcW w:w="96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3934A469" w14:textId="77777777" w:rsidR="00BE1E02" w:rsidRPr="00716C4A" w:rsidRDefault="00BE1E02" w:rsidP="00F316CF">
            <w:pPr>
              <w:spacing w:after="0" w:line="240" w:lineRule="auto"/>
              <w:jc w:val="right"/>
              <w:rPr>
                <w:rFonts w:ascii="Cambria" w:eastAsia="Times New Roman" w:hAnsi="Cambria" w:cs="Arial"/>
                <w:sz w:val="20"/>
                <w:szCs w:val="20"/>
                <w:lang w:eastAsia="ko-KR"/>
              </w:rPr>
            </w:pPr>
            <w:r w:rsidRPr="00716C4A">
              <w:rPr>
                <w:rFonts w:ascii="Cambria" w:eastAsia="Times New Roman" w:hAnsi="Cambria" w:cs="Arial"/>
                <w:sz w:val="20"/>
                <w:szCs w:val="20"/>
                <w:lang w:eastAsia="ko-KR"/>
              </w:rPr>
              <w:t>2021</w:t>
            </w:r>
          </w:p>
        </w:tc>
        <w:tc>
          <w:tcPr>
            <w:tcW w:w="96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33943201" w14:textId="77777777" w:rsidR="00BE1E02" w:rsidRPr="00716C4A" w:rsidRDefault="00BE1E02" w:rsidP="00F316CF">
            <w:pPr>
              <w:spacing w:after="0" w:line="240" w:lineRule="auto"/>
              <w:jc w:val="right"/>
              <w:rPr>
                <w:rFonts w:ascii="Cambria" w:eastAsia="Times New Roman" w:hAnsi="Cambria" w:cs="Arial"/>
                <w:sz w:val="20"/>
                <w:szCs w:val="20"/>
                <w:lang w:eastAsia="ko-KR"/>
              </w:rPr>
            </w:pPr>
            <w:r w:rsidRPr="00716C4A">
              <w:rPr>
                <w:rFonts w:ascii="Cambria" w:eastAsia="Times New Roman" w:hAnsi="Cambria" w:cs="Arial"/>
                <w:sz w:val="20"/>
                <w:szCs w:val="20"/>
                <w:lang w:eastAsia="ko-KR"/>
              </w:rPr>
              <w:t>2022</w:t>
            </w:r>
          </w:p>
        </w:tc>
      </w:tr>
      <w:tr w:rsidR="00BE1E02" w:rsidRPr="00716C4A" w14:paraId="1B5C422B" w14:textId="77777777" w:rsidTr="00F316CF">
        <w:trPr>
          <w:trHeight w:val="540"/>
          <w:jc w:val="center"/>
        </w:trPr>
        <w:tc>
          <w:tcPr>
            <w:tcW w:w="3100" w:type="dxa"/>
            <w:tcBorders>
              <w:top w:val="nil"/>
              <w:left w:val="single" w:sz="4" w:space="0" w:color="auto"/>
              <w:bottom w:val="single" w:sz="4" w:space="0" w:color="auto"/>
              <w:right w:val="single" w:sz="4" w:space="0" w:color="auto"/>
            </w:tcBorders>
            <w:shd w:val="clear" w:color="000000" w:fill="FFFFFF"/>
            <w:vAlign w:val="center"/>
            <w:hideMark/>
          </w:tcPr>
          <w:p w14:paraId="0E9AD20A" w14:textId="77777777" w:rsidR="00BE1E02" w:rsidRPr="00716C4A" w:rsidRDefault="00BE1E02" w:rsidP="000F7C86">
            <w:pPr>
              <w:spacing w:after="0" w:line="240" w:lineRule="auto"/>
              <w:jc w:val="center"/>
              <w:rPr>
                <w:rFonts w:ascii="Cambria" w:eastAsia="Times New Roman" w:hAnsi="Cambria" w:cs="Arial"/>
                <w:sz w:val="20"/>
                <w:szCs w:val="20"/>
                <w:lang w:eastAsia="ko-KR"/>
              </w:rPr>
            </w:pPr>
            <w:r w:rsidRPr="00716C4A">
              <w:rPr>
                <w:rFonts w:ascii="Cambria" w:eastAsia="Times New Roman" w:hAnsi="Cambria" w:cs="Arial"/>
                <w:sz w:val="20"/>
                <w:szCs w:val="20"/>
                <w:lang w:eastAsia="ko-KR"/>
              </w:rPr>
              <w:t xml:space="preserve"> Tax Expenditure Estimate ($Million) </w:t>
            </w:r>
          </w:p>
        </w:tc>
        <w:tc>
          <w:tcPr>
            <w:tcW w:w="960" w:type="dxa"/>
            <w:tcBorders>
              <w:top w:val="nil"/>
              <w:left w:val="nil"/>
              <w:bottom w:val="single" w:sz="4" w:space="0" w:color="auto"/>
              <w:right w:val="single" w:sz="4" w:space="0" w:color="auto"/>
            </w:tcBorders>
            <w:shd w:val="clear" w:color="auto" w:fill="auto"/>
            <w:noWrap/>
            <w:vAlign w:val="center"/>
            <w:hideMark/>
          </w:tcPr>
          <w:p w14:paraId="64787337" w14:textId="77777777" w:rsidR="00BE1E02" w:rsidRPr="00716C4A" w:rsidRDefault="00BE1E02" w:rsidP="00BE1E02">
            <w:pPr>
              <w:spacing w:after="0" w:line="240" w:lineRule="auto"/>
              <w:jc w:val="right"/>
              <w:rPr>
                <w:rFonts w:ascii="Cambria" w:eastAsia="Times New Roman" w:hAnsi="Cambria" w:cs="Arial"/>
                <w:sz w:val="20"/>
                <w:szCs w:val="20"/>
                <w:lang w:eastAsia="ko-KR"/>
              </w:rPr>
            </w:pPr>
            <w:r w:rsidRPr="00716C4A">
              <w:rPr>
                <w:rFonts w:ascii="Cambria" w:eastAsia="Times New Roman" w:hAnsi="Cambria" w:cs="Arial"/>
                <w:sz w:val="20"/>
                <w:szCs w:val="20"/>
                <w:lang w:eastAsia="ko-KR"/>
              </w:rPr>
              <w:t>$0.4</w:t>
            </w:r>
          </w:p>
        </w:tc>
        <w:tc>
          <w:tcPr>
            <w:tcW w:w="960" w:type="dxa"/>
            <w:tcBorders>
              <w:top w:val="nil"/>
              <w:left w:val="nil"/>
              <w:bottom w:val="single" w:sz="4" w:space="0" w:color="auto"/>
              <w:right w:val="single" w:sz="4" w:space="0" w:color="auto"/>
            </w:tcBorders>
            <w:shd w:val="clear" w:color="auto" w:fill="auto"/>
            <w:noWrap/>
            <w:vAlign w:val="center"/>
            <w:hideMark/>
          </w:tcPr>
          <w:p w14:paraId="7BE8FDE9" w14:textId="77777777" w:rsidR="00BE1E02" w:rsidRPr="00716C4A" w:rsidRDefault="00BE1E02" w:rsidP="00BE1E02">
            <w:pPr>
              <w:spacing w:after="0" w:line="240" w:lineRule="auto"/>
              <w:jc w:val="right"/>
              <w:rPr>
                <w:rFonts w:ascii="Cambria" w:eastAsia="Times New Roman" w:hAnsi="Cambria" w:cs="Arial"/>
                <w:sz w:val="20"/>
                <w:szCs w:val="20"/>
                <w:lang w:eastAsia="ko-KR"/>
              </w:rPr>
            </w:pPr>
            <w:r w:rsidRPr="00716C4A">
              <w:rPr>
                <w:rFonts w:ascii="Cambria" w:eastAsia="Times New Roman" w:hAnsi="Cambria" w:cs="Arial"/>
                <w:sz w:val="20"/>
                <w:szCs w:val="20"/>
                <w:lang w:eastAsia="ko-KR"/>
              </w:rPr>
              <w:t>$0.6</w:t>
            </w:r>
          </w:p>
        </w:tc>
        <w:tc>
          <w:tcPr>
            <w:tcW w:w="960" w:type="dxa"/>
            <w:tcBorders>
              <w:top w:val="nil"/>
              <w:left w:val="nil"/>
              <w:bottom w:val="single" w:sz="4" w:space="0" w:color="auto"/>
              <w:right w:val="single" w:sz="4" w:space="0" w:color="auto"/>
            </w:tcBorders>
            <w:shd w:val="clear" w:color="auto" w:fill="auto"/>
            <w:noWrap/>
            <w:vAlign w:val="center"/>
            <w:hideMark/>
          </w:tcPr>
          <w:p w14:paraId="3461DA4B" w14:textId="77777777" w:rsidR="00BE1E02" w:rsidRPr="00716C4A" w:rsidRDefault="00BE1E02" w:rsidP="00BE1E02">
            <w:pPr>
              <w:spacing w:after="0" w:line="240" w:lineRule="auto"/>
              <w:jc w:val="right"/>
              <w:rPr>
                <w:rFonts w:ascii="Cambria" w:eastAsia="Times New Roman" w:hAnsi="Cambria" w:cs="Arial"/>
                <w:sz w:val="20"/>
                <w:szCs w:val="20"/>
                <w:lang w:eastAsia="ko-KR"/>
              </w:rPr>
            </w:pPr>
            <w:r w:rsidRPr="00716C4A">
              <w:rPr>
                <w:rFonts w:ascii="Cambria" w:eastAsia="Times New Roman" w:hAnsi="Cambria" w:cs="Arial"/>
                <w:sz w:val="20"/>
                <w:szCs w:val="20"/>
                <w:lang w:eastAsia="ko-KR"/>
              </w:rPr>
              <w:t>$0.6</w:t>
            </w:r>
          </w:p>
        </w:tc>
        <w:tc>
          <w:tcPr>
            <w:tcW w:w="960" w:type="dxa"/>
            <w:tcBorders>
              <w:top w:val="nil"/>
              <w:left w:val="nil"/>
              <w:bottom w:val="single" w:sz="4" w:space="0" w:color="auto"/>
              <w:right w:val="single" w:sz="4" w:space="0" w:color="auto"/>
            </w:tcBorders>
            <w:shd w:val="clear" w:color="auto" w:fill="auto"/>
            <w:noWrap/>
            <w:vAlign w:val="center"/>
            <w:hideMark/>
          </w:tcPr>
          <w:p w14:paraId="29003275" w14:textId="77777777" w:rsidR="00BE1E02" w:rsidRPr="00716C4A" w:rsidRDefault="00BE1E02" w:rsidP="00BE1E02">
            <w:pPr>
              <w:spacing w:after="0" w:line="240" w:lineRule="auto"/>
              <w:jc w:val="right"/>
              <w:rPr>
                <w:rFonts w:ascii="Cambria" w:eastAsia="Times New Roman" w:hAnsi="Cambria" w:cs="Arial"/>
                <w:sz w:val="20"/>
                <w:szCs w:val="20"/>
                <w:lang w:eastAsia="ko-KR"/>
              </w:rPr>
            </w:pPr>
            <w:r w:rsidRPr="00716C4A">
              <w:rPr>
                <w:rFonts w:ascii="Cambria" w:eastAsia="Times New Roman" w:hAnsi="Cambria" w:cs="Arial"/>
                <w:sz w:val="20"/>
                <w:szCs w:val="20"/>
                <w:lang w:eastAsia="ko-KR"/>
              </w:rPr>
              <w:t>$0.5</w:t>
            </w:r>
          </w:p>
        </w:tc>
        <w:tc>
          <w:tcPr>
            <w:tcW w:w="960" w:type="dxa"/>
            <w:tcBorders>
              <w:top w:val="nil"/>
              <w:left w:val="nil"/>
              <w:bottom w:val="single" w:sz="4" w:space="0" w:color="auto"/>
              <w:right w:val="single" w:sz="4" w:space="0" w:color="auto"/>
            </w:tcBorders>
            <w:shd w:val="clear" w:color="auto" w:fill="auto"/>
            <w:noWrap/>
            <w:vAlign w:val="center"/>
            <w:hideMark/>
          </w:tcPr>
          <w:p w14:paraId="079C89B9" w14:textId="77777777" w:rsidR="00BE1E02" w:rsidRPr="00716C4A" w:rsidRDefault="00BE1E02" w:rsidP="00BE1E02">
            <w:pPr>
              <w:spacing w:after="0" w:line="240" w:lineRule="auto"/>
              <w:jc w:val="right"/>
              <w:rPr>
                <w:rFonts w:ascii="Cambria" w:eastAsia="Times New Roman" w:hAnsi="Cambria" w:cs="Arial"/>
                <w:sz w:val="20"/>
                <w:szCs w:val="20"/>
                <w:lang w:eastAsia="ko-KR"/>
              </w:rPr>
            </w:pPr>
            <w:r w:rsidRPr="00716C4A">
              <w:rPr>
                <w:rFonts w:ascii="Cambria" w:eastAsia="Times New Roman" w:hAnsi="Cambria" w:cs="Arial"/>
                <w:sz w:val="20"/>
                <w:szCs w:val="20"/>
                <w:lang w:eastAsia="ko-KR"/>
              </w:rPr>
              <w:t>$0.5</w:t>
            </w:r>
          </w:p>
        </w:tc>
      </w:tr>
    </w:tbl>
    <w:p w14:paraId="3D633BCB" w14:textId="77777777" w:rsidR="00BE1E02" w:rsidRDefault="00BE1E02" w:rsidP="0062172D">
      <w:pPr>
        <w:spacing w:after="0"/>
        <w:rPr>
          <w:rFonts w:asciiTheme="majorHAnsi" w:eastAsiaTheme="majorEastAsia" w:hAnsiTheme="majorHAnsi" w:cstheme="majorBidi"/>
          <w:bCs/>
          <w:color w:val="000000" w:themeColor="text1"/>
          <w:sz w:val="24"/>
          <w:szCs w:val="24"/>
        </w:rPr>
      </w:pPr>
    </w:p>
    <w:p w14:paraId="22F9C239" w14:textId="242F2D97" w:rsidR="0062172D" w:rsidRDefault="0062172D" w:rsidP="0062172D">
      <w:pPr>
        <w:spacing w:after="0"/>
        <w:rPr>
          <w:rFonts w:asciiTheme="majorHAnsi" w:eastAsiaTheme="majorEastAsia" w:hAnsiTheme="majorHAnsi" w:cstheme="majorBidi"/>
          <w:bCs/>
          <w:color w:val="000000" w:themeColor="text1"/>
          <w:sz w:val="24"/>
          <w:szCs w:val="24"/>
        </w:rPr>
      </w:pPr>
      <w:r w:rsidRPr="008F2CCC">
        <w:rPr>
          <w:rFonts w:asciiTheme="majorHAnsi" w:eastAsiaTheme="majorEastAsia" w:hAnsiTheme="majorHAnsi" w:cstheme="majorBidi"/>
          <w:bCs/>
          <w:color w:val="000000" w:themeColor="text1"/>
          <w:sz w:val="24"/>
          <w:szCs w:val="24"/>
        </w:rPr>
        <w:t xml:space="preserve">Table </w:t>
      </w:r>
      <w:r w:rsidR="00BE1E02">
        <w:rPr>
          <w:rFonts w:asciiTheme="majorHAnsi" w:eastAsiaTheme="majorEastAsia" w:hAnsiTheme="majorHAnsi" w:cstheme="majorBidi"/>
          <w:bCs/>
          <w:color w:val="000000" w:themeColor="text1"/>
          <w:sz w:val="24"/>
          <w:szCs w:val="24"/>
        </w:rPr>
        <w:t>2</w:t>
      </w:r>
      <w:r w:rsidR="00BE1E02" w:rsidRPr="008F2CCC">
        <w:rPr>
          <w:rFonts w:asciiTheme="majorHAnsi" w:eastAsiaTheme="majorEastAsia" w:hAnsiTheme="majorHAnsi" w:cstheme="majorBidi"/>
          <w:bCs/>
          <w:color w:val="000000" w:themeColor="text1"/>
          <w:sz w:val="24"/>
          <w:szCs w:val="24"/>
        </w:rPr>
        <w:t xml:space="preserve"> </w:t>
      </w:r>
      <w:r w:rsidRPr="008F2CCC">
        <w:rPr>
          <w:rFonts w:asciiTheme="majorHAnsi" w:eastAsiaTheme="majorEastAsia" w:hAnsiTheme="majorHAnsi" w:cstheme="majorBidi"/>
          <w:bCs/>
          <w:color w:val="000000" w:themeColor="text1"/>
          <w:sz w:val="24"/>
          <w:szCs w:val="24"/>
        </w:rPr>
        <w:t xml:space="preserve">below shows </w:t>
      </w:r>
      <w:r>
        <w:rPr>
          <w:rFonts w:asciiTheme="majorHAnsi" w:eastAsiaTheme="majorEastAsia" w:hAnsiTheme="majorHAnsi" w:cstheme="majorBidi"/>
          <w:bCs/>
          <w:color w:val="000000" w:themeColor="text1"/>
          <w:sz w:val="24"/>
          <w:szCs w:val="24"/>
        </w:rPr>
        <w:t xml:space="preserve">the amount and count of </w:t>
      </w:r>
      <w:r w:rsidRPr="008F2CCC">
        <w:rPr>
          <w:rFonts w:asciiTheme="majorHAnsi" w:eastAsiaTheme="majorEastAsia" w:hAnsiTheme="majorHAnsi" w:cstheme="majorBidi"/>
          <w:bCs/>
          <w:color w:val="000000" w:themeColor="text1"/>
          <w:sz w:val="24"/>
          <w:szCs w:val="24"/>
        </w:rPr>
        <w:t xml:space="preserve">available, claimed, and shared credit </w:t>
      </w:r>
      <w:r>
        <w:rPr>
          <w:rFonts w:asciiTheme="majorHAnsi" w:eastAsiaTheme="majorEastAsia" w:hAnsiTheme="majorHAnsi" w:cstheme="majorBidi"/>
          <w:bCs/>
          <w:color w:val="000000" w:themeColor="text1"/>
          <w:sz w:val="24"/>
          <w:szCs w:val="24"/>
        </w:rPr>
        <w:t>in</w:t>
      </w:r>
      <w:r w:rsidRPr="008F2CCC">
        <w:rPr>
          <w:rFonts w:asciiTheme="majorHAnsi" w:eastAsiaTheme="majorEastAsia" w:hAnsiTheme="majorHAnsi" w:cstheme="majorBidi"/>
          <w:bCs/>
          <w:color w:val="000000" w:themeColor="text1"/>
          <w:sz w:val="24"/>
          <w:szCs w:val="24"/>
        </w:rPr>
        <w:t xml:space="preserve"> the past several years.  </w:t>
      </w:r>
      <w:r>
        <w:rPr>
          <w:rFonts w:asciiTheme="majorHAnsi" w:eastAsiaTheme="majorEastAsia" w:hAnsiTheme="majorHAnsi" w:cstheme="majorBidi"/>
          <w:bCs/>
          <w:color w:val="000000" w:themeColor="text1"/>
          <w:sz w:val="24"/>
          <w:szCs w:val="24"/>
        </w:rPr>
        <w:t xml:space="preserve">For purposes of Table </w:t>
      </w:r>
      <w:r w:rsidR="00BE1E02">
        <w:rPr>
          <w:rFonts w:asciiTheme="majorHAnsi" w:eastAsiaTheme="majorEastAsia" w:hAnsiTheme="majorHAnsi" w:cstheme="majorBidi"/>
          <w:bCs/>
          <w:color w:val="000000" w:themeColor="text1"/>
          <w:sz w:val="24"/>
          <w:szCs w:val="24"/>
        </w:rPr>
        <w:t>2</w:t>
      </w:r>
      <w:r>
        <w:rPr>
          <w:rFonts w:asciiTheme="majorHAnsi" w:eastAsiaTheme="majorEastAsia" w:hAnsiTheme="majorHAnsi" w:cstheme="majorBidi"/>
          <w:bCs/>
          <w:color w:val="000000" w:themeColor="text1"/>
          <w:sz w:val="24"/>
          <w:szCs w:val="24"/>
        </w:rPr>
        <w:t xml:space="preserve">, “Available Credit” refers to the maximum amount of the credit that a taxpayer can claim if </w:t>
      </w:r>
      <w:r w:rsidR="007D17AF">
        <w:rPr>
          <w:rFonts w:asciiTheme="majorHAnsi" w:eastAsiaTheme="majorEastAsia" w:hAnsiTheme="majorHAnsi" w:cstheme="majorBidi"/>
          <w:bCs/>
          <w:color w:val="000000" w:themeColor="text1"/>
          <w:sz w:val="24"/>
          <w:szCs w:val="24"/>
        </w:rPr>
        <w:t>the taxpayer</w:t>
      </w:r>
      <w:r>
        <w:rPr>
          <w:rFonts w:asciiTheme="majorHAnsi" w:eastAsiaTheme="majorEastAsia" w:hAnsiTheme="majorHAnsi" w:cstheme="majorBidi"/>
          <w:bCs/>
          <w:color w:val="000000" w:themeColor="text1"/>
          <w:sz w:val="24"/>
          <w:szCs w:val="24"/>
        </w:rPr>
        <w:t xml:space="preserve"> has enough tax liability </w:t>
      </w:r>
      <w:r w:rsidR="007D17AF">
        <w:rPr>
          <w:rFonts w:asciiTheme="majorHAnsi" w:eastAsiaTheme="majorEastAsia" w:hAnsiTheme="majorHAnsi" w:cstheme="majorBidi"/>
          <w:bCs/>
          <w:color w:val="000000" w:themeColor="text1"/>
          <w:sz w:val="24"/>
          <w:szCs w:val="24"/>
        </w:rPr>
        <w:t xml:space="preserve">against which to apply the credit, </w:t>
      </w:r>
      <w:r>
        <w:rPr>
          <w:rFonts w:asciiTheme="majorHAnsi" w:eastAsiaTheme="majorEastAsia" w:hAnsiTheme="majorHAnsi" w:cstheme="majorBidi"/>
          <w:bCs/>
          <w:color w:val="000000" w:themeColor="text1"/>
          <w:sz w:val="24"/>
          <w:szCs w:val="24"/>
        </w:rPr>
        <w:t xml:space="preserve">and if there are no other </w:t>
      </w:r>
      <w:r w:rsidR="00F316CF">
        <w:rPr>
          <w:rFonts w:asciiTheme="majorHAnsi" w:eastAsiaTheme="majorEastAsia" w:hAnsiTheme="majorHAnsi" w:cstheme="majorBidi"/>
          <w:bCs/>
          <w:color w:val="000000" w:themeColor="text1"/>
          <w:sz w:val="24"/>
          <w:szCs w:val="24"/>
        </w:rPr>
        <w:t>limitations</w:t>
      </w:r>
      <w:r>
        <w:rPr>
          <w:rFonts w:asciiTheme="majorHAnsi" w:eastAsiaTheme="majorEastAsia" w:hAnsiTheme="majorHAnsi" w:cstheme="majorBidi"/>
          <w:bCs/>
          <w:color w:val="000000" w:themeColor="text1"/>
          <w:sz w:val="24"/>
          <w:szCs w:val="24"/>
        </w:rPr>
        <w:t>; “Claimed Credit</w:t>
      </w:r>
      <w:r w:rsidR="002630F5">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is the credit amount actually claimed by a taxpayer; and “Shared Credit” means th</w:t>
      </w:r>
      <w:r w:rsidR="002630F5">
        <w:rPr>
          <w:rFonts w:asciiTheme="majorHAnsi" w:eastAsiaTheme="majorEastAsia" w:hAnsiTheme="majorHAnsi" w:cstheme="majorBidi"/>
          <w:bCs/>
          <w:color w:val="000000" w:themeColor="text1"/>
          <w:sz w:val="24"/>
          <w:szCs w:val="24"/>
        </w:rPr>
        <w:t xml:space="preserve">e credit </w:t>
      </w:r>
      <w:r w:rsidR="002630F5">
        <w:rPr>
          <w:rFonts w:asciiTheme="majorHAnsi" w:eastAsiaTheme="majorEastAsia" w:hAnsiTheme="majorHAnsi" w:cstheme="majorBidi"/>
          <w:bCs/>
          <w:color w:val="000000" w:themeColor="text1"/>
          <w:sz w:val="24"/>
          <w:szCs w:val="24"/>
        </w:rPr>
        <w:lastRenderedPageBreak/>
        <w:t>amount that a taxpayer</w:t>
      </w:r>
      <w:r>
        <w:rPr>
          <w:rFonts w:asciiTheme="majorHAnsi" w:eastAsiaTheme="majorEastAsia" w:hAnsiTheme="majorHAnsi" w:cstheme="majorBidi"/>
          <w:bCs/>
          <w:color w:val="000000" w:themeColor="text1"/>
          <w:sz w:val="24"/>
          <w:szCs w:val="24"/>
        </w:rPr>
        <w:t xml:space="preserve"> filing in a combined group </w:t>
      </w:r>
      <w:r w:rsidR="007D17AF">
        <w:rPr>
          <w:rFonts w:asciiTheme="majorHAnsi" w:eastAsiaTheme="majorEastAsia" w:hAnsiTheme="majorHAnsi" w:cstheme="majorBidi"/>
          <w:bCs/>
          <w:color w:val="000000" w:themeColor="text1"/>
          <w:sz w:val="24"/>
          <w:szCs w:val="24"/>
        </w:rPr>
        <w:t xml:space="preserve">is able to share with </w:t>
      </w:r>
      <w:r>
        <w:rPr>
          <w:rFonts w:asciiTheme="majorHAnsi" w:eastAsiaTheme="majorEastAsia" w:hAnsiTheme="majorHAnsi" w:cstheme="majorBidi"/>
          <w:bCs/>
          <w:color w:val="000000" w:themeColor="text1"/>
          <w:sz w:val="24"/>
          <w:szCs w:val="24"/>
        </w:rPr>
        <w:t xml:space="preserve">other members of the group. </w:t>
      </w:r>
    </w:p>
    <w:p w14:paraId="629CD8A0" w14:textId="77777777" w:rsidR="0062172D" w:rsidRDefault="0062172D" w:rsidP="0062172D">
      <w:pPr>
        <w:spacing w:after="0"/>
        <w:rPr>
          <w:rFonts w:asciiTheme="majorHAnsi" w:eastAsiaTheme="majorEastAsia" w:hAnsiTheme="majorHAnsi" w:cstheme="majorBidi"/>
          <w:bCs/>
          <w:color w:val="000000" w:themeColor="text1"/>
          <w:sz w:val="24"/>
          <w:szCs w:val="24"/>
        </w:rPr>
      </w:pPr>
    </w:p>
    <w:p w14:paraId="362F5CC0" w14:textId="77777777" w:rsidR="0062172D" w:rsidRDefault="0062172D" w:rsidP="0062172D">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Corporate excise filers claime</w:t>
      </w:r>
      <w:r w:rsidR="002630F5">
        <w:rPr>
          <w:rFonts w:asciiTheme="majorHAnsi" w:eastAsiaTheme="majorEastAsia" w:hAnsiTheme="majorHAnsi" w:cstheme="majorBidi"/>
          <w:bCs/>
          <w:color w:val="000000" w:themeColor="text1"/>
          <w:sz w:val="24"/>
          <w:szCs w:val="24"/>
        </w:rPr>
        <w:t>d the credit in 6 instances in 2016 and in 4 instances</w:t>
      </w:r>
      <w:r>
        <w:rPr>
          <w:rFonts w:asciiTheme="majorHAnsi" w:eastAsiaTheme="majorEastAsia" w:hAnsiTheme="majorHAnsi" w:cstheme="majorBidi"/>
          <w:bCs/>
          <w:color w:val="000000" w:themeColor="text1"/>
          <w:sz w:val="24"/>
          <w:szCs w:val="24"/>
        </w:rPr>
        <w:t xml:space="preserve"> in 2017.  In 2016, the average amount claimed was about $124,800 </w:t>
      </w:r>
      <w:r w:rsidR="002630F5">
        <w:rPr>
          <w:rFonts w:asciiTheme="majorHAnsi" w:eastAsiaTheme="majorEastAsia" w:hAnsiTheme="majorHAnsi" w:cstheme="majorBidi"/>
          <w:bCs/>
          <w:color w:val="000000" w:themeColor="text1"/>
          <w:sz w:val="24"/>
          <w:szCs w:val="24"/>
        </w:rPr>
        <w:t xml:space="preserve">and </w:t>
      </w:r>
      <w:r w:rsidR="007D17AF">
        <w:rPr>
          <w:rFonts w:asciiTheme="majorHAnsi" w:eastAsiaTheme="majorEastAsia" w:hAnsiTheme="majorHAnsi" w:cstheme="majorBidi"/>
          <w:bCs/>
          <w:color w:val="000000" w:themeColor="text1"/>
          <w:sz w:val="24"/>
          <w:szCs w:val="24"/>
        </w:rPr>
        <w:t xml:space="preserve">in 2017 it was about </w:t>
      </w:r>
      <w:r w:rsidR="002630F5">
        <w:rPr>
          <w:rFonts w:asciiTheme="majorHAnsi" w:eastAsiaTheme="majorEastAsia" w:hAnsiTheme="majorHAnsi" w:cstheme="majorBidi"/>
          <w:bCs/>
          <w:color w:val="000000" w:themeColor="text1"/>
          <w:sz w:val="24"/>
          <w:szCs w:val="24"/>
        </w:rPr>
        <w:t>$34,000.</w:t>
      </w:r>
    </w:p>
    <w:p w14:paraId="49F23451" w14:textId="77777777" w:rsidR="0062172D" w:rsidRDefault="0062172D" w:rsidP="0062172D">
      <w:pPr>
        <w:spacing w:after="0"/>
        <w:rPr>
          <w:rFonts w:ascii="Times New Roman" w:hAnsi="Times New Roman" w:cs="Times New Roman"/>
          <w:bCs/>
          <w:sz w:val="24"/>
        </w:rPr>
      </w:pPr>
    </w:p>
    <w:p w14:paraId="6BCDDCD7" w14:textId="77777777" w:rsidR="0062172D" w:rsidRDefault="0062172D" w:rsidP="0043241D">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BE1E02">
        <w:rPr>
          <w:rFonts w:asciiTheme="majorHAnsi" w:hAnsiTheme="majorHAnsi"/>
          <w:b/>
          <w:sz w:val="24"/>
          <w:szCs w:val="24"/>
        </w:rPr>
        <w:t>2</w:t>
      </w:r>
      <w:r w:rsidRPr="00CA0391">
        <w:rPr>
          <w:rFonts w:asciiTheme="majorHAnsi" w:hAnsiTheme="majorHAnsi"/>
          <w:b/>
          <w:sz w:val="24"/>
          <w:szCs w:val="24"/>
        </w:rPr>
        <w:t xml:space="preserve">. </w:t>
      </w:r>
      <w:r>
        <w:rPr>
          <w:rFonts w:asciiTheme="majorHAnsi" w:hAnsiTheme="majorHAnsi"/>
          <w:b/>
          <w:sz w:val="24"/>
          <w:szCs w:val="24"/>
        </w:rPr>
        <w:t xml:space="preserve"> Medical Device User-Fee Credit </w:t>
      </w:r>
      <w:r w:rsidR="007D17AF">
        <w:rPr>
          <w:rFonts w:asciiTheme="majorHAnsi" w:hAnsiTheme="majorHAnsi"/>
          <w:b/>
          <w:sz w:val="24"/>
          <w:szCs w:val="24"/>
        </w:rPr>
        <w:t xml:space="preserve">Claimed </w:t>
      </w:r>
      <w:r>
        <w:rPr>
          <w:rFonts w:asciiTheme="majorHAnsi" w:hAnsiTheme="majorHAnsi"/>
          <w:b/>
          <w:sz w:val="24"/>
          <w:szCs w:val="24"/>
        </w:rPr>
        <w:t xml:space="preserve">in </w:t>
      </w:r>
      <w:r w:rsidR="007D17AF">
        <w:rPr>
          <w:rFonts w:asciiTheme="majorHAnsi" w:hAnsiTheme="majorHAnsi"/>
          <w:b/>
          <w:sz w:val="24"/>
          <w:szCs w:val="24"/>
        </w:rPr>
        <w:t>2016-2018</w:t>
      </w:r>
    </w:p>
    <w:tbl>
      <w:tblPr>
        <w:tblW w:w="8996" w:type="dxa"/>
        <w:jc w:val="center"/>
        <w:tblLook w:val="04A0" w:firstRow="1" w:lastRow="0" w:firstColumn="1" w:lastColumn="0" w:noHBand="0" w:noVBand="1"/>
      </w:tblPr>
      <w:tblGrid>
        <w:gridCol w:w="1980"/>
        <w:gridCol w:w="1348"/>
        <w:gridCol w:w="1080"/>
        <w:gridCol w:w="1246"/>
        <w:gridCol w:w="916"/>
        <w:gridCol w:w="1424"/>
        <w:gridCol w:w="1002"/>
      </w:tblGrid>
      <w:tr w:rsidR="0099041C" w:rsidRPr="00100B84" w14:paraId="105C156D" w14:textId="77777777" w:rsidTr="0043241D">
        <w:trPr>
          <w:trHeight w:val="290"/>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bottom"/>
            <w:hideMark/>
          </w:tcPr>
          <w:p w14:paraId="539E2701" w14:textId="77777777" w:rsidR="0062172D" w:rsidRPr="00100B84" w:rsidRDefault="0062172D" w:rsidP="00B267BF">
            <w:pPr>
              <w:spacing w:after="0" w:line="240" w:lineRule="auto"/>
              <w:jc w:val="center"/>
              <w:rPr>
                <w:rFonts w:ascii="Cambria" w:eastAsia="Times New Roman" w:hAnsi="Cambria" w:cs="Arial"/>
                <w:lang w:eastAsia="ko-KR"/>
              </w:rPr>
            </w:pPr>
            <w:r w:rsidRPr="00100B84">
              <w:rPr>
                <w:rFonts w:ascii="Cambria" w:eastAsia="Times New Roman" w:hAnsi="Cambria" w:cs="Arial"/>
                <w:lang w:eastAsia="ko-KR"/>
              </w:rPr>
              <w:t> </w:t>
            </w:r>
          </w:p>
        </w:tc>
        <w:tc>
          <w:tcPr>
            <w:tcW w:w="2428"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754B37CA" w14:textId="77777777" w:rsidR="0062172D" w:rsidRPr="00100B84" w:rsidRDefault="0062172D" w:rsidP="00B267BF">
            <w:pPr>
              <w:spacing w:after="0" w:line="240" w:lineRule="auto"/>
              <w:jc w:val="center"/>
              <w:rPr>
                <w:rFonts w:ascii="Cambria" w:eastAsia="Times New Roman" w:hAnsi="Cambria" w:cs="Arial"/>
                <w:color w:val="000000"/>
                <w:lang w:eastAsia="ko-KR"/>
              </w:rPr>
            </w:pPr>
            <w:r w:rsidRPr="00100B84">
              <w:rPr>
                <w:rFonts w:ascii="Cambria" w:eastAsia="Times New Roman" w:hAnsi="Cambria" w:cs="Arial"/>
                <w:color w:val="000000"/>
                <w:lang w:eastAsia="ko-KR"/>
              </w:rPr>
              <w:t>201</w:t>
            </w:r>
            <w:r w:rsidR="0043241D">
              <w:rPr>
                <w:rFonts w:ascii="Cambria" w:eastAsia="Times New Roman" w:hAnsi="Cambria" w:cs="Arial"/>
                <w:color w:val="000000"/>
                <w:lang w:eastAsia="ko-KR"/>
              </w:rPr>
              <w:t>6</w:t>
            </w:r>
          </w:p>
        </w:tc>
        <w:tc>
          <w:tcPr>
            <w:tcW w:w="2162"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61A825D6" w14:textId="77777777" w:rsidR="0062172D" w:rsidRPr="00100B84" w:rsidRDefault="0062172D" w:rsidP="00B267BF">
            <w:pPr>
              <w:spacing w:after="0" w:line="240" w:lineRule="auto"/>
              <w:jc w:val="center"/>
              <w:rPr>
                <w:rFonts w:ascii="Cambria" w:eastAsia="Times New Roman" w:hAnsi="Cambria" w:cs="Arial"/>
                <w:color w:val="000000"/>
                <w:lang w:eastAsia="ko-KR"/>
              </w:rPr>
            </w:pPr>
            <w:r w:rsidRPr="00100B84">
              <w:rPr>
                <w:rFonts w:ascii="Cambria" w:eastAsia="Times New Roman" w:hAnsi="Cambria" w:cs="Arial"/>
                <w:color w:val="000000"/>
                <w:lang w:eastAsia="ko-KR"/>
              </w:rPr>
              <w:t>2017</w:t>
            </w:r>
          </w:p>
        </w:tc>
        <w:tc>
          <w:tcPr>
            <w:tcW w:w="2426"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0AC05A7D" w14:textId="77777777" w:rsidR="0062172D" w:rsidRPr="00100B84" w:rsidRDefault="0062172D" w:rsidP="00B267BF">
            <w:pPr>
              <w:spacing w:after="0" w:line="240" w:lineRule="auto"/>
              <w:jc w:val="center"/>
              <w:rPr>
                <w:rFonts w:ascii="Cambria" w:eastAsia="Times New Roman" w:hAnsi="Cambria" w:cs="Arial"/>
                <w:color w:val="000000"/>
                <w:lang w:eastAsia="ko-KR"/>
              </w:rPr>
            </w:pPr>
            <w:r w:rsidRPr="00100B84">
              <w:rPr>
                <w:rFonts w:ascii="Cambria" w:eastAsia="Times New Roman" w:hAnsi="Cambria" w:cs="Arial"/>
                <w:color w:val="000000"/>
                <w:lang w:eastAsia="ko-KR"/>
              </w:rPr>
              <w:t>201</w:t>
            </w:r>
            <w:r w:rsidR="0043241D">
              <w:rPr>
                <w:rFonts w:ascii="Cambria" w:eastAsia="Times New Roman" w:hAnsi="Cambria" w:cs="Arial"/>
                <w:color w:val="000000"/>
                <w:lang w:eastAsia="ko-KR"/>
              </w:rPr>
              <w:t>8</w:t>
            </w:r>
          </w:p>
        </w:tc>
      </w:tr>
      <w:tr w:rsidR="0099041C" w:rsidRPr="00100B84" w14:paraId="08FEA687" w14:textId="77777777" w:rsidTr="0043241D">
        <w:trPr>
          <w:trHeight w:val="290"/>
          <w:jc w:val="center"/>
        </w:trPr>
        <w:tc>
          <w:tcPr>
            <w:tcW w:w="1980"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14:paraId="37AEA9ED" w14:textId="77777777" w:rsidR="0062172D" w:rsidRPr="00100B84" w:rsidRDefault="0062172D" w:rsidP="00B267BF">
            <w:pPr>
              <w:spacing w:after="0" w:line="240" w:lineRule="auto"/>
              <w:rPr>
                <w:rFonts w:ascii="Cambria" w:eastAsia="Times New Roman" w:hAnsi="Cambria" w:cs="Arial"/>
                <w:lang w:eastAsia="ko-KR"/>
              </w:rPr>
            </w:pPr>
          </w:p>
        </w:tc>
        <w:tc>
          <w:tcPr>
            <w:tcW w:w="1348" w:type="dxa"/>
            <w:tcBorders>
              <w:top w:val="nil"/>
              <w:left w:val="nil"/>
              <w:bottom w:val="single" w:sz="4" w:space="0" w:color="auto"/>
              <w:right w:val="single" w:sz="4" w:space="0" w:color="auto"/>
            </w:tcBorders>
            <w:shd w:val="clear" w:color="auto" w:fill="B6DDE8" w:themeFill="accent5" w:themeFillTint="66"/>
            <w:noWrap/>
            <w:vAlign w:val="center"/>
            <w:hideMark/>
          </w:tcPr>
          <w:p w14:paraId="42B9ACD5" w14:textId="77777777" w:rsidR="0062172D" w:rsidRDefault="0062172D" w:rsidP="00B267BF">
            <w:pPr>
              <w:spacing w:after="0" w:line="240" w:lineRule="auto"/>
              <w:jc w:val="center"/>
              <w:rPr>
                <w:rFonts w:ascii="Cambria" w:eastAsia="Times New Roman" w:hAnsi="Cambria" w:cs="Arial"/>
                <w:lang w:eastAsia="ko-KR"/>
              </w:rPr>
            </w:pPr>
            <w:r>
              <w:rPr>
                <w:rFonts w:ascii="Cambria" w:eastAsia="Times New Roman" w:hAnsi="Cambria" w:cs="Arial"/>
                <w:lang w:eastAsia="ko-KR"/>
              </w:rPr>
              <w:t>Amount</w:t>
            </w:r>
          </w:p>
          <w:p w14:paraId="68284902" w14:textId="77777777" w:rsidR="0062172D" w:rsidRPr="00100B84" w:rsidRDefault="0062172D" w:rsidP="00B267BF">
            <w:pPr>
              <w:spacing w:after="0" w:line="240" w:lineRule="auto"/>
              <w:jc w:val="center"/>
              <w:rPr>
                <w:rFonts w:ascii="Cambria" w:eastAsia="Times New Roman" w:hAnsi="Cambria" w:cs="Arial"/>
                <w:lang w:eastAsia="ko-KR"/>
              </w:rPr>
            </w:pPr>
            <w:r>
              <w:rPr>
                <w:rFonts w:ascii="Cambria" w:eastAsia="Times New Roman" w:hAnsi="Cambria" w:cs="Arial"/>
                <w:lang w:eastAsia="ko-KR"/>
              </w:rPr>
              <w:t>(</w:t>
            </w:r>
            <w:r w:rsidRPr="00100B84">
              <w:rPr>
                <w:rFonts w:ascii="Cambria" w:eastAsia="Times New Roman" w:hAnsi="Cambria" w:cs="Arial"/>
                <w:lang w:eastAsia="ko-KR"/>
              </w:rPr>
              <w:t>$</w:t>
            </w:r>
            <w:r>
              <w:rPr>
                <w:rFonts w:ascii="Cambria" w:eastAsia="Times New Roman" w:hAnsi="Cambria" w:cs="Arial"/>
                <w:lang w:eastAsia="ko-KR"/>
              </w:rPr>
              <w:t>000)</w:t>
            </w:r>
          </w:p>
        </w:tc>
        <w:tc>
          <w:tcPr>
            <w:tcW w:w="1080" w:type="dxa"/>
            <w:tcBorders>
              <w:top w:val="nil"/>
              <w:left w:val="nil"/>
              <w:bottom w:val="single" w:sz="4" w:space="0" w:color="auto"/>
              <w:right w:val="single" w:sz="4" w:space="0" w:color="auto"/>
            </w:tcBorders>
            <w:shd w:val="clear" w:color="auto" w:fill="B6DDE8" w:themeFill="accent5" w:themeFillTint="66"/>
            <w:noWrap/>
            <w:vAlign w:val="center"/>
            <w:hideMark/>
          </w:tcPr>
          <w:p w14:paraId="6C85C590" w14:textId="77777777" w:rsidR="0062172D" w:rsidRPr="00100B84" w:rsidRDefault="0062172D" w:rsidP="00B267BF">
            <w:pPr>
              <w:spacing w:after="0" w:line="240" w:lineRule="auto"/>
              <w:jc w:val="center"/>
              <w:rPr>
                <w:rFonts w:ascii="Cambria" w:eastAsia="Times New Roman" w:hAnsi="Cambria" w:cs="Arial"/>
                <w:lang w:eastAsia="ko-KR"/>
              </w:rPr>
            </w:pPr>
            <w:r w:rsidRPr="00100B84">
              <w:rPr>
                <w:rFonts w:ascii="Cambria" w:eastAsia="Times New Roman" w:hAnsi="Cambria" w:cs="Arial"/>
                <w:lang w:eastAsia="ko-KR"/>
              </w:rPr>
              <w:t>Count</w:t>
            </w:r>
          </w:p>
        </w:tc>
        <w:tc>
          <w:tcPr>
            <w:tcW w:w="1246" w:type="dxa"/>
            <w:tcBorders>
              <w:top w:val="nil"/>
              <w:left w:val="nil"/>
              <w:bottom w:val="single" w:sz="4" w:space="0" w:color="auto"/>
              <w:right w:val="single" w:sz="4" w:space="0" w:color="auto"/>
            </w:tcBorders>
            <w:shd w:val="clear" w:color="auto" w:fill="B6DDE8" w:themeFill="accent5" w:themeFillTint="66"/>
            <w:noWrap/>
            <w:vAlign w:val="center"/>
            <w:hideMark/>
          </w:tcPr>
          <w:p w14:paraId="62F91E78" w14:textId="77777777" w:rsidR="0062172D" w:rsidRDefault="0062172D" w:rsidP="00B267BF">
            <w:pPr>
              <w:spacing w:after="0" w:line="240" w:lineRule="auto"/>
              <w:jc w:val="center"/>
              <w:rPr>
                <w:rFonts w:ascii="Cambria" w:eastAsia="Times New Roman" w:hAnsi="Cambria" w:cs="Arial"/>
                <w:lang w:eastAsia="ko-KR"/>
              </w:rPr>
            </w:pPr>
            <w:r>
              <w:rPr>
                <w:rFonts w:ascii="Cambria" w:eastAsia="Times New Roman" w:hAnsi="Cambria" w:cs="Arial"/>
                <w:lang w:eastAsia="ko-KR"/>
              </w:rPr>
              <w:t>Amount</w:t>
            </w:r>
          </w:p>
          <w:p w14:paraId="0A12D6DC" w14:textId="77777777" w:rsidR="0062172D" w:rsidRPr="00100B84" w:rsidRDefault="0062172D" w:rsidP="00B267BF">
            <w:pPr>
              <w:spacing w:after="0" w:line="240" w:lineRule="auto"/>
              <w:jc w:val="center"/>
              <w:rPr>
                <w:rFonts w:ascii="Cambria" w:eastAsia="Times New Roman" w:hAnsi="Cambria" w:cs="Arial"/>
                <w:lang w:eastAsia="ko-KR"/>
              </w:rPr>
            </w:pPr>
            <w:r>
              <w:rPr>
                <w:rFonts w:ascii="Cambria" w:eastAsia="Times New Roman" w:hAnsi="Cambria" w:cs="Arial"/>
                <w:lang w:eastAsia="ko-KR"/>
              </w:rPr>
              <w:t>(</w:t>
            </w:r>
            <w:r w:rsidRPr="00100B84">
              <w:rPr>
                <w:rFonts w:ascii="Cambria" w:eastAsia="Times New Roman" w:hAnsi="Cambria" w:cs="Arial"/>
                <w:lang w:eastAsia="ko-KR"/>
              </w:rPr>
              <w:t>$</w:t>
            </w:r>
            <w:r>
              <w:rPr>
                <w:rFonts w:ascii="Cambria" w:eastAsia="Times New Roman" w:hAnsi="Cambria" w:cs="Arial"/>
                <w:lang w:eastAsia="ko-KR"/>
              </w:rPr>
              <w:t>000)</w:t>
            </w:r>
          </w:p>
        </w:tc>
        <w:tc>
          <w:tcPr>
            <w:tcW w:w="916" w:type="dxa"/>
            <w:tcBorders>
              <w:top w:val="nil"/>
              <w:left w:val="nil"/>
              <w:bottom w:val="single" w:sz="4" w:space="0" w:color="auto"/>
              <w:right w:val="single" w:sz="4" w:space="0" w:color="auto"/>
            </w:tcBorders>
            <w:shd w:val="clear" w:color="auto" w:fill="B6DDE8" w:themeFill="accent5" w:themeFillTint="66"/>
            <w:noWrap/>
            <w:vAlign w:val="center"/>
            <w:hideMark/>
          </w:tcPr>
          <w:p w14:paraId="0FC973AB" w14:textId="77777777" w:rsidR="0062172D" w:rsidRPr="00100B84" w:rsidRDefault="0062172D" w:rsidP="00B267BF">
            <w:pPr>
              <w:spacing w:after="0" w:line="240" w:lineRule="auto"/>
              <w:jc w:val="center"/>
              <w:rPr>
                <w:rFonts w:ascii="Cambria" w:eastAsia="Times New Roman" w:hAnsi="Cambria" w:cs="Arial"/>
                <w:lang w:eastAsia="ko-KR"/>
              </w:rPr>
            </w:pPr>
            <w:r w:rsidRPr="00100B84">
              <w:rPr>
                <w:rFonts w:ascii="Cambria" w:eastAsia="Times New Roman" w:hAnsi="Cambria" w:cs="Arial"/>
                <w:lang w:eastAsia="ko-KR"/>
              </w:rPr>
              <w:t>Count</w:t>
            </w:r>
          </w:p>
        </w:tc>
        <w:tc>
          <w:tcPr>
            <w:tcW w:w="1424" w:type="dxa"/>
            <w:tcBorders>
              <w:top w:val="nil"/>
              <w:left w:val="nil"/>
              <w:bottom w:val="single" w:sz="4" w:space="0" w:color="auto"/>
              <w:right w:val="single" w:sz="4" w:space="0" w:color="auto"/>
            </w:tcBorders>
            <w:shd w:val="clear" w:color="auto" w:fill="B6DDE8" w:themeFill="accent5" w:themeFillTint="66"/>
            <w:noWrap/>
            <w:vAlign w:val="center"/>
            <w:hideMark/>
          </w:tcPr>
          <w:p w14:paraId="3E670E02" w14:textId="77777777" w:rsidR="0062172D" w:rsidRDefault="0062172D" w:rsidP="00B267BF">
            <w:pPr>
              <w:spacing w:after="0" w:line="240" w:lineRule="auto"/>
              <w:jc w:val="center"/>
              <w:rPr>
                <w:rFonts w:ascii="Cambria" w:eastAsia="Times New Roman" w:hAnsi="Cambria" w:cs="Arial"/>
                <w:lang w:eastAsia="ko-KR"/>
              </w:rPr>
            </w:pPr>
            <w:r>
              <w:rPr>
                <w:rFonts w:ascii="Cambria" w:eastAsia="Times New Roman" w:hAnsi="Cambria" w:cs="Arial"/>
                <w:lang w:eastAsia="ko-KR"/>
              </w:rPr>
              <w:t>Amount</w:t>
            </w:r>
          </w:p>
          <w:p w14:paraId="129146FC" w14:textId="77777777" w:rsidR="0062172D" w:rsidRPr="00100B84" w:rsidRDefault="0062172D" w:rsidP="00B267BF">
            <w:pPr>
              <w:spacing w:after="0" w:line="240" w:lineRule="auto"/>
              <w:jc w:val="center"/>
              <w:rPr>
                <w:rFonts w:ascii="Cambria" w:eastAsia="Times New Roman" w:hAnsi="Cambria" w:cs="Arial"/>
                <w:lang w:eastAsia="ko-KR"/>
              </w:rPr>
            </w:pPr>
            <w:r>
              <w:rPr>
                <w:rFonts w:ascii="Cambria" w:eastAsia="Times New Roman" w:hAnsi="Cambria" w:cs="Arial"/>
                <w:lang w:eastAsia="ko-KR"/>
              </w:rPr>
              <w:t>(</w:t>
            </w:r>
            <w:r w:rsidRPr="00100B84">
              <w:rPr>
                <w:rFonts w:ascii="Cambria" w:eastAsia="Times New Roman" w:hAnsi="Cambria" w:cs="Arial"/>
                <w:lang w:eastAsia="ko-KR"/>
              </w:rPr>
              <w:t>$</w:t>
            </w:r>
            <w:r>
              <w:rPr>
                <w:rFonts w:ascii="Cambria" w:eastAsia="Times New Roman" w:hAnsi="Cambria" w:cs="Arial"/>
                <w:lang w:eastAsia="ko-KR"/>
              </w:rPr>
              <w:t>000)</w:t>
            </w:r>
          </w:p>
        </w:tc>
        <w:tc>
          <w:tcPr>
            <w:tcW w:w="1002" w:type="dxa"/>
            <w:tcBorders>
              <w:top w:val="nil"/>
              <w:left w:val="nil"/>
              <w:bottom w:val="single" w:sz="4" w:space="0" w:color="auto"/>
              <w:right w:val="single" w:sz="4" w:space="0" w:color="auto"/>
            </w:tcBorders>
            <w:shd w:val="clear" w:color="auto" w:fill="B6DDE8" w:themeFill="accent5" w:themeFillTint="66"/>
            <w:noWrap/>
            <w:vAlign w:val="center"/>
            <w:hideMark/>
          </w:tcPr>
          <w:p w14:paraId="6A5CE65E" w14:textId="77777777" w:rsidR="0062172D" w:rsidRPr="00100B84" w:rsidRDefault="0062172D" w:rsidP="00B267BF">
            <w:pPr>
              <w:spacing w:after="0" w:line="240" w:lineRule="auto"/>
              <w:jc w:val="center"/>
              <w:rPr>
                <w:rFonts w:ascii="Cambria" w:eastAsia="Times New Roman" w:hAnsi="Cambria" w:cs="Arial"/>
                <w:lang w:eastAsia="ko-KR"/>
              </w:rPr>
            </w:pPr>
            <w:r w:rsidRPr="00100B84">
              <w:rPr>
                <w:rFonts w:ascii="Cambria" w:eastAsia="Times New Roman" w:hAnsi="Cambria" w:cs="Arial"/>
                <w:lang w:eastAsia="ko-KR"/>
              </w:rPr>
              <w:t>Count</w:t>
            </w:r>
          </w:p>
        </w:tc>
      </w:tr>
      <w:tr w:rsidR="0043241D" w:rsidRPr="00100B84" w14:paraId="24C44262" w14:textId="77777777" w:rsidTr="0043241D">
        <w:trPr>
          <w:trHeight w:val="5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C473E9E" w14:textId="77777777" w:rsidR="0043241D" w:rsidRPr="00100B84" w:rsidRDefault="0043241D" w:rsidP="0043241D">
            <w:pPr>
              <w:spacing w:after="0" w:line="240" w:lineRule="auto"/>
              <w:jc w:val="center"/>
              <w:rPr>
                <w:rFonts w:ascii="Cambria" w:eastAsia="Times New Roman" w:hAnsi="Cambria" w:cs="Arial"/>
                <w:sz w:val="20"/>
                <w:szCs w:val="20"/>
                <w:lang w:eastAsia="ko-KR"/>
              </w:rPr>
            </w:pPr>
            <w:r w:rsidRPr="00100B84">
              <w:rPr>
                <w:rFonts w:ascii="Cambria" w:eastAsia="Times New Roman" w:hAnsi="Cambria" w:cs="Arial"/>
                <w:sz w:val="20"/>
                <w:szCs w:val="20"/>
                <w:lang w:eastAsia="ko-KR"/>
              </w:rPr>
              <w:t xml:space="preserve">Available </w:t>
            </w:r>
            <w:r>
              <w:rPr>
                <w:rFonts w:ascii="Cambria" w:eastAsia="Times New Roman" w:hAnsi="Cambria" w:cs="Arial"/>
                <w:sz w:val="20"/>
                <w:szCs w:val="20"/>
                <w:lang w:eastAsia="ko-KR"/>
              </w:rPr>
              <w:t>Credit</w:t>
            </w:r>
            <w:r w:rsidRPr="00100B84">
              <w:rPr>
                <w:rFonts w:ascii="Cambria" w:eastAsia="Times New Roman" w:hAnsi="Cambria" w:cs="Arial"/>
                <w:sz w:val="20"/>
                <w:szCs w:val="20"/>
                <w:lang w:eastAsia="ko-KR"/>
              </w:rPr>
              <w:t xml:space="preserve"> -A</w:t>
            </w:r>
          </w:p>
        </w:tc>
        <w:tc>
          <w:tcPr>
            <w:tcW w:w="1348" w:type="dxa"/>
            <w:tcBorders>
              <w:top w:val="nil"/>
              <w:left w:val="nil"/>
              <w:bottom w:val="single" w:sz="4" w:space="0" w:color="auto"/>
              <w:right w:val="single" w:sz="4" w:space="0" w:color="auto"/>
            </w:tcBorders>
            <w:shd w:val="clear" w:color="auto" w:fill="auto"/>
            <w:noWrap/>
            <w:vAlign w:val="center"/>
            <w:hideMark/>
          </w:tcPr>
          <w:p w14:paraId="443A085E"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w:t>
            </w:r>
            <w:r w:rsidRPr="00100B84">
              <w:rPr>
                <w:rFonts w:ascii="Cambria" w:eastAsia="Times New Roman" w:hAnsi="Cambria" w:cs="Arial"/>
                <w:lang w:eastAsia="ko-KR"/>
              </w:rPr>
              <w:t>831</w:t>
            </w:r>
          </w:p>
        </w:tc>
        <w:tc>
          <w:tcPr>
            <w:tcW w:w="1080" w:type="dxa"/>
            <w:tcBorders>
              <w:top w:val="nil"/>
              <w:left w:val="nil"/>
              <w:bottom w:val="single" w:sz="4" w:space="0" w:color="auto"/>
              <w:right w:val="single" w:sz="4" w:space="0" w:color="auto"/>
            </w:tcBorders>
            <w:shd w:val="clear" w:color="auto" w:fill="auto"/>
            <w:noWrap/>
            <w:vAlign w:val="center"/>
            <w:hideMark/>
          </w:tcPr>
          <w:p w14:paraId="015FD73E" w14:textId="77777777" w:rsidR="0043241D" w:rsidRPr="00100B84" w:rsidRDefault="0043241D" w:rsidP="0043241D">
            <w:pPr>
              <w:spacing w:after="0" w:line="240" w:lineRule="auto"/>
              <w:jc w:val="center"/>
              <w:rPr>
                <w:rFonts w:ascii="Cambria" w:eastAsia="Times New Roman" w:hAnsi="Cambria" w:cs="Arial"/>
                <w:lang w:eastAsia="ko-KR"/>
              </w:rPr>
            </w:pPr>
            <w:r w:rsidRPr="00100B84">
              <w:rPr>
                <w:rFonts w:ascii="Cambria" w:eastAsia="Times New Roman" w:hAnsi="Cambria" w:cs="Arial"/>
                <w:lang w:eastAsia="ko-KR"/>
              </w:rPr>
              <w:t>6</w:t>
            </w:r>
          </w:p>
        </w:tc>
        <w:tc>
          <w:tcPr>
            <w:tcW w:w="1246" w:type="dxa"/>
            <w:tcBorders>
              <w:top w:val="nil"/>
              <w:left w:val="nil"/>
              <w:bottom w:val="single" w:sz="4" w:space="0" w:color="auto"/>
              <w:right w:val="single" w:sz="4" w:space="0" w:color="auto"/>
            </w:tcBorders>
            <w:shd w:val="clear" w:color="auto" w:fill="auto"/>
            <w:noWrap/>
            <w:vAlign w:val="center"/>
            <w:hideMark/>
          </w:tcPr>
          <w:p w14:paraId="54D117E0"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w:t>
            </w:r>
            <w:r w:rsidRPr="00100B84">
              <w:rPr>
                <w:rFonts w:ascii="Cambria" w:eastAsia="Times New Roman" w:hAnsi="Cambria" w:cs="Arial"/>
                <w:lang w:eastAsia="ko-KR"/>
              </w:rPr>
              <w:t>491</w:t>
            </w:r>
          </w:p>
        </w:tc>
        <w:tc>
          <w:tcPr>
            <w:tcW w:w="916" w:type="dxa"/>
            <w:tcBorders>
              <w:top w:val="nil"/>
              <w:left w:val="nil"/>
              <w:bottom w:val="single" w:sz="4" w:space="0" w:color="auto"/>
              <w:right w:val="single" w:sz="4" w:space="0" w:color="auto"/>
            </w:tcBorders>
            <w:shd w:val="clear" w:color="auto" w:fill="auto"/>
            <w:noWrap/>
            <w:vAlign w:val="center"/>
            <w:hideMark/>
          </w:tcPr>
          <w:p w14:paraId="748DC89C" w14:textId="77777777" w:rsidR="0043241D" w:rsidRPr="00100B84" w:rsidRDefault="0043241D" w:rsidP="0043241D">
            <w:pPr>
              <w:spacing w:after="0" w:line="240" w:lineRule="auto"/>
              <w:jc w:val="center"/>
              <w:rPr>
                <w:rFonts w:ascii="Cambria" w:eastAsia="Times New Roman" w:hAnsi="Cambria" w:cs="Arial"/>
                <w:lang w:eastAsia="ko-KR"/>
              </w:rPr>
            </w:pPr>
            <w:r w:rsidRPr="00100B84">
              <w:rPr>
                <w:rFonts w:ascii="Cambria" w:eastAsia="Times New Roman" w:hAnsi="Cambria" w:cs="Arial"/>
                <w:lang w:eastAsia="ko-KR"/>
              </w:rPr>
              <w:t>5</w:t>
            </w:r>
          </w:p>
        </w:tc>
        <w:tc>
          <w:tcPr>
            <w:tcW w:w="1424" w:type="dxa"/>
            <w:tcBorders>
              <w:top w:val="nil"/>
              <w:left w:val="nil"/>
              <w:bottom w:val="single" w:sz="4" w:space="0" w:color="auto"/>
              <w:right w:val="single" w:sz="4" w:space="0" w:color="auto"/>
            </w:tcBorders>
            <w:shd w:val="clear" w:color="auto" w:fill="auto"/>
            <w:noWrap/>
            <w:vAlign w:val="center"/>
            <w:hideMark/>
          </w:tcPr>
          <w:p w14:paraId="7E5604F9"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w:t>
            </w:r>
            <w:r w:rsidRPr="00100B84">
              <w:rPr>
                <w:rFonts w:ascii="Cambria" w:eastAsia="Times New Roman" w:hAnsi="Cambria" w:cs="Arial"/>
                <w:lang w:eastAsia="ko-KR"/>
              </w:rPr>
              <w:t>401</w:t>
            </w:r>
          </w:p>
        </w:tc>
        <w:tc>
          <w:tcPr>
            <w:tcW w:w="1002" w:type="dxa"/>
            <w:tcBorders>
              <w:top w:val="nil"/>
              <w:left w:val="nil"/>
              <w:bottom w:val="single" w:sz="4" w:space="0" w:color="auto"/>
              <w:right w:val="single" w:sz="4" w:space="0" w:color="auto"/>
            </w:tcBorders>
            <w:shd w:val="clear" w:color="auto" w:fill="auto"/>
            <w:noWrap/>
            <w:vAlign w:val="center"/>
            <w:hideMark/>
          </w:tcPr>
          <w:p w14:paraId="4509D1D9"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w:t>
            </w:r>
          </w:p>
        </w:tc>
      </w:tr>
      <w:tr w:rsidR="0043241D" w:rsidRPr="00100B84" w14:paraId="03242CAC" w14:textId="77777777" w:rsidTr="0043241D">
        <w:trPr>
          <w:trHeight w:val="500"/>
          <w:jc w:val="center"/>
        </w:trPr>
        <w:tc>
          <w:tcPr>
            <w:tcW w:w="198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8336732" w14:textId="77777777" w:rsidR="0043241D" w:rsidRPr="00100B84" w:rsidRDefault="0043241D" w:rsidP="0043241D">
            <w:pPr>
              <w:spacing w:after="0" w:line="240" w:lineRule="auto"/>
              <w:jc w:val="center"/>
              <w:rPr>
                <w:rFonts w:ascii="Cambria" w:eastAsia="Times New Roman" w:hAnsi="Cambria" w:cs="Arial"/>
                <w:color w:val="000000"/>
                <w:sz w:val="20"/>
                <w:szCs w:val="20"/>
                <w:lang w:eastAsia="ko-KR"/>
              </w:rPr>
            </w:pPr>
            <w:r w:rsidRPr="00100B84">
              <w:rPr>
                <w:rFonts w:ascii="Cambria" w:eastAsia="Times New Roman" w:hAnsi="Cambria" w:cs="Arial"/>
                <w:color w:val="000000"/>
                <w:sz w:val="20"/>
                <w:szCs w:val="20"/>
                <w:lang w:eastAsia="ko-KR"/>
              </w:rPr>
              <w:t xml:space="preserve"> Claimed </w:t>
            </w:r>
            <w:r>
              <w:rPr>
                <w:rFonts w:ascii="Cambria" w:eastAsia="Times New Roman" w:hAnsi="Cambria" w:cs="Arial"/>
                <w:color w:val="000000"/>
                <w:sz w:val="20"/>
                <w:szCs w:val="20"/>
                <w:lang w:eastAsia="ko-KR"/>
              </w:rPr>
              <w:t>Credit</w:t>
            </w:r>
            <w:r w:rsidRPr="00100B84">
              <w:rPr>
                <w:rFonts w:ascii="Cambria" w:eastAsia="Times New Roman" w:hAnsi="Cambria" w:cs="Arial"/>
                <w:color w:val="000000"/>
                <w:sz w:val="20"/>
                <w:szCs w:val="20"/>
                <w:lang w:eastAsia="ko-KR"/>
              </w:rPr>
              <w:t xml:space="preserve"> </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14:paraId="070AA87B"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w:t>
            </w:r>
            <w:r w:rsidRPr="00100B84">
              <w:rPr>
                <w:rFonts w:ascii="Cambria" w:eastAsia="Times New Roman" w:hAnsi="Cambria" w:cs="Arial"/>
                <w:lang w:eastAsia="ko-KR"/>
              </w:rPr>
              <w:t>749</w:t>
            </w:r>
          </w:p>
        </w:tc>
        <w:tc>
          <w:tcPr>
            <w:tcW w:w="1080" w:type="dxa"/>
            <w:tcBorders>
              <w:top w:val="single" w:sz="4" w:space="0" w:color="auto"/>
              <w:left w:val="nil"/>
              <w:bottom w:val="single" w:sz="4" w:space="0" w:color="auto"/>
              <w:right w:val="single" w:sz="4" w:space="0" w:color="auto"/>
            </w:tcBorders>
            <w:shd w:val="clear" w:color="000000" w:fill="auto"/>
            <w:noWrap/>
            <w:vAlign w:val="center"/>
            <w:hideMark/>
          </w:tcPr>
          <w:p w14:paraId="3EEE3CD1" w14:textId="77777777" w:rsidR="0043241D" w:rsidRPr="00100B84" w:rsidRDefault="0043241D" w:rsidP="0043241D">
            <w:pPr>
              <w:spacing w:after="0" w:line="240" w:lineRule="auto"/>
              <w:jc w:val="center"/>
              <w:rPr>
                <w:rFonts w:ascii="Cambria" w:eastAsia="Times New Roman" w:hAnsi="Cambria" w:cs="Arial"/>
                <w:lang w:eastAsia="ko-KR"/>
              </w:rPr>
            </w:pPr>
            <w:r w:rsidRPr="00100B84">
              <w:rPr>
                <w:rFonts w:ascii="Cambria" w:eastAsia="Times New Roman" w:hAnsi="Cambria" w:cs="Arial"/>
                <w:lang w:eastAsia="ko-KR"/>
              </w:rPr>
              <w:t>6</w:t>
            </w:r>
          </w:p>
        </w:tc>
        <w:tc>
          <w:tcPr>
            <w:tcW w:w="1246" w:type="dxa"/>
            <w:tcBorders>
              <w:top w:val="single" w:sz="4" w:space="0" w:color="auto"/>
              <w:left w:val="nil"/>
              <w:bottom w:val="single" w:sz="4" w:space="0" w:color="auto"/>
              <w:right w:val="single" w:sz="4" w:space="0" w:color="auto"/>
            </w:tcBorders>
            <w:shd w:val="clear" w:color="000000" w:fill="auto"/>
            <w:noWrap/>
            <w:vAlign w:val="center"/>
            <w:hideMark/>
          </w:tcPr>
          <w:p w14:paraId="549FF85D"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w:t>
            </w:r>
            <w:r w:rsidRPr="00100B84">
              <w:rPr>
                <w:rFonts w:ascii="Cambria" w:eastAsia="Times New Roman" w:hAnsi="Cambria" w:cs="Arial"/>
                <w:lang w:eastAsia="ko-KR"/>
              </w:rPr>
              <w:t>136</w:t>
            </w:r>
          </w:p>
        </w:tc>
        <w:tc>
          <w:tcPr>
            <w:tcW w:w="916" w:type="dxa"/>
            <w:tcBorders>
              <w:top w:val="single" w:sz="4" w:space="0" w:color="auto"/>
              <w:left w:val="nil"/>
              <w:bottom w:val="single" w:sz="4" w:space="0" w:color="auto"/>
              <w:right w:val="single" w:sz="4" w:space="0" w:color="auto"/>
            </w:tcBorders>
            <w:shd w:val="clear" w:color="000000" w:fill="auto"/>
            <w:noWrap/>
            <w:vAlign w:val="center"/>
            <w:hideMark/>
          </w:tcPr>
          <w:p w14:paraId="1807EAD8" w14:textId="77777777" w:rsidR="0043241D" w:rsidRPr="00100B84" w:rsidRDefault="0043241D" w:rsidP="0043241D">
            <w:pPr>
              <w:spacing w:after="0" w:line="240" w:lineRule="auto"/>
              <w:jc w:val="center"/>
              <w:rPr>
                <w:rFonts w:ascii="Cambria" w:eastAsia="Times New Roman" w:hAnsi="Cambria" w:cs="Arial"/>
                <w:lang w:eastAsia="ko-KR"/>
              </w:rPr>
            </w:pPr>
            <w:r w:rsidRPr="00100B84">
              <w:rPr>
                <w:rFonts w:ascii="Cambria" w:eastAsia="Times New Roman" w:hAnsi="Cambria" w:cs="Arial"/>
                <w:lang w:eastAsia="ko-KR"/>
              </w:rPr>
              <w:t>4</w:t>
            </w:r>
          </w:p>
        </w:tc>
        <w:tc>
          <w:tcPr>
            <w:tcW w:w="1424" w:type="dxa"/>
            <w:tcBorders>
              <w:top w:val="single" w:sz="4" w:space="0" w:color="auto"/>
              <w:left w:val="nil"/>
              <w:bottom w:val="single" w:sz="4" w:space="0" w:color="auto"/>
              <w:right w:val="single" w:sz="4" w:space="0" w:color="auto"/>
            </w:tcBorders>
            <w:shd w:val="clear" w:color="000000" w:fill="auto"/>
            <w:noWrap/>
            <w:vAlign w:val="center"/>
            <w:hideMark/>
          </w:tcPr>
          <w:p w14:paraId="02C918E5"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w:t>
            </w:r>
            <w:r w:rsidRPr="00100B84">
              <w:rPr>
                <w:rFonts w:ascii="Cambria" w:eastAsia="Times New Roman" w:hAnsi="Cambria" w:cs="Arial"/>
                <w:lang w:eastAsia="ko-KR"/>
              </w:rPr>
              <w:t>401</w:t>
            </w:r>
          </w:p>
        </w:tc>
        <w:tc>
          <w:tcPr>
            <w:tcW w:w="1002" w:type="dxa"/>
            <w:tcBorders>
              <w:top w:val="single" w:sz="4" w:space="0" w:color="auto"/>
              <w:left w:val="nil"/>
              <w:bottom w:val="single" w:sz="4" w:space="0" w:color="auto"/>
              <w:right w:val="single" w:sz="4" w:space="0" w:color="auto"/>
            </w:tcBorders>
            <w:shd w:val="clear" w:color="000000" w:fill="auto"/>
            <w:noWrap/>
            <w:vAlign w:val="center"/>
            <w:hideMark/>
          </w:tcPr>
          <w:p w14:paraId="77CCB40C"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w:t>
            </w:r>
          </w:p>
        </w:tc>
      </w:tr>
      <w:tr w:rsidR="0043241D" w:rsidRPr="00100B84" w14:paraId="2666BD2C" w14:textId="77777777" w:rsidTr="0043241D">
        <w:trPr>
          <w:trHeight w:val="500"/>
          <w:jc w:val="center"/>
        </w:trPr>
        <w:tc>
          <w:tcPr>
            <w:tcW w:w="1980" w:type="dxa"/>
            <w:tcBorders>
              <w:top w:val="nil"/>
              <w:left w:val="single" w:sz="4" w:space="0" w:color="auto"/>
              <w:bottom w:val="single" w:sz="4" w:space="0" w:color="auto"/>
              <w:right w:val="single" w:sz="4" w:space="0" w:color="auto"/>
            </w:tcBorders>
            <w:shd w:val="clear" w:color="000000" w:fill="auto"/>
            <w:vAlign w:val="center"/>
            <w:hideMark/>
          </w:tcPr>
          <w:p w14:paraId="1DD273B7" w14:textId="77777777" w:rsidR="0043241D" w:rsidRPr="00100B84" w:rsidRDefault="0043241D" w:rsidP="0043241D">
            <w:pPr>
              <w:spacing w:after="0" w:line="240" w:lineRule="auto"/>
              <w:jc w:val="center"/>
              <w:rPr>
                <w:rFonts w:ascii="Cambria" w:eastAsia="Times New Roman" w:hAnsi="Cambria" w:cs="Arial"/>
                <w:sz w:val="20"/>
                <w:szCs w:val="20"/>
                <w:lang w:eastAsia="ko-KR"/>
              </w:rPr>
            </w:pPr>
            <w:r w:rsidRPr="00100B84">
              <w:rPr>
                <w:rFonts w:ascii="Cambria" w:eastAsia="Times New Roman" w:hAnsi="Cambria" w:cs="Arial"/>
                <w:sz w:val="20"/>
                <w:szCs w:val="20"/>
                <w:lang w:eastAsia="ko-KR"/>
              </w:rPr>
              <w:t xml:space="preserve">Shared </w:t>
            </w:r>
            <w:r>
              <w:rPr>
                <w:rFonts w:ascii="Cambria" w:eastAsia="Times New Roman" w:hAnsi="Cambria" w:cs="Arial"/>
                <w:sz w:val="20"/>
                <w:szCs w:val="20"/>
                <w:lang w:eastAsia="ko-KR"/>
              </w:rPr>
              <w:t>Credit</w:t>
            </w:r>
          </w:p>
        </w:tc>
        <w:tc>
          <w:tcPr>
            <w:tcW w:w="1348" w:type="dxa"/>
            <w:tcBorders>
              <w:top w:val="nil"/>
              <w:left w:val="nil"/>
              <w:bottom w:val="single" w:sz="4" w:space="0" w:color="auto"/>
              <w:right w:val="single" w:sz="4" w:space="0" w:color="auto"/>
            </w:tcBorders>
            <w:shd w:val="clear" w:color="000000" w:fill="auto"/>
            <w:noWrap/>
            <w:vAlign w:val="center"/>
            <w:hideMark/>
          </w:tcPr>
          <w:p w14:paraId="2DADF3EC"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w:t>
            </w:r>
            <w:r w:rsidRPr="00100B84">
              <w:rPr>
                <w:rFonts w:ascii="Cambria" w:eastAsia="Times New Roman" w:hAnsi="Cambria" w:cs="Arial"/>
                <w:lang w:eastAsia="ko-KR"/>
              </w:rPr>
              <w:t>0</w:t>
            </w:r>
          </w:p>
        </w:tc>
        <w:tc>
          <w:tcPr>
            <w:tcW w:w="1080" w:type="dxa"/>
            <w:tcBorders>
              <w:top w:val="nil"/>
              <w:left w:val="nil"/>
              <w:bottom w:val="single" w:sz="4" w:space="0" w:color="auto"/>
              <w:right w:val="single" w:sz="4" w:space="0" w:color="auto"/>
            </w:tcBorders>
            <w:shd w:val="clear" w:color="000000" w:fill="auto"/>
            <w:noWrap/>
            <w:vAlign w:val="center"/>
            <w:hideMark/>
          </w:tcPr>
          <w:p w14:paraId="0573774F" w14:textId="77777777" w:rsidR="0043241D" w:rsidRPr="00100B84" w:rsidRDefault="0043241D" w:rsidP="0043241D">
            <w:pPr>
              <w:spacing w:after="0" w:line="240" w:lineRule="auto"/>
              <w:jc w:val="center"/>
              <w:rPr>
                <w:rFonts w:ascii="Cambria" w:eastAsia="Times New Roman" w:hAnsi="Cambria" w:cs="Arial"/>
                <w:lang w:eastAsia="ko-KR"/>
              </w:rPr>
            </w:pPr>
            <w:r w:rsidRPr="00100B84">
              <w:rPr>
                <w:rFonts w:ascii="Cambria" w:eastAsia="Times New Roman" w:hAnsi="Cambria" w:cs="Arial"/>
                <w:lang w:eastAsia="ko-KR"/>
              </w:rPr>
              <w:t>0</w:t>
            </w:r>
          </w:p>
        </w:tc>
        <w:tc>
          <w:tcPr>
            <w:tcW w:w="1246" w:type="dxa"/>
            <w:tcBorders>
              <w:top w:val="nil"/>
              <w:left w:val="nil"/>
              <w:bottom w:val="single" w:sz="4" w:space="0" w:color="auto"/>
              <w:right w:val="single" w:sz="4" w:space="0" w:color="auto"/>
            </w:tcBorders>
            <w:shd w:val="clear" w:color="000000" w:fill="auto"/>
            <w:noWrap/>
            <w:vAlign w:val="center"/>
            <w:hideMark/>
          </w:tcPr>
          <w:p w14:paraId="39B4CB9F" w14:textId="77777777" w:rsidR="0043241D" w:rsidRPr="00100B84" w:rsidRDefault="0043241D" w:rsidP="0043241D">
            <w:pPr>
              <w:spacing w:after="0" w:line="240" w:lineRule="auto"/>
              <w:jc w:val="center"/>
              <w:rPr>
                <w:rFonts w:ascii="Cambria" w:eastAsia="Times New Roman" w:hAnsi="Cambria" w:cs="Arial"/>
                <w:lang w:eastAsia="ko-KR"/>
              </w:rPr>
            </w:pPr>
            <w:r w:rsidRPr="00100B84">
              <w:rPr>
                <w:rFonts w:ascii="Cambria" w:eastAsia="Times New Roman" w:hAnsi="Cambria" w:cs="Arial"/>
                <w:lang w:eastAsia="ko-KR"/>
              </w:rPr>
              <w:t>0</w:t>
            </w:r>
          </w:p>
        </w:tc>
        <w:tc>
          <w:tcPr>
            <w:tcW w:w="916" w:type="dxa"/>
            <w:tcBorders>
              <w:top w:val="nil"/>
              <w:left w:val="nil"/>
              <w:bottom w:val="single" w:sz="4" w:space="0" w:color="auto"/>
              <w:right w:val="single" w:sz="4" w:space="0" w:color="auto"/>
            </w:tcBorders>
            <w:shd w:val="clear" w:color="000000" w:fill="auto"/>
            <w:noWrap/>
            <w:vAlign w:val="center"/>
            <w:hideMark/>
          </w:tcPr>
          <w:p w14:paraId="67F455E5" w14:textId="77777777" w:rsidR="0043241D" w:rsidRPr="00100B84" w:rsidRDefault="0043241D" w:rsidP="0043241D">
            <w:pPr>
              <w:spacing w:after="0" w:line="240" w:lineRule="auto"/>
              <w:jc w:val="center"/>
              <w:rPr>
                <w:rFonts w:ascii="Cambria" w:eastAsia="Times New Roman" w:hAnsi="Cambria" w:cs="Arial"/>
                <w:lang w:eastAsia="ko-KR"/>
              </w:rPr>
            </w:pPr>
            <w:r w:rsidRPr="00100B84">
              <w:rPr>
                <w:rFonts w:ascii="Cambria" w:eastAsia="Times New Roman" w:hAnsi="Cambria" w:cs="Arial"/>
                <w:lang w:eastAsia="ko-KR"/>
              </w:rPr>
              <w:t>0</w:t>
            </w:r>
          </w:p>
        </w:tc>
        <w:tc>
          <w:tcPr>
            <w:tcW w:w="1424" w:type="dxa"/>
            <w:tcBorders>
              <w:top w:val="nil"/>
              <w:left w:val="nil"/>
              <w:bottom w:val="single" w:sz="4" w:space="0" w:color="auto"/>
              <w:right w:val="single" w:sz="4" w:space="0" w:color="auto"/>
            </w:tcBorders>
            <w:shd w:val="clear" w:color="000000" w:fill="auto"/>
            <w:noWrap/>
            <w:vAlign w:val="center"/>
            <w:hideMark/>
          </w:tcPr>
          <w:p w14:paraId="239028CE"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w:t>
            </w:r>
            <w:r w:rsidRPr="00100B84">
              <w:rPr>
                <w:rFonts w:ascii="Cambria" w:eastAsia="Times New Roman" w:hAnsi="Cambria" w:cs="Arial"/>
                <w:lang w:eastAsia="ko-KR"/>
              </w:rPr>
              <w:t>0</w:t>
            </w:r>
          </w:p>
        </w:tc>
        <w:tc>
          <w:tcPr>
            <w:tcW w:w="1002" w:type="dxa"/>
            <w:tcBorders>
              <w:top w:val="nil"/>
              <w:left w:val="nil"/>
              <w:bottom w:val="single" w:sz="4" w:space="0" w:color="auto"/>
              <w:right w:val="single" w:sz="4" w:space="0" w:color="auto"/>
            </w:tcBorders>
            <w:shd w:val="clear" w:color="000000" w:fill="auto"/>
            <w:noWrap/>
            <w:vAlign w:val="center"/>
            <w:hideMark/>
          </w:tcPr>
          <w:p w14:paraId="6C7A2EEA" w14:textId="77777777" w:rsidR="0043241D" w:rsidRPr="00100B84" w:rsidRDefault="0043241D" w:rsidP="0043241D">
            <w:pPr>
              <w:spacing w:after="0" w:line="240" w:lineRule="auto"/>
              <w:jc w:val="center"/>
              <w:rPr>
                <w:rFonts w:ascii="Cambria" w:eastAsia="Times New Roman" w:hAnsi="Cambria" w:cs="Arial"/>
                <w:lang w:eastAsia="ko-KR"/>
              </w:rPr>
            </w:pPr>
            <w:r w:rsidRPr="00100B84">
              <w:rPr>
                <w:rFonts w:ascii="Cambria" w:eastAsia="Times New Roman" w:hAnsi="Cambria" w:cs="Arial"/>
                <w:lang w:eastAsia="ko-KR"/>
              </w:rPr>
              <w:t>0</w:t>
            </w:r>
          </w:p>
        </w:tc>
      </w:tr>
      <w:tr w:rsidR="0043241D" w:rsidRPr="00100B84" w14:paraId="113F6B4B" w14:textId="77777777" w:rsidTr="0043241D">
        <w:trPr>
          <w:trHeight w:val="500"/>
          <w:jc w:val="center"/>
        </w:trPr>
        <w:tc>
          <w:tcPr>
            <w:tcW w:w="1980" w:type="dxa"/>
            <w:tcBorders>
              <w:top w:val="nil"/>
              <w:left w:val="single" w:sz="4" w:space="0" w:color="auto"/>
              <w:bottom w:val="single" w:sz="4" w:space="0" w:color="auto"/>
              <w:right w:val="single" w:sz="4" w:space="0" w:color="auto"/>
            </w:tcBorders>
            <w:shd w:val="clear" w:color="000000" w:fill="auto"/>
            <w:vAlign w:val="center"/>
            <w:hideMark/>
          </w:tcPr>
          <w:p w14:paraId="4E7405B1" w14:textId="77777777" w:rsidR="0043241D" w:rsidRPr="00100B84" w:rsidRDefault="0043241D" w:rsidP="0043241D">
            <w:pPr>
              <w:spacing w:after="0" w:line="240" w:lineRule="auto"/>
              <w:jc w:val="center"/>
              <w:rPr>
                <w:rFonts w:ascii="Cambria" w:eastAsia="Times New Roman" w:hAnsi="Cambria" w:cs="Arial"/>
                <w:sz w:val="20"/>
                <w:szCs w:val="20"/>
                <w:lang w:eastAsia="ko-KR"/>
              </w:rPr>
            </w:pPr>
            <w:r w:rsidRPr="00100B84">
              <w:rPr>
                <w:rFonts w:ascii="Cambria" w:eastAsia="Times New Roman" w:hAnsi="Cambria" w:cs="Arial"/>
                <w:sz w:val="20"/>
                <w:szCs w:val="20"/>
                <w:lang w:eastAsia="ko-KR"/>
              </w:rPr>
              <w:t xml:space="preserve">Claimed plus </w:t>
            </w:r>
            <w:r>
              <w:rPr>
                <w:rFonts w:ascii="Cambria" w:eastAsia="Times New Roman" w:hAnsi="Cambria" w:cs="Arial"/>
                <w:sz w:val="20"/>
                <w:szCs w:val="20"/>
                <w:lang w:eastAsia="ko-KR"/>
              </w:rPr>
              <w:t>S</w:t>
            </w:r>
            <w:r w:rsidRPr="00100B84">
              <w:rPr>
                <w:rFonts w:ascii="Cambria" w:eastAsia="Times New Roman" w:hAnsi="Cambria" w:cs="Arial"/>
                <w:sz w:val="20"/>
                <w:szCs w:val="20"/>
                <w:lang w:eastAsia="ko-KR"/>
              </w:rPr>
              <w:t>hared</w:t>
            </w:r>
            <w:r>
              <w:rPr>
                <w:rFonts w:ascii="Cambria" w:eastAsia="Times New Roman" w:hAnsi="Cambria" w:cs="Arial"/>
                <w:sz w:val="20"/>
                <w:szCs w:val="20"/>
                <w:lang w:eastAsia="ko-KR"/>
              </w:rPr>
              <w:t xml:space="preserve"> Credit</w:t>
            </w:r>
            <w:r w:rsidRPr="00100B84">
              <w:rPr>
                <w:rFonts w:ascii="Cambria" w:eastAsia="Times New Roman" w:hAnsi="Cambria" w:cs="Arial"/>
                <w:sz w:val="20"/>
                <w:szCs w:val="20"/>
                <w:lang w:eastAsia="ko-KR"/>
              </w:rPr>
              <w:t xml:space="preserve"> - B</w:t>
            </w:r>
          </w:p>
        </w:tc>
        <w:tc>
          <w:tcPr>
            <w:tcW w:w="1348" w:type="dxa"/>
            <w:tcBorders>
              <w:top w:val="nil"/>
              <w:left w:val="nil"/>
              <w:bottom w:val="single" w:sz="4" w:space="0" w:color="auto"/>
              <w:right w:val="single" w:sz="4" w:space="0" w:color="auto"/>
            </w:tcBorders>
            <w:shd w:val="clear" w:color="000000" w:fill="auto"/>
            <w:noWrap/>
            <w:vAlign w:val="center"/>
            <w:hideMark/>
          </w:tcPr>
          <w:p w14:paraId="540B46CB"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w:t>
            </w:r>
            <w:r w:rsidRPr="00100B84">
              <w:rPr>
                <w:rFonts w:ascii="Cambria" w:eastAsia="Times New Roman" w:hAnsi="Cambria" w:cs="Arial"/>
                <w:lang w:eastAsia="ko-KR"/>
              </w:rPr>
              <w:t>749</w:t>
            </w:r>
          </w:p>
        </w:tc>
        <w:tc>
          <w:tcPr>
            <w:tcW w:w="1080" w:type="dxa"/>
            <w:tcBorders>
              <w:top w:val="nil"/>
              <w:left w:val="nil"/>
              <w:bottom w:val="single" w:sz="4" w:space="0" w:color="auto"/>
              <w:right w:val="single" w:sz="4" w:space="0" w:color="auto"/>
            </w:tcBorders>
            <w:shd w:val="clear" w:color="000000" w:fill="auto"/>
            <w:noWrap/>
            <w:vAlign w:val="center"/>
            <w:hideMark/>
          </w:tcPr>
          <w:p w14:paraId="4FA7BE60" w14:textId="77777777" w:rsidR="0043241D" w:rsidRPr="00100B84" w:rsidRDefault="0043241D" w:rsidP="0043241D">
            <w:pPr>
              <w:spacing w:after="0" w:line="240" w:lineRule="auto"/>
              <w:jc w:val="center"/>
              <w:rPr>
                <w:rFonts w:ascii="Cambria" w:eastAsia="Times New Roman" w:hAnsi="Cambria" w:cs="Arial"/>
                <w:lang w:eastAsia="ko-KR"/>
              </w:rPr>
            </w:pPr>
            <w:r w:rsidRPr="00100B84">
              <w:rPr>
                <w:rFonts w:ascii="Cambria" w:eastAsia="Times New Roman" w:hAnsi="Cambria" w:cs="Arial"/>
                <w:lang w:eastAsia="ko-KR"/>
              </w:rPr>
              <w:t>6</w:t>
            </w:r>
          </w:p>
        </w:tc>
        <w:tc>
          <w:tcPr>
            <w:tcW w:w="1246" w:type="dxa"/>
            <w:tcBorders>
              <w:top w:val="nil"/>
              <w:left w:val="nil"/>
              <w:bottom w:val="single" w:sz="4" w:space="0" w:color="auto"/>
              <w:right w:val="single" w:sz="4" w:space="0" w:color="auto"/>
            </w:tcBorders>
            <w:shd w:val="clear" w:color="000000" w:fill="auto"/>
            <w:noWrap/>
            <w:vAlign w:val="center"/>
            <w:hideMark/>
          </w:tcPr>
          <w:p w14:paraId="713F408A"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w:t>
            </w:r>
            <w:r w:rsidRPr="00100B84">
              <w:rPr>
                <w:rFonts w:ascii="Cambria" w:eastAsia="Times New Roman" w:hAnsi="Cambria" w:cs="Arial"/>
                <w:lang w:eastAsia="ko-KR"/>
              </w:rPr>
              <w:t>136</w:t>
            </w:r>
          </w:p>
        </w:tc>
        <w:tc>
          <w:tcPr>
            <w:tcW w:w="916" w:type="dxa"/>
            <w:tcBorders>
              <w:top w:val="nil"/>
              <w:left w:val="nil"/>
              <w:bottom w:val="single" w:sz="4" w:space="0" w:color="auto"/>
              <w:right w:val="single" w:sz="4" w:space="0" w:color="auto"/>
            </w:tcBorders>
            <w:shd w:val="clear" w:color="000000" w:fill="auto"/>
            <w:noWrap/>
            <w:vAlign w:val="center"/>
            <w:hideMark/>
          </w:tcPr>
          <w:p w14:paraId="229BDBE8" w14:textId="77777777" w:rsidR="0043241D" w:rsidRPr="00100B84" w:rsidRDefault="0043241D" w:rsidP="0043241D">
            <w:pPr>
              <w:spacing w:after="0" w:line="240" w:lineRule="auto"/>
              <w:jc w:val="center"/>
              <w:rPr>
                <w:rFonts w:ascii="Cambria" w:eastAsia="Times New Roman" w:hAnsi="Cambria" w:cs="Arial"/>
                <w:lang w:eastAsia="ko-KR"/>
              </w:rPr>
            </w:pPr>
            <w:r w:rsidRPr="00100B84">
              <w:rPr>
                <w:rFonts w:ascii="Cambria" w:eastAsia="Times New Roman" w:hAnsi="Cambria" w:cs="Arial"/>
                <w:lang w:eastAsia="ko-KR"/>
              </w:rPr>
              <w:t>4</w:t>
            </w:r>
          </w:p>
        </w:tc>
        <w:tc>
          <w:tcPr>
            <w:tcW w:w="1424" w:type="dxa"/>
            <w:tcBorders>
              <w:top w:val="nil"/>
              <w:left w:val="nil"/>
              <w:bottom w:val="single" w:sz="4" w:space="0" w:color="auto"/>
              <w:right w:val="single" w:sz="4" w:space="0" w:color="auto"/>
            </w:tcBorders>
            <w:shd w:val="clear" w:color="000000" w:fill="auto"/>
            <w:noWrap/>
            <w:vAlign w:val="center"/>
            <w:hideMark/>
          </w:tcPr>
          <w:p w14:paraId="50500ACD"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w:t>
            </w:r>
            <w:r w:rsidRPr="00100B84">
              <w:rPr>
                <w:rFonts w:ascii="Cambria" w:eastAsia="Times New Roman" w:hAnsi="Cambria" w:cs="Arial"/>
                <w:lang w:eastAsia="ko-KR"/>
              </w:rPr>
              <w:t>401</w:t>
            </w:r>
          </w:p>
        </w:tc>
        <w:tc>
          <w:tcPr>
            <w:tcW w:w="1002" w:type="dxa"/>
            <w:tcBorders>
              <w:top w:val="nil"/>
              <w:left w:val="nil"/>
              <w:bottom w:val="single" w:sz="4" w:space="0" w:color="auto"/>
              <w:right w:val="single" w:sz="4" w:space="0" w:color="auto"/>
            </w:tcBorders>
            <w:shd w:val="clear" w:color="000000" w:fill="auto"/>
            <w:noWrap/>
            <w:vAlign w:val="center"/>
            <w:hideMark/>
          </w:tcPr>
          <w:p w14:paraId="29BB4B2B"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w:t>
            </w:r>
          </w:p>
        </w:tc>
      </w:tr>
      <w:tr w:rsidR="0043241D" w:rsidRPr="00100B84" w14:paraId="39E7DCAF" w14:textId="77777777" w:rsidTr="0043241D">
        <w:trPr>
          <w:trHeight w:val="290"/>
          <w:jc w:val="center"/>
        </w:trPr>
        <w:tc>
          <w:tcPr>
            <w:tcW w:w="1980" w:type="dxa"/>
            <w:tcBorders>
              <w:top w:val="nil"/>
              <w:left w:val="single" w:sz="4" w:space="0" w:color="auto"/>
              <w:bottom w:val="single" w:sz="4" w:space="0" w:color="auto"/>
              <w:right w:val="single" w:sz="4" w:space="0" w:color="auto"/>
            </w:tcBorders>
            <w:shd w:val="clear" w:color="000000" w:fill="auto"/>
            <w:noWrap/>
            <w:vAlign w:val="center"/>
            <w:hideMark/>
          </w:tcPr>
          <w:p w14:paraId="4903D857" w14:textId="77777777" w:rsidR="0043241D" w:rsidRPr="00100B84" w:rsidRDefault="0043241D" w:rsidP="0043241D">
            <w:pPr>
              <w:spacing w:after="0" w:line="240" w:lineRule="auto"/>
              <w:jc w:val="center"/>
              <w:rPr>
                <w:rFonts w:ascii="Cambria" w:eastAsia="Times New Roman" w:hAnsi="Cambria" w:cs="Arial"/>
                <w:lang w:eastAsia="ko-KR"/>
              </w:rPr>
            </w:pPr>
            <w:r w:rsidRPr="00100B84">
              <w:rPr>
                <w:rFonts w:ascii="Cambria" w:eastAsia="Times New Roman" w:hAnsi="Cambria" w:cs="Arial"/>
                <w:lang w:eastAsia="ko-KR"/>
              </w:rPr>
              <w:t>B/A</w:t>
            </w:r>
          </w:p>
        </w:tc>
        <w:tc>
          <w:tcPr>
            <w:tcW w:w="1348" w:type="dxa"/>
            <w:tcBorders>
              <w:top w:val="nil"/>
              <w:left w:val="nil"/>
              <w:bottom w:val="single" w:sz="4" w:space="0" w:color="auto"/>
              <w:right w:val="single" w:sz="4" w:space="0" w:color="auto"/>
            </w:tcBorders>
            <w:shd w:val="clear" w:color="000000" w:fill="auto"/>
            <w:noWrap/>
            <w:vAlign w:val="center"/>
            <w:hideMark/>
          </w:tcPr>
          <w:p w14:paraId="338F4F02" w14:textId="77777777" w:rsidR="0043241D" w:rsidRPr="00100B84" w:rsidRDefault="0043241D" w:rsidP="0043241D">
            <w:pPr>
              <w:spacing w:after="0" w:line="240" w:lineRule="auto"/>
              <w:jc w:val="center"/>
              <w:rPr>
                <w:rFonts w:ascii="Cambria" w:eastAsia="Times New Roman" w:hAnsi="Cambria" w:cs="Arial"/>
                <w:lang w:eastAsia="ko-KR"/>
              </w:rPr>
            </w:pPr>
            <w:r w:rsidRPr="00100B84">
              <w:rPr>
                <w:rFonts w:ascii="Cambria" w:eastAsia="Times New Roman" w:hAnsi="Cambria" w:cs="Arial"/>
                <w:lang w:eastAsia="ko-KR"/>
              </w:rPr>
              <w:t>90.1%</w:t>
            </w:r>
          </w:p>
        </w:tc>
        <w:tc>
          <w:tcPr>
            <w:tcW w:w="1080" w:type="dxa"/>
            <w:tcBorders>
              <w:top w:val="nil"/>
              <w:left w:val="nil"/>
              <w:bottom w:val="single" w:sz="4" w:space="0" w:color="auto"/>
              <w:right w:val="single" w:sz="4" w:space="0" w:color="auto"/>
            </w:tcBorders>
            <w:shd w:val="clear" w:color="000000" w:fill="auto"/>
            <w:noWrap/>
            <w:vAlign w:val="center"/>
            <w:hideMark/>
          </w:tcPr>
          <w:p w14:paraId="1BD6CB8E" w14:textId="77777777" w:rsidR="0043241D" w:rsidRPr="00100B84" w:rsidRDefault="0043241D" w:rsidP="0043241D">
            <w:pPr>
              <w:spacing w:after="0" w:line="240" w:lineRule="auto"/>
              <w:jc w:val="center"/>
              <w:rPr>
                <w:rFonts w:ascii="Cambria" w:eastAsia="Times New Roman" w:hAnsi="Cambria" w:cs="Arial"/>
                <w:lang w:eastAsia="ko-KR"/>
              </w:rPr>
            </w:pPr>
            <w:r w:rsidRPr="00100B84">
              <w:rPr>
                <w:rFonts w:ascii="Cambria" w:eastAsia="Times New Roman" w:hAnsi="Cambria" w:cs="Arial"/>
                <w:lang w:eastAsia="ko-KR"/>
              </w:rPr>
              <w:t>100.0%</w:t>
            </w:r>
          </w:p>
        </w:tc>
        <w:tc>
          <w:tcPr>
            <w:tcW w:w="1246" w:type="dxa"/>
            <w:tcBorders>
              <w:top w:val="nil"/>
              <w:left w:val="nil"/>
              <w:bottom w:val="single" w:sz="4" w:space="0" w:color="auto"/>
              <w:right w:val="single" w:sz="4" w:space="0" w:color="auto"/>
            </w:tcBorders>
            <w:shd w:val="clear" w:color="000000" w:fill="auto"/>
            <w:noWrap/>
            <w:vAlign w:val="center"/>
            <w:hideMark/>
          </w:tcPr>
          <w:p w14:paraId="1A4BD989" w14:textId="77777777" w:rsidR="0043241D" w:rsidRPr="00100B84" w:rsidRDefault="0043241D" w:rsidP="0043241D">
            <w:pPr>
              <w:spacing w:after="0" w:line="240" w:lineRule="auto"/>
              <w:jc w:val="center"/>
              <w:rPr>
                <w:rFonts w:ascii="Cambria" w:eastAsia="Times New Roman" w:hAnsi="Cambria" w:cs="Arial"/>
                <w:lang w:eastAsia="ko-KR"/>
              </w:rPr>
            </w:pPr>
            <w:r w:rsidRPr="00100B84">
              <w:rPr>
                <w:rFonts w:ascii="Cambria" w:eastAsia="Times New Roman" w:hAnsi="Cambria" w:cs="Arial"/>
                <w:lang w:eastAsia="ko-KR"/>
              </w:rPr>
              <w:t>27.7%</w:t>
            </w:r>
          </w:p>
        </w:tc>
        <w:tc>
          <w:tcPr>
            <w:tcW w:w="916" w:type="dxa"/>
            <w:tcBorders>
              <w:top w:val="nil"/>
              <w:left w:val="nil"/>
              <w:bottom w:val="single" w:sz="4" w:space="0" w:color="auto"/>
              <w:right w:val="single" w:sz="4" w:space="0" w:color="auto"/>
            </w:tcBorders>
            <w:shd w:val="clear" w:color="000000" w:fill="auto"/>
            <w:noWrap/>
            <w:vAlign w:val="center"/>
            <w:hideMark/>
          </w:tcPr>
          <w:p w14:paraId="6AE5132A" w14:textId="77777777" w:rsidR="0043241D" w:rsidRPr="00100B84" w:rsidRDefault="0043241D" w:rsidP="0043241D">
            <w:pPr>
              <w:spacing w:after="0" w:line="240" w:lineRule="auto"/>
              <w:jc w:val="center"/>
              <w:rPr>
                <w:rFonts w:ascii="Cambria" w:eastAsia="Times New Roman" w:hAnsi="Cambria" w:cs="Arial"/>
                <w:lang w:eastAsia="ko-KR"/>
              </w:rPr>
            </w:pPr>
            <w:r w:rsidRPr="00100B84">
              <w:rPr>
                <w:rFonts w:ascii="Cambria" w:eastAsia="Times New Roman" w:hAnsi="Cambria" w:cs="Arial"/>
                <w:lang w:eastAsia="ko-KR"/>
              </w:rPr>
              <w:t>80.0%</w:t>
            </w:r>
          </w:p>
        </w:tc>
        <w:tc>
          <w:tcPr>
            <w:tcW w:w="1424" w:type="dxa"/>
            <w:tcBorders>
              <w:top w:val="nil"/>
              <w:left w:val="nil"/>
              <w:bottom w:val="single" w:sz="4" w:space="0" w:color="auto"/>
              <w:right w:val="single" w:sz="4" w:space="0" w:color="auto"/>
            </w:tcBorders>
            <w:shd w:val="clear" w:color="000000" w:fill="auto"/>
            <w:noWrap/>
            <w:vAlign w:val="center"/>
            <w:hideMark/>
          </w:tcPr>
          <w:p w14:paraId="711D2D83" w14:textId="77777777" w:rsidR="0043241D" w:rsidRPr="00100B84" w:rsidRDefault="0043241D" w:rsidP="0043241D">
            <w:pPr>
              <w:spacing w:after="0" w:line="240" w:lineRule="auto"/>
              <w:jc w:val="center"/>
              <w:rPr>
                <w:rFonts w:ascii="Cambria" w:eastAsia="Times New Roman" w:hAnsi="Cambria" w:cs="Arial"/>
                <w:lang w:eastAsia="ko-KR"/>
              </w:rPr>
            </w:pPr>
            <w:r w:rsidRPr="00100B84">
              <w:rPr>
                <w:rFonts w:ascii="Cambria" w:eastAsia="Times New Roman" w:hAnsi="Cambria" w:cs="Arial"/>
                <w:lang w:eastAsia="ko-KR"/>
              </w:rPr>
              <w:t>100.0%</w:t>
            </w:r>
          </w:p>
        </w:tc>
        <w:tc>
          <w:tcPr>
            <w:tcW w:w="1002" w:type="dxa"/>
            <w:tcBorders>
              <w:top w:val="nil"/>
              <w:left w:val="nil"/>
              <w:bottom w:val="single" w:sz="4" w:space="0" w:color="auto"/>
              <w:right w:val="single" w:sz="4" w:space="0" w:color="auto"/>
            </w:tcBorders>
            <w:shd w:val="clear" w:color="000000" w:fill="auto"/>
            <w:noWrap/>
            <w:vAlign w:val="center"/>
            <w:hideMark/>
          </w:tcPr>
          <w:p w14:paraId="0767F327"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w:t>
            </w:r>
          </w:p>
        </w:tc>
      </w:tr>
      <w:tr w:rsidR="0043241D" w:rsidRPr="00100B84" w14:paraId="698EBF1A" w14:textId="77777777" w:rsidTr="0043241D">
        <w:trPr>
          <w:trHeight w:val="840"/>
          <w:jc w:val="center"/>
        </w:trPr>
        <w:tc>
          <w:tcPr>
            <w:tcW w:w="1980" w:type="dxa"/>
            <w:tcBorders>
              <w:top w:val="nil"/>
              <w:left w:val="single" w:sz="4" w:space="0" w:color="auto"/>
              <w:bottom w:val="single" w:sz="4" w:space="0" w:color="auto"/>
              <w:right w:val="single" w:sz="4" w:space="0" w:color="auto"/>
            </w:tcBorders>
            <w:shd w:val="clear" w:color="000000" w:fill="auto"/>
            <w:vAlign w:val="center"/>
            <w:hideMark/>
          </w:tcPr>
          <w:p w14:paraId="0F0A0449" w14:textId="77777777" w:rsidR="0043241D" w:rsidRPr="00100B84" w:rsidRDefault="0043241D" w:rsidP="0043241D">
            <w:pPr>
              <w:spacing w:after="0" w:line="240" w:lineRule="auto"/>
              <w:jc w:val="center"/>
              <w:rPr>
                <w:rFonts w:ascii="Cambria" w:eastAsia="Times New Roman" w:hAnsi="Cambria" w:cs="Arial"/>
                <w:lang w:eastAsia="ko-KR"/>
              </w:rPr>
            </w:pPr>
            <w:r w:rsidRPr="00DF16CA">
              <w:rPr>
                <w:rFonts w:ascii="Cambria" w:eastAsia="Times New Roman" w:hAnsi="Cambria" w:cs="Helvetica"/>
                <w:sz w:val="20"/>
                <w:szCs w:val="20"/>
                <w:lang w:eastAsia="ko-KR"/>
              </w:rPr>
              <w:t>Average Claimed or Shared Amount</w:t>
            </w:r>
          </w:p>
        </w:tc>
        <w:tc>
          <w:tcPr>
            <w:tcW w:w="1348" w:type="dxa"/>
            <w:tcBorders>
              <w:top w:val="single" w:sz="4" w:space="0" w:color="auto"/>
              <w:left w:val="nil"/>
              <w:bottom w:val="single" w:sz="4" w:space="0" w:color="auto"/>
              <w:right w:val="single" w:sz="4" w:space="0" w:color="000000"/>
            </w:tcBorders>
            <w:shd w:val="clear" w:color="000000" w:fill="auto"/>
            <w:noWrap/>
            <w:vAlign w:val="center"/>
            <w:hideMark/>
          </w:tcPr>
          <w:p w14:paraId="0E532EC7"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w:t>
            </w:r>
            <w:r w:rsidRPr="00100B84">
              <w:rPr>
                <w:rFonts w:ascii="Cambria" w:eastAsia="Times New Roman" w:hAnsi="Cambria" w:cs="Arial"/>
                <w:lang w:eastAsia="ko-KR"/>
              </w:rPr>
              <w:t>124.8</w:t>
            </w:r>
          </w:p>
        </w:tc>
        <w:tc>
          <w:tcPr>
            <w:tcW w:w="1080" w:type="dxa"/>
            <w:tcBorders>
              <w:top w:val="single" w:sz="4" w:space="0" w:color="auto"/>
              <w:left w:val="nil"/>
              <w:bottom w:val="single" w:sz="4" w:space="0" w:color="auto"/>
              <w:right w:val="single" w:sz="4" w:space="0" w:color="000000"/>
            </w:tcBorders>
            <w:shd w:val="clear" w:color="000000" w:fill="auto"/>
            <w:vAlign w:val="center"/>
          </w:tcPr>
          <w:p w14:paraId="28363BFF"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NA</w:t>
            </w:r>
          </w:p>
        </w:tc>
        <w:tc>
          <w:tcPr>
            <w:tcW w:w="1246" w:type="dxa"/>
            <w:tcBorders>
              <w:top w:val="single" w:sz="4" w:space="0" w:color="auto"/>
              <w:left w:val="nil"/>
              <w:bottom w:val="single" w:sz="4" w:space="0" w:color="auto"/>
              <w:right w:val="single" w:sz="4" w:space="0" w:color="000000"/>
            </w:tcBorders>
            <w:shd w:val="clear" w:color="000000" w:fill="auto"/>
            <w:noWrap/>
            <w:vAlign w:val="center"/>
            <w:hideMark/>
          </w:tcPr>
          <w:p w14:paraId="43A865DA"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w:t>
            </w:r>
            <w:r w:rsidRPr="00100B84">
              <w:rPr>
                <w:rFonts w:ascii="Cambria" w:eastAsia="Times New Roman" w:hAnsi="Cambria" w:cs="Arial"/>
                <w:lang w:eastAsia="ko-KR"/>
              </w:rPr>
              <w:t>34.0</w:t>
            </w:r>
          </w:p>
        </w:tc>
        <w:tc>
          <w:tcPr>
            <w:tcW w:w="916" w:type="dxa"/>
            <w:tcBorders>
              <w:top w:val="single" w:sz="4" w:space="0" w:color="auto"/>
              <w:left w:val="nil"/>
              <w:bottom w:val="single" w:sz="4" w:space="0" w:color="auto"/>
              <w:right w:val="single" w:sz="4" w:space="0" w:color="000000"/>
            </w:tcBorders>
            <w:shd w:val="clear" w:color="000000" w:fill="auto"/>
            <w:vAlign w:val="center"/>
          </w:tcPr>
          <w:p w14:paraId="2E582939"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NA</w:t>
            </w:r>
          </w:p>
        </w:tc>
        <w:tc>
          <w:tcPr>
            <w:tcW w:w="1424" w:type="dxa"/>
            <w:tcBorders>
              <w:top w:val="single" w:sz="4" w:space="0" w:color="auto"/>
              <w:left w:val="nil"/>
              <w:bottom w:val="single" w:sz="4" w:space="0" w:color="auto"/>
              <w:right w:val="single" w:sz="4" w:space="0" w:color="000000"/>
            </w:tcBorders>
            <w:shd w:val="clear" w:color="000000" w:fill="auto"/>
            <w:vAlign w:val="center"/>
            <w:hideMark/>
          </w:tcPr>
          <w:p w14:paraId="07323F0F"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w:t>
            </w:r>
          </w:p>
        </w:tc>
        <w:tc>
          <w:tcPr>
            <w:tcW w:w="1002" w:type="dxa"/>
            <w:tcBorders>
              <w:top w:val="single" w:sz="4" w:space="0" w:color="auto"/>
              <w:left w:val="nil"/>
              <w:bottom w:val="single" w:sz="4" w:space="0" w:color="auto"/>
              <w:right w:val="single" w:sz="4" w:space="0" w:color="000000"/>
            </w:tcBorders>
            <w:shd w:val="clear" w:color="000000" w:fill="auto"/>
            <w:vAlign w:val="center"/>
          </w:tcPr>
          <w:p w14:paraId="2DA9E3A3" w14:textId="77777777" w:rsidR="0043241D" w:rsidRPr="00100B84" w:rsidRDefault="0043241D" w:rsidP="0043241D">
            <w:pPr>
              <w:spacing w:after="0" w:line="240" w:lineRule="auto"/>
              <w:jc w:val="center"/>
              <w:rPr>
                <w:rFonts w:ascii="Cambria" w:eastAsia="Times New Roman" w:hAnsi="Cambria" w:cs="Arial"/>
                <w:lang w:eastAsia="ko-KR"/>
              </w:rPr>
            </w:pPr>
            <w:r>
              <w:rPr>
                <w:rFonts w:ascii="Cambria" w:eastAsia="Times New Roman" w:hAnsi="Cambria" w:cs="Arial"/>
                <w:lang w:eastAsia="ko-KR"/>
              </w:rPr>
              <w:t>NA</w:t>
            </w:r>
          </w:p>
        </w:tc>
      </w:tr>
    </w:tbl>
    <w:p w14:paraId="24462EF3" w14:textId="77777777" w:rsidR="00EF0FCC" w:rsidRPr="0016043B" w:rsidRDefault="0043241D" w:rsidP="00EF0FCC">
      <w:pPr>
        <w:spacing w:after="0"/>
        <w:rPr>
          <w:rFonts w:asciiTheme="majorHAnsi" w:hAnsiTheme="majorHAnsi"/>
          <w:bCs/>
          <w:sz w:val="20"/>
          <w:szCs w:val="20"/>
        </w:rPr>
      </w:pPr>
      <w:r>
        <w:rPr>
          <w:rFonts w:asciiTheme="majorHAnsi" w:hAnsiTheme="majorHAnsi"/>
          <w:bCs/>
          <w:sz w:val="20"/>
          <w:szCs w:val="20"/>
        </w:rPr>
        <w:t xml:space="preserve">   </w:t>
      </w:r>
      <w:r w:rsidR="00EF0FCC" w:rsidRPr="0016043B">
        <w:rPr>
          <w:rFonts w:asciiTheme="majorHAnsi" w:hAnsiTheme="majorHAnsi"/>
          <w:bCs/>
          <w:sz w:val="20"/>
          <w:szCs w:val="20"/>
        </w:rPr>
        <w:t>Source: Massachusetts Department of Revenue.</w:t>
      </w:r>
    </w:p>
    <w:p w14:paraId="3383E656" w14:textId="77777777" w:rsidR="00EF0FCC" w:rsidRPr="0016043B" w:rsidRDefault="0043241D" w:rsidP="00EF0FCC">
      <w:pPr>
        <w:spacing w:after="0"/>
        <w:rPr>
          <w:rFonts w:asciiTheme="majorHAnsi" w:hAnsiTheme="majorHAnsi"/>
          <w:bCs/>
          <w:sz w:val="20"/>
          <w:szCs w:val="20"/>
        </w:rPr>
      </w:pPr>
      <w:r>
        <w:rPr>
          <w:rFonts w:asciiTheme="majorHAnsi" w:hAnsiTheme="majorHAnsi"/>
          <w:bCs/>
          <w:sz w:val="20"/>
          <w:szCs w:val="20"/>
        </w:rPr>
        <w:t xml:space="preserve">   </w:t>
      </w:r>
      <w:r w:rsidR="00EF0FCC" w:rsidRPr="0016043B">
        <w:rPr>
          <w:rFonts w:asciiTheme="majorHAnsi" w:hAnsiTheme="majorHAnsi"/>
          <w:bCs/>
          <w:sz w:val="20"/>
          <w:szCs w:val="20"/>
        </w:rPr>
        <w:t>Notes: 1. There were no claims from personal income tax filers for the above years.</w:t>
      </w:r>
    </w:p>
    <w:p w14:paraId="662844B6" w14:textId="77777777" w:rsidR="00EF0FCC" w:rsidRPr="0016043B" w:rsidRDefault="00EF0FCC" w:rsidP="00EF0FCC">
      <w:pPr>
        <w:spacing w:after="0"/>
        <w:rPr>
          <w:rFonts w:asciiTheme="majorHAnsi" w:hAnsiTheme="majorHAnsi"/>
          <w:bCs/>
          <w:sz w:val="20"/>
          <w:szCs w:val="20"/>
        </w:rPr>
      </w:pPr>
      <w:r>
        <w:rPr>
          <w:rFonts w:asciiTheme="majorHAnsi" w:hAnsiTheme="majorHAnsi"/>
          <w:bCs/>
          <w:sz w:val="20"/>
          <w:szCs w:val="20"/>
        </w:rPr>
        <w:t xml:space="preserve">             </w:t>
      </w:r>
      <w:r w:rsidR="0043241D">
        <w:rPr>
          <w:rFonts w:asciiTheme="majorHAnsi" w:hAnsiTheme="majorHAnsi"/>
          <w:bCs/>
          <w:sz w:val="20"/>
          <w:szCs w:val="20"/>
        </w:rPr>
        <w:t xml:space="preserve">   </w:t>
      </w:r>
      <w:r w:rsidRPr="0016043B">
        <w:rPr>
          <w:rFonts w:asciiTheme="majorHAnsi" w:hAnsiTheme="majorHAnsi"/>
          <w:bCs/>
          <w:sz w:val="20"/>
          <w:szCs w:val="20"/>
        </w:rPr>
        <w:t xml:space="preserve">2. * </w:t>
      </w:r>
      <w:r w:rsidRPr="009552B7">
        <w:rPr>
          <w:rFonts w:asciiTheme="majorHAnsi" w:hAnsiTheme="majorHAnsi"/>
          <w:bCs/>
          <w:sz w:val="20"/>
          <w:szCs w:val="20"/>
        </w:rPr>
        <w:t>Information withheld to maintain confidentiality</w:t>
      </w:r>
    </w:p>
    <w:p w14:paraId="31E0E14B" w14:textId="77777777" w:rsidR="00EF0FCC" w:rsidRDefault="00EF0FCC" w:rsidP="00EF0FCC">
      <w:pPr>
        <w:spacing w:after="0"/>
        <w:rPr>
          <w:rFonts w:asciiTheme="majorHAnsi" w:hAnsiTheme="majorHAnsi"/>
          <w:bCs/>
          <w:sz w:val="20"/>
          <w:szCs w:val="20"/>
        </w:rPr>
      </w:pPr>
      <w:r>
        <w:rPr>
          <w:rFonts w:asciiTheme="majorHAnsi" w:hAnsiTheme="majorHAnsi"/>
          <w:bCs/>
          <w:sz w:val="20"/>
          <w:szCs w:val="20"/>
        </w:rPr>
        <w:t xml:space="preserve">           </w:t>
      </w:r>
      <w:r w:rsidR="0060580F">
        <w:rPr>
          <w:rFonts w:asciiTheme="majorHAnsi" w:hAnsiTheme="majorHAnsi"/>
          <w:bCs/>
          <w:sz w:val="16"/>
          <w:szCs w:val="16"/>
        </w:rPr>
        <w:t xml:space="preserve"> </w:t>
      </w:r>
      <w:r>
        <w:rPr>
          <w:rFonts w:asciiTheme="majorHAnsi" w:hAnsiTheme="majorHAnsi"/>
          <w:bCs/>
          <w:sz w:val="20"/>
          <w:szCs w:val="20"/>
        </w:rPr>
        <w:t xml:space="preserve"> </w:t>
      </w:r>
      <w:r w:rsidR="0043241D">
        <w:rPr>
          <w:rFonts w:asciiTheme="majorHAnsi" w:hAnsiTheme="majorHAnsi"/>
          <w:bCs/>
          <w:sz w:val="20"/>
          <w:szCs w:val="20"/>
        </w:rPr>
        <w:t xml:space="preserve">   </w:t>
      </w:r>
      <w:r w:rsidRPr="0016043B">
        <w:rPr>
          <w:rFonts w:asciiTheme="majorHAnsi" w:hAnsiTheme="majorHAnsi"/>
          <w:bCs/>
          <w:sz w:val="20"/>
          <w:szCs w:val="20"/>
        </w:rPr>
        <w:t xml:space="preserve">3. </w:t>
      </w:r>
      <w:r>
        <w:rPr>
          <w:rFonts w:asciiTheme="majorHAnsi" w:hAnsiTheme="majorHAnsi"/>
          <w:bCs/>
          <w:sz w:val="20"/>
          <w:szCs w:val="20"/>
        </w:rPr>
        <w:t>2017 and 2018 data are preliminary and subject to change</w:t>
      </w:r>
      <w:r w:rsidRPr="0016043B">
        <w:rPr>
          <w:rFonts w:asciiTheme="majorHAnsi" w:hAnsiTheme="majorHAnsi"/>
          <w:bCs/>
          <w:sz w:val="20"/>
          <w:szCs w:val="20"/>
        </w:rPr>
        <w:t>.</w:t>
      </w:r>
    </w:p>
    <w:p w14:paraId="1B2FD8A9" w14:textId="77777777" w:rsidR="00EF0FCC" w:rsidRDefault="00EF0FCC" w:rsidP="00EF0FCC">
      <w:pPr>
        <w:spacing w:after="0"/>
        <w:rPr>
          <w:rFonts w:asciiTheme="majorHAnsi" w:hAnsiTheme="majorHAnsi"/>
          <w:bCs/>
          <w:sz w:val="20"/>
          <w:szCs w:val="20"/>
        </w:rPr>
      </w:pPr>
      <w:r>
        <w:rPr>
          <w:rFonts w:asciiTheme="majorHAnsi" w:hAnsiTheme="majorHAnsi"/>
          <w:bCs/>
          <w:sz w:val="20"/>
          <w:szCs w:val="20"/>
        </w:rPr>
        <w:t xml:space="preserve">      </w:t>
      </w:r>
      <w:r w:rsidR="0043241D">
        <w:rPr>
          <w:rFonts w:asciiTheme="majorHAnsi" w:hAnsiTheme="majorHAnsi"/>
          <w:bCs/>
          <w:sz w:val="20"/>
          <w:szCs w:val="20"/>
        </w:rPr>
        <w:t xml:space="preserve">  </w:t>
      </w:r>
      <w:r>
        <w:rPr>
          <w:rFonts w:asciiTheme="majorHAnsi" w:hAnsiTheme="majorHAnsi"/>
          <w:bCs/>
          <w:sz w:val="20"/>
          <w:szCs w:val="20"/>
        </w:rPr>
        <w:t xml:space="preserve">       </w:t>
      </w:r>
      <w:r w:rsidR="0060580F">
        <w:rPr>
          <w:rFonts w:asciiTheme="majorHAnsi" w:hAnsiTheme="majorHAnsi"/>
          <w:bCs/>
          <w:sz w:val="16"/>
          <w:szCs w:val="16"/>
        </w:rPr>
        <w:t xml:space="preserve"> </w:t>
      </w:r>
      <w:r>
        <w:rPr>
          <w:rFonts w:asciiTheme="majorHAnsi" w:hAnsiTheme="majorHAnsi"/>
          <w:bCs/>
          <w:sz w:val="20"/>
          <w:szCs w:val="20"/>
        </w:rPr>
        <w:t>4</w:t>
      </w:r>
      <w:r w:rsidRPr="0016043B">
        <w:rPr>
          <w:rFonts w:asciiTheme="majorHAnsi" w:hAnsiTheme="majorHAnsi"/>
          <w:bCs/>
          <w:sz w:val="20"/>
          <w:szCs w:val="20"/>
        </w:rPr>
        <w:t xml:space="preserve">. </w:t>
      </w:r>
      <w:r w:rsidRPr="009552B7">
        <w:rPr>
          <w:rFonts w:asciiTheme="majorHAnsi" w:hAnsiTheme="majorHAnsi"/>
          <w:bCs/>
          <w:sz w:val="20"/>
          <w:szCs w:val="20"/>
        </w:rPr>
        <w:t>“NA”, not applicable.</w:t>
      </w:r>
    </w:p>
    <w:p w14:paraId="6F278B7A" w14:textId="77777777" w:rsidR="0062172D" w:rsidRDefault="0062172D" w:rsidP="0062172D">
      <w:pPr>
        <w:spacing w:after="0"/>
        <w:rPr>
          <w:rFonts w:asciiTheme="majorHAnsi" w:hAnsiTheme="majorHAnsi"/>
          <w:bCs/>
          <w:sz w:val="24"/>
          <w:szCs w:val="24"/>
        </w:rPr>
      </w:pPr>
    </w:p>
    <w:p w14:paraId="5B1EAC66" w14:textId="77777777" w:rsidR="0062172D" w:rsidRDefault="00CC1580" w:rsidP="0062172D">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I</w:t>
      </w:r>
      <w:r w:rsidRPr="00DF1213">
        <w:rPr>
          <w:rFonts w:asciiTheme="majorHAnsi" w:eastAsiaTheme="majorEastAsia" w:hAnsiTheme="majorHAnsi" w:cstheme="majorBidi"/>
          <w:bCs/>
          <w:color w:val="000000" w:themeColor="text1"/>
          <w:sz w:val="24"/>
          <w:szCs w:val="24"/>
        </w:rPr>
        <w:t>f there is no increase in state revenues</w:t>
      </w:r>
      <w:r>
        <w:rPr>
          <w:rFonts w:asciiTheme="majorHAnsi" w:eastAsiaTheme="majorEastAsia" w:hAnsiTheme="majorHAnsi" w:cstheme="majorBidi"/>
          <w:bCs/>
          <w:color w:val="000000" w:themeColor="text1"/>
          <w:sz w:val="24"/>
          <w:szCs w:val="24"/>
        </w:rPr>
        <w:t>,</w:t>
      </w:r>
      <w:r w:rsidRPr="00DF1213">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t</w:t>
      </w:r>
      <w:r w:rsidRPr="00DF1213">
        <w:rPr>
          <w:rFonts w:asciiTheme="majorHAnsi" w:eastAsiaTheme="majorEastAsia" w:hAnsiTheme="majorHAnsi" w:cstheme="majorBidi"/>
          <w:bCs/>
          <w:color w:val="000000" w:themeColor="text1"/>
          <w:sz w:val="24"/>
          <w:szCs w:val="24"/>
        </w:rPr>
        <w:t xml:space="preserve">ax </w:t>
      </w:r>
      <w:r w:rsidR="0062172D" w:rsidRPr="00DF1213">
        <w:rPr>
          <w:rFonts w:asciiTheme="majorHAnsi" w:eastAsiaTheme="majorEastAsia" w:hAnsiTheme="majorHAnsi" w:cstheme="majorBidi"/>
          <w:bCs/>
          <w:color w:val="000000" w:themeColor="text1"/>
          <w:sz w:val="24"/>
          <w:szCs w:val="24"/>
        </w:rPr>
        <w:t>incentive</w:t>
      </w:r>
      <w:r w:rsidR="004E4ECC">
        <w:rPr>
          <w:rFonts w:asciiTheme="majorHAnsi" w:eastAsiaTheme="majorEastAsia" w:hAnsiTheme="majorHAnsi" w:cstheme="majorBidi"/>
          <w:bCs/>
          <w:color w:val="000000" w:themeColor="text1"/>
          <w:sz w:val="24"/>
          <w:szCs w:val="24"/>
        </w:rPr>
        <w:t>s</w:t>
      </w:r>
      <w:r w:rsidR="0062172D" w:rsidRPr="00DF1213">
        <w:rPr>
          <w:rFonts w:asciiTheme="majorHAnsi" w:eastAsiaTheme="majorEastAsia" w:hAnsiTheme="majorHAnsi" w:cstheme="majorBidi"/>
          <w:bCs/>
          <w:color w:val="000000" w:themeColor="text1"/>
          <w:sz w:val="24"/>
          <w:szCs w:val="24"/>
        </w:rPr>
        <w:t xml:space="preserve"> </w:t>
      </w:r>
      <w:r w:rsidR="00550634">
        <w:rPr>
          <w:rFonts w:asciiTheme="majorHAnsi" w:eastAsiaTheme="majorEastAsia" w:hAnsiTheme="majorHAnsi" w:cstheme="majorBidi"/>
          <w:bCs/>
          <w:color w:val="000000" w:themeColor="text1"/>
          <w:sz w:val="24"/>
          <w:szCs w:val="24"/>
        </w:rPr>
        <w:t>result in fewer public funds available to</w:t>
      </w:r>
      <w:r w:rsidR="0062172D">
        <w:rPr>
          <w:rFonts w:asciiTheme="majorHAnsi" w:eastAsiaTheme="majorEastAsia" w:hAnsiTheme="majorHAnsi" w:cstheme="majorBidi"/>
          <w:bCs/>
          <w:color w:val="000000" w:themeColor="text1"/>
          <w:sz w:val="24"/>
          <w:szCs w:val="24"/>
        </w:rPr>
        <w:t xml:space="preserve"> the Commonwealth</w:t>
      </w:r>
      <w:r w:rsidR="0062172D" w:rsidRPr="00DF1213">
        <w:rPr>
          <w:rFonts w:asciiTheme="majorHAnsi" w:eastAsiaTheme="majorEastAsia" w:hAnsiTheme="majorHAnsi" w:cstheme="majorBidi"/>
          <w:bCs/>
          <w:color w:val="000000" w:themeColor="text1"/>
          <w:sz w:val="24"/>
          <w:szCs w:val="24"/>
        </w:rPr>
        <w:t xml:space="preserve"> </w:t>
      </w:r>
      <w:r w:rsidR="0062172D">
        <w:rPr>
          <w:rFonts w:asciiTheme="majorHAnsi" w:eastAsiaTheme="majorEastAsia" w:hAnsiTheme="majorHAnsi" w:cstheme="majorBidi"/>
          <w:bCs/>
          <w:color w:val="000000" w:themeColor="text1"/>
          <w:sz w:val="24"/>
          <w:szCs w:val="24"/>
        </w:rPr>
        <w:t>due to</w:t>
      </w:r>
      <w:r w:rsidR="0062172D" w:rsidRPr="00DF1213">
        <w:rPr>
          <w:rFonts w:asciiTheme="majorHAnsi" w:eastAsiaTheme="majorEastAsia" w:hAnsiTheme="majorHAnsi" w:cstheme="majorBidi"/>
          <w:bCs/>
          <w:color w:val="000000" w:themeColor="text1"/>
          <w:sz w:val="24"/>
          <w:szCs w:val="24"/>
        </w:rPr>
        <w:t xml:space="preserve"> </w:t>
      </w:r>
      <w:r w:rsidR="0062172D">
        <w:rPr>
          <w:rFonts w:asciiTheme="majorHAnsi" w:eastAsiaTheme="majorEastAsia" w:hAnsiTheme="majorHAnsi" w:cstheme="majorBidi"/>
          <w:bCs/>
          <w:color w:val="000000" w:themeColor="text1"/>
          <w:sz w:val="24"/>
          <w:szCs w:val="24"/>
        </w:rPr>
        <w:t xml:space="preserve">Massachusetts </w:t>
      </w:r>
      <w:r w:rsidR="0062172D" w:rsidRPr="00DF1213">
        <w:rPr>
          <w:rFonts w:asciiTheme="majorHAnsi" w:eastAsiaTheme="majorEastAsia" w:hAnsiTheme="majorHAnsi" w:cstheme="majorBidi"/>
          <w:bCs/>
          <w:color w:val="000000" w:themeColor="text1"/>
          <w:sz w:val="24"/>
          <w:szCs w:val="24"/>
        </w:rPr>
        <w:t>balanced budget requirement</w:t>
      </w:r>
      <w:r w:rsidR="0062172D">
        <w:rPr>
          <w:rFonts w:asciiTheme="majorHAnsi" w:eastAsiaTheme="majorEastAsia" w:hAnsiTheme="majorHAnsi" w:cstheme="majorBidi"/>
          <w:bCs/>
          <w:color w:val="000000" w:themeColor="text1"/>
          <w:sz w:val="24"/>
          <w:szCs w:val="24"/>
        </w:rPr>
        <w:t xml:space="preserve">s. </w:t>
      </w:r>
      <w:r w:rsidR="0062172D" w:rsidRPr="00DF1213">
        <w:rPr>
          <w:rFonts w:asciiTheme="majorHAnsi" w:eastAsiaTheme="majorEastAsia" w:hAnsiTheme="majorHAnsi" w:cstheme="majorBidi"/>
          <w:bCs/>
          <w:color w:val="000000" w:themeColor="text1"/>
          <w:sz w:val="24"/>
          <w:szCs w:val="24"/>
        </w:rPr>
        <w:t xml:space="preserve"> </w:t>
      </w:r>
      <w:r w:rsidR="0062172D">
        <w:rPr>
          <w:rFonts w:asciiTheme="majorHAnsi" w:eastAsiaTheme="majorEastAsia" w:hAnsiTheme="majorHAnsi" w:cstheme="majorBidi"/>
          <w:bCs/>
          <w:color w:val="000000" w:themeColor="text1"/>
          <w:sz w:val="24"/>
          <w:szCs w:val="24"/>
        </w:rPr>
        <w:t>As a result, it is imp</w:t>
      </w:r>
      <w:r w:rsidR="00550634">
        <w:rPr>
          <w:rFonts w:asciiTheme="majorHAnsi" w:eastAsiaTheme="majorEastAsia" w:hAnsiTheme="majorHAnsi" w:cstheme="majorBidi"/>
          <w:bCs/>
          <w:color w:val="000000" w:themeColor="text1"/>
          <w:sz w:val="24"/>
          <w:szCs w:val="24"/>
        </w:rPr>
        <w:t xml:space="preserve">ortant to keep in mind that the costs associated with providing this credit result in forgone benefits, or </w:t>
      </w:r>
      <w:r w:rsidR="0062172D">
        <w:rPr>
          <w:rFonts w:asciiTheme="majorHAnsi" w:eastAsiaTheme="majorEastAsia" w:hAnsiTheme="majorHAnsi" w:cstheme="majorBidi"/>
          <w:bCs/>
          <w:color w:val="000000" w:themeColor="text1"/>
          <w:sz w:val="24"/>
          <w:szCs w:val="24"/>
        </w:rPr>
        <w:t>opportunity cost</w:t>
      </w:r>
      <w:r w:rsidR="00550634">
        <w:rPr>
          <w:rFonts w:asciiTheme="majorHAnsi" w:eastAsiaTheme="majorEastAsia" w:hAnsiTheme="majorHAnsi" w:cstheme="majorBidi"/>
          <w:bCs/>
          <w:color w:val="000000" w:themeColor="text1"/>
          <w:sz w:val="24"/>
          <w:szCs w:val="24"/>
        </w:rPr>
        <w:t>s,</w:t>
      </w:r>
      <w:r w:rsidR="0062172D">
        <w:rPr>
          <w:rFonts w:asciiTheme="majorHAnsi" w:eastAsiaTheme="majorEastAsia" w:hAnsiTheme="majorHAnsi" w:cstheme="majorBidi"/>
          <w:bCs/>
          <w:color w:val="000000" w:themeColor="text1"/>
          <w:sz w:val="24"/>
          <w:szCs w:val="24"/>
        </w:rPr>
        <w:t xml:space="preserve"> for the </w:t>
      </w:r>
      <w:r w:rsidR="0062172D" w:rsidRPr="00DF1213">
        <w:rPr>
          <w:rFonts w:asciiTheme="majorHAnsi" w:eastAsiaTheme="majorEastAsia" w:hAnsiTheme="majorHAnsi" w:cstheme="majorBidi"/>
          <w:bCs/>
          <w:color w:val="000000" w:themeColor="text1"/>
          <w:sz w:val="24"/>
          <w:szCs w:val="24"/>
        </w:rPr>
        <w:t>Commonwealth</w:t>
      </w:r>
      <w:r w:rsidR="00550634">
        <w:rPr>
          <w:rFonts w:asciiTheme="majorHAnsi" w:eastAsiaTheme="majorEastAsia" w:hAnsiTheme="majorHAnsi" w:cstheme="majorBidi"/>
          <w:bCs/>
          <w:color w:val="000000" w:themeColor="text1"/>
          <w:sz w:val="24"/>
          <w:szCs w:val="24"/>
        </w:rPr>
        <w:t>, as these amounts could have been expended elsewhere by the Commonwealth</w:t>
      </w:r>
      <w:r w:rsidR="00C730B8">
        <w:rPr>
          <w:rFonts w:asciiTheme="majorHAnsi" w:eastAsiaTheme="majorEastAsia" w:hAnsiTheme="majorHAnsi" w:cstheme="majorBidi"/>
          <w:bCs/>
          <w:color w:val="000000" w:themeColor="text1"/>
          <w:sz w:val="24"/>
          <w:szCs w:val="24"/>
        </w:rPr>
        <w:t xml:space="preserve"> in a manner that would have stimulated the Massachusetts economy</w:t>
      </w:r>
      <w:r w:rsidR="0062172D" w:rsidRPr="00DF1213">
        <w:rPr>
          <w:rFonts w:asciiTheme="majorHAnsi" w:eastAsiaTheme="majorEastAsia" w:hAnsiTheme="majorHAnsi" w:cstheme="majorBidi"/>
          <w:bCs/>
          <w:color w:val="000000" w:themeColor="text1"/>
          <w:sz w:val="24"/>
          <w:szCs w:val="24"/>
        </w:rPr>
        <w:t>.</w:t>
      </w:r>
    </w:p>
    <w:p w14:paraId="42C8A03E" w14:textId="77777777" w:rsidR="0062172D" w:rsidRDefault="0062172D" w:rsidP="0062172D">
      <w:pPr>
        <w:spacing w:after="0"/>
        <w:rPr>
          <w:rFonts w:asciiTheme="majorHAnsi" w:eastAsiaTheme="majorEastAsia" w:hAnsiTheme="majorHAnsi" w:cstheme="majorBidi"/>
          <w:bCs/>
          <w:color w:val="000000" w:themeColor="text1"/>
          <w:sz w:val="24"/>
          <w:szCs w:val="24"/>
        </w:rPr>
      </w:pPr>
    </w:p>
    <w:p w14:paraId="25B8468A" w14:textId="77777777" w:rsidR="0062172D" w:rsidRDefault="0062172D" w:rsidP="0062172D">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Please also note that such forgone benefits include not only the impact on the businesses and their employees that would have directly ben</w:t>
      </w:r>
      <w:r w:rsidR="004E4ECC">
        <w:rPr>
          <w:rFonts w:asciiTheme="majorHAnsi" w:eastAsiaTheme="majorEastAsia" w:hAnsiTheme="majorHAnsi" w:cstheme="majorBidi"/>
          <w:bCs/>
          <w:color w:val="000000" w:themeColor="text1"/>
          <w:sz w:val="24"/>
          <w:szCs w:val="24"/>
        </w:rPr>
        <w:t xml:space="preserve">efitted from such expenditures </w:t>
      </w:r>
      <w:r>
        <w:rPr>
          <w:rFonts w:asciiTheme="majorHAnsi" w:eastAsiaTheme="majorEastAsia" w:hAnsiTheme="majorHAnsi" w:cstheme="majorBidi"/>
          <w:bCs/>
          <w:color w:val="000000" w:themeColor="text1"/>
          <w:sz w:val="24"/>
          <w:szCs w:val="24"/>
        </w:rPr>
        <w:t>(this is called “direct impact”), but also the indirect impact such exp</w:t>
      </w:r>
      <w:r w:rsidR="00C730B8">
        <w:rPr>
          <w:rFonts w:asciiTheme="majorHAnsi" w:eastAsiaTheme="majorEastAsia" w:hAnsiTheme="majorHAnsi" w:cstheme="majorBidi"/>
          <w:bCs/>
          <w:color w:val="000000" w:themeColor="text1"/>
          <w:sz w:val="24"/>
          <w:szCs w:val="24"/>
        </w:rPr>
        <w:t>enditures would have had on the</w:t>
      </w:r>
      <w:r>
        <w:rPr>
          <w:rFonts w:asciiTheme="majorHAnsi" w:eastAsiaTheme="majorEastAsia" w:hAnsiTheme="majorHAnsi" w:cstheme="majorBidi"/>
          <w:bCs/>
          <w:color w:val="000000" w:themeColor="text1"/>
          <w:sz w:val="24"/>
          <w:szCs w:val="24"/>
        </w:rPr>
        <w:t xml:space="preserve"> businesses that provide intermediate products and services to the directly impacted businesses (this is called “indirect impact”), as well as the indirect impact on the businesses benefiting from increased purchases of goods and services by employees working for the directly impacted businesses due to their increased wages and salaries(this is called </w:t>
      </w:r>
      <w:r>
        <w:rPr>
          <w:rFonts w:asciiTheme="majorHAnsi" w:eastAsiaTheme="majorEastAsia" w:hAnsiTheme="majorHAnsi" w:cstheme="majorBidi"/>
          <w:bCs/>
          <w:color w:val="000000" w:themeColor="text1"/>
          <w:sz w:val="24"/>
          <w:szCs w:val="24"/>
        </w:rPr>
        <w:lastRenderedPageBreak/>
        <w:t>“induced impact”).  Thus, the total forgone benefits extend to the economy as</w:t>
      </w:r>
      <w:r w:rsidR="00C730B8">
        <w:rPr>
          <w:rFonts w:asciiTheme="majorHAnsi" w:eastAsiaTheme="majorEastAsia" w:hAnsiTheme="majorHAnsi" w:cstheme="majorBidi"/>
          <w:bCs/>
          <w:color w:val="000000" w:themeColor="text1"/>
          <w:sz w:val="24"/>
          <w:szCs w:val="24"/>
        </w:rPr>
        <w:t xml:space="preserve"> a whole and ultimately exceed</w:t>
      </w:r>
      <w:r>
        <w:rPr>
          <w:rFonts w:asciiTheme="majorHAnsi" w:eastAsiaTheme="majorEastAsia" w:hAnsiTheme="majorHAnsi" w:cstheme="majorBidi"/>
          <w:bCs/>
          <w:color w:val="000000" w:themeColor="text1"/>
          <w:sz w:val="24"/>
          <w:szCs w:val="24"/>
        </w:rPr>
        <w:t xml:space="preserve"> the initial forgone benefits. </w:t>
      </w:r>
      <w:r w:rsidR="004E4ECC">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This phenomenon is called </w:t>
      </w:r>
      <w:r w:rsidR="007D17AF">
        <w:rPr>
          <w:rFonts w:asciiTheme="majorHAnsi" w:eastAsiaTheme="majorEastAsia" w:hAnsiTheme="majorHAnsi" w:cstheme="majorBidi"/>
          <w:bCs/>
          <w:color w:val="000000" w:themeColor="text1"/>
          <w:sz w:val="24"/>
          <w:szCs w:val="24"/>
        </w:rPr>
        <w:t xml:space="preserve">the </w:t>
      </w:r>
      <w:r>
        <w:rPr>
          <w:rFonts w:asciiTheme="majorHAnsi" w:eastAsiaTheme="majorEastAsia" w:hAnsiTheme="majorHAnsi" w:cstheme="majorBidi"/>
          <w:bCs/>
          <w:color w:val="000000" w:themeColor="text1"/>
          <w:sz w:val="24"/>
          <w:szCs w:val="24"/>
        </w:rPr>
        <w:t>“Multiplier Effect.”</w:t>
      </w:r>
      <w:r>
        <w:rPr>
          <w:rStyle w:val="FootnoteReference"/>
          <w:rFonts w:asciiTheme="majorHAnsi" w:eastAsiaTheme="majorEastAsia" w:hAnsiTheme="majorHAnsi"/>
          <w:bCs/>
          <w:color w:val="000000" w:themeColor="text1"/>
          <w:sz w:val="24"/>
          <w:szCs w:val="24"/>
        </w:rPr>
        <w:footnoteReference w:id="2"/>
      </w:r>
      <w:r>
        <w:rPr>
          <w:rFonts w:asciiTheme="majorHAnsi" w:eastAsiaTheme="majorEastAsia" w:hAnsiTheme="majorHAnsi" w:cstheme="majorBidi"/>
          <w:bCs/>
          <w:color w:val="000000" w:themeColor="text1"/>
          <w:sz w:val="24"/>
          <w:szCs w:val="24"/>
        </w:rPr>
        <w:t xml:space="preserve">  </w:t>
      </w:r>
    </w:p>
    <w:p w14:paraId="2976D1B5" w14:textId="77777777" w:rsidR="0062172D" w:rsidRDefault="0062172D" w:rsidP="0062172D">
      <w:pPr>
        <w:spacing w:after="0"/>
        <w:rPr>
          <w:rFonts w:asciiTheme="majorHAnsi" w:eastAsiaTheme="majorEastAsia" w:hAnsiTheme="majorHAnsi" w:cstheme="majorBidi"/>
          <w:bCs/>
          <w:color w:val="000000" w:themeColor="text1"/>
          <w:sz w:val="24"/>
          <w:szCs w:val="24"/>
        </w:rPr>
      </w:pPr>
    </w:p>
    <w:p w14:paraId="4E57E1B9" w14:textId="77777777" w:rsidR="0062172D" w:rsidRDefault="0062172D" w:rsidP="0062172D">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To estimate the </w:t>
      </w:r>
      <w:r>
        <w:rPr>
          <w:rFonts w:asciiTheme="majorHAnsi" w:eastAsiaTheme="majorEastAsia" w:hAnsiTheme="majorHAnsi" w:cstheme="majorBidi"/>
          <w:bCs/>
          <w:color w:val="000000" w:themeColor="text1"/>
          <w:sz w:val="24"/>
          <w:szCs w:val="24"/>
        </w:rPr>
        <w:t xml:space="preserve">total </w:t>
      </w:r>
      <w:r w:rsidRPr="00DF1213">
        <w:rPr>
          <w:rFonts w:asciiTheme="majorHAnsi" w:eastAsiaTheme="majorEastAsia" w:hAnsiTheme="majorHAnsi" w:cstheme="majorBidi"/>
          <w:bCs/>
          <w:color w:val="000000" w:themeColor="text1"/>
          <w:sz w:val="24"/>
          <w:szCs w:val="24"/>
        </w:rPr>
        <w:t xml:space="preserve">forgone </w:t>
      </w:r>
      <w:r>
        <w:rPr>
          <w:rFonts w:asciiTheme="majorHAnsi" w:eastAsiaTheme="majorEastAsia" w:hAnsiTheme="majorHAnsi" w:cstheme="majorBidi"/>
          <w:bCs/>
          <w:color w:val="000000" w:themeColor="text1"/>
          <w:sz w:val="24"/>
          <w:szCs w:val="24"/>
        </w:rPr>
        <w:t>benefits due to</w:t>
      </w:r>
      <w:r w:rsidRPr="00DF1213">
        <w:rPr>
          <w:rFonts w:asciiTheme="majorHAnsi" w:eastAsiaTheme="majorEastAsia" w:hAnsiTheme="majorHAnsi" w:cstheme="majorBidi"/>
          <w:bCs/>
          <w:color w:val="000000" w:themeColor="text1"/>
          <w:sz w:val="24"/>
          <w:szCs w:val="24"/>
        </w:rPr>
        <w:t xml:space="preserve"> reduced spending on other expenditure items, we </w:t>
      </w:r>
      <w:r>
        <w:rPr>
          <w:rFonts w:asciiTheme="majorHAnsi" w:eastAsiaTheme="majorEastAsia" w:hAnsiTheme="majorHAnsi" w:cstheme="majorBidi"/>
          <w:bCs/>
          <w:color w:val="000000" w:themeColor="text1"/>
          <w:sz w:val="24"/>
          <w:szCs w:val="24"/>
        </w:rPr>
        <w:t>used</w:t>
      </w:r>
      <w:r w:rsidRPr="00DF1213">
        <w:rPr>
          <w:rFonts w:asciiTheme="majorHAnsi" w:eastAsiaTheme="majorEastAsia" w:hAnsiTheme="majorHAnsi" w:cstheme="majorBidi"/>
          <w:bCs/>
          <w:color w:val="000000" w:themeColor="text1"/>
          <w:sz w:val="24"/>
          <w:szCs w:val="24"/>
        </w:rPr>
        <w:t xml:space="preserve"> Tax-PI</w:t>
      </w:r>
      <w:r>
        <w:rPr>
          <w:rFonts w:asciiTheme="majorHAnsi" w:eastAsiaTheme="majorEastAsia" w:hAnsiTheme="majorHAnsi" w:cstheme="majorBidi"/>
          <w:bCs/>
          <w:color w:val="000000" w:themeColor="text1"/>
          <w:sz w:val="24"/>
          <w:szCs w:val="24"/>
        </w:rPr>
        <w:t>,</w:t>
      </w:r>
      <w:r w:rsidRPr="00DF1213">
        <w:rPr>
          <w:rFonts w:asciiTheme="majorHAnsi" w:eastAsiaTheme="majorEastAsia" w:hAnsiTheme="majorHAnsi" w:cstheme="majorBidi"/>
          <w:bCs/>
          <w:color w:val="000000" w:themeColor="text1"/>
          <w:sz w:val="24"/>
          <w:szCs w:val="24"/>
        </w:rPr>
        <w:t xml:space="preserve"> a</w:t>
      </w:r>
      <w:r>
        <w:rPr>
          <w:rFonts w:asciiTheme="majorHAnsi" w:eastAsiaTheme="majorEastAsia" w:hAnsiTheme="majorHAnsi" w:cstheme="majorBidi"/>
          <w:bCs/>
          <w:color w:val="000000" w:themeColor="text1"/>
          <w:sz w:val="24"/>
          <w:szCs w:val="24"/>
        </w:rPr>
        <w:t xml:space="preserve"> software</w:t>
      </w:r>
      <w:r w:rsidRPr="00DF1213">
        <w:rPr>
          <w:rFonts w:asciiTheme="majorHAnsi" w:eastAsiaTheme="majorEastAsia" w:hAnsiTheme="majorHAnsi" w:cstheme="majorBidi"/>
          <w:bCs/>
          <w:color w:val="000000" w:themeColor="text1"/>
          <w:sz w:val="24"/>
          <w:szCs w:val="24"/>
        </w:rPr>
        <w:t xml:space="preserve"> tool </w:t>
      </w:r>
      <w:r w:rsidR="00C730B8">
        <w:rPr>
          <w:rFonts w:asciiTheme="majorHAnsi" w:eastAsiaTheme="majorEastAsia" w:hAnsiTheme="majorHAnsi" w:cstheme="majorBidi"/>
          <w:bCs/>
          <w:color w:val="000000" w:themeColor="text1"/>
          <w:sz w:val="24"/>
          <w:szCs w:val="24"/>
        </w:rPr>
        <w:t>renowned</w:t>
      </w:r>
      <w:r>
        <w:rPr>
          <w:rFonts w:asciiTheme="majorHAnsi" w:eastAsiaTheme="majorEastAsia" w:hAnsiTheme="majorHAnsi" w:cstheme="majorBidi"/>
          <w:bCs/>
          <w:color w:val="000000" w:themeColor="text1"/>
          <w:sz w:val="24"/>
          <w:szCs w:val="24"/>
        </w:rPr>
        <w:t xml:space="preserve"> </w:t>
      </w:r>
      <w:r w:rsidRPr="00DF1213">
        <w:rPr>
          <w:rFonts w:asciiTheme="majorHAnsi" w:eastAsiaTheme="majorEastAsia" w:hAnsiTheme="majorHAnsi" w:cstheme="majorBidi"/>
          <w:bCs/>
          <w:color w:val="000000" w:themeColor="text1"/>
          <w:sz w:val="24"/>
          <w:szCs w:val="24"/>
        </w:rPr>
        <w:t>for</w:t>
      </w:r>
      <w:r>
        <w:rPr>
          <w:rFonts w:asciiTheme="majorHAnsi" w:eastAsiaTheme="majorEastAsia" w:hAnsiTheme="majorHAnsi" w:cstheme="majorBidi"/>
          <w:bCs/>
          <w:color w:val="000000" w:themeColor="text1"/>
          <w:sz w:val="24"/>
          <w:szCs w:val="24"/>
        </w:rPr>
        <w:t xml:space="preserve"> its capabilities in</w:t>
      </w:r>
      <w:r w:rsidRPr="00DF1213">
        <w:rPr>
          <w:rFonts w:asciiTheme="majorHAnsi" w:eastAsiaTheme="majorEastAsia" w:hAnsiTheme="majorHAnsi" w:cstheme="majorBidi"/>
          <w:bCs/>
          <w:color w:val="000000" w:themeColor="text1"/>
          <w:sz w:val="24"/>
          <w:szCs w:val="24"/>
        </w:rPr>
        <w:t xml:space="preserve"> evaluating the total fiscal and economic effects of tax policy changes. Tax-PI is built on over 30 years of experience in modeling the economic</w:t>
      </w:r>
      <w:r w:rsidR="00C730B8">
        <w:rPr>
          <w:rFonts w:asciiTheme="majorHAnsi" w:eastAsiaTheme="majorEastAsia" w:hAnsiTheme="majorHAnsi" w:cstheme="majorBidi"/>
          <w:bCs/>
          <w:color w:val="000000" w:themeColor="text1"/>
          <w:sz w:val="24"/>
          <w:szCs w:val="24"/>
        </w:rPr>
        <w:t xml:space="preserve"> effects of tax policy changes, </w:t>
      </w:r>
      <w:r w:rsidR="00EC5B57">
        <w:rPr>
          <w:rFonts w:asciiTheme="majorHAnsi" w:eastAsiaTheme="majorEastAsia" w:hAnsiTheme="majorHAnsi" w:cstheme="majorBidi"/>
          <w:bCs/>
          <w:color w:val="000000" w:themeColor="text1"/>
          <w:sz w:val="24"/>
          <w:szCs w:val="24"/>
        </w:rPr>
        <w:t xml:space="preserve">as </w:t>
      </w:r>
      <w:r w:rsidR="00C730B8">
        <w:rPr>
          <w:rFonts w:asciiTheme="majorHAnsi" w:eastAsiaTheme="majorEastAsia" w:hAnsiTheme="majorHAnsi" w:cstheme="majorBidi"/>
          <w:bCs/>
          <w:color w:val="000000" w:themeColor="text1"/>
          <w:sz w:val="24"/>
          <w:szCs w:val="24"/>
        </w:rPr>
        <w:t>further explained in “</w:t>
      </w:r>
      <w:r w:rsidRPr="00DF1213">
        <w:rPr>
          <w:rFonts w:asciiTheme="majorHAnsi" w:eastAsiaTheme="majorEastAsia" w:hAnsiTheme="majorHAnsi" w:cstheme="majorBidi"/>
          <w:bCs/>
          <w:color w:val="000000" w:themeColor="text1"/>
          <w:sz w:val="24"/>
          <w:szCs w:val="24"/>
        </w:rPr>
        <w:t>MODELS: TAX-PI</w:t>
      </w:r>
      <w:r w:rsidR="00C730B8">
        <w:rPr>
          <w:rFonts w:asciiTheme="majorHAnsi" w:eastAsiaTheme="majorEastAsia" w:hAnsiTheme="majorHAnsi" w:cstheme="majorBidi"/>
          <w:bCs/>
          <w:color w:val="000000" w:themeColor="text1"/>
          <w:sz w:val="24"/>
          <w:szCs w:val="24"/>
        </w:rPr>
        <w:t>” provided in</w:t>
      </w:r>
      <w:r w:rsidRPr="00DF1213">
        <w:rPr>
          <w:rFonts w:asciiTheme="majorHAnsi" w:eastAsiaTheme="majorEastAsia" w:hAnsiTheme="majorHAnsi" w:cstheme="majorBidi"/>
          <w:bCs/>
          <w:color w:val="000000" w:themeColor="text1"/>
          <w:sz w:val="24"/>
          <w:szCs w:val="24"/>
        </w:rPr>
        <w:t xml:space="preserve"> the reference</w:t>
      </w:r>
      <w:r w:rsidR="00C730B8">
        <w:rPr>
          <w:rFonts w:asciiTheme="majorHAnsi" w:eastAsiaTheme="majorEastAsia" w:hAnsiTheme="majorHAnsi" w:cstheme="majorBidi"/>
          <w:bCs/>
          <w:color w:val="000000" w:themeColor="text1"/>
          <w:sz w:val="24"/>
          <w:szCs w:val="24"/>
        </w:rPr>
        <w:t xml:space="preserve"> section at the end of this document</w:t>
      </w:r>
      <w:r w:rsidRPr="00DF1213">
        <w:rPr>
          <w:rFonts w:asciiTheme="majorHAnsi" w:eastAsiaTheme="majorEastAsia" w:hAnsiTheme="majorHAnsi" w:cstheme="majorBidi"/>
          <w:bCs/>
          <w:color w:val="000000" w:themeColor="text1"/>
          <w:sz w:val="24"/>
          <w:szCs w:val="24"/>
        </w:rPr>
        <w:t xml:space="preserve">. The popularity of the model has grown substantially since it was </w:t>
      </w:r>
      <w:r w:rsidR="00C730B8">
        <w:rPr>
          <w:rFonts w:asciiTheme="majorHAnsi" w:eastAsiaTheme="majorEastAsia" w:hAnsiTheme="majorHAnsi" w:cstheme="majorBidi"/>
          <w:bCs/>
          <w:color w:val="000000" w:themeColor="text1"/>
          <w:sz w:val="24"/>
          <w:szCs w:val="24"/>
        </w:rPr>
        <w:t>introduced.  Note that while this</w:t>
      </w:r>
      <w:r w:rsidRPr="00DF1213">
        <w:rPr>
          <w:rFonts w:asciiTheme="majorHAnsi" w:eastAsiaTheme="majorEastAsia" w:hAnsiTheme="majorHAnsi" w:cstheme="majorBidi"/>
          <w:bCs/>
          <w:color w:val="000000" w:themeColor="text1"/>
          <w:sz w:val="24"/>
          <w:szCs w:val="24"/>
        </w:rPr>
        <w:t xml:space="preserve"> tax incentive is</w:t>
      </w:r>
      <w:r w:rsidR="00C730B8">
        <w:rPr>
          <w:rFonts w:asciiTheme="majorHAnsi" w:eastAsiaTheme="majorEastAsia" w:hAnsiTheme="majorHAnsi" w:cstheme="majorBidi"/>
          <w:bCs/>
          <w:color w:val="000000" w:themeColor="text1"/>
          <w:sz w:val="24"/>
          <w:szCs w:val="24"/>
        </w:rPr>
        <w:t xml:space="preserve"> provided</w:t>
      </w:r>
      <w:r w:rsidRPr="00DF1213">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for a </w:t>
      </w:r>
      <w:r w:rsidRPr="00DF1213">
        <w:rPr>
          <w:rFonts w:asciiTheme="majorHAnsi" w:eastAsiaTheme="majorEastAsia" w:hAnsiTheme="majorHAnsi" w:cstheme="majorBidi"/>
          <w:bCs/>
          <w:color w:val="000000" w:themeColor="text1"/>
          <w:sz w:val="24"/>
          <w:szCs w:val="24"/>
        </w:rPr>
        <w:t>specific</w:t>
      </w:r>
      <w:r>
        <w:rPr>
          <w:rFonts w:asciiTheme="majorHAnsi" w:eastAsiaTheme="majorEastAsia" w:hAnsiTheme="majorHAnsi" w:cstheme="majorBidi"/>
          <w:bCs/>
          <w:color w:val="000000" w:themeColor="text1"/>
          <w:sz w:val="24"/>
          <w:szCs w:val="24"/>
        </w:rPr>
        <w:t xml:space="preserve"> purpose</w:t>
      </w:r>
      <w:r w:rsidRPr="00DF1213">
        <w:rPr>
          <w:rFonts w:asciiTheme="majorHAnsi" w:eastAsiaTheme="majorEastAsia" w:hAnsiTheme="majorHAnsi" w:cstheme="majorBidi"/>
          <w:bCs/>
          <w:color w:val="000000" w:themeColor="text1"/>
          <w:sz w:val="24"/>
          <w:szCs w:val="24"/>
        </w:rPr>
        <w:t>, the reduced spending is assumed to be made according to the current composition of the Commonwealth’s expenditure.</w:t>
      </w:r>
    </w:p>
    <w:p w14:paraId="1C7B4F4D" w14:textId="77777777" w:rsidR="0062172D" w:rsidRPr="00B459FF" w:rsidRDefault="0062172D" w:rsidP="0062172D">
      <w:pPr>
        <w:spacing w:after="0"/>
        <w:rPr>
          <w:rFonts w:asciiTheme="majorHAnsi" w:eastAsiaTheme="majorEastAsia" w:hAnsiTheme="majorHAnsi" w:cstheme="majorBidi"/>
          <w:bCs/>
          <w:color w:val="000000" w:themeColor="text1"/>
          <w:sz w:val="24"/>
          <w:szCs w:val="24"/>
        </w:rPr>
      </w:pPr>
    </w:p>
    <w:p w14:paraId="419DEF53" w14:textId="6EADDAD5" w:rsidR="00EF0FCC" w:rsidRDefault="00C730B8" w:rsidP="00EF0FCC">
      <w:pPr>
        <w:spacing w:after="0"/>
        <w:rPr>
          <w:rFonts w:asciiTheme="majorHAnsi" w:hAnsiTheme="majorHAnsi"/>
          <w:bCs/>
          <w:sz w:val="24"/>
          <w:szCs w:val="24"/>
        </w:rPr>
      </w:pPr>
      <w:r>
        <w:rPr>
          <w:rFonts w:asciiTheme="majorHAnsi" w:eastAsiaTheme="majorEastAsia" w:hAnsiTheme="majorHAnsi" w:cstheme="majorBidi"/>
          <w:bCs/>
          <w:color w:val="000000" w:themeColor="text1"/>
          <w:sz w:val="24"/>
          <w:szCs w:val="24"/>
        </w:rPr>
        <w:t>Our analysis</w:t>
      </w:r>
      <w:r w:rsidR="0062172D" w:rsidRPr="00B459FF">
        <w:rPr>
          <w:rFonts w:asciiTheme="majorHAnsi" w:eastAsiaTheme="majorEastAsia" w:hAnsiTheme="majorHAnsi" w:cstheme="majorBidi"/>
          <w:bCs/>
          <w:color w:val="000000" w:themeColor="text1"/>
          <w:sz w:val="24"/>
          <w:szCs w:val="24"/>
        </w:rPr>
        <w:t xml:space="preserve"> is limited to </w:t>
      </w:r>
      <w:r w:rsidR="0062172D">
        <w:rPr>
          <w:rFonts w:asciiTheme="majorHAnsi" w:eastAsiaTheme="majorEastAsia" w:hAnsiTheme="majorHAnsi" w:cstheme="majorBidi"/>
          <w:bCs/>
          <w:color w:val="000000" w:themeColor="text1"/>
          <w:sz w:val="24"/>
          <w:szCs w:val="24"/>
        </w:rPr>
        <w:t xml:space="preserve">the </w:t>
      </w:r>
      <w:r w:rsidR="0062172D" w:rsidRPr="00B459FF">
        <w:rPr>
          <w:rFonts w:asciiTheme="majorHAnsi" w:eastAsiaTheme="majorEastAsia" w:hAnsiTheme="majorHAnsi" w:cstheme="majorBidi"/>
          <w:bCs/>
          <w:color w:val="000000" w:themeColor="text1"/>
          <w:sz w:val="24"/>
          <w:szCs w:val="24"/>
        </w:rPr>
        <w:t xml:space="preserve">five years from 2018 through 2022, for which we prepared input data to run the model. Tables </w:t>
      </w:r>
      <w:r w:rsidR="00BE1E02">
        <w:rPr>
          <w:rFonts w:asciiTheme="majorHAnsi" w:eastAsiaTheme="majorEastAsia" w:hAnsiTheme="majorHAnsi" w:cstheme="majorBidi"/>
          <w:bCs/>
          <w:color w:val="000000" w:themeColor="text1"/>
          <w:sz w:val="24"/>
          <w:szCs w:val="24"/>
        </w:rPr>
        <w:t>3</w:t>
      </w:r>
      <w:r w:rsidR="00BE1E02" w:rsidRPr="00B459FF">
        <w:rPr>
          <w:rFonts w:asciiTheme="majorHAnsi" w:eastAsiaTheme="majorEastAsia" w:hAnsiTheme="majorHAnsi" w:cstheme="majorBidi"/>
          <w:bCs/>
          <w:color w:val="000000" w:themeColor="text1"/>
          <w:sz w:val="24"/>
          <w:szCs w:val="24"/>
        </w:rPr>
        <w:t xml:space="preserve"> </w:t>
      </w:r>
      <w:r w:rsidR="0062172D" w:rsidRPr="00B459FF">
        <w:rPr>
          <w:rFonts w:asciiTheme="majorHAnsi" w:eastAsiaTheme="majorEastAsia" w:hAnsiTheme="majorHAnsi" w:cstheme="majorBidi"/>
          <w:bCs/>
          <w:color w:val="000000" w:themeColor="text1"/>
          <w:sz w:val="24"/>
          <w:szCs w:val="24"/>
        </w:rPr>
        <w:t xml:space="preserve">and </w:t>
      </w:r>
      <w:r w:rsidR="00BE1E02">
        <w:rPr>
          <w:rFonts w:asciiTheme="majorHAnsi" w:eastAsiaTheme="majorEastAsia" w:hAnsiTheme="majorHAnsi" w:cstheme="majorBidi"/>
          <w:bCs/>
          <w:color w:val="000000" w:themeColor="text1"/>
          <w:sz w:val="24"/>
          <w:szCs w:val="24"/>
        </w:rPr>
        <w:t>4</w:t>
      </w:r>
      <w:r w:rsidR="00BE1E02" w:rsidRPr="00B459FF">
        <w:rPr>
          <w:rFonts w:asciiTheme="majorHAnsi" w:eastAsiaTheme="majorEastAsia" w:hAnsiTheme="majorHAnsi" w:cstheme="majorBidi"/>
          <w:bCs/>
          <w:color w:val="000000" w:themeColor="text1"/>
          <w:sz w:val="24"/>
          <w:szCs w:val="24"/>
        </w:rPr>
        <w:t xml:space="preserve"> </w:t>
      </w:r>
      <w:r w:rsidR="0062172D" w:rsidRPr="00B459FF">
        <w:rPr>
          <w:rFonts w:asciiTheme="majorHAnsi" w:eastAsiaTheme="majorEastAsia" w:hAnsiTheme="majorHAnsi" w:cstheme="majorBidi"/>
          <w:bCs/>
          <w:color w:val="000000" w:themeColor="text1"/>
          <w:sz w:val="24"/>
          <w:szCs w:val="24"/>
        </w:rPr>
        <w:t xml:space="preserve">report </w:t>
      </w:r>
      <w:r w:rsidR="0062172D">
        <w:rPr>
          <w:rFonts w:asciiTheme="majorHAnsi" w:eastAsiaTheme="majorEastAsia" w:hAnsiTheme="majorHAnsi" w:cstheme="majorBidi"/>
          <w:bCs/>
          <w:color w:val="000000" w:themeColor="text1"/>
          <w:sz w:val="24"/>
          <w:szCs w:val="24"/>
        </w:rPr>
        <w:t>the model</w:t>
      </w:r>
      <w:r w:rsidR="0062172D" w:rsidRPr="003C4B67">
        <w:rPr>
          <w:rFonts w:asciiTheme="majorHAnsi" w:eastAsiaTheme="majorEastAsia" w:hAnsiTheme="majorHAnsi" w:cstheme="majorBidi"/>
          <w:bCs/>
          <w:color w:val="000000" w:themeColor="text1"/>
          <w:sz w:val="24"/>
          <w:szCs w:val="24"/>
        </w:rPr>
        <w:t xml:space="preserve"> </w:t>
      </w:r>
      <w:r w:rsidR="0062172D" w:rsidRPr="00B459FF">
        <w:rPr>
          <w:rFonts w:asciiTheme="majorHAnsi" w:eastAsiaTheme="majorEastAsia" w:hAnsiTheme="majorHAnsi" w:cstheme="majorBidi"/>
          <w:bCs/>
          <w:color w:val="000000" w:themeColor="text1"/>
          <w:sz w:val="24"/>
          <w:szCs w:val="24"/>
        </w:rPr>
        <w:t xml:space="preserve">results. </w:t>
      </w:r>
      <w:r w:rsidR="0062172D" w:rsidRPr="00682DC7">
        <w:rPr>
          <w:rFonts w:asciiTheme="majorHAnsi" w:eastAsiaTheme="majorEastAsia" w:hAnsiTheme="majorHAnsi" w:cstheme="majorBidi"/>
          <w:bCs/>
          <w:color w:val="000000" w:themeColor="text1"/>
          <w:sz w:val="24"/>
          <w:szCs w:val="24"/>
        </w:rPr>
        <w:t>The figures for 2018 and 2019 are estimates of forgone benefits (opportunity costs) that the Massachusetts economy experience</w:t>
      </w:r>
      <w:r w:rsidR="0062172D">
        <w:rPr>
          <w:rFonts w:asciiTheme="majorHAnsi" w:eastAsiaTheme="majorEastAsia" w:hAnsiTheme="majorHAnsi" w:cstheme="majorBidi"/>
          <w:bCs/>
          <w:color w:val="000000" w:themeColor="text1"/>
          <w:sz w:val="24"/>
          <w:szCs w:val="24"/>
        </w:rPr>
        <w:t>d</w:t>
      </w:r>
      <w:r w:rsidR="0062172D" w:rsidRPr="00682DC7">
        <w:rPr>
          <w:rFonts w:asciiTheme="majorHAnsi" w:eastAsiaTheme="majorEastAsia" w:hAnsiTheme="majorHAnsi" w:cstheme="majorBidi"/>
          <w:bCs/>
          <w:color w:val="000000" w:themeColor="text1"/>
          <w:sz w:val="24"/>
          <w:szCs w:val="24"/>
        </w:rPr>
        <w:t xml:space="preserve"> and those for 2020, 2021 and 2022 are </w:t>
      </w:r>
      <w:r w:rsidR="0062172D">
        <w:rPr>
          <w:rFonts w:asciiTheme="majorHAnsi" w:eastAsiaTheme="majorEastAsia" w:hAnsiTheme="majorHAnsi" w:cstheme="majorBidi"/>
          <w:bCs/>
          <w:color w:val="000000" w:themeColor="text1"/>
          <w:sz w:val="24"/>
          <w:szCs w:val="24"/>
        </w:rPr>
        <w:t>projections</w:t>
      </w:r>
      <w:r w:rsidR="0062172D" w:rsidRPr="00682DC7">
        <w:rPr>
          <w:rFonts w:asciiTheme="majorHAnsi" w:eastAsiaTheme="majorEastAsia" w:hAnsiTheme="majorHAnsi" w:cstheme="majorBidi"/>
          <w:bCs/>
          <w:color w:val="000000" w:themeColor="text1"/>
          <w:sz w:val="24"/>
          <w:szCs w:val="24"/>
        </w:rPr>
        <w:t xml:space="preserve"> of forgone benefits that the Massachusetts economy </w:t>
      </w:r>
      <w:r w:rsidR="0062172D">
        <w:rPr>
          <w:rFonts w:asciiTheme="majorHAnsi" w:eastAsiaTheme="majorEastAsia" w:hAnsiTheme="majorHAnsi" w:cstheme="majorBidi"/>
          <w:bCs/>
          <w:color w:val="000000" w:themeColor="text1"/>
          <w:sz w:val="24"/>
          <w:szCs w:val="24"/>
        </w:rPr>
        <w:t>will</w:t>
      </w:r>
      <w:r w:rsidR="0062172D" w:rsidRPr="00682DC7">
        <w:rPr>
          <w:rFonts w:asciiTheme="majorHAnsi" w:eastAsiaTheme="majorEastAsia" w:hAnsiTheme="majorHAnsi" w:cstheme="majorBidi"/>
          <w:bCs/>
          <w:color w:val="000000" w:themeColor="text1"/>
          <w:sz w:val="24"/>
          <w:szCs w:val="24"/>
        </w:rPr>
        <w:t xml:space="preserve"> experience going forward.  The </w:t>
      </w:r>
      <w:r w:rsidR="003727D6">
        <w:rPr>
          <w:rFonts w:asciiTheme="majorHAnsi" w:eastAsiaTheme="majorEastAsia" w:hAnsiTheme="majorHAnsi" w:cstheme="majorBidi"/>
          <w:bCs/>
          <w:color w:val="000000" w:themeColor="text1"/>
          <w:sz w:val="24"/>
          <w:szCs w:val="24"/>
        </w:rPr>
        <w:t>effects are</w:t>
      </w:r>
      <w:r w:rsidR="0062172D" w:rsidRPr="00682DC7">
        <w:rPr>
          <w:rFonts w:asciiTheme="majorHAnsi" w:eastAsiaTheme="majorEastAsia" w:hAnsiTheme="majorHAnsi" w:cstheme="majorBidi"/>
          <w:bCs/>
          <w:color w:val="000000" w:themeColor="text1"/>
          <w:sz w:val="24"/>
          <w:szCs w:val="24"/>
        </w:rPr>
        <w:t xml:space="preserve"> </w:t>
      </w:r>
      <w:r w:rsidR="007D17AF">
        <w:rPr>
          <w:rFonts w:asciiTheme="majorHAnsi" w:eastAsiaTheme="majorEastAsia" w:hAnsiTheme="majorHAnsi" w:cstheme="majorBidi"/>
          <w:bCs/>
          <w:color w:val="000000" w:themeColor="text1"/>
          <w:sz w:val="24"/>
          <w:szCs w:val="24"/>
        </w:rPr>
        <w:t xml:space="preserve">shown as </w:t>
      </w:r>
      <w:r w:rsidR="0062172D" w:rsidRPr="00682DC7">
        <w:rPr>
          <w:rFonts w:asciiTheme="majorHAnsi" w:eastAsiaTheme="majorEastAsia" w:hAnsiTheme="majorHAnsi" w:cstheme="majorBidi"/>
          <w:bCs/>
          <w:color w:val="000000" w:themeColor="text1"/>
          <w:sz w:val="24"/>
          <w:szCs w:val="24"/>
        </w:rPr>
        <w:t>negative as reduced spending ha</w:t>
      </w:r>
      <w:r w:rsidR="003727D6">
        <w:rPr>
          <w:rFonts w:asciiTheme="majorHAnsi" w:eastAsiaTheme="majorEastAsia" w:hAnsiTheme="majorHAnsi" w:cstheme="majorBidi"/>
          <w:bCs/>
          <w:color w:val="000000" w:themeColor="text1"/>
          <w:sz w:val="24"/>
          <w:szCs w:val="24"/>
        </w:rPr>
        <w:t>s a negative impact on the Massachusetts</w:t>
      </w:r>
      <w:r w:rsidR="0062172D" w:rsidRPr="00682DC7">
        <w:rPr>
          <w:rFonts w:asciiTheme="majorHAnsi" w:eastAsiaTheme="majorEastAsia" w:hAnsiTheme="majorHAnsi" w:cstheme="majorBidi"/>
          <w:bCs/>
          <w:color w:val="000000" w:themeColor="text1"/>
          <w:sz w:val="24"/>
          <w:szCs w:val="24"/>
        </w:rPr>
        <w:t xml:space="preserve"> econo</w:t>
      </w:r>
      <w:r w:rsidR="0062172D">
        <w:rPr>
          <w:rFonts w:asciiTheme="majorHAnsi" w:eastAsiaTheme="majorEastAsia" w:hAnsiTheme="majorHAnsi" w:cstheme="majorBidi"/>
          <w:bCs/>
          <w:color w:val="000000" w:themeColor="text1"/>
          <w:sz w:val="24"/>
          <w:szCs w:val="24"/>
        </w:rPr>
        <w:t>m</w:t>
      </w:r>
      <w:r w:rsidR="0062172D" w:rsidRPr="00682DC7">
        <w:rPr>
          <w:rFonts w:asciiTheme="majorHAnsi" w:eastAsiaTheme="majorEastAsia" w:hAnsiTheme="majorHAnsi" w:cstheme="majorBidi"/>
          <w:bCs/>
          <w:color w:val="000000" w:themeColor="text1"/>
          <w:sz w:val="24"/>
          <w:szCs w:val="24"/>
        </w:rPr>
        <w:t>y.</w:t>
      </w:r>
      <w:r w:rsidR="00EF0FCC">
        <w:rPr>
          <w:rFonts w:asciiTheme="majorHAnsi" w:eastAsiaTheme="majorEastAsia" w:hAnsiTheme="majorHAnsi" w:cstheme="majorBidi"/>
          <w:bCs/>
          <w:color w:val="000000" w:themeColor="text1"/>
          <w:sz w:val="24"/>
          <w:szCs w:val="24"/>
        </w:rPr>
        <w:t xml:space="preserve">  </w:t>
      </w:r>
      <w:r w:rsidR="003727D6">
        <w:rPr>
          <w:rFonts w:asciiTheme="majorHAnsi" w:eastAsiaTheme="majorEastAsia" w:hAnsiTheme="majorHAnsi" w:cstheme="majorBidi"/>
          <w:bCs/>
          <w:color w:val="000000" w:themeColor="text1"/>
          <w:sz w:val="24"/>
          <w:szCs w:val="24"/>
        </w:rPr>
        <w:t xml:space="preserve">Tables </w:t>
      </w:r>
      <w:r w:rsidR="00BE1E02">
        <w:rPr>
          <w:rFonts w:asciiTheme="majorHAnsi" w:eastAsiaTheme="majorEastAsia" w:hAnsiTheme="majorHAnsi" w:cstheme="majorBidi"/>
          <w:bCs/>
          <w:color w:val="000000" w:themeColor="text1"/>
          <w:sz w:val="24"/>
          <w:szCs w:val="24"/>
        </w:rPr>
        <w:t xml:space="preserve">3 </w:t>
      </w:r>
      <w:r w:rsidR="003727D6">
        <w:rPr>
          <w:rFonts w:asciiTheme="majorHAnsi" w:eastAsiaTheme="majorEastAsia" w:hAnsiTheme="majorHAnsi" w:cstheme="majorBidi"/>
          <w:bCs/>
          <w:color w:val="000000" w:themeColor="text1"/>
          <w:sz w:val="24"/>
          <w:szCs w:val="24"/>
        </w:rPr>
        <w:t xml:space="preserve">and </w:t>
      </w:r>
      <w:r w:rsidR="00BE1E02">
        <w:rPr>
          <w:rFonts w:asciiTheme="majorHAnsi" w:eastAsiaTheme="majorEastAsia" w:hAnsiTheme="majorHAnsi" w:cstheme="majorBidi"/>
          <w:bCs/>
          <w:color w:val="000000" w:themeColor="text1"/>
          <w:sz w:val="24"/>
          <w:szCs w:val="24"/>
        </w:rPr>
        <w:t xml:space="preserve">4 </w:t>
      </w:r>
      <w:r w:rsidR="003727D6">
        <w:rPr>
          <w:rFonts w:asciiTheme="majorHAnsi" w:eastAsiaTheme="majorEastAsia" w:hAnsiTheme="majorHAnsi" w:cstheme="majorBidi"/>
          <w:bCs/>
          <w:color w:val="000000" w:themeColor="text1"/>
          <w:sz w:val="24"/>
          <w:szCs w:val="24"/>
        </w:rPr>
        <w:t>show that the reduced</w:t>
      </w:r>
      <w:r w:rsidR="00EF0FCC">
        <w:rPr>
          <w:rFonts w:asciiTheme="majorHAnsi" w:eastAsiaTheme="majorEastAsia" w:hAnsiTheme="majorHAnsi" w:cstheme="majorBidi"/>
          <w:bCs/>
          <w:color w:val="000000" w:themeColor="text1"/>
          <w:sz w:val="24"/>
          <w:szCs w:val="24"/>
        </w:rPr>
        <w:t xml:space="preserve"> state government spending results in lost economic activities, with real state GDP declining </w:t>
      </w:r>
      <w:r w:rsidR="00E43463">
        <w:rPr>
          <w:rFonts w:asciiTheme="majorHAnsi" w:eastAsiaTheme="majorEastAsia" w:hAnsiTheme="majorHAnsi" w:cstheme="majorBidi"/>
          <w:bCs/>
          <w:color w:val="000000" w:themeColor="text1"/>
          <w:sz w:val="24"/>
          <w:szCs w:val="24"/>
        </w:rPr>
        <w:t xml:space="preserve">by </w:t>
      </w:r>
      <w:r w:rsidR="00EF0FCC">
        <w:rPr>
          <w:rFonts w:asciiTheme="majorHAnsi" w:eastAsiaTheme="majorEastAsia" w:hAnsiTheme="majorHAnsi" w:cstheme="majorBidi"/>
          <w:bCs/>
          <w:color w:val="000000" w:themeColor="text1"/>
          <w:sz w:val="24"/>
          <w:szCs w:val="24"/>
        </w:rPr>
        <w:t>about $1</w:t>
      </w:r>
      <w:r w:rsidR="007D17AF">
        <w:rPr>
          <w:rFonts w:asciiTheme="majorHAnsi" w:eastAsiaTheme="majorEastAsia" w:hAnsiTheme="majorHAnsi" w:cstheme="majorBidi"/>
          <w:bCs/>
          <w:color w:val="000000" w:themeColor="text1"/>
          <w:sz w:val="24"/>
          <w:szCs w:val="24"/>
        </w:rPr>
        <w:t xml:space="preserve"> </w:t>
      </w:r>
      <w:r w:rsidR="00EF0FCC">
        <w:rPr>
          <w:rFonts w:asciiTheme="majorHAnsi" w:eastAsiaTheme="majorEastAsia" w:hAnsiTheme="majorHAnsi" w:cstheme="majorBidi"/>
          <w:bCs/>
          <w:color w:val="000000" w:themeColor="text1"/>
          <w:sz w:val="24"/>
          <w:szCs w:val="24"/>
        </w:rPr>
        <w:t xml:space="preserve">million and total employment declining </w:t>
      </w:r>
      <w:r w:rsidR="00EC5B57">
        <w:rPr>
          <w:rFonts w:asciiTheme="majorHAnsi" w:eastAsiaTheme="majorEastAsia" w:hAnsiTheme="majorHAnsi" w:cstheme="majorBidi"/>
          <w:bCs/>
          <w:color w:val="000000" w:themeColor="text1"/>
          <w:sz w:val="24"/>
          <w:szCs w:val="24"/>
        </w:rPr>
        <w:t xml:space="preserve">by </w:t>
      </w:r>
      <w:r w:rsidR="00EF0FCC">
        <w:rPr>
          <w:rFonts w:asciiTheme="majorHAnsi" w:eastAsiaTheme="majorEastAsia" w:hAnsiTheme="majorHAnsi" w:cstheme="majorBidi"/>
          <w:bCs/>
          <w:color w:val="000000" w:themeColor="text1"/>
          <w:sz w:val="24"/>
          <w:szCs w:val="24"/>
        </w:rPr>
        <w:t xml:space="preserve">9-11 </w:t>
      </w:r>
      <w:r w:rsidR="00EC5B57">
        <w:rPr>
          <w:rFonts w:asciiTheme="majorHAnsi" w:eastAsiaTheme="majorEastAsia" w:hAnsiTheme="majorHAnsi" w:cstheme="majorBidi"/>
          <w:bCs/>
          <w:color w:val="000000" w:themeColor="text1"/>
          <w:sz w:val="24"/>
          <w:szCs w:val="24"/>
        </w:rPr>
        <w:t>jobs</w:t>
      </w:r>
      <w:r w:rsidR="00F316CF">
        <w:rPr>
          <w:rFonts w:asciiTheme="majorHAnsi" w:eastAsiaTheme="majorEastAsia" w:hAnsiTheme="majorHAnsi" w:cstheme="majorBidi"/>
          <w:bCs/>
          <w:color w:val="000000" w:themeColor="text1"/>
          <w:sz w:val="24"/>
          <w:szCs w:val="24"/>
        </w:rPr>
        <w:t xml:space="preserve"> </w:t>
      </w:r>
      <w:r w:rsidR="00EF0FCC">
        <w:rPr>
          <w:rFonts w:asciiTheme="majorHAnsi" w:eastAsiaTheme="majorEastAsia" w:hAnsiTheme="majorHAnsi" w:cstheme="majorBidi"/>
          <w:bCs/>
          <w:color w:val="000000" w:themeColor="text1"/>
          <w:sz w:val="24"/>
          <w:szCs w:val="24"/>
        </w:rPr>
        <w:t>annually. Lost economic activities result in</w:t>
      </w:r>
      <w:r w:rsidR="00A3663A">
        <w:rPr>
          <w:rFonts w:asciiTheme="majorHAnsi" w:eastAsiaTheme="majorEastAsia" w:hAnsiTheme="majorHAnsi" w:cstheme="majorBidi"/>
          <w:bCs/>
          <w:color w:val="000000" w:themeColor="text1"/>
          <w:sz w:val="24"/>
          <w:szCs w:val="24"/>
        </w:rPr>
        <w:t xml:space="preserve"> a</w:t>
      </w:r>
      <w:r w:rsidR="00EF0FCC">
        <w:rPr>
          <w:rFonts w:asciiTheme="majorHAnsi" w:eastAsiaTheme="majorEastAsia" w:hAnsiTheme="majorHAnsi" w:cstheme="majorBidi"/>
          <w:bCs/>
          <w:color w:val="000000" w:themeColor="text1"/>
          <w:sz w:val="24"/>
          <w:szCs w:val="24"/>
        </w:rPr>
        <w:t xml:space="preserve"> further loss in </w:t>
      </w:r>
      <w:r w:rsidR="00EC5B57">
        <w:rPr>
          <w:rFonts w:asciiTheme="majorHAnsi" w:eastAsiaTheme="majorEastAsia" w:hAnsiTheme="majorHAnsi" w:cstheme="majorBidi"/>
          <w:bCs/>
          <w:color w:val="000000" w:themeColor="text1"/>
          <w:sz w:val="24"/>
          <w:szCs w:val="24"/>
        </w:rPr>
        <w:t xml:space="preserve">state </w:t>
      </w:r>
      <w:r w:rsidR="00EF0FCC">
        <w:rPr>
          <w:rFonts w:asciiTheme="majorHAnsi" w:eastAsiaTheme="majorEastAsia" w:hAnsiTheme="majorHAnsi" w:cstheme="majorBidi"/>
          <w:bCs/>
          <w:color w:val="000000" w:themeColor="text1"/>
          <w:sz w:val="24"/>
          <w:szCs w:val="24"/>
        </w:rPr>
        <w:t>revenues</w:t>
      </w:r>
      <w:r w:rsidR="00F316CF">
        <w:rPr>
          <w:rFonts w:asciiTheme="majorHAnsi" w:eastAsiaTheme="majorEastAsia" w:hAnsiTheme="majorHAnsi" w:cstheme="majorBidi"/>
          <w:bCs/>
          <w:color w:val="000000" w:themeColor="text1"/>
          <w:sz w:val="24"/>
          <w:szCs w:val="24"/>
        </w:rPr>
        <w:t>,</w:t>
      </w:r>
      <w:r w:rsidR="00EB5027">
        <w:rPr>
          <w:rStyle w:val="FootnoteReference"/>
          <w:rFonts w:asciiTheme="majorHAnsi" w:eastAsiaTheme="majorEastAsia" w:hAnsiTheme="majorHAnsi"/>
          <w:bCs/>
          <w:color w:val="000000" w:themeColor="text1"/>
          <w:sz w:val="24"/>
          <w:szCs w:val="24"/>
        </w:rPr>
        <w:footnoteReference w:id="3"/>
      </w:r>
      <w:r w:rsidR="00EF0FCC">
        <w:rPr>
          <w:rFonts w:asciiTheme="majorHAnsi" w:eastAsiaTheme="majorEastAsia" w:hAnsiTheme="majorHAnsi" w:cstheme="majorBidi"/>
          <w:bCs/>
          <w:color w:val="000000" w:themeColor="text1"/>
          <w:sz w:val="24"/>
          <w:szCs w:val="24"/>
        </w:rPr>
        <w:t xml:space="preserve"> ranging from $20,000 to $47,000 annually.</w:t>
      </w:r>
      <w:r w:rsidR="00EC5B57">
        <w:rPr>
          <w:rFonts w:asciiTheme="majorHAnsi" w:eastAsiaTheme="majorEastAsia" w:hAnsiTheme="majorHAnsi" w:cstheme="majorBidi"/>
          <w:bCs/>
          <w:color w:val="000000" w:themeColor="text1"/>
          <w:sz w:val="24"/>
          <w:szCs w:val="24"/>
        </w:rPr>
        <w:t xml:space="preserve"> </w:t>
      </w:r>
      <w:r w:rsidR="00EC5B57" w:rsidRPr="00D86973">
        <w:rPr>
          <w:rFonts w:asciiTheme="majorHAnsi" w:eastAsiaTheme="majorEastAsia" w:hAnsiTheme="majorHAnsi" w:cstheme="majorBidi"/>
          <w:bCs/>
          <w:color w:val="000000" w:themeColor="text1"/>
          <w:sz w:val="24"/>
          <w:szCs w:val="24"/>
        </w:rPr>
        <w:t xml:space="preserve">Note that the </w:t>
      </w:r>
      <w:r w:rsidR="006038A7">
        <w:rPr>
          <w:rFonts w:asciiTheme="majorHAnsi" w:eastAsiaTheme="majorEastAsia" w:hAnsiTheme="majorHAnsi" w:cstheme="majorBidi"/>
          <w:bCs/>
          <w:color w:val="000000" w:themeColor="text1"/>
          <w:sz w:val="24"/>
          <w:szCs w:val="24"/>
        </w:rPr>
        <w:t xml:space="preserve">additional </w:t>
      </w:r>
      <w:r w:rsidR="00EC5B57" w:rsidRPr="00D86973">
        <w:rPr>
          <w:rFonts w:asciiTheme="majorHAnsi" w:eastAsiaTheme="majorEastAsia" w:hAnsiTheme="majorHAnsi" w:cstheme="majorBidi"/>
          <w:bCs/>
          <w:color w:val="000000" w:themeColor="text1"/>
          <w:sz w:val="24"/>
          <w:szCs w:val="24"/>
        </w:rPr>
        <w:t>revenue impact</w:t>
      </w:r>
      <w:r w:rsidR="002B32CC">
        <w:rPr>
          <w:rFonts w:asciiTheme="majorHAnsi" w:eastAsiaTheme="majorEastAsia" w:hAnsiTheme="majorHAnsi" w:cstheme="majorBidi"/>
          <w:bCs/>
          <w:color w:val="000000" w:themeColor="text1"/>
          <w:sz w:val="24"/>
          <w:szCs w:val="24"/>
        </w:rPr>
        <w:t xml:space="preserve"> reported </w:t>
      </w:r>
      <w:r w:rsidR="00EC5B57" w:rsidRPr="00D86973">
        <w:rPr>
          <w:rFonts w:asciiTheme="majorHAnsi" w:eastAsiaTheme="majorEastAsia" w:hAnsiTheme="majorHAnsi" w:cstheme="majorBidi"/>
          <w:bCs/>
          <w:color w:val="000000" w:themeColor="text1"/>
          <w:sz w:val="24"/>
          <w:szCs w:val="24"/>
        </w:rPr>
        <w:t xml:space="preserve">does not include the </w:t>
      </w:r>
      <w:r w:rsidR="006038A7">
        <w:rPr>
          <w:rFonts w:asciiTheme="majorHAnsi" w:eastAsiaTheme="majorEastAsia" w:hAnsiTheme="majorHAnsi" w:cstheme="majorBidi"/>
          <w:bCs/>
          <w:color w:val="000000" w:themeColor="text1"/>
          <w:sz w:val="24"/>
          <w:szCs w:val="24"/>
        </w:rPr>
        <w:t xml:space="preserve">estimated </w:t>
      </w:r>
      <w:r w:rsidR="00EC5B57" w:rsidRPr="00D86973">
        <w:rPr>
          <w:rFonts w:asciiTheme="majorHAnsi" w:eastAsiaTheme="majorEastAsia" w:hAnsiTheme="majorHAnsi" w:cstheme="majorBidi"/>
          <w:bCs/>
          <w:color w:val="000000" w:themeColor="text1"/>
          <w:sz w:val="24"/>
          <w:szCs w:val="24"/>
        </w:rPr>
        <w:t>amount of the tax expenditure</w:t>
      </w:r>
      <w:r w:rsidR="006038A7">
        <w:rPr>
          <w:rFonts w:asciiTheme="majorHAnsi" w:eastAsiaTheme="majorEastAsia" w:hAnsiTheme="majorHAnsi" w:cstheme="majorBidi"/>
          <w:bCs/>
          <w:color w:val="000000" w:themeColor="text1"/>
          <w:sz w:val="24"/>
          <w:szCs w:val="24"/>
        </w:rPr>
        <w:t>, which is direct revenue impact</w:t>
      </w:r>
      <w:r w:rsidR="00D36A49">
        <w:rPr>
          <w:rFonts w:asciiTheme="majorHAnsi" w:eastAsiaTheme="majorEastAsia" w:hAnsiTheme="majorHAnsi" w:cstheme="majorBidi"/>
          <w:bCs/>
          <w:color w:val="000000" w:themeColor="text1"/>
          <w:sz w:val="24"/>
          <w:szCs w:val="24"/>
        </w:rPr>
        <w:t xml:space="preserve"> or </w:t>
      </w:r>
      <w:r w:rsidR="00477764">
        <w:rPr>
          <w:rFonts w:asciiTheme="majorHAnsi" w:eastAsiaTheme="majorEastAsia" w:hAnsiTheme="majorHAnsi" w:cstheme="majorBidi"/>
          <w:bCs/>
          <w:color w:val="000000" w:themeColor="text1"/>
          <w:sz w:val="24"/>
          <w:szCs w:val="24"/>
        </w:rPr>
        <w:t xml:space="preserve">direct </w:t>
      </w:r>
      <w:r w:rsidR="00D36A49">
        <w:rPr>
          <w:rFonts w:asciiTheme="majorHAnsi" w:eastAsiaTheme="majorEastAsia" w:hAnsiTheme="majorHAnsi" w:cstheme="majorBidi"/>
          <w:bCs/>
          <w:color w:val="000000" w:themeColor="text1"/>
          <w:sz w:val="24"/>
          <w:szCs w:val="24"/>
        </w:rPr>
        <w:t>cost</w:t>
      </w:r>
      <w:r w:rsidR="00DB5AF0">
        <w:rPr>
          <w:rFonts w:asciiTheme="majorHAnsi" w:eastAsiaTheme="majorEastAsia" w:hAnsiTheme="majorHAnsi" w:cstheme="majorBidi"/>
          <w:bCs/>
          <w:color w:val="000000" w:themeColor="text1"/>
          <w:sz w:val="24"/>
          <w:szCs w:val="24"/>
        </w:rPr>
        <w:t xml:space="preserve"> of the tax expenditure program</w:t>
      </w:r>
      <w:r w:rsidR="00EC5B57" w:rsidRPr="00D86973">
        <w:rPr>
          <w:rFonts w:asciiTheme="majorHAnsi" w:eastAsiaTheme="majorEastAsia" w:hAnsiTheme="majorHAnsi" w:cstheme="majorBidi"/>
          <w:bCs/>
          <w:color w:val="000000" w:themeColor="text1"/>
          <w:sz w:val="24"/>
          <w:szCs w:val="24"/>
        </w:rPr>
        <w:t>.</w:t>
      </w:r>
    </w:p>
    <w:p w14:paraId="62F31F63" w14:textId="77777777" w:rsidR="00EF0FCC" w:rsidRDefault="00EF0FCC" w:rsidP="00EF0FCC">
      <w:pPr>
        <w:spacing w:after="0"/>
        <w:rPr>
          <w:rFonts w:asciiTheme="majorHAnsi" w:hAnsiTheme="majorHAnsi"/>
          <w:bCs/>
          <w:sz w:val="24"/>
          <w:szCs w:val="24"/>
        </w:rPr>
      </w:pPr>
    </w:p>
    <w:p w14:paraId="240809CF" w14:textId="77777777" w:rsidR="00EF0FCC" w:rsidRDefault="00EF0FCC" w:rsidP="00EF0FCC">
      <w:pPr>
        <w:spacing w:after="0"/>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BE1E02">
        <w:rPr>
          <w:rFonts w:asciiTheme="majorHAnsi" w:eastAsiaTheme="majorEastAsia" w:hAnsiTheme="majorHAnsi" w:cstheme="majorBidi"/>
          <w:b/>
          <w:color w:val="000000" w:themeColor="text1"/>
          <w:sz w:val="24"/>
          <w:szCs w:val="24"/>
        </w:rPr>
        <w:t>3</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Additional Revenue Impact due to Decreased Government Spending* </w:t>
      </w:r>
    </w:p>
    <w:tbl>
      <w:tblPr>
        <w:tblW w:w="8887" w:type="dxa"/>
        <w:tblInd w:w="108" w:type="dxa"/>
        <w:tblLook w:val="04A0" w:firstRow="1" w:lastRow="0" w:firstColumn="1" w:lastColumn="0" w:noHBand="0" w:noVBand="1"/>
      </w:tblPr>
      <w:tblGrid>
        <w:gridCol w:w="3487"/>
        <w:gridCol w:w="1080"/>
        <w:gridCol w:w="1080"/>
        <w:gridCol w:w="1080"/>
        <w:gridCol w:w="1080"/>
        <w:gridCol w:w="1080"/>
      </w:tblGrid>
      <w:tr w:rsidR="00EF0FCC" w:rsidRPr="008B33E0" w14:paraId="07DDDD7B" w14:textId="77777777" w:rsidTr="00B21922">
        <w:trPr>
          <w:trHeight w:val="500"/>
        </w:trPr>
        <w:tc>
          <w:tcPr>
            <w:tcW w:w="3487"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36D12CE" w14:textId="77777777" w:rsidR="00EF0FCC" w:rsidRPr="008B33E0" w:rsidRDefault="00EF0FCC" w:rsidP="00B267BF">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Fiscal Year</w:t>
            </w:r>
          </w:p>
        </w:tc>
        <w:tc>
          <w:tcPr>
            <w:tcW w:w="1080" w:type="dxa"/>
            <w:tcBorders>
              <w:top w:val="single" w:sz="4" w:space="0" w:color="auto"/>
              <w:left w:val="nil"/>
              <w:bottom w:val="single" w:sz="4" w:space="0" w:color="auto"/>
              <w:right w:val="single" w:sz="4" w:space="0" w:color="auto"/>
            </w:tcBorders>
            <w:shd w:val="clear" w:color="000000" w:fill="B7DEE8"/>
            <w:noWrap/>
            <w:vAlign w:val="center"/>
            <w:hideMark/>
          </w:tcPr>
          <w:p w14:paraId="6A77430C" w14:textId="77777777" w:rsidR="00EF0FCC" w:rsidRPr="008B33E0" w:rsidRDefault="00EF0FCC" w:rsidP="00B267BF">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2018</w:t>
            </w:r>
          </w:p>
        </w:tc>
        <w:tc>
          <w:tcPr>
            <w:tcW w:w="1080" w:type="dxa"/>
            <w:tcBorders>
              <w:top w:val="single" w:sz="4" w:space="0" w:color="auto"/>
              <w:left w:val="nil"/>
              <w:bottom w:val="single" w:sz="4" w:space="0" w:color="auto"/>
              <w:right w:val="single" w:sz="4" w:space="0" w:color="auto"/>
            </w:tcBorders>
            <w:shd w:val="clear" w:color="000000" w:fill="B7DEE8"/>
            <w:noWrap/>
            <w:vAlign w:val="center"/>
            <w:hideMark/>
          </w:tcPr>
          <w:p w14:paraId="7C5417DF" w14:textId="77777777" w:rsidR="00EF0FCC" w:rsidRPr="008B33E0" w:rsidRDefault="00EF0FCC" w:rsidP="00B267BF">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2019</w:t>
            </w:r>
          </w:p>
        </w:tc>
        <w:tc>
          <w:tcPr>
            <w:tcW w:w="1080" w:type="dxa"/>
            <w:tcBorders>
              <w:top w:val="single" w:sz="4" w:space="0" w:color="auto"/>
              <w:left w:val="nil"/>
              <w:bottom w:val="single" w:sz="4" w:space="0" w:color="auto"/>
              <w:right w:val="single" w:sz="4" w:space="0" w:color="auto"/>
            </w:tcBorders>
            <w:shd w:val="clear" w:color="000000" w:fill="B7DEE8"/>
            <w:noWrap/>
            <w:vAlign w:val="center"/>
            <w:hideMark/>
          </w:tcPr>
          <w:p w14:paraId="4124B129" w14:textId="77777777" w:rsidR="00EF0FCC" w:rsidRPr="008B33E0" w:rsidRDefault="00EF0FCC" w:rsidP="00B267BF">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2020</w:t>
            </w:r>
          </w:p>
        </w:tc>
        <w:tc>
          <w:tcPr>
            <w:tcW w:w="1080" w:type="dxa"/>
            <w:tcBorders>
              <w:top w:val="single" w:sz="4" w:space="0" w:color="auto"/>
              <w:left w:val="nil"/>
              <w:bottom w:val="single" w:sz="4" w:space="0" w:color="auto"/>
              <w:right w:val="single" w:sz="4" w:space="0" w:color="auto"/>
            </w:tcBorders>
            <w:shd w:val="clear" w:color="000000" w:fill="B7DEE8"/>
            <w:noWrap/>
            <w:vAlign w:val="center"/>
            <w:hideMark/>
          </w:tcPr>
          <w:p w14:paraId="37AD4225" w14:textId="77777777" w:rsidR="00EF0FCC" w:rsidRPr="008B33E0" w:rsidRDefault="00EF0FCC" w:rsidP="00B267BF">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2021</w:t>
            </w:r>
          </w:p>
        </w:tc>
        <w:tc>
          <w:tcPr>
            <w:tcW w:w="1080" w:type="dxa"/>
            <w:tcBorders>
              <w:top w:val="single" w:sz="4" w:space="0" w:color="auto"/>
              <w:left w:val="nil"/>
              <w:bottom w:val="single" w:sz="4" w:space="0" w:color="auto"/>
              <w:right w:val="single" w:sz="4" w:space="0" w:color="auto"/>
            </w:tcBorders>
            <w:shd w:val="clear" w:color="000000" w:fill="B7DEE8"/>
            <w:noWrap/>
            <w:vAlign w:val="center"/>
            <w:hideMark/>
          </w:tcPr>
          <w:p w14:paraId="0CCF4D87" w14:textId="77777777" w:rsidR="00EF0FCC" w:rsidRPr="008B33E0" w:rsidRDefault="00EF0FCC" w:rsidP="00B267BF">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2022</w:t>
            </w:r>
          </w:p>
        </w:tc>
      </w:tr>
      <w:tr w:rsidR="00EF0FCC" w:rsidRPr="008B33E0" w14:paraId="457A5307" w14:textId="77777777" w:rsidTr="00B21922">
        <w:trPr>
          <w:trHeight w:val="500"/>
        </w:trPr>
        <w:tc>
          <w:tcPr>
            <w:tcW w:w="3487" w:type="dxa"/>
            <w:tcBorders>
              <w:top w:val="nil"/>
              <w:left w:val="single" w:sz="4" w:space="0" w:color="auto"/>
              <w:bottom w:val="single" w:sz="4" w:space="0" w:color="auto"/>
              <w:right w:val="single" w:sz="4" w:space="0" w:color="auto"/>
            </w:tcBorders>
            <w:shd w:val="clear" w:color="auto" w:fill="auto"/>
            <w:noWrap/>
            <w:vAlign w:val="center"/>
            <w:hideMark/>
          </w:tcPr>
          <w:p w14:paraId="65867C51" w14:textId="77777777" w:rsidR="00EF0FCC" w:rsidRPr="008B33E0" w:rsidRDefault="00EF0FCC" w:rsidP="00B267BF">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Additional r</w:t>
            </w:r>
            <w:r w:rsidRPr="008B33E0">
              <w:rPr>
                <w:rFonts w:ascii="Cambria" w:eastAsia="Times New Roman" w:hAnsi="Cambria" w:cs="Helvetica"/>
                <w:sz w:val="20"/>
                <w:szCs w:val="20"/>
                <w:lang w:eastAsia="ko-KR"/>
              </w:rPr>
              <w:t xml:space="preserve">evenue </w:t>
            </w:r>
            <w:r>
              <w:rPr>
                <w:rFonts w:ascii="Cambria" w:eastAsia="Times New Roman" w:hAnsi="Cambria" w:cs="Helvetica"/>
                <w:sz w:val="20"/>
                <w:szCs w:val="20"/>
                <w:lang w:eastAsia="ko-KR"/>
              </w:rPr>
              <w:t xml:space="preserve">impact </w:t>
            </w:r>
            <w:r w:rsidRPr="008B33E0">
              <w:rPr>
                <w:rFonts w:ascii="Cambria" w:eastAsia="Times New Roman" w:hAnsi="Cambria" w:cs="Helvetica"/>
                <w:sz w:val="20"/>
                <w:szCs w:val="20"/>
                <w:lang w:eastAsia="ko-KR"/>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C17F3" w14:textId="77777777" w:rsidR="00EF0FCC" w:rsidRPr="008B33E0"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F0FAE07" w14:textId="77777777" w:rsidR="00EF0FCC" w:rsidRPr="008B33E0"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($42)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79419FD" w14:textId="77777777" w:rsidR="00EF0FCC" w:rsidRPr="008B33E0"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($46)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7B5B169" w14:textId="77777777" w:rsidR="00EF0FCC" w:rsidRPr="008B33E0"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($48)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063F351" w14:textId="77777777" w:rsidR="00EF0FCC" w:rsidRPr="008B33E0"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($47)</w:t>
            </w:r>
          </w:p>
        </w:tc>
      </w:tr>
    </w:tbl>
    <w:p w14:paraId="00CFFCE7" w14:textId="77777777" w:rsidR="00EF0FCC" w:rsidRPr="00DF16CA" w:rsidRDefault="00EF0FCC" w:rsidP="00EF0FCC">
      <w:pPr>
        <w:spacing w:after="0"/>
        <w:rPr>
          <w:rFonts w:asciiTheme="majorHAnsi" w:eastAsiaTheme="majorEastAsia" w:hAnsiTheme="majorHAnsi" w:cstheme="majorBidi"/>
          <w:bCs/>
          <w:color w:val="000000" w:themeColor="text1"/>
          <w:sz w:val="20"/>
          <w:szCs w:val="20"/>
        </w:rPr>
      </w:pPr>
      <w:r w:rsidRPr="00DF16CA">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DF16CA">
        <w:rPr>
          <w:rFonts w:asciiTheme="majorHAnsi" w:eastAsiaTheme="majorEastAsia" w:hAnsiTheme="majorHAnsi" w:cstheme="majorBidi"/>
          <w:bCs/>
          <w:color w:val="000000" w:themeColor="text1"/>
          <w:sz w:val="20"/>
          <w:szCs w:val="20"/>
        </w:rPr>
        <w:t xml:space="preserve"> the lost tax revenues from the foregone econo</w:t>
      </w:r>
      <w:r w:rsidR="00A3663A">
        <w:rPr>
          <w:rFonts w:asciiTheme="majorHAnsi" w:eastAsiaTheme="majorEastAsia" w:hAnsiTheme="majorHAnsi" w:cstheme="majorBidi"/>
          <w:bCs/>
          <w:color w:val="000000" w:themeColor="text1"/>
          <w:sz w:val="20"/>
          <w:szCs w:val="20"/>
        </w:rPr>
        <w:t>mic activities due to</w:t>
      </w:r>
      <w:r w:rsidR="002B7465">
        <w:rPr>
          <w:rFonts w:asciiTheme="majorHAnsi" w:eastAsiaTheme="majorEastAsia" w:hAnsiTheme="majorHAnsi" w:cstheme="majorBidi"/>
          <w:bCs/>
          <w:color w:val="000000" w:themeColor="text1"/>
          <w:sz w:val="20"/>
          <w:szCs w:val="20"/>
        </w:rPr>
        <w:t xml:space="preserve"> the</w:t>
      </w:r>
      <w:r w:rsidR="00A3663A">
        <w:rPr>
          <w:rFonts w:asciiTheme="majorHAnsi" w:eastAsiaTheme="majorEastAsia" w:hAnsiTheme="majorHAnsi" w:cstheme="majorBidi"/>
          <w:bCs/>
          <w:color w:val="000000" w:themeColor="text1"/>
          <w:sz w:val="20"/>
          <w:szCs w:val="20"/>
        </w:rPr>
        <w:t xml:space="preserve"> </w:t>
      </w:r>
      <w:r w:rsidRPr="00DF16CA">
        <w:rPr>
          <w:rFonts w:asciiTheme="majorHAnsi" w:eastAsiaTheme="majorEastAsia" w:hAnsiTheme="majorHAnsi" w:cstheme="majorBidi"/>
          <w:bCs/>
          <w:color w:val="000000" w:themeColor="text1"/>
          <w:sz w:val="20"/>
          <w:szCs w:val="20"/>
        </w:rPr>
        <w:t>government spending</w:t>
      </w:r>
      <w:r w:rsidR="00A3663A">
        <w:rPr>
          <w:rFonts w:asciiTheme="majorHAnsi" w:eastAsiaTheme="majorEastAsia" w:hAnsiTheme="majorHAnsi" w:cstheme="majorBidi"/>
          <w:bCs/>
          <w:color w:val="000000" w:themeColor="text1"/>
          <w:sz w:val="20"/>
          <w:szCs w:val="20"/>
        </w:rPr>
        <w:t xml:space="preserve"> reduced</w:t>
      </w:r>
      <w:r w:rsidRPr="00DF16CA">
        <w:rPr>
          <w:rFonts w:asciiTheme="majorHAnsi" w:eastAsiaTheme="majorEastAsia" w:hAnsiTheme="majorHAnsi" w:cstheme="majorBidi"/>
          <w:bCs/>
          <w:color w:val="000000" w:themeColor="text1"/>
          <w:sz w:val="20"/>
          <w:szCs w:val="20"/>
        </w:rPr>
        <w:t xml:space="preserve"> to finance the </w:t>
      </w:r>
      <w:r w:rsidR="00A3663A">
        <w:rPr>
          <w:rFonts w:asciiTheme="majorHAnsi" w:eastAsiaTheme="majorEastAsia" w:hAnsiTheme="majorHAnsi" w:cstheme="majorBidi"/>
          <w:bCs/>
          <w:color w:val="000000" w:themeColor="text1"/>
          <w:sz w:val="20"/>
          <w:szCs w:val="20"/>
        </w:rPr>
        <w:t>medical device user fee tax</w:t>
      </w:r>
      <w:r w:rsidRPr="00DF16CA">
        <w:rPr>
          <w:rFonts w:asciiTheme="majorHAnsi" w:eastAsiaTheme="majorEastAsia" w:hAnsiTheme="majorHAnsi" w:cstheme="majorBidi"/>
          <w:bCs/>
          <w:color w:val="000000" w:themeColor="text1"/>
          <w:sz w:val="20"/>
          <w:szCs w:val="20"/>
        </w:rPr>
        <w:t xml:space="preserve"> credit.</w:t>
      </w:r>
    </w:p>
    <w:p w14:paraId="34AB68E0" w14:textId="77777777" w:rsidR="00EF0FCC" w:rsidRDefault="00EF0FCC" w:rsidP="00EF0FCC">
      <w:pPr>
        <w:spacing w:after="0"/>
        <w:rPr>
          <w:rFonts w:asciiTheme="majorHAnsi" w:eastAsiaTheme="majorEastAsia" w:hAnsiTheme="majorHAnsi" w:cstheme="majorBidi"/>
          <w:bCs/>
          <w:color w:val="000000" w:themeColor="text1"/>
          <w:sz w:val="24"/>
          <w:szCs w:val="24"/>
        </w:rPr>
      </w:pPr>
    </w:p>
    <w:p w14:paraId="2EE32D5F" w14:textId="77777777" w:rsidR="00EF0FCC" w:rsidRDefault="00EF0FCC" w:rsidP="00EF0FCC">
      <w:pPr>
        <w:spacing w:after="0"/>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BE1E02">
        <w:rPr>
          <w:rFonts w:asciiTheme="majorHAnsi" w:eastAsiaTheme="majorEastAsia" w:hAnsiTheme="majorHAnsi" w:cstheme="majorBidi"/>
          <w:b/>
          <w:color w:val="000000" w:themeColor="text1"/>
          <w:sz w:val="24"/>
          <w:szCs w:val="24"/>
        </w:rPr>
        <w:t>4</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Selected Economic Impacts due to Decreased Government Spending* </w:t>
      </w:r>
    </w:p>
    <w:tbl>
      <w:tblPr>
        <w:tblW w:w="8887" w:type="dxa"/>
        <w:tblInd w:w="108" w:type="dxa"/>
        <w:tblLook w:val="04A0" w:firstRow="1" w:lastRow="0" w:firstColumn="1" w:lastColumn="0" w:noHBand="0" w:noVBand="1"/>
      </w:tblPr>
      <w:tblGrid>
        <w:gridCol w:w="3487"/>
        <w:gridCol w:w="1080"/>
        <w:gridCol w:w="1080"/>
        <w:gridCol w:w="1080"/>
        <w:gridCol w:w="1080"/>
        <w:gridCol w:w="1080"/>
      </w:tblGrid>
      <w:tr w:rsidR="00EF0FCC" w:rsidRPr="00DC336F" w14:paraId="5B1AA9EA" w14:textId="77777777" w:rsidTr="00B21922">
        <w:trPr>
          <w:trHeight w:val="380"/>
        </w:trPr>
        <w:tc>
          <w:tcPr>
            <w:tcW w:w="3487"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C5060BD"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Calendar Year</w:t>
            </w:r>
          </w:p>
        </w:tc>
        <w:tc>
          <w:tcPr>
            <w:tcW w:w="1080" w:type="dxa"/>
            <w:tcBorders>
              <w:top w:val="single" w:sz="4" w:space="0" w:color="auto"/>
              <w:left w:val="nil"/>
              <w:bottom w:val="single" w:sz="4" w:space="0" w:color="auto"/>
              <w:right w:val="single" w:sz="4" w:space="0" w:color="auto"/>
            </w:tcBorders>
            <w:shd w:val="clear" w:color="000000" w:fill="B7DEE8"/>
            <w:noWrap/>
            <w:vAlign w:val="center"/>
            <w:hideMark/>
          </w:tcPr>
          <w:p w14:paraId="129C1A97"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2018</w:t>
            </w:r>
          </w:p>
        </w:tc>
        <w:tc>
          <w:tcPr>
            <w:tcW w:w="1080" w:type="dxa"/>
            <w:tcBorders>
              <w:top w:val="single" w:sz="4" w:space="0" w:color="auto"/>
              <w:left w:val="nil"/>
              <w:bottom w:val="single" w:sz="4" w:space="0" w:color="auto"/>
              <w:right w:val="single" w:sz="4" w:space="0" w:color="auto"/>
            </w:tcBorders>
            <w:shd w:val="clear" w:color="000000" w:fill="B7DEE8"/>
            <w:noWrap/>
            <w:vAlign w:val="center"/>
            <w:hideMark/>
          </w:tcPr>
          <w:p w14:paraId="09B4C3DD"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2019</w:t>
            </w:r>
          </w:p>
        </w:tc>
        <w:tc>
          <w:tcPr>
            <w:tcW w:w="1080" w:type="dxa"/>
            <w:tcBorders>
              <w:top w:val="single" w:sz="4" w:space="0" w:color="auto"/>
              <w:left w:val="nil"/>
              <w:bottom w:val="single" w:sz="4" w:space="0" w:color="auto"/>
              <w:right w:val="single" w:sz="4" w:space="0" w:color="auto"/>
            </w:tcBorders>
            <w:shd w:val="clear" w:color="000000" w:fill="B7DEE8"/>
            <w:noWrap/>
            <w:vAlign w:val="center"/>
            <w:hideMark/>
          </w:tcPr>
          <w:p w14:paraId="76CAA0D1"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2020</w:t>
            </w:r>
          </w:p>
        </w:tc>
        <w:tc>
          <w:tcPr>
            <w:tcW w:w="1080" w:type="dxa"/>
            <w:tcBorders>
              <w:top w:val="single" w:sz="4" w:space="0" w:color="auto"/>
              <w:left w:val="nil"/>
              <w:bottom w:val="single" w:sz="4" w:space="0" w:color="auto"/>
              <w:right w:val="single" w:sz="4" w:space="0" w:color="auto"/>
            </w:tcBorders>
            <w:shd w:val="clear" w:color="000000" w:fill="B7DEE8"/>
            <w:noWrap/>
            <w:vAlign w:val="center"/>
            <w:hideMark/>
          </w:tcPr>
          <w:p w14:paraId="56886038"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2021</w:t>
            </w:r>
          </w:p>
        </w:tc>
        <w:tc>
          <w:tcPr>
            <w:tcW w:w="1080" w:type="dxa"/>
            <w:tcBorders>
              <w:top w:val="single" w:sz="4" w:space="0" w:color="auto"/>
              <w:left w:val="nil"/>
              <w:bottom w:val="single" w:sz="4" w:space="0" w:color="auto"/>
              <w:right w:val="single" w:sz="4" w:space="0" w:color="auto"/>
            </w:tcBorders>
            <w:shd w:val="clear" w:color="000000" w:fill="B7DEE8"/>
            <w:noWrap/>
            <w:vAlign w:val="center"/>
            <w:hideMark/>
          </w:tcPr>
          <w:p w14:paraId="48E02C92"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2022</w:t>
            </w:r>
          </w:p>
        </w:tc>
      </w:tr>
      <w:tr w:rsidR="00EF0FCC" w:rsidRPr="00DC336F" w14:paraId="5178C12A" w14:textId="77777777" w:rsidTr="00B21922">
        <w:trPr>
          <w:trHeight w:val="540"/>
        </w:trPr>
        <w:tc>
          <w:tcPr>
            <w:tcW w:w="3487" w:type="dxa"/>
            <w:tcBorders>
              <w:top w:val="nil"/>
              <w:left w:val="single" w:sz="4" w:space="0" w:color="auto"/>
              <w:bottom w:val="single" w:sz="4" w:space="0" w:color="auto"/>
              <w:right w:val="single" w:sz="4" w:space="0" w:color="auto"/>
            </w:tcBorders>
            <w:shd w:val="clear" w:color="auto" w:fill="auto"/>
            <w:vAlign w:val="center"/>
            <w:hideMark/>
          </w:tcPr>
          <w:p w14:paraId="28F55DC9" w14:textId="77777777" w:rsidR="00EF0FCC" w:rsidRPr="00DC336F" w:rsidRDefault="00EF0FCC" w:rsidP="00B267BF">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lastRenderedPageBreak/>
              <w:t>Impact on total employment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BB172"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(11)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97362EB"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(11)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AA6988E"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437487E"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7E4D97F"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(9)</w:t>
            </w:r>
          </w:p>
        </w:tc>
      </w:tr>
      <w:tr w:rsidR="00EF0FCC" w:rsidRPr="00DC336F" w14:paraId="30A23375" w14:textId="77777777" w:rsidTr="00B21922">
        <w:trPr>
          <w:trHeight w:val="500"/>
        </w:trPr>
        <w:tc>
          <w:tcPr>
            <w:tcW w:w="3487" w:type="dxa"/>
            <w:tcBorders>
              <w:top w:val="nil"/>
              <w:left w:val="single" w:sz="4" w:space="0" w:color="auto"/>
              <w:bottom w:val="single" w:sz="4" w:space="0" w:color="auto"/>
              <w:right w:val="single" w:sz="4" w:space="0" w:color="auto"/>
            </w:tcBorders>
            <w:shd w:val="clear" w:color="auto" w:fill="auto"/>
            <w:vAlign w:val="center"/>
            <w:hideMark/>
          </w:tcPr>
          <w:p w14:paraId="209754E8" w14:textId="77777777" w:rsidR="00EF0FCC" w:rsidRPr="00DC336F" w:rsidRDefault="00EF0FCC" w:rsidP="00B267BF">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private non-farm employment</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8A10A4A"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(6)</w:t>
            </w:r>
          </w:p>
        </w:tc>
        <w:tc>
          <w:tcPr>
            <w:tcW w:w="1080" w:type="dxa"/>
            <w:tcBorders>
              <w:top w:val="nil"/>
              <w:left w:val="nil"/>
              <w:bottom w:val="single" w:sz="4" w:space="0" w:color="auto"/>
              <w:right w:val="single" w:sz="4" w:space="0" w:color="auto"/>
            </w:tcBorders>
            <w:shd w:val="clear" w:color="auto" w:fill="auto"/>
            <w:noWrap/>
            <w:vAlign w:val="center"/>
            <w:hideMark/>
          </w:tcPr>
          <w:p w14:paraId="0514BA10"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(6)</w:t>
            </w:r>
          </w:p>
        </w:tc>
        <w:tc>
          <w:tcPr>
            <w:tcW w:w="1080" w:type="dxa"/>
            <w:tcBorders>
              <w:top w:val="nil"/>
              <w:left w:val="nil"/>
              <w:bottom w:val="single" w:sz="4" w:space="0" w:color="auto"/>
              <w:right w:val="single" w:sz="4" w:space="0" w:color="auto"/>
            </w:tcBorders>
            <w:shd w:val="clear" w:color="auto" w:fill="auto"/>
            <w:noWrap/>
            <w:vAlign w:val="center"/>
            <w:hideMark/>
          </w:tcPr>
          <w:p w14:paraId="0732B0FD"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(6)</w:t>
            </w:r>
          </w:p>
        </w:tc>
        <w:tc>
          <w:tcPr>
            <w:tcW w:w="1080" w:type="dxa"/>
            <w:tcBorders>
              <w:top w:val="nil"/>
              <w:left w:val="nil"/>
              <w:bottom w:val="single" w:sz="4" w:space="0" w:color="auto"/>
              <w:right w:val="single" w:sz="4" w:space="0" w:color="auto"/>
            </w:tcBorders>
            <w:shd w:val="clear" w:color="auto" w:fill="auto"/>
            <w:noWrap/>
            <w:vAlign w:val="center"/>
            <w:hideMark/>
          </w:tcPr>
          <w:p w14:paraId="3EBC7DBA"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14:paraId="60301BAA"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(5)</w:t>
            </w:r>
          </w:p>
        </w:tc>
      </w:tr>
      <w:tr w:rsidR="00EF0FCC" w:rsidRPr="00DC336F" w14:paraId="297D86EF" w14:textId="77777777" w:rsidTr="00B21922">
        <w:trPr>
          <w:trHeight w:val="500"/>
        </w:trPr>
        <w:tc>
          <w:tcPr>
            <w:tcW w:w="3487" w:type="dxa"/>
            <w:tcBorders>
              <w:top w:val="nil"/>
              <w:left w:val="single" w:sz="4" w:space="0" w:color="auto"/>
              <w:bottom w:val="single" w:sz="4" w:space="0" w:color="auto"/>
              <w:right w:val="single" w:sz="4" w:space="0" w:color="auto"/>
            </w:tcBorders>
            <w:shd w:val="clear" w:color="auto" w:fill="auto"/>
            <w:vAlign w:val="center"/>
            <w:hideMark/>
          </w:tcPr>
          <w:p w14:paraId="599CDC28" w14:textId="77777777" w:rsidR="00EF0FCC" w:rsidRPr="00DC336F" w:rsidRDefault="00EF0FCC" w:rsidP="00B267BF">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GDP ($000), real dollars (2012)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1B6BD66"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($1,000)</w:t>
            </w:r>
          </w:p>
        </w:tc>
        <w:tc>
          <w:tcPr>
            <w:tcW w:w="1080" w:type="dxa"/>
            <w:tcBorders>
              <w:top w:val="nil"/>
              <w:left w:val="nil"/>
              <w:bottom w:val="single" w:sz="4" w:space="0" w:color="auto"/>
              <w:right w:val="single" w:sz="4" w:space="0" w:color="auto"/>
            </w:tcBorders>
            <w:shd w:val="clear" w:color="auto" w:fill="auto"/>
            <w:noWrap/>
            <w:vAlign w:val="center"/>
            <w:hideMark/>
          </w:tcPr>
          <w:p w14:paraId="0A8CEE37"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($1,000)</w:t>
            </w:r>
          </w:p>
        </w:tc>
        <w:tc>
          <w:tcPr>
            <w:tcW w:w="1080" w:type="dxa"/>
            <w:tcBorders>
              <w:top w:val="nil"/>
              <w:left w:val="nil"/>
              <w:bottom w:val="single" w:sz="4" w:space="0" w:color="auto"/>
              <w:right w:val="single" w:sz="4" w:space="0" w:color="auto"/>
            </w:tcBorders>
            <w:shd w:val="clear" w:color="auto" w:fill="auto"/>
            <w:noWrap/>
            <w:vAlign w:val="center"/>
            <w:hideMark/>
          </w:tcPr>
          <w:p w14:paraId="5B9B66B5"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($1,000)</w:t>
            </w:r>
          </w:p>
        </w:tc>
        <w:tc>
          <w:tcPr>
            <w:tcW w:w="1080" w:type="dxa"/>
            <w:tcBorders>
              <w:top w:val="nil"/>
              <w:left w:val="nil"/>
              <w:bottom w:val="single" w:sz="4" w:space="0" w:color="auto"/>
              <w:right w:val="single" w:sz="4" w:space="0" w:color="auto"/>
            </w:tcBorders>
            <w:shd w:val="clear" w:color="auto" w:fill="auto"/>
            <w:noWrap/>
            <w:vAlign w:val="center"/>
            <w:hideMark/>
          </w:tcPr>
          <w:p w14:paraId="73C00677"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($1,000)</w:t>
            </w:r>
          </w:p>
        </w:tc>
        <w:tc>
          <w:tcPr>
            <w:tcW w:w="1080" w:type="dxa"/>
            <w:tcBorders>
              <w:top w:val="nil"/>
              <w:left w:val="nil"/>
              <w:bottom w:val="single" w:sz="4" w:space="0" w:color="auto"/>
              <w:right w:val="single" w:sz="4" w:space="0" w:color="auto"/>
            </w:tcBorders>
            <w:shd w:val="clear" w:color="auto" w:fill="auto"/>
            <w:noWrap/>
            <w:vAlign w:val="center"/>
            <w:hideMark/>
          </w:tcPr>
          <w:p w14:paraId="28C505D5"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($1,000)</w:t>
            </w:r>
          </w:p>
        </w:tc>
      </w:tr>
      <w:tr w:rsidR="00EF0FCC" w:rsidRPr="00DC336F" w14:paraId="461AFBB0" w14:textId="77777777" w:rsidTr="00B21922">
        <w:trPr>
          <w:trHeight w:val="500"/>
        </w:trPr>
        <w:tc>
          <w:tcPr>
            <w:tcW w:w="3487" w:type="dxa"/>
            <w:tcBorders>
              <w:top w:val="nil"/>
              <w:left w:val="single" w:sz="4" w:space="0" w:color="auto"/>
              <w:bottom w:val="single" w:sz="4" w:space="0" w:color="auto"/>
              <w:right w:val="single" w:sz="4" w:space="0" w:color="auto"/>
            </w:tcBorders>
            <w:shd w:val="clear" w:color="auto" w:fill="auto"/>
            <w:vAlign w:val="center"/>
            <w:hideMark/>
          </w:tcPr>
          <w:p w14:paraId="4FAE4E66" w14:textId="77777777" w:rsidR="00EF0FCC" w:rsidRPr="00DC336F" w:rsidRDefault="00EF0FCC" w:rsidP="00B267BF">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personal income ($000)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D027525"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($1,000)</w:t>
            </w:r>
          </w:p>
        </w:tc>
        <w:tc>
          <w:tcPr>
            <w:tcW w:w="1080" w:type="dxa"/>
            <w:tcBorders>
              <w:top w:val="nil"/>
              <w:left w:val="nil"/>
              <w:bottom w:val="single" w:sz="4" w:space="0" w:color="auto"/>
              <w:right w:val="single" w:sz="4" w:space="0" w:color="auto"/>
            </w:tcBorders>
            <w:shd w:val="clear" w:color="auto" w:fill="auto"/>
            <w:noWrap/>
            <w:vAlign w:val="center"/>
            <w:hideMark/>
          </w:tcPr>
          <w:p w14:paraId="12550155"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($1,000)</w:t>
            </w:r>
          </w:p>
        </w:tc>
        <w:tc>
          <w:tcPr>
            <w:tcW w:w="1080" w:type="dxa"/>
            <w:tcBorders>
              <w:top w:val="nil"/>
              <w:left w:val="nil"/>
              <w:bottom w:val="single" w:sz="4" w:space="0" w:color="auto"/>
              <w:right w:val="single" w:sz="4" w:space="0" w:color="auto"/>
            </w:tcBorders>
            <w:shd w:val="clear" w:color="auto" w:fill="auto"/>
            <w:noWrap/>
            <w:vAlign w:val="center"/>
            <w:hideMark/>
          </w:tcPr>
          <w:p w14:paraId="6220DB24"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($1,000)</w:t>
            </w:r>
          </w:p>
        </w:tc>
        <w:tc>
          <w:tcPr>
            <w:tcW w:w="1080" w:type="dxa"/>
            <w:tcBorders>
              <w:top w:val="nil"/>
              <w:left w:val="nil"/>
              <w:bottom w:val="single" w:sz="4" w:space="0" w:color="auto"/>
              <w:right w:val="single" w:sz="4" w:space="0" w:color="auto"/>
            </w:tcBorders>
            <w:shd w:val="clear" w:color="auto" w:fill="auto"/>
            <w:noWrap/>
            <w:vAlign w:val="center"/>
            <w:hideMark/>
          </w:tcPr>
          <w:p w14:paraId="2183D5F0"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($1,000)</w:t>
            </w:r>
          </w:p>
        </w:tc>
        <w:tc>
          <w:tcPr>
            <w:tcW w:w="1080" w:type="dxa"/>
            <w:tcBorders>
              <w:top w:val="nil"/>
              <w:left w:val="nil"/>
              <w:bottom w:val="single" w:sz="4" w:space="0" w:color="auto"/>
              <w:right w:val="single" w:sz="4" w:space="0" w:color="auto"/>
            </w:tcBorders>
            <w:shd w:val="clear" w:color="auto" w:fill="auto"/>
            <w:noWrap/>
            <w:vAlign w:val="center"/>
            <w:hideMark/>
          </w:tcPr>
          <w:p w14:paraId="59B31434" w14:textId="77777777" w:rsidR="00EF0FCC" w:rsidRPr="00DC336F" w:rsidRDefault="00EF0FCC" w:rsidP="00B267BF">
            <w:pPr>
              <w:spacing w:after="0" w:line="240" w:lineRule="auto"/>
              <w:jc w:val="center"/>
              <w:rPr>
                <w:rFonts w:ascii="Cambria" w:eastAsia="Times New Roman" w:hAnsi="Cambria" w:cs="Helvetica"/>
                <w:sz w:val="20"/>
                <w:szCs w:val="20"/>
                <w:lang w:eastAsia="ko-KR"/>
              </w:rPr>
            </w:pPr>
            <w:r>
              <w:rPr>
                <w:rFonts w:ascii="Cambria" w:hAnsi="Cambria" w:cs="Arial"/>
                <w:sz w:val="20"/>
                <w:szCs w:val="20"/>
              </w:rPr>
              <w:t>($1,000)</w:t>
            </w:r>
          </w:p>
        </w:tc>
      </w:tr>
    </w:tbl>
    <w:p w14:paraId="14365EE4" w14:textId="77777777" w:rsidR="00EF0FCC" w:rsidRPr="008A3AB7" w:rsidRDefault="00EF0FCC" w:rsidP="00EF0FCC">
      <w:pPr>
        <w:spacing w:after="0"/>
        <w:rPr>
          <w:rFonts w:asciiTheme="majorHAnsi" w:eastAsiaTheme="majorEastAsia" w:hAnsiTheme="majorHAnsi" w:cstheme="majorBidi"/>
          <w:bCs/>
          <w:color w:val="000000" w:themeColor="text1"/>
          <w:sz w:val="20"/>
          <w:szCs w:val="20"/>
        </w:rPr>
      </w:pPr>
      <w:r w:rsidRPr="008A3AB7">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8A3AB7">
        <w:rPr>
          <w:rFonts w:asciiTheme="majorHAnsi" w:eastAsiaTheme="majorEastAsia" w:hAnsiTheme="majorHAnsi" w:cstheme="majorBidi"/>
          <w:bCs/>
          <w:color w:val="000000" w:themeColor="text1"/>
          <w:sz w:val="20"/>
          <w:szCs w:val="20"/>
        </w:rPr>
        <w:t xml:space="preserve"> the </w:t>
      </w:r>
      <w:r>
        <w:rPr>
          <w:rFonts w:asciiTheme="majorHAnsi" w:eastAsiaTheme="majorEastAsia" w:hAnsiTheme="majorHAnsi" w:cstheme="majorBidi"/>
          <w:bCs/>
          <w:color w:val="000000" w:themeColor="text1"/>
          <w:sz w:val="20"/>
          <w:szCs w:val="20"/>
        </w:rPr>
        <w:t>lost</w:t>
      </w:r>
      <w:r w:rsidRPr="008A3AB7">
        <w:rPr>
          <w:rFonts w:asciiTheme="majorHAnsi" w:eastAsiaTheme="majorEastAsia" w:hAnsiTheme="majorHAnsi" w:cstheme="majorBidi"/>
          <w:bCs/>
          <w:color w:val="000000" w:themeColor="text1"/>
          <w:sz w:val="20"/>
          <w:szCs w:val="20"/>
        </w:rPr>
        <w:t xml:space="preserve"> economic activities </w:t>
      </w:r>
      <w:r w:rsidR="00A3663A">
        <w:rPr>
          <w:rFonts w:asciiTheme="majorHAnsi" w:eastAsiaTheme="majorEastAsia" w:hAnsiTheme="majorHAnsi" w:cstheme="majorBidi"/>
          <w:bCs/>
          <w:color w:val="000000" w:themeColor="text1"/>
          <w:sz w:val="20"/>
          <w:szCs w:val="20"/>
        </w:rPr>
        <w:t xml:space="preserve">due to </w:t>
      </w:r>
      <w:r w:rsidR="002B7465">
        <w:rPr>
          <w:rFonts w:asciiTheme="majorHAnsi" w:eastAsiaTheme="majorEastAsia" w:hAnsiTheme="majorHAnsi" w:cstheme="majorBidi"/>
          <w:bCs/>
          <w:color w:val="000000" w:themeColor="text1"/>
          <w:sz w:val="20"/>
          <w:szCs w:val="20"/>
        </w:rPr>
        <w:t xml:space="preserve">the </w:t>
      </w:r>
      <w:r w:rsidRPr="008A3AB7">
        <w:rPr>
          <w:rFonts w:asciiTheme="majorHAnsi" w:eastAsiaTheme="majorEastAsia" w:hAnsiTheme="majorHAnsi" w:cstheme="majorBidi"/>
          <w:bCs/>
          <w:color w:val="000000" w:themeColor="text1"/>
          <w:sz w:val="20"/>
          <w:szCs w:val="20"/>
        </w:rPr>
        <w:t xml:space="preserve">government spending </w:t>
      </w:r>
      <w:r w:rsidR="00A3663A">
        <w:rPr>
          <w:rFonts w:asciiTheme="majorHAnsi" w:eastAsiaTheme="majorEastAsia" w:hAnsiTheme="majorHAnsi" w:cstheme="majorBidi"/>
          <w:bCs/>
          <w:color w:val="000000" w:themeColor="text1"/>
          <w:sz w:val="20"/>
          <w:szCs w:val="20"/>
        </w:rPr>
        <w:t>reduced to</w:t>
      </w:r>
      <w:r w:rsidRPr="008A3AB7">
        <w:rPr>
          <w:rFonts w:asciiTheme="majorHAnsi" w:eastAsiaTheme="majorEastAsia" w:hAnsiTheme="majorHAnsi" w:cstheme="majorBidi"/>
          <w:bCs/>
          <w:color w:val="000000" w:themeColor="text1"/>
          <w:sz w:val="20"/>
          <w:szCs w:val="20"/>
        </w:rPr>
        <w:t xml:space="preserve"> finance the </w:t>
      </w:r>
      <w:r w:rsidR="00A3663A">
        <w:rPr>
          <w:rFonts w:asciiTheme="majorHAnsi" w:eastAsiaTheme="majorEastAsia" w:hAnsiTheme="majorHAnsi" w:cstheme="majorBidi"/>
          <w:bCs/>
          <w:color w:val="000000" w:themeColor="text1"/>
          <w:sz w:val="20"/>
          <w:szCs w:val="20"/>
        </w:rPr>
        <w:t>medical device user fee</w:t>
      </w:r>
      <w:r w:rsidRPr="008A3AB7">
        <w:rPr>
          <w:rFonts w:asciiTheme="majorHAnsi" w:eastAsiaTheme="majorEastAsia" w:hAnsiTheme="majorHAnsi" w:cstheme="majorBidi"/>
          <w:bCs/>
          <w:color w:val="000000" w:themeColor="text1"/>
          <w:sz w:val="20"/>
          <w:szCs w:val="20"/>
        </w:rPr>
        <w:t xml:space="preserve"> tax credit.</w:t>
      </w:r>
    </w:p>
    <w:p w14:paraId="1312228E" w14:textId="77777777" w:rsidR="0062172D" w:rsidRDefault="0062172D" w:rsidP="0062172D">
      <w:pPr>
        <w:spacing w:after="0"/>
        <w:rPr>
          <w:rFonts w:asciiTheme="majorHAnsi" w:hAnsiTheme="majorHAnsi"/>
          <w:bCs/>
          <w:sz w:val="24"/>
          <w:szCs w:val="24"/>
        </w:rPr>
      </w:pPr>
    </w:p>
    <w:p w14:paraId="39C464B9" w14:textId="77777777" w:rsidR="0062172D" w:rsidRPr="00A3663A" w:rsidRDefault="0062172D" w:rsidP="0062172D">
      <w:pPr>
        <w:spacing w:after="0"/>
        <w:rPr>
          <w:rFonts w:asciiTheme="majorHAnsi" w:eastAsiaTheme="majorEastAsia" w:hAnsiTheme="majorHAnsi" w:cstheme="majorBidi"/>
          <w:bCs/>
          <w:i/>
          <w:iCs/>
          <w:color w:val="000000" w:themeColor="text1"/>
          <w:sz w:val="24"/>
          <w:szCs w:val="24"/>
        </w:rPr>
      </w:pPr>
      <w:r w:rsidRPr="00A3663A">
        <w:rPr>
          <w:rFonts w:asciiTheme="majorHAnsi" w:eastAsiaTheme="majorEastAsia" w:hAnsiTheme="majorHAnsi" w:cstheme="majorBidi"/>
          <w:bCs/>
          <w:color w:val="000000" w:themeColor="text1"/>
          <w:sz w:val="24"/>
          <w:szCs w:val="24"/>
        </w:rPr>
        <w:t>There are always some administrative costs for each tax incentive program. However, the administrative costs of the credit must be relatively insignificant, because the Department of Revenue administers the credit</w:t>
      </w:r>
      <w:r w:rsidR="00A3663A">
        <w:rPr>
          <w:rFonts w:asciiTheme="majorHAnsi" w:eastAsiaTheme="majorEastAsia" w:hAnsiTheme="majorHAnsi" w:cstheme="majorBidi"/>
          <w:bCs/>
          <w:color w:val="000000" w:themeColor="text1"/>
          <w:sz w:val="24"/>
          <w:szCs w:val="24"/>
        </w:rPr>
        <w:t xml:space="preserve"> as part of its overall mission</w:t>
      </w:r>
      <w:r w:rsidRPr="00A3663A">
        <w:rPr>
          <w:rFonts w:asciiTheme="majorHAnsi" w:eastAsiaTheme="majorEastAsia" w:hAnsiTheme="majorHAnsi" w:cstheme="majorBidi"/>
          <w:bCs/>
          <w:color w:val="000000" w:themeColor="text1"/>
          <w:sz w:val="24"/>
          <w:szCs w:val="24"/>
        </w:rPr>
        <w:t>, and there</w:t>
      </w:r>
      <w:r w:rsidR="00A3663A">
        <w:rPr>
          <w:rFonts w:asciiTheme="majorHAnsi" w:eastAsiaTheme="majorEastAsia" w:hAnsiTheme="majorHAnsi" w:cstheme="majorBidi"/>
          <w:bCs/>
          <w:color w:val="000000" w:themeColor="text1"/>
          <w:sz w:val="24"/>
          <w:szCs w:val="24"/>
        </w:rPr>
        <w:t xml:space="preserve"> have only been </w:t>
      </w:r>
      <w:r w:rsidRPr="00A3663A">
        <w:rPr>
          <w:rFonts w:asciiTheme="majorHAnsi" w:eastAsiaTheme="majorEastAsia" w:hAnsiTheme="majorHAnsi" w:cstheme="majorBidi"/>
          <w:bCs/>
          <w:color w:val="000000" w:themeColor="text1"/>
          <w:sz w:val="24"/>
          <w:szCs w:val="24"/>
        </w:rPr>
        <w:t>a few claims</w:t>
      </w:r>
      <w:r w:rsidR="00A3663A">
        <w:rPr>
          <w:rFonts w:asciiTheme="majorHAnsi" w:eastAsiaTheme="majorEastAsia" w:hAnsiTheme="majorHAnsi" w:cstheme="majorBidi"/>
          <w:bCs/>
          <w:color w:val="000000" w:themeColor="text1"/>
          <w:sz w:val="24"/>
          <w:szCs w:val="24"/>
        </w:rPr>
        <w:t xml:space="preserve"> annually</w:t>
      </w:r>
      <w:r w:rsidRPr="00A3663A">
        <w:rPr>
          <w:rFonts w:asciiTheme="majorHAnsi" w:eastAsiaTheme="majorEastAsia" w:hAnsiTheme="majorHAnsi" w:cstheme="majorBidi"/>
          <w:bCs/>
          <w:color w:val="000000" w:themeColor="text1"/>
          <w:sz w:val="24"/>
          <w:szCs w:val="24"/>
        </w:rPr>
        <w:t xml:space="preserve">. </w:t>
      </w:r>
    </w:p>
    <w:p w14:paraId="3E58DD75" w14:textId="77777777" w:rsidR="0062172D" w:rsidRDefault="0062172D" w:rsidP="0062172D">
      <w:pPr>
        <w:spacing w:after="0"/>
        <w:rPr>
          <w:rFonts w:asciiTheme="majorHAnsi" w:hAnsiTheme="majorHAnsi"/>
          <w:bCs/>
          <w:sz w:val="24"/>
          <w:szCs w:val="24"/>
        </w:rPr>
      </w:pPr>
    </w:p>
    <w:p w14:paraId="72349995" w14:textId="77777777" w:rsidR="0062172D" w:rsidRPr="00F51592" w:rsidRDefault="0062172D" w:rsidP="0062172D">
      <w:pPr>
        <w:spacing w:after="0"/>
        <w:rPr>
          <w:rFonts w:asciiTheme="majorHAnsi" w:hAnsiTheme="majorHAnsi"/>
          <w:bCs/>
          <w:sz w:val="24"/>
          <w:szCs w:val="24"/>
        </w:rPr>
      </w:pPr>
    </w:p>
    <w:p w14:paraId="66F4DF4A" w14:textId="77777777" w:rsidR="0062172D" w:rsidRPr="005529C5" w:rsidRDefault="0062172D" w:rsidP="0062172D">
      <w:pPr>
        <w:tabs>
          <w:tab w:val="left" w:pos="7050"/>
        </w:tabs>
        <w:spacing w:after="0"/>
        <w:rPr>
          <w:rFonts w:asciiTheme="majorHAnsi" w:hAnsiTheme="majorHAnsi"/>
          <w:b/>
          <w:color w:val="E36C0A" w:themeColor="accent6" w:themeShade="BF"/>
          <w:sz w:val="28"/>
          <w:szCs w:val="28"/>
        </w:rPr>
      </w:pPr>
      <w:r w:rsidRPr="005529C5">
        <w:rPr>
          <w:rFonts w:asciiTheme="majorHAnsi" w:hAnsiTheme="majorHAnsi"/>
          <w:b/>
          <w:color w:val="E36C0A" w:themeColor="accent6" w:themeShade="BF"/>
          <w:sz w:val="28"/>
          <w:szCs w:val="28"/>
        </w:rPr>
        <w:t>BENEFITS</w:t>
      </w:r>
    </w:p>
    <w:p w14:paraId="5B2704F4" w14:textId="77777777" w:rsidR="00B21922" w:rsidRDefault="0062172D" w:rsidP="0062172D">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direct beneficiaries of the credit are medical device companies. In 2017, most of the </w:t>
      </w:r>
      <w:r w:rsidR="006851DE">
        <w:rPr>
          <w:rFonts w:asciiTheme="majorHAnsi" w:eastAsiaTheme="majorEastAsia" w:hAnsiTheme="majorHAnsi" w:cstheme="majorBidi"/>
          <w:bCs/>
          <w:color w:val="000000" w:themeColor="text1"/>
          <w:sz w:val="24"/>
          <w:szCs w:val="24"/>
        </w:rPr>
        <w:t xml:space="preserve">direct </w:t>
      </w:r>
      <w:r>
        <w:rPr>
          <w:rFonts w:asciiTheme="majorHAnsi" w:eastAsiaTheme="majorEastAsia" w:hAnsiTheme="majorHAnsi" w:cstheme="majorBidi"/>
          <w:bCs/>
          <w:color w:val="000000" w:themeColor="text1"/>
          <w:sz w:val="24"/>
          <w:szCs w:val="24"/>
        </w:rPr>
        <w:t>beneficiaries were large corporations with more than 500 employees.</w:t>
      </w:r>
    </w:p>
    <w:p w14:paraId="02F5F423" w14:textId="77777777" w:rsidR="0062172D" w:rsidRDefault="0062172D" w:rsidP="0062172D">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 </w:t>
      </w:r>
    </w:p>
    <w:p w14:paraId="30A3A0FB" w14:textId="77777777" w:rsidR="0062172D" w:rsidRDefault="0062172D" w:rsidP="0062172D">
      <w:pPr>
        <w:spacing w:after="0"/>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Cs/>
          <w:color w:val="000000" w:themeColor="text1"/>
          <w:sz w:val="24"/>
          <w:szCs w:val="24"/>
        </w:rPr>
        <w:t xml:space="preserve">Claiming the </w:t>
      </w:r>
      <w:r w:rsidR="00A3663A">
        <w:rPr>
          <w:rFonts w:asciiTheme="majorHAnsi" w:eastAsiaTheme="majorEastAsia" w:hAnsiTheme="majorHAnsi" w:cstheme="majorBidi"/>
          <w:bCs/>
          <w:color w:val="000000" w:themeColor="text1"/>
          <w:sz w:val="24"/>
          <w:szCs w:val="24"/>
        </w:rPr>
        <w:t xml:space="preserve">credit reduces business costs, </w:t>
      </w:r>
      <w:r>
        <w:rPr>
          <w:rFonts w:asciiTheme="majorHAnsi" w:eastAsiaTheme="majorEastAsia" w:hAnsiTheme="majorHAnsi" w:cstheme="majorBidi"/>
          <w:bCs/>
          <w:color w:val="000000" w:themeColor="text1"/>
          <w:sz w:val="24"/>
          <w:szCs w:val="24"/>
        </w:rPr>
        <w:t xml:space="preserve">which in turn encourages the directly affected businesses to invest, expand, lower product prices, hire additional workers, etc. Such decisions would increase demand for goods and services provided by other individuals and businesses in the economy, </w:t>
      </w:r>
      <w:r w:rsidR="00553011">
        <w:rPr>
          <w:rFonts w:asciiTheme="majorHAnsi" w:eastAsiaTheme="majorEastAsia" w:hAnsiTheme="majorHAnsi" w:cstheme="majorBidi"/>
          <w:bCs/>
          <w:color w:val="000000" w:themeColor="text1"/>
          <w:sz w:val="24"/>
          <w:szCs w:val="24"/>
        </w:rPr>
        <w:t>thereby generating</w:t>
      </w:r>
      <w:r>
        <w:rPr>
          <w:rFonts w:asciiTheme="majorHAnsi" w:eastAsiaTheme="majorEastAsia" w:hAnsiTheme="majorHAnsi" w:cstheme="majorBidi"/>
          <w:bCs/>
          <w:color w:val="000000" w:themeColor="text1"/>
          <w:sz w:val="24"/>
          <w:szCs w:val="24"/>
        </w:rPr>
        <w:t xml:space="preserve"> a “Multiplier Effect” (see discussion in the previous section) from the initial benefits. As a result, the total benefits of the tax credit to the economy at large would exceed the initial or direct benefits. </w:t>
      </w:r>
      <w:r w:rsidRPr="00D76C48">
        <w:rPr>
          <w:rFonts w:asciiTheme="majorHAnsi" w:eastAsiaTheme="majorEastAsia" w:hAnsiTheme="majorHAnsi" w:cstheme="majorBidi"/>
          <w:bCs/>
          <w:color w:val="000000" w:themeColor="text1"/>
          <w:sz w:val="24"/>
          <w:szCs w:val="24"/>
        </w:rPr>
        <w:t xml:space="preserve"> </w:t>
      </w:r>
      <w:r w:rsidRPr="00930C4A">
        <w:rPr>
          <w:rFonts w:asciiTheme="majorHAnsi" w:eastAsiaTheme="majorEastAsia" w:hAnsiTheme="majorHAnsi" w:cstheme="majorBidi"/>
          <w:bCs/>
          <w:color w:val="000000" w:themeColor="text1"/>
          <w:sz w:val="24"/>
          <w:szCs w:val="24"/>
        </w:rPr>
        <w:t>To quantify the</w:t>
      </w:r>
      <w:r>
        <w:rPr>
          <w:rFonts w:asciiTheme="majorHAnsi" w:eastAsiaTheme="majorEastAsia" w:hAnsiTheme="majorHAnsi" w:cstheme="majorBidi"/>
          <w:bCs/>
          <w:color w:val="000000" w:themeColor="text1"/>
          <w:sz w:val="24"/>
          <w:szCs w:val="24"/>
        </w:rPr>
        <w:t>se</w:t>
      </w:r>
      <w:r w:rsidRPr="00930C4A">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benefit</w:t>
      </w:r>
      <w:r w:rsidRPr="00930C4A">
        <w:rPr>
          <w:rFonts w:asciiTheme="majorHAnsi" w:eastAsiaTheme="majorEastAsia" w:hAnsiTheme="majorHAnsi" w:cstheme="majorBidi"/>
          <w:bCs/>
          <w:color w:val="000000" w:themeColor="text1"/>
          <w:sz w:val="24"/>
          <w:szCs w:val="24"/>
        </w:rPr>
        <w:t xml:space="preserve">s, we again employed Tax-PI.  </w:t>
      </w:r>
      <w:r>
        <w:rPr>
          <w:rFonts w:asciiTheme="majorHAnsi" w:eastAsiaTheme="majorEastAsia" w:hAnsiTheme="majorHAnsi" w:cstheme="majorBidi"/>
          <w:bCs/>
          <w:color w:val="000000" w:themeColor="text1"/>
          <w:sz w:val="24"/>
          <w:szCs w:val="24"/>
        </w:rPr>
        <w:t>A s</w:t>
      </w:r>
      <w:r w:rsidRPr="00930C4A">
        <w:rPr>
          <w:rFonts w:asciiTheme="majorHAnsi" w:eastAsiaTheme="majorEastAsia" w:hAnsiTheme="majorHAnsi" w:cstheme="majorBidi"/>
          <w:bCs/>
          <w:color w:val="000000" w:themeColor="text1"/>
          <w:sz w:val="24"/>
          <w:szCs w:val="24"/>
        </w:rPr>
        <w:t xml:space="preserve">ummary of the </w:t>
      </w:r>
      <w:r>
        <w:rPr>
          <w:rFonts w:asciiTheme="majorHAnsi" w:eastAsiaTheme="majorEastAsia" w:hAnsiTheme="majorHAnsi" w:cstheme="majorBidi"/>
          <w:bCs/>
          <w:color w:val="000000" w:themeColor="text1"/>
          <w:sz w:val="24"/>
          <w:szCs w:val="24"/>
        </w:rPr>
        <w:t>impacts</w:t>
      </w:r>
      <w:r w:rsidRPr="00930C4A">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noProof/>
          <w:color w:val="000000" w:themeColor="text1"/>
          <w:sz w:val="24"/>
          <w:szCs w:val="24"/>
        </w:rPr>
        <w:t xml:space="preserve">is reported in Tables </w:t>
      </w:r>
      <w:r w:rsidR="00E43463">
        <w:rPr>
          <w:rFonts w:asciiTheme="majorHAnsi" w:eastAsiaTheme="majorEastAsia" w:hAnsiTheme="majorHAnsi" w:cstheme="majorBidi"/>
          <w:noProof/>
          <w:color w:val="000000" w:themeColor="text1"/>
          <w:sz w:val="24"/>
          <w:szCs w:val="24"/>
        </w:rPr>
        <w:t xml:space="preserve">5 </w:t>
      </w:r>
      <w:r>
        <w:rPr>
          <w:rFonts w:asciiTheme="majorHAnsi" w:eastAsiaTheme="majorEastAsia" w:hAnsiTheme="majorHAnsi" w:cstheme="majorBidi"/>
          <w:noProof/>
          <w:color w:val="000000" w:themeColor="text1"/>
          <w:sz w:val="24"/>
          <w:szCs w:val="24"/>
        </w:rPr>
        <w:t xml:space="preserve">and </w:t>
      </w:r>
      <w:r w:rsidR="00E43463">
        <w:rPr>
          <w:rFonts w:asciiTheme="majorHAnsi" w:eastAsiaTheme="majorEastAsia" w:hAnsiTheme="majorHAnsi" w:cstheme="majorBidi"/>
          <w:noProof/>
          <w:color w:val="000000" w:themeColor="text1"/>
          <w:sz w:val="24"/>
          <w:szCs w:val="24"/>
        </w:rPr>
        <w:t xml:space="preserve">6 </w:t>
      </w:r>
      <w:r>
        <w:rPr>
          <w:rFonts w:asciiTheme="majorHAnsi" w:eastAsiaTheme="majorEastAsia" w:hAnsiTheme="majorHAnsi" w:cstheme="majorBidi"/>
          <w:noProof/>
          <w:color w:val="000000" w:themeColor="text1"/>
          <w:sz w:val="24"/>
          <w:szCs w:val="24"/>
        </w:rPr>
        <w:t xml:space="preserve">below. The figures for 2018 and 2019 are estimates of benefits that the Massachusetts economy experienced and those for 2020, 2021 and 2022 are projections of benefits that the Massachusetts economy will experience going forward due to the credit.  </w:t>
      </w:r>
      <w:r w:rsidR="006851DE">
        <w:rPr>
          <w:rFonts w:asciiTheme="majorHAnsi" w:eastAsiaTheme="majorEastAsia" w:hAnsiTheme="majorHAnsi" w:cstheme="majorBidi"/>
          <w:bCs/>
          <w:color w:val="000000" w:themeColor="text1"/>
          <w:sz w:val="24"/>
          <w:szCs w:val="24"/>
        </w:rPr>
        <w:t xml:space="preserve">Tables </w:t>
      </w:r>
      <w:r w:rsidR="00E43463">
        <w:rPr>
          <w:rFonts w:asciiTheme="majorHAnsi" w:eastAsiaTheme="majorEastAsia" w:hAnsiTheme="majorHAnsi" w:cstheme="majorBidi"/>
          <w:bCs/>
          <w:color w:val="000000" w:themeColor="text1"/>
          <w:sz w:val="24"/>
          <w:szCs w:val="24"/>
        </w:rPr>
        <w:t xml:space="preserve">5 </w:t>
      </w:r>
      <w:r w:rsidR="006851DE">
        <w:rPr>
          <w:rFonts w:asciiTheme="majorHAnsi" w:eastAsiaTheme="majorEastAsia" w:hAnsiTheme="majorHAnsi" w:cstheme="majorBidi"/>
          <w:bCs/>
          <w:color w:val="000000" w:themeColor="text1"/>
          <w:sz w:val="24"/>
          <w:szCs w:val="24"/>
        </w:rPr>
        <w:t xml:space="preserve">and </w:t>
      </w:r>
      <w:r w:rsidR="00E43463">
        <w:rPr>
          <w:rFonts w:asciiTheme="majorHAnsi" w:eastAsiaTheme="majorEastAsia" w:hAnsiTheme="majorHAnsi" w:cstheme="majorBidi"/>
          <w:bCs/>
          <w:color w:val="000000" w:themeColor="text1"/>
          <w:sz w:val="24"/>
          <w:szCs w:val="24"/>
        </w:rPr>
        <w:t xml:space="preserve">6 </w:t>
      </w:r>
      <w:r w:rsidR="006851DE">
        <w:rPr>
          <w:rFonts w:asciiTheme="majorHAnsi" w:eastAsiaTheme="majorEastAsia" w:hAnsiTheme="majorHAnsi" w:cstheme="majorBidi"/>
          <w:bCs/>
          <w:color w:val="000000" w:themeColor="text1"/>
          <w:sz w:val="24"/>
          <w:szCs w:val="24"/>
        </w:rPr>
        <w:t>show that</w:t>
      </w:r>
      <w:r w:rsidR="00EF0FCC">
        <w:rPr>
          <w:rFonts w:asciiTheme="majorHAnsi" w:eastAsiaTheme="majorEastAsia" w:hAnsiTheme="majorHAnsi" w:cstheme="majorBidi"/>
          <w:bCs/>
          <w:color w:val="000000" w:themeColor="text1"/>
          <w:sz w:val="24"/>
          <w:szCs w:val="24"/>
        </w:rPr>
        <w:t xml:space="preserve"> the credit res</w:t>
      </w:r>
      <w:r w:rsidR="006851DE">
        <w:rPr>
          <w:rFonts w:asciiTheme="majorHAnsi" w:eastAsiaTheme="majorEastAsia" w:hAnsiTheme="majorHAnsi" w:cstheme="majorBidi"/>
          <w:bCs/>
          <w:color w:val="000000" w:themeColor="text1"/>
          <w:sz w:val="24"/>
          <w:szCs w:val="24"/>
        </w:rPr>
        <w:t>ults in more economic activity</w:t>
      </w:r>
      <w:r w:rsidR="00EF0FCC">
        <w:rPr>
          <w:rFonts w:asciiTheme="majorHAnsi" w:eastAsiaTheme="majorEastAsia" w:hAnsiTheme="majorHAnsi" w:cstheme="majorBidi"/>
          <w:bCs/>
          <w:color w:val="000000" w:themeColor="text1"/>
          <w:sz w:val="24"/>
          <w:szCs w:val="24"/>
        </w:rPr>
        <w:t xml:space="preserve">, with real state GDP increasing </w:t>
      </w:r>
      <w:r w:rsidR="00E43463">
        <w:rPr>
          <w:rFonts w:asciiTheme="majorHAnsi" w:eastAsiaTheme="majorEastAsia" w:hAnsiTheme="majorHAnsi" w:cstheme="majorBidi"/>
          <w:bCs/>
          <w:color w:val="000000" w:themeColor="text1"/>
          <w:sz w:val="24"/>
          <w:szCs w:val="24"/>
        </w:rPr>
        <w:t xml:space="preserve">by </w:t>
      </w:r>
      <w:r w:rsidR="00EF0FCC">
        <w:rPr>
          <w:rFonts w:asciiTheme="majorHAnsi" w:eastAsiaTheme="majorEastAsia" w:hAnsiTheme="majorHAnsi" w:cstheme="majorBidi"/>
          <w:bCs/>
          <w:color w:val="000000" w:themeColor="text1"/>
          <w:sz w:val="24"/>
          <w:szCs w:val="24"/>
        </w:rPr>
        <w:t>about $1 million and total employment increasing</w:t>
      </w:r>
      <w:r w:rsidR="00E43463">
        <w:rPr>
          <w:rFonts w:asciiTheme="majorHAnsi" w:eastAsiaTheme="majorEastAsia" w:hAnsiTheme="majorHAnsi" w:cstheme="majorBidi"/>
          <w:bCs/>
          <w:color w:val="000000" w:themeColor="text1"/>
          <w:sz w:val="24"/>
          <w:szCs w:val="24"/>
        </w:rPr>
        <w:t xml:space="preserve"> by</w:t>
      </w:r>
      <w:r w:rsidR="00EF0FCC">
        <w:rPr>
          <w:rFonts w:asciiTheme="majorHAnsi" w:eastAsiaTheme="majorEastAsia" w:hAnsiTheme="majorHAnsi" w:cstheme="majorBidi"/>
          <w:bCs/>
          <w:color w:val="000000" w:themeColor="text1"/>
          <w:sz w:val="24"/>
          <w:szCs w:val="24"/>
        </w:rPr>
        <w:t xml:space="preserve"> 8-10</w:t>
      </w:r>
      <w:r w:rsidR="00EB5E19">
        <w:rPr>
          <w:rFonts w:asciiTheme="majorHAnsi" w:eastAsiaTheme="majorEastAsia" w:hAnsiTheme="majorHAnsi" w:cstheme="majorBidi"/>
          <w:bCs/>
          <w:color w:val="000000" w:themeColor="text1"/>
          <w:sz w:val="24"/>
          <w:szCs w:val="24"/>
        </w:rPr>
        <w:t xml:space="preserve"> jobs</w:t>
      </w:r>
      <w:r w:rsidR="00EF0FCC">
        <w:rPr>
          <w:rFonts w:asciiTheme="majorHAnsi" w:eastAsiaTheme="majorEastAsia" w:hAnsiTheme="majorHAnsi" w:cstheme="majorBidi"/>
          <w:bCs/>
          <w:color w:val="000000" w:themeColor="text1"/>
          <w:sz w:val="24"/>
          <w:szCs w:val="24"/>
        </w:rPr>
        <w:t xml:space="preserve"> </w:t>
      </w:r>
      <w:r w:rsidR="006851DE">
        <w:rPr>
          <w:rFonts w:asciiTheme="majorHAnsi" w:eastAsiaTheme="majorEastAsia" w:hAnsiTheme="majorHAnsi" w:cstheme="majorBidi"/>
          <w:bCs/>
          <w:color w:val="000000" w:themeColor="text1"/>
          <w:sz w:val="24"/>
          <w:szCs w:val="24"/>
        </w:rPr>
        <w:t>annually.  Increased economic activity</w:t>
      </w:r>
      <w:r w:rsidR="00EF0FCC">
        <w:rPr>
          <w:rFonts w:asciiTheme="majorHAnsi" w:eastAsiaTheme="majorEastAsia" w:hAnsiTheme="majorHAnsi" w:cstheme="majorBidi"/>
          <w:bCs/>
          <w:color w:val="000000" w:themeColor="text1"/>
          <w:sz w:val="24"/>
          <w:szCs w:val="24"/>
        </w:rPr>
        <w:t xml:space="preserve"> result</w:t>
      </w:r>
      <w:r w:rsidR="006851DE">
        <w:rPr>
          <w:rFonts w:asciiTheme="majorHAnsi" w:eastAsiaTheme="majorEastAsia" w:hAnsiTheme="majorHAnsi" w:cstheme="majorBidi"/>
          <w:bCs/>
          <w:color w:val="000000" w:themeColor="text1"/>
          <w:sz w:val="24"/>
          <w:szCs w:val="24"/>
        </w:rPr>
        <w:t>s</w:t>
      </w:r>
      <w:r w:rsidR="00EF0FCC">
        <w:rPr>
          <w:rFonts w:asciiTheme="majorHAnsi" w:eastAsiaTheme="majorEastAsia" w:hAnsiTheme="majorHAnsi" w:cstheme="majorBidi"/>
          <w:bCs/>
          <w:color w:val="000000" w:themeColor="text1"/>
          <w:sz w:val="24"/>
          <w:szCs w:val="24"/>
        </w:rPr>
        <w:t xml:space="preserve"> in more </w:t>
      </w:r>
      <w:r w:rsidR="00EB5E19">
        <w:rPr>
          <w:rFonts w:asciiTheme="majorHAnsi" w:eastAsiaTheme="majorEastAsia" w:hAnsiTheme="majorHAnsi" w:cstheme="majorBidi"/>
          <w:bCs/>
          <w:color w:val="000000" w:themeColor="text1"/>
          <w:sz w:val="24"/>
          <w:szCs w:val="24"/>
        </w:rPr>
        <w:t xml:space="preserve">state </w:t>
      </w:r>
      <w:r w:rsidR="00EF0FCC">
        <w:rPr>
          <w:rFonts w:asciiTheme="majorHAnsi" w:eastAsiaTheme="majorEastAsia" w:hAnsiTheme="majorHAnsi" w:cstheme="majorBidi"/>
          <w:bCs/>
          <w:color w:val="000000" w:themeColor="text1"/>
          <w:sz w:val="24"/>
          <w:szCs w:val="24"/>
        </w:rPr>
        <w:t>revenues, ranging from $18,000 to $54,000 annually, which partially offset the expenditure on this tax incentive.</w:t>
      </w:r>
    </w:p>
    <w:p w14:paraId="57524D9B" w14:textId="77777777" w:rsidR="0062172D" w:rsidRDefault="0062172D" w:rsidP="0062172D">
      <w:pPr>
        <w:spacing w:after="0"/>
        <w:rPr>
          <w:rFonts w:asciiTheme="majorHAnsi" w:eastAsiaTheme="majorEastAsia" w:hAnsiTheme="majorHAnsi" w:cstheme="majorBidi"/>
          <w:b/>
          <w:color w:val="000000" w:themeColor="text1"/>
          <w:sz w:val="24"/>
          <w:szCs w:val="24"/>
        </w:rPr>
      </w:pPr>
    </w:p>
    <w:p w14:paraId="0B78080E" w14:textId="77777777" w:rsidR="00EF0FCC" w:rsidRDefault="00EF0FCC" w:rsidP="00EF0FCC">
      <w:pPr>
        <w:spacing w:after="0"/>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E43463">
        <w:rPr>
          <w:rFonts w:asciiTheme="majorHAnsi" w:eastAsiaTheme="majorEastAsia" w:hAnsiTheme="majorHAnsi" w:cstheme="majorBidi"/>
          <w:b/>
          <w:color w:val="000000" w:themeColor="text1"/>
          <w:sz w:val="24"/>
          <w:szCs w:val="24"/>
        </w:rPr>
        <w:t>5</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Additional Revenue</w:t>
      </w:r>
      <w:r w:rsidR="0056389E">
        <w:rPr>
          <w:rFonts w:asciiTheme="majorHAnsi" w:eastAsiaTheme="majorEastAsia" w:hAnsiTheme="majorHAnsi" w:cstheme="majorBidi"/>
          <w:b/>
          <w:color w:val="000000" w:themeColor="text1"/>
          <w:sz w:val="24"/>
          <w:szCs w:val="24"/>
        </w:rPr>
        <w:t xml:space="preserve"> Impact of Medical Device User-F</w:t>
      </w:r>
      <w:r>
        <w:rPr>
          <w:rFonts w:asciiTheme="majorHAnsi" w:eastAsiaTheme="majorEastAsia" w:hAnsiTheme="majorHAnsi" w:cstheme="majorBidi"/>
          <w:b/>
          <w:color w:val="000000" w:themeColor="text1"/>
          <w:sz w:val="24"/>
          <w:szCs w:val="24"/>
        </w:rPr>
        <w:t>ee</w:t>
      </w:r>
      <w:r w:rsidR="0056389E">
        <w:rPr>
          <w:rFonts w:asciiTheme="majorHAnsi" w:eastAsiaTheme="majorEastAsia" w:hAnsiTheme="majorHAnsi" w:cstheme="majorBidi"/>
          <w:b/>
          <w:color w:val="000000" w:themeColor="text1"/>
          <w:sz w:val="24"/>
          <w:szCs w:val="24"/>
        </w:rPr>
        <w:t xml:space="preserve"> Tax</w:t>
      </w:r>
      <w:r>
        <w:rPr>
          <w:rFonts w:asciiTheme="majorHAnsi" w:eastAsiaTheme="majorEastAsia" w:hAnsiTheme="majorHAnsi" w:cstheme="majorBidi"/>
          <w:b/>
          <w:color w:val="000000" w:themeColor="text1"/>
          <w:sz w:val="24"/>
          <w:szCs w:val="24"/>
        </w:rPr>
        <w:t xml:space="preserve"> Credit  </w:t>
      </w:r>
    </w:p>
    <w:tbl>
      <w:tblPr>
        <w:tblW w:w="9337" w:type="dxa"/>
        <w:tblInd w:w="108" w:type="dxa"/>
        <w:tblLook w:val="04A0" w:firstRow="1" w:lastRow="0" w:firstColumn="1" w:lastColumn="0" w:noHBand="0" w:noVBand="1"/>
      </w:tblPr>
      <w:tblGrid>
        <w:gridCol w:w="3671"/>
        <w:gridCol w:w="1134"/>
        <w:gridCol w:w="1133"/>
        <w:gridCol w:w="1133"/>
        <w:gridCol w:w="1133"/>
        <w:gridCol w:w="1133"/>
      </w:tblGrid>
      <w:tr w:rsidR="00EF0FCC" w:rsidRPr="00ED7020" w14:paraId="0FAE0CD5" w14:textId="77777777" w:rsidTr="00194FEC">
        <w:trPr>
          <w:trHeight w:val="500"/>
        </w:trPr>
        <w:tc>
          <w:tcPr>
            <w:tcW w:w="3671"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16D9C546" w14:textId="77777777" w:rsidR="00EF0FCC" w:rsidRPr="00ED7020" w:rsidRDefault="00EF0FCC" w:rsidP="00B267BF">
            <w:pPr>
              <w:spacing w:after="0" w:line="240" w:lineRule="auto"/>
              <w:jc w:val="center"/>
              <w:rPr>
                <w:rFonts w:ascii="Cambria" w:eastAsia="Times New Roman" w:hAnsi="Cambria" w:cs="Arial"/>
                <w:sz w:val="20"/>
                <w:szCs w:val="20"/>
                <w:lang w:eastAsia="ko-KR"/>
              </w:rPr>
            </w:pPr>
            <w:r>
              <w:rPr>
                <w:rFonts w:ascii="Cambria" w:eastAsia="Times New Roman" w:hAnsi="Cambria" w:cs="Arial"/>
                <w:sz w:val="20"/>
                <w:szCs w:val="20"/>
                <w:lang w:eastAsia="ko-KR"/>
              </w:rPr>
              <w:t xml:space="preserve">Fiscal </w:t>
            </w:r>
            <w:r w:rsidRPr="00ED7020">
              <w:rPr>
                <w:rFonts w:ascii="Cambria" w:eastAsia="Times New Roman" w:hAnsi="Cambria" w:cs="Arial"/>
                <w:sz w:val="20"/>
                <w:szCs w:val="20"/>
                <w:lang w:eastAsia="ko-KR"/>
              </w:rPr>
              <w:t>Year</w:t>
            </w:r>
          </w:p>
        </w:tc>
        <w:tc>
          <w:tcPr>
            <w:tcW w:w="1134" w:type="dxa"/>
            <w:tcBorders>
              <w:top w:val="single" w:sz="4" w:space="0" w:color="auto"/>
              <w:left w:val="nil"/>
              <w:bottom w:val="single" w:sz="4" w:space="0" w:color="auto"/>
              <w:right w:val="single" w:sz="4" w:space="0" w:color="auto"/>
            </w:tcBorders>
            <w:shd w:val="clear" w:color="000000" w:fill="B7DEE8"/>
            <w:noWrap/>
            <w:vAlign w:val="center"/>
            <w:hideMark/>
          </w:tcPr>
          <w:p w14:paraId="3B71CD25" w14:textId="77777777" w:rsidR="00EF0FCC" w:rsidRPr="00ED7020" w:rsidRDefault="00EF0FCC" w:rsidP="00B267BF">
            <w:pPr>
              <w:spacing w:after="0" w:line="240" w:lineRule="auto"/>
              <w:jc w:val="center"/>
              <w:rPr>
                <w:rFonts w:ascii="Cambria" w:eastAsia="Times New Roman" w:hAnsi="Cambria" w:cs="Arial"/>
                <w:sz w:val="20"/>
                <w:szCs w:val="20"/>
                <w:lang w:eastAsia="ko-KR"/>
              </w:rPr>
            </w:pPr>
            <w:r w:rsidRPr="00ED7020">
              <w:rPr>
                <w:rFonts w:ascii="Cambria" w:eastAsia="Times New Roman" w:hAnsi="Cambria" w:cs="Arial"/>
                <w:sz w:val="20"/>
                <w:szCs w:val="20"/>
                <w:lang w:eastAsia="ko-KR"/>
              </w:rPr>
              <w:t>2018</w:t>
            </w:r>
          </w:p>
        </w:tc>
        <w:tc>
          <w:tcPr>
            <w:tcW w:w="1133" w:type="dxa"/>
            <w:tcBorders>
              <w:top w:val="single" w:sz="4" w:space="0" w:color="auto"/>
              <w:left w:val="nil"/>
              <w:bottom w:val="single" w:sz="4" w:space="0" w:color="auto"/>
              <w:right w:val="single" w:sz="4" w:space="0" w:color="auto"/>
            </w:tcBorders>
            <w:shd w:val="clear" w:color="000000" w:fill="B7DEE8"/>
            <w:noWrap/>
            <w:vAlign w:val="center"/>
            <w:hideMark/>
          </w:tcPr>
          <w:p w14:paraId="17D7DF8F" w14:textId="77777777" w:rsidR="00EF0FCC" w:rsidRPr="00ED7020" w:rsidRDefault="00EF0FCC" w:rsidP="00B267BF">
            <w:pPr>
              <w:spacing w:after="0" w:line="240" w:lineRule="auto"/>
              <w:jc w:val="center"/>
              <w:rPr>
                <w:rFonts w:ascii="Cambria" w:eastAsia="Times New Roman" w:hAnsi="Cambria" w:cs="Arial"/>
                <w:sz w:val="20"/>
                <w:szCs w:val="20"/>
                <w:lang w:eastAsia="ko-KR"/>
              </w:rPr>
            </w:pPr>
            <w:r w:rsidRPr="00ED7020">
              <w:rPr>
                <w:rFonts w:ascii="Cambria" w:eastAsia="Times New Roman" w:hAnsi="Cambria" w:cs="Arial"/>
                <w:sz w:val="20"/>
                <w:szCs w:val="20"/>
                <w:lang w:eastAsia="ko-KR"/>
              </w:rPr>
              <w:t>2019</w:t>
            </w:r>
          </w:p>
        </w:tc>
        <w:tc>
          <w:tcPr>
            <w:tcW w:w="1133" w:type="dxa"/>
            <w:tcBorders>
              <w:top w:val="single" w:sz="4" w:space="0" w:color="auto"/>
              <w:left w:val="nil"/>
              <w:bottom w:val="single" w:sz="4" w:space="0" w:color="auto"/>
              <w:right w:val="single" w:sz="4" w:space="0" w:color="auto"/>
            </w:tcBorders>
            <w:shd w:val="clear" w:color="000000" w:fill="B7DEE8"/>
            <w:noWrap/>
            <w:vAlign w:val="center"/>
            <w:hideMark/>
          </w:tcPr>
          <w:p w14:paraId="4FA81FA1" w14:textId="77777777" w:rsidR="00EF0FCC" w:rsidRPr="00ED7020" w:rsidRDefault="00EF0FCC" w:rsidP="00B267BF">
            <w:pPr>
              <w:spacing w:after="0" w:line="240" w:lineRule="auto"/>
              <w:jc w:val="center"/>
              <w:rPr>
                <w:rFonts w:ascii="Cambria" w:eastAsia="Times New Roman" w:hAnsi="Cambria" w:cs="Arial"/>
                <w:sz w:val="20"/>
                <w:szCs w:val="20"/>
                <w:lang w:eastAsia="ko-KR"/>
              </w:rPr>
            </w:pPr>
            <w:r w:rsidRPr="00ED7020">
              <w:rPr>
                <w:rFonts w:ascii="Cambria" w:eastAsia="Times New Roman" w:hAnsi="Cambria" w:cs="Arial"/>
                <w:sz w:val="20"/>
                <w:szCs w:val="20"/>
                <w:lang w:eastAsia="ko-KR"/>
              </w:rPr>
              <w:t>2020</w:t>
            </w:r>
          </w:p>
        </w:tc>
        <w:tc>
          <w:tcPr>
            <w:tcW w:w="1133" w:type="dxa"/>
            <w:tcBorders>
              <w:top w:val="single" w:sz="4" w:space="0" w:color="auto"/>
              <w:left w:val="nil"/>
              <w:bottom w:val="single" w:sz="4" w:space="0" w:color="auto"/>
              <w:right w:val="single" w:sz="4" w:space="0" w:color="auto"/>
            </w:tcBorders>
            <w:shd w:val="clear" w:color="000000" w:fill="B7DEE8"/>
            <w:noWrap/>
            <w:vAlign w:val="center"/>
            <w:hideMark/>
          </w:tcPr>
          <w:p w14:paraId="7FD2438B" w14:textId="77777777" w:rsidR="00EF0FCC" w:rsidRPr="00ED7020" w:rsidRDefault="00EF0FCC" w:rsidP="00B267BF">
            <w:pPr>
              <w:spacing w:after="0" w:line="240" w:lineRule="auto"/>
              <w:jc w:val="center"/>
              <w:rPr>
                <w:rFonts w:ascii="Cambria" w:eastAsia="Times New Roman" w:hAnsi="Cambria" w:cs="Arial"/>
                <w:sz w:val="20"/>
                <w:szCs w:val="20"/>
                <w:lang w:eastAsia="ko-KR"/>
              </w:rPr>
            </w:pPr>
            <w:r w:rsidRPr="00ED7020">
              <w:rPr>
                <w:rFonts w:ascii="Cambria" w:eastAsia="Times New Roman" w:hAnsi="Cambria" w:cs="Arial"/>
                <w:sz w:val="20"/>
                <w:szCs w:val="20"/>
                <w:lang w:eastAsia="ko-KR"/>
              </w:rPr>
              <w:t>2021</w:t>
            </w:r>
          </w:p>
        </w:tc>
        <w:tc>
          <w:tcPr>
            <w:tcW w:w="1133" w:type="dxa"/>
            <w:tcBorders>
              <w:top w:val="single" w:sz="4" w:space="0" w:color="auto"/>
              <w:left w:val="nil"/>
              <w:bottom w:val="single" w:sz="4" w:space="0" w:color="auto"/>
              <w:right w:val="single" w:sz="4" w:space="0" w:color="auto"/>
            </w:tcBorders>
            <w:shd w:val="clear" w:color="000000" w:fill="B7DEE8"/>
            <w:noWrap/>
            <w:vAlign w:val="center"/>
            <w:hideMark/>
          </w:tcPr>
          <w:p w14:paraId="40762674" w14:textId="77777777" w:rsidR="00EF0FCC" w:rsidRPr="00ED7020" w:rsidRDefault="00EF0FCC" w:rsidP="00B267BF">
            <w:pPr>
              <w:spacing w:after="0" w:line="240" w:lineRule="auto"/>
              <w:jc w:val="center"/>
              <w:rPr>
                <w:rFonts w:ascii="Cambria" w:eastAsia="Times New Roman" w:hAnsi="Cambria" w:cs="Arial"/>
                <w:sz w:val="20"/>
                <w:szCs w:val="20"/>
                <w:lang w:eastAsia="ko-KR"/>
              </w:rPr>
            </w:pPr>
            <w:r w:rsidRPr="00ED7020">
              <w:rPr>
                <w:rFonts w:ascii="Cambria" w:eastAsia="Times New Roman" w:hAnsi="Cambria" w:cs="Arial"/>
                <w:sz w:val="20"/>
                <w:szCs w:val="20"/>
                <w:lang w:eastAsia="ko-KR"/>
              </w:rPr>
              <w:t>2022</w:t>
            </w:r>
          </w:p>
        </w:tc>
      </w:tr>
      <w:tr w:rsidR="00EF0FCC" w:rsidRPr="00ED7020" w14:paraId="2D1F1F26" w14:textId="77777777" w:rsidTr="00194FEC">
        <w:trPr>
          <w:trHeight w:val="500"/>
        </w:trPr>
        <w:tc>
          <w:tcPr>
            <w:tcW w:w="3671" w:type="dxa"/>
            <w:tcBorders>
              <w:top w:val="nil"/>
              <w:left w:val="single" w:sz="4" w:space="0" w:color="auto"/>
              <w:bottom w:val="single" w:sz="4" w:space="0" w:color="auto"/>
              <w:right w:val="single" w:sz="4" w:space="0" w:color="auto"/>
            </w:tcBorders>
            <w:shd w:val="clear" w:color="auto" w:fill="auto"/>
            <w:noWrap/>
            <w:vAlign w:val="center"/>
            <w:hideMark/>
          </w:tcPr>
          <w:p w14:paraId="232EEEF1" w14:textId="77777777" w:rsidR="00EF0FCC" w:rsidRPr="00ED7020" w:rsidRDefault="00EF0FCC" w:rsidP="00B267BF">
            <w:pPr>
              <w:spacing w:after="0" w:line="240" w:lineRule="auto"/>
              <w:rPr>
                <w:rFonts w:ascii="Cambria" w:eastAsia="Times New Roman" w:hAnsi="Cambria" w:cs="Arial"/>
                <w:sz w:val="20"/>
                <w:szCs w:val="20"/>
                <w:lang w:eastAsia="ko-KR"/>
              </w:rPr>
            </w:pPr>
            <w:r>
              <w:rPr>
                <w:rFonts w:ascii="Cambria" w:eastAsia="Times New Roman" w:hAnsi="Cambria" w:cs="Arial"/>
                <w:sz w:val="20"/>
                <w:szCs w:val="20"/>
                <w:lang w:eastAsia="ko-KR"/>
              </w:rPr>
              <w:t xml:space="preserve">Additional </w:t>
            </w:r>
            <w:r w:rsidRPr="00ED7020">
              <w:rPr>
                <w:rFonts w:ascii="Cambria" w:eastAsia="Times New Roman" w:hAnsi="Cambria" w:cs="Arial"/>
                <w:sz w:val="20"/>
                <w:szCs w:val="20"/>
                <w:lang w:eastAsia="ko-KR"/>
              </w:rPr>
              <w:t xml:space="preserve">revenue </w:t>
            </w:r>
            <w:r>
              <w:rPr>
                <w:rFonts w:ascii="Cambria" w:eastAsia="Times New Roman" w:hAnsi="Cambria" w:cs="Arial"/>
                <w:sz w:val="20"/>
                <w:szCs w:val="20"/>
                <w:lang w:eastAsia="ko-KR"/>
              </w:rPr>
              <w:t xml:space="preserve">impact </w:t>
            </w:r>
            <w:r w:rsidRPr="00ED7020">
              <w:rPr>
                <w:rFonts w:ascii="Cambria" w:eastAsia="Times New Roman" w:hAnsi="Cambria" w:cs="Arial"/>
                <w:sz w:val="20"/>
                <w:szCs w:val="20"/>
                <w:lang w:eastAsia="ko-K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169CB" w14:textId="77777777" w:rsidR="00EF0FCC" w:rsidRPr="00ED7020"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$18</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17946D36" w14:textId="77777777" w:rsidR="00EF0FCC" w:rsidRPr="00ED7020"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$41</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342E69A3" w14:textId="77777777" w:rsidR="00EF0FCC" w:rsidRPr="00ED7020"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$48</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739774D1" w14:textId="77777777" w:rsidR="00EF0FCC" w:rsidRPr="00ED7020"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$52</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146977A1" w14:textId="77777777" w:rsidR="00EF0FCC" w:rsidRPr="00ED7020"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$54</w:t>
            </w:r>
          </w:p>
        </w:tc>
      </w:tr>
    </w:tbl>
    <w:p w14:paraId="39F60031" w14:textId="77777777" w:rsidR="00EF0FCC" w:rsidRDefault="00EF0FCC" w:rsidP="00EF0FCC">
      <w:pPr>
        <w:spacing w:after="0"/>
        <w:rPr>
          <w:rFonts w:asciiTheme="majorHAnsi" w:eastAsiaTheme="majorEastAsia" w:hAnsiTheme="majorHAnsi" w:cstheme="majorBidi"/>
          <w:bCs/>
          <w:color w:val="000000" w:themeColor="text1"/>
          <w:sz w:val="24"/>
          <w:szCs w:val="24"/>
        </w:rPr>
      </w:pPr>
    </w:p>
    <w:p w14:paraId="2D722A39" w14:textId="77777777" w:rsidR="00EF0FCC" w:rsidRDefault="00EF0FCC" w:rsidP="00EF0FCC">
      <w:pPr>
        <w:spacing w:after="0"/>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lastRenderedPageBreak/>
        <w:t xml:space="preserve">Table </w:t>
      </w:r>
      <w:r w:rsidR="00E43463">
        <w:rPr>
          <w:rFonts w:asciiTheme="majorHAnsi" w:eastAsiaTheme="majorEastAsia" w:hAnsiTheme="majorHAnsi" w:cstheme="majorBidi"/>
          <w:b/>
          <w:color w:val="000000" w:themeColor="text1"/>
          <w:sz w:val="24"/>
          <w:szCs w:val="24"/>
        </w:rPr>
        <w:t>6</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Selected Economic Impacts </w:t>
      </w:r>
      <w:r w:rsidR="0056389E">
        <w:rPr>
          <w:rFonts w:asciiTheme="majorHAnsi" w:eastAsiaTheme="majorEastAsia" w:hAnsiTheme="majorHAnsi" w:cstheme="majorBidi"/>
          <w:b/>
          <w:color w:val="000000" w:themeColor="text1"/>
          <w:sz w:val="24"/>
          <w:szCs w:val="24"/>
        </w:rPr>
        <w:t>of Medical Device User-F</w:t>
      </w:r>
      <w:r>
        <w:rPr>
          <w:rFonts w:asciiTheme="majorHAnsi" w:eastAsiaTheme="majorEastAsia" w:hAnsiTheme="majorHAnsi" w:cstheme="majorBidi"/>
          <w:b/>
          <w:color w:val="000000" w:themeColor="text1"/>
          <w:sz w:val="24"/>
          <w:szCs w:val="24"/>
        </w:rPr>
        <w:t>ee</w:t>
      </w:r>
      <w:r w:rsidR="0056389E">
        <w:rPr>
          <w:rFonts w:asciiTheme="majorHAnsi" w:eastAsiaTheme="majorEastAsia" w:hAnsiTheme="majorHAnsi" w:cstheme="majorBidi"/>
          <w:b/>
          <w:color w:val="000000" w:themeColor="text1"/>
          <w:sz w:val="24"/>
          <w:szCs w:val="24"/>
        </w:rPr>
        <w:t xml:space="preserve"> Tax</w:t>
      </w:r>
      <w:r>
        <w:rPr>
          <w:rFonts w:asciiTheme="majorHAnsi" w:eastAsiaTheme="majorEastAsia" w:hAnsiTheme="majorHAnsi" w:cstheme="majorBidi"/>
          <w:b/>
          <w:color w:val="000000" w:themeColor="text1"/>
          <w:sz w:val="24"/>
          <w:szCs w:val="24"/>
        </w:rPr>
        <w:t xml:space="preserve"> Credit </w:t>
      </w:r>
    </w:p>
    <w:tbl>
      <w:tblPr>
        <w:tblW w:w="9337" w:type="dxa"/>
        <w:tblInd w:w="108" w:type="dxa"/>
        <w:tblLook w:val="04A0" w:firstRow="1" w:lastRow="0" w:firstColumn="1" w:lastColumn="0" w:noHBand="0" w:noVBand="1"/>
      </w:tblPr>
      <w:tblGrid>
        <w:gridCol w:w="3671"/>
        <w:gridCol w:w="1134"/>
        <w:gridCol w:w="1133"/>
        <w:gridCol w:w="1133"/>
        <w:gridCol w:w="1133"/>
        <w:gridCol w:w="1133"/>
      </w:tblGrid>
      <w:tr w:rsidR="00EF0FCC" w:rsidRPr="006C209C" w14:paraId="63DC63AD" w14:textId="77777777" w:rsidTr="00194FEC">
        <w:trPr>
          <w:trHeight w:val="380"/>
        </w:trPr>
        <w:tc>
          <w:tcPr>
            <w:tcW w:w="3671"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0FCA9F0E"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sidRPr="006C209C">
              <w:rPr>
                <w:rFonts w:ascii="Cambria" w:eastAsia="Times New Roman" w:hAnsi="Cambria" w:cs="Arial"/>
                <w:sz w:val="20"/>
                <w:szCs w:val="20"/>
                <w:lang w:eastAsia="ko-KR"/>
              </w:rPr>
              <w:t>Calendar Year</w:t>
            </w:r>
          </w:p>
        </w:tc>
        <w:tc>
          <w:tcPr>
            <w:tcW w:w="1134" w:type="dxa"/>
            <w:tcBorders>
              <w:top w:val="single" w:sz="4" w:space="0" w:color="auto"/>
              <w:left w:val="nil"/>
              <w:bottom w:val="single" w:sz="4" w:space="0" w:color="auto"/>
              <w:right w:val="single" w:sz="4" w:space="0" w:color="auto"/>
            </w:tcBorders>
            <w:shd w:val="clear" w:color="000000" w:fill="B7DEE8"/>
            <w:noWrap/>
            <w:vAlign w:val="center"/>
            <w:hideMark/>
          </w:tcPr>
          <w:p w14:paraId="6B44A776"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sidRPr="006C209C">
              <w:rPr>
                <w:rFonts w:ascii="Cambria" w:eastAsia="Times New Roman" w:hAnsi="Cambria" w:cs="Arial"/>
                <w:sz w:val="20"/>
                <w:szCs w:val="20"/>
                <w:lang w:eastAsia="ko-KR"/>
              </w:rPr>
              <w:t>2018</w:t>
            </w:r>
          </w:p>
        </w:tc>
        <w:tc>
          <w:tcPr>
            <w:tcW w:w="1133" w:type="dxa"/>
            <w:tcBorders>
              <w:top w:val="single" w:sz="4" w:space="0" w:color="auto"/>
              <w:left w:val="nil"/>
              <w:bottom w:val="single" w:sz="4" w:space="0" w:color="auto"/>
              <w:right w:val="single" w:sz="4" w:space="0" w:color="auto"/>
            </w:tcBorders>
            <w:shd w:val="clear" w:color="000000" w:fill="B7DEE8"/>
            <w:noWrap/>
            <w:vAlign w:val="center"/>
            <w:hideMark/>
          </w:tcPr>
          <w:p w14:paraId="43D94FBB"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sidRPr="006C209C">
              <w:rPr>
                <w:rFonts w:ascii="Cambria" w:eastAsia="Times New Roman" w:hAnsi="Cambria" w:cs="Arial"/>
                <w:sz w:val="20"/>
                <w:szCs w:val="20"/>
                <w:lang w:eastAsia="ko-KR"/>
              </w:rPr>
              <w:t>2019</w:t>
            </w:r>
          </w:p>
        </w:tc>
        <w:tc>
          <w:tcPr>
            <w:tcW w:w="1133" w:type="dxa"/>
            <w:tcBorders>
              <w:top w:val="single" w:sz="4" w:space="0" w:color="auto"/>
              <w:left w:val="nil"/>
              <w:bottom w:val="single" w:sz="4" w:space="0" w:color="auto"/>
              <w:right w:val="single" w:sz="4" w:space="0" w:color="auto"/>
            </w:tcBorders>
            <w:shd w:val="clear" w:color="000000" w:fill="B7DEE8"/>
            <w:noWrap/>
            <w:vAlign w:val="center"/>
            <w:hideMark/>
          </w:tcPr>
          <w:p w14:paraId="02D48823"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sidRPr="006C209C">
              <w:rPr>
                <w:rFonts w:ascii="Cambria" w:eastAsia="Times New Roman" w:hAnsi="Cambria" w:cs="Arial"/>
                <w:sz w:val="20"/>
                <w:szCs w:val="20"/>
                <w:lang w:eastAsia="ko-KR"/>
              </w:rPr>
              <w:t>2020</w:t>
            </w:r>
          </w:p>
        </w:tc>
        <w:tc>
          <w:tcPr>
            <w:tcW w:w="1133" w:type="dxa"/>
            <w:tcBorders>
              <w:top w:val="single" w:sz="4" w:space="0" w:color="auto"/>
              <w:left w:val="nil"/>
              <w:bottom w:val="single" w:sz="4" w:space="0" w:color="auto"/>
              <w:right w:val="single" w:sz="4" w:space="0" w:color="auto"/>
            </w:tcBorders>
            <w:shd w:val="clear" w:color="000000" w:fill="B7DEE8"/>
            <w:noWrap/>
            <w:vAlign w:val="center"/>
            <w:hideMark/>
          </w:tcPr>
          <w:p w14:paraId="2E7759F8"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sidRPr="006C209C">
              <w:rPr>
                <w:rFonts w:ascii="Cambria" w:eastAsia="Times New Roman" w:hAnsi="Cambria" w:cs="Arial"/>
                <w:sz w:val="20"/>
                <w:szCs w:val="20"/>
                <w:lang w:eastAsia="ko-KR"/>
              </w:rPr>
              <w:t>2021</w:t>
            </w:r>
          </w:p>
        </w:tc>
        <w:tc>
          <w:tcPr>
            <w:tcW w:w="1133" w:type="dxa"/>
            <w:tcBorders>
              <w:top w:val="single" w:sz="4" w:space="0" w:color="auto"/>
              <w:left w:val="nil"/>
              <w:bottom w:val="single" w:sz="4" w:space="0" w:color="auto"/>
              <w:right w:val="single" w:sz="4" w:space="0" w:color="auto"/>
            </w:tcBorders>
            <w:shd w:val="clear" w:color="000000" w:fill="B7DEE8"/>
            <w:noWrap/>
            <w:vAlign w:val="center"/>
            <w:hideMark/>
          </w:tcPr>
          <w:p w14:paraId="33C33BDD"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sidRPr="006C209C">
              <w:rPr>
                <w:rFonts w:ascii="Cambria" w:eastAsia="Times New Roman" w:hAnsi="Cambria" w:cs="Arial"/>
                <w:sz w:val="20"/>
                <w:szCs w:val="20"/>
                <w:lang w:eastAsia="ko-KR"/>
              </w:rPr>
              <w:t>2022</w:t>
            </w:r>
          </w:p>
        </w:tc>
      </w:tr>
      <w:tr w:rsidR="00EF0FCC" w:rsidRPr="006C209C" w14:paraId="42067091" w14:textId="77777777" w:rsidTr="00194FEC">
        <w:trPr>
          <w:trHeight w:val="560"/>
        </w:trPr>
        <w:tc>
          <w:tcPr>
            <w:tcW w:w="3671" w:type="dxa"/>
            <w:tcBorders>
              <w:top w:val="nil"/>
              <w:left w:val="single" w:sz="4" w:space="0" w:color="auto"/>
              <w:bottom w:val="single" w:sz="4" w:space="0" w:color="auto"/>
              <w:right w:val="single" w:sz="4" w:space="0" w:color="auto"/>
            </w:tcBorders>
            <w:shd w:val="clear" w:color="auto" w:fill="auto"/>
            <w:vAlign w:val="center"/>
            <w:hideMark/>
          </w:tcPr>
          <w:p w14:paraId="18E8CE40" w14:textId="77777777" w:rsidR="00EF0FCC" w:rsidRPr="006C209C" w:rsidRDefault="00EF0FCC" w:rsidP="00B267BF">
            <w:pPr>
              <w:spacing w:after="0" w:line="240" w:lineRule="auto"/>
              <w:rPr>
                <w:rFonts w:ascii="Cambria" w:eastAsia="Times New Roman" w:hAnsi="Cambria" w:cs="Arial"/>
                <w:sz w:val="20"/>
                <w:szCs w:val="20"/>
                <w:lang w:eastAsia="ko-KR"/>
              </w:rPr>
            </w:pPr>
            <w:r w:rsidRPr="006C209C">
              <w:rPr>
                <w:rFonts w:ascii="Cambria" w:eastAsia="Times New Roman" w:hAnsi="Cambria" w:cs="Arial"/>
                <w:sz w:val="20"/>
                <w:szCs w:val="20"/>
                <w:lang w:eastAsia="ko-KR"/>
              </w:rPr>
              <w:t>Impact on total employment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D1E07"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8</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61B5D5E5"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9</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17DBACDA"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10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6182E7EE"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9</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76089343"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9</w:t>
            </w:r>
          </w:p>
        </w:tc>
      </w:tr>
      <w:tr w:rsidR="00EF0FCC" w:rsidRPr="006C209C" w14:paraId="705F1B1D" w14:textId="77777777" w:rsidTr="00194FEC">
        <w:trPr>
          <w:trHeight w:val="500"/>
        </w:trPr>
        <w:tc>
          <w:tcPr>
            <w:tcW w:w="3671" w:type="dxa"/>
            <w:tcBorders>
              <w:top w:val="nil"/>
              <w:left w:val="single" w:sz="4" w:space="0" w:color="auto"/>
              <w:bottom w:val="single" w:sz="4" w:space="0" w:color="auto"/>
              <w:right w:val="single" w:sz="4" w:space="0" w:color="auto"/>
            </w:tcBorders>
            <w:shd w:val="clear" w:color="auto" w:fill="auto"/>
            <w:vAlign w:val="center"/>
            <w:hideMark/>
          </w:tcPr>
          <w:p w14:paraId="0C195501" w14:textId="77777777" w:rsidR="00EF0FCC" w:rsidRPr="006C209C" w:rsidRDefault="00EF0FCC" w:rsidP="00B267BF">
            <w:pPr>
              <w:spacing w:after="0" w:line="240" w:lineRule="auto"/>
              <w:rPr>
                <w:rFonts w:ascii="Cambria" w:eastAsia="Times New Roman" w:hAnsi="Cambria" w:cs="Arial"/>
                <w:sz w:val="20"/>
                <w:szCs w:val="20"/>
                <w:lang w:eastAsia="ko-KR"/>
              </w:rPr>
            </w:pPr>
            <w:r w:rsidRPr="006C209C">
              <w:rPr>
                <w:rFonts w:ascii="Cambria" w:eastAsia="Times New Roman" w:hAnsi="Cambria" w:cs="Arial"/>
                <w:sz w:val="20"/>
                <w:szCs w:val="20"/>
                <w:lang w:eastAsia="ko-KR"/>
              </w:rPr>
              <w:t>Impact on private non-farm employment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2DEB12C"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14:paraId="743FCC75"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14:paraId="4E939EC9"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14:paraId="103F6FA5"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14:paraId="6CAAD29F"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8</w:t>
            </w:r>
          </w:p>
        </w:tc>
      </w:tr>
      <w:tr w:rsidR="00EF0FCC" w:rsidRPr="006C209C" w14:paraId="15A9F365" w14:textId="77777777" w:rsidTr="00194FEC">
        <w:trPr>
          <w:trHeight w:val="500"/>
        </w:trPr>
        <w:tc>
          <w:tcPr>
            <w:tcW w:w="3671" w:type="dxa"/>
            <w:tcBorders>
              <w:top w:val="nil"/>
              <w:left w:val="single" w:sz="4" w:space="0" w:color="auto"/>
              <w:bottom w:val="single" w:sz="4" w:space="0" w:color="auto"/>
              <w:right w:val="single" w:sz="4" w:space="0" w:color="auto"/>
            </w:tcBorders>
            <w:shd w:val="clear" w:color="auto" w:fill="auto"/>
            <w:vAlign w:val="center"/>
            <w:hideMark/>
          </w:tcPr>
          <w:p w14:paraId="0BA02365" w14:textId="77777777" w:rsidR="00EF0FCC" w:rsidRPr="006C209C" w:rsidRDefault="00EF0FCC" w:rsidP="00B267BF">
            <w:pPr>
              <w:spacing w:after="0" w:line="240" w:lineRule="auto"/>
              <w:rPr>
                <w:rFonts w:ascii="Cambria" w:eastAsia="Times New Roman" w:hAnsi="Cambria" w:cs="Arial"/>
                <w:sz w:val="20"/>
                <w:szCs w:val="20"/>
                <w:lang w:eastAsia="ko-KR"/>
              </w:rPr>
            </w:pPr>
            <w:r w:rsidRPr="006C209C">
              <w:rPr>
                <w:rFonts w:ascii="Cambria" w:eastAsia="Times New Roman" w:hAnsi="Cambria" w:cs="Arial"/>
                <w:sz w:val="20"/>
                <w:szCs w:val="20"/>
                <w:lang w:eastAsia="ko-KR"/>
              </w:rPr>
              <w:t>Impact on GDP ($000), real dollars</w:t>
            </w:r>
            <w:r>
              <w:rPr>
                <w:rFonts w:ascii="Cambria" w:eastAsia="Times New Roman" w:hAnsi="Cambria" w:cs="Arial"/>
                <w:sz w:val="20"/>
                <w:szCs w:val="20"/>
                <w:lang w:eastAsia="ko-KR"/>
              </w:rPr>
              <w:t xml:space="preserve"> </w:t>
            </w:r>
            <w:r w:rsidRPr="006C209C">
              <w:rPr>
                <w:rFonts w:ascii="Cambria" w:eastAsia="Times New Roman" w:hAnsi="Cambria" w:cs="Arial"/>
                <w:sz w:val="20"/>
                <w:szCs w:val="20"/>
                <w:lang w:eastAsia="ko-KR"/>
              </w:rPr>
              <w:t>(2012)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97A96E9"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$1,000</w:t>
            </w:r>
          </w:p>
        </w:tc>
        <w:tc>
          <w:tcPr>
            <w:tcW w:w="1133" w:type="dxa"/>
            <w:tcBorders>
              <w:top w:val="nil"/>
              <w:left w:val="nil"/>
              <w:bottom w:val="single" w:sz="4" w:space="0" w:color="auto"/>
              <w:right w:val="single" w:sz="4" w:space="0" w:color="auto"/>
            </w:tcBorders>
            <w:shd w:val="clear" w:color="auto" w:fill="auto"/>
            <w:noWrap/>
            <w:vAlign w:val="center"/>
            <w:hideMark/>
          </w:tcPr>
          <w:p w14:paraId="0EFC2B7C"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$1,000</w:t>
            </w:r>
          </w:p>
        </w:tc>
        <w:tc>
          <w:tcPr>
            <w:tcW w:w="1133" w:type="dxa"/>
            <w:tcBorders>
              <w:top w:val="nil"/>
              <w:left w:val="nil"/>
              <w:bottom w:val="single" w:sz="4" w:space="0" w:color="auto"/>
              <w:right w:val="single" w:sz="4" w:space="0" w:color="auto"/>
            </w:tcBorders>
            <w:shd w:val="clear" w:color="auto" w:fill="auto"/>
            <w:noWrap/>
            <w:vAlign w:val="center"/>
            <w:hideMark/>
          </w:tcPr>
          <w:p w14:paraId="7B1CE86B"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$1,000</w:t>
            </w:r>
          </w:p>
        </w:tc>
        <w:tc>
          <w:tcPr>
            <w:tcW w:w="1133" w:type="dxa"/>
            <w:tcBorders>
              <w:top w:val="nil"/>
              <w:left w:val="nil"/>
              <w:bottom w:val="single" w:sz="4" w:space="0" w:color="auto"/>
              <w:right w:val="single" w:sz="4" w:space="0" w:color="auto"/>
            </w:tcBorders>
            <w:shd w:val="clear" w:color="auto" w:fill="auto"/>
            <w:noWrap/>
            <w:vAlign w:val="center"/>
            <w:hideMark/>
          </w:tcPr>
          <w:p w14:paraId="1F0D4FCD"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$1,000</w:t>
            </w:r>
          </w:p>
        </w:tc>
        <w:tc>
          <w:tcPr>
            <w:tcW w:w="1133" w:type="dxa"/>
            <w:tcBorders>
              <w:top w:val="nil"/>
              <w:left w:val="nil"/>
              <w:bottom w:val="single" w:sz="4" w:space="0" w:color="auto"/>
              <w:right w:val="single" w:sz="4" w:space="0" w:color="auto"/>
            </w:tcBorders>
            <w:shd w:val="clear" w:color="auto" w:fill="auto"/>
            <w:noWrap/>
            <w:vAlign w:val="center"/>
            <w:hideMark/>
          </w:tcPr>
          <w:p w14:paraId="5CBB39EC"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$1,000</w:t>
            </w:r>
          </w:p>
        </w:tc>
      </w:tr>
      <w:tr w:rsidR="00EF0FCC" w:rsidRPr="006C209C" w14:paraId="13F46A78" w14:textId="77777777" w:rsidTr="00194FEC">
        <w:trPr>
          <w:trHeight w:val="500"/>
        </w:trPr>
        <w:tc>
          <w:tcPr>
            <w:tcW w:w="3671" w:type="dxa"/>
            <w:tcBorders>
              <w:top w:val="nil"/>
              <w:left w:val="single" w:sz="4" w:space="0" w:color="auto"/>
              <w:bottom w:val="single" w:sz="4" w:space="0" w:color="auto"/>
              <w:right w:val="single" w:sz="4" w:space="0" w:color="auto"/>
            </w:tcBorders>
            <w:shd w:val="clear" w:color="auto" w:fill="auto"/>
            <w:vAlign w:val="center"/>
            <w:hideMark/>
          </w:tcPr>
          <w:p w14:paraId="33EB294E" w14:textId="77777777" w:rsidR="00EF0FCC" w:rsidRPr="006C209C" w:rsidRDefault="00EF0FCC" w:rsidP="00B267BF">
            <w:pPr>
              <w:spacing w:after="0" w:line="240" w:lineRule="auto"/>
              <w:rPr>
                <w:rFonts w:ascii="Cambria" w:eastAsia="Times New Roman" w:hAnsi="Cambria" w:cs="Arial"/>
                <w:sz w:val="20"/>
                <w:szCs w:val="20"/>
                <w:lang w:eastAsia="ko-KR"/>
              </w:rPr>
            </w:pPr>
            <w:r w:rsidRPr="006C209C">
              <w:rPr>
                <w:rFonts w:ascii="Cambria" w:eastAsia="Times New Roman" w:hAnsi="Cambria" w:cs="Arial"/>
                <w:sz w:val="20"/>
                <w:szCs w:val="20"/>
                <w:lang w:eastAsia="ko-KR"/>
              </w:rPr>
              <w:t>Impact on personal income ($000)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F9C7757"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$1,000</w:t>
            </w:r>
          </w:p>
        </w:tc>
        <w:tc>
          <w:tcPr>
            <w:tcW w:w="1133" w:type="dxa"/>
            <w:tcBorders>
              <w:top w:val="nil"/>
              <w:left w:val="nil"/>
              <w:bottom w:val="single" w:sz="4" w:space="0" w:color="auto"/>
              <w:right w:val="single" w:sz="4" w:space="0" w:color="auto"/>
            </w:tcBorders>
            <w:shd w:val="clear" w:color="auto" w:fill="auto"/>
            <w:noWrap/>
            <w:vAlign w:val="center"/>
            <w:hideMark/>
          </w:tcPr>
          <w:p w14:paraId="109B34ED"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$1,000</w:t>
            </w:r>
          </w:p>
        </w:tc>
        <w:tc>
          <w:tcPr>
            <w:tcW w:w="1133" w:type="dxa"/>
            <w:tcBorders>
              <w:top w:val="nil"/>
              <w:left w:val="nil"/>
              <w:bottom w:val="single" w:sz="4" w:space="0" w:color="auto"/>
              <w:right w:val="single" w:sz="4" w:space="0" w:color="auto"/>
            </w:tcBorders>
            <w:shd w:val="clear" w:color="auto" w:fill="auto"/>
            <w:noWrap/>
            <w:vAlign w:val="center"/>
            <w:hideMark/>
          </w:tcPr>
          <w:p w14:paraId="2D4A264A"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$1,000</w:t>
            </w:r>
          </w:p>
        </w:tc>
        <w:tc>
          <w:tcPr>
            <w:tcW w:w="1133" w:type="dxa"/>
            <w:tcBorders>
              <w:top w:val="nil"/>
              <w:left w:val="nil"/>
              <w:bottom w:val="single" w:sz="4" w:space="0" w:color="auto"/>
              <w:right w:val="single" w:sz="4" w:space="0" w:color="auto"/>
            </w:tcBorders>
            <w:shd w:val="clear" w:color="auto" w:fill="auto"/>
            <w:noWrap/>
            <w:vAlign w:val="center"/>
            <w:hideMark/>
          </w:tcPr>
          <w:p w14:paraId="10ABB595"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$1,000</w:t>
            </w:r>
          </w:p>
        </w:tc>
        <w:tc>
          <w:tcPr>
            <w:tcW w:w="1133" w:type="dxa"/>
            <w:tcBorders>
              <w:top w:val="nil"/>
              <w:left w:val="nil"/>
              <w:bottom w:val="single" w:sz="4" w:space="0" w:color="auto"/>
              <w:right w:val="single" w:sz="4" w:space="0" w:color="auto"/>
            </w:tcBorders>
            <w:shd w:val="clear" w:color="auto" w:fill="auto"/>
            <w:noWrap/>
            <w:vAlign w:val="center"/>
            <w:hideMark/>
          </w:tcPr>
          <w:p w14:paraId="2661E0A9" w14:textId="77777777" w:rsidR="00EF0FCC" w:rsidRPr="006C209C"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$1,000</w:t>
            </w:r>
          </w:p>
        </w:tc>
      </w:tr>
    </w:tbl>
    <w:p w14:paraId="3940CFB7" w14:textId="77777777" w:rsidR="0062172D" w:rsidRDefault="0062172D" w:rsidP="0062172D">
      <w:pPr>
        <w:spacing w:after="0"/>
        <w:rPr>
          <w:rFonts w:asciiTheme="majorHAnsi" w:eastAsiaTheme="majorEastAsia" w:hAnsiTheme="majorHAnsi" w:cstheme="majorBidi"/>
          <w:bCs/>
          <w:color w:val="000000" w:themeColor="text1"/>
          <w:sz w:val="24"/>
          <w:szCs w:val="24"/>
        </w:rPr>
      </w:pPr>
    </w:p>
    <w:p w14:paraId="066D7FB1" w14:textId="77777777" w:rsidR="006851DE" w:rsidRDefault="0062172D" w:rsidP="0062172D">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T</w:t>
      </w:r>
      <w:r w:rsidRPr="00D52091">
        <w:rPr>
          <w:rFonts w:asciiTheme="majorHAnsi" w:eastAsiaTheme="majorEastAsia" w:hAnsiTheme="majorHAnsi" w:cstheme="majorBidi"/>
          <w:bCs/>
          <w:color w:val="000000" w:themeColor="text1"/>
          <w:sz w:val="24"/>
          <w:szCs w:val="24"/>
        </w:rPr>
        <w:t xml:space="preserve">he </w:t>
      </w:r>
      <w:r>
        <w:rPr>
          <w:rFonts w:asciiTheme="majorHAnsi" w:eastAsiaTheme="majorEastAsia" w:hAnsiTheme="majorHAnsi" w:cstheme="majorBidi"/>
          <w:bCs/>
          <w:color w:val="000000" w:themeColor="text1"/>
          <w:sz w:val="24"/>
          <w:szCs w:val="24"/>
        </w:rPr>
        <w:t xml:space="preserve">burden </w:t>
      </w:r>
      <w:r w:rsidRPr="00D52091">
        <w:rPr>
          <w:rFonts w:asciiTheme="majorHAnsi" w:eastAsiaTheme="majorEastAsia" w:hAnsiTheme="majorHAnsi" w:cstheme="majorBidi"/>
          <w:bCs/>
          <w:color w:val="000000" w:themeColor="text1"/>
          <w:sz w:val="24"/>
          <w:szCs w:val="24"/>
        </w:rPr>
        <w:t xml:space="preserve">of a tax does not </w:t>
      </w:r>
      <w:r>
        <w:rPr>
          <w:rFonts w:asciiTheme="majorHAnsi" w:eastAsiaTheme="majorEastAsia" w:hAnsiTheme="majorHAnsi" w:cstheme="majorBidi"/>
          <w:bCs/>
          <w:color w:val="000000" w:themeColor="text1"/>
          <w:sz w:val="24"/>
          <w:szCs w:val="24"/>
        </w:rPr>
        <w:t xml:space="preserve">necessarily </w:t>
      </w:r>
      <w:r w:rsidRPr="00D52091">
        <w:rPr>
          <w:rFonts w:asciiTheme="majorHAnsi" w:eastAsiaTheme="majorEastAsia" w:hAnsiTheme="majorHAnsi" w:cstheme="majorBidi"/>
          <w:bCs/>
          <w:color w:val="000000" w:themeColor="text1"/>
          <w:sz w:val="24"/>
          <w:szCs w:val="24"/>
        </w:rPr>
        <w:t xml:space="preserve">fall on those responsible for remitting the tax. </w:t>
      </w:r>
      <w:r>
        <w:rPr>
          <w:rFonts w:asciiTheme="majorHAnsi" w:eastAsiaTheme="majorEastAsia" w:hAnsiTheme="majorHAnsi" w:cstheme="majorBidi"/>
          <w:bCs/>
          <w:color w:val="000000" w:themeColor="text1"/>
          <w:sz w:val="24"/>
          <w:szCs w:val="24"/>
        </w:rPr>
        <w:t xml:space="preserve">It is known through economic theories that </w:t>
      </w:r>
      <w:r w:rsidRPr="003808A5">
        <w:rPr>
          <w:rFonts w:asciiTheme="majorHAnsi" w:eastAsiaTheme="majorEastAsia" w:hAnsiTheme="majorHAnsi" w:cstheme="majorBidi"/>
          <w:bCs/>
          <w:color w:val="000000" w:themeColor="text1"/>
          <w:sz w:val="24"/>
          <w:szCs w:val="24"/>
        </w:rPr>
        <w:t>corporate tax</w:t>
      </w:r>
      <w:r>
        <w:rPr>
          <w:rFonts w:asciiTheme="majorHAnsi" w:eastAsiaTheme="majorEastAsia" w:hAnsiTheme="majorHAnsi" w:cstheme="majorBidi"/>
          <w:bCs/>
          <w:color w:val="000000" w:themeColor="text1"/>
          <w:sz w:val="24"/>
          <w:szCs w:val="24"/>
        </w:rPr>
        <w:t>es</w:t>
      </w:r>
      <w:r w:rsidRPr="003808A5">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change the </w:t>
      </w:r>
      <w:r w:rsidRPr="003808A5">
        <w:rPr>
          <w:rFonts w:asciiTheme="majorHAnsi" w:eastAsiaTheme="majorEastAsia" w:hAnsiTheme="majorHAnsi" w:cstheme="majorBidi"/>
          <w:bCs/>
          <w:color w:val="000000" w:themeColor="text1"/>
          <w:sz w:val="24"/>
          <w:szCs w:val="24"/>
        </w:rPr>
        <w:t>allocation of capital between corporat</w:t>
      </w:r>
      <w:r>
        <w:rPr>
          <w:rFonts w:asciiTheme="majorHAnsi" w:eastAsiaTheme="majorEastAsia" w:hAnsiTheme="majorHAnsi" w:cstheme="majorBidi"/>
          <w:bCs/>
          <w:color w:val="000000" w:themeColor="text1"/>
          <w:sz w:val="24"/>
          <w:szCs w:val="24"/>
        </w:rPr>
        <w:t xml:space="preserve">ions and </w:t>
      </w:r>
      <w:r w:rsidRPr="003808A5">
        <w:rPr>
          <w:rFonts w:asciiTheme="majorHAnsi" w:eastAsiaTheme="majorEastAsia" w:hAnsiTheme="majorHAnsi" w:cstheme="majorBidi"/>
          <w:bCs/>
          <w:color w:val="000000" w:themeColor="text1"/>
          <w:sz w:val="24"/>
          <w:szCs w:val="24"/>
        </w:rPr>
        <w:t>non</w:t>
      </w:r>
      <w:r w:rsidR="00F05C58">
        <w:rPr>
          <w:rFonts w:asciiTheme="majorHAnsi" w:eastAsiaTheme="majorEastAsia" w:hAnsiTheme="majorHAnsi" w:cstheme="majorBidi"/>
          <w:bCs/>
          <w:color w:val="000000" w:themeColor="text1"/>
          <w:sz w:val="24"/>
          <w:szCs w:val="24"/>
        </w:rPr>
        <w:t>-</w:t>
      </w:r>
      <w:r w:rsidRPr="003808A5">
        <w:rPr>
          <w:rFonts w:asciiTheme="majorHAnsi" w:eastAsiaTheme="majorEastAsia" w:hAnsiTheme="majorHAnsi" w:cstheme="majorBidi"/>
          <w:bCs/>
          <w:color w:val="000000" w:themeColor="text1"/>
          <w:sz w:val="24"/>
          <w:szCs w:val="24"/>
        </w:rPr>
        <w:t xml:space="preserve">corporate </w:t>
      </w:r>
      <w:r>
        <w:rPr>
          <w:rFonts w:asciiTheme="majorHAnsi" w:eastAsiaTheme="majorEastAsia" w:hAnsiTheme="majorHAnsi" w:cstheme="majorBidi"/>
          <w:bCs/>
          <w:color w:val="000000" w:themeColor="text1"/>
          <w:sz w:val="24"/>
          <w:szCs w:val="24"/>
        </w:rPr>
        <w:t>businesses</w:t>
      </w:r>
      <w:r w:rsidRPr="003808A5">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and </w:t>
      </w:r>
      <w:r w:rsidRPr="003808A5">
        <w:rPr>
          <w:rFonts w:asciiTheme="majorHAnsi" w:eastAsiaTheme="majorEastAsia" w:hAnsiTheme="majorHAnsi" w:cstheme="majorBidi"/>
          <w:bCs/>
          <w:color w:val="000000" w:themeColor="text1"/>
          <w:sz w:val="24"/>
          <w:szCs w:val="24"/>
        </w:rPr>
        <w:t>among states</w:t>
      </w:r>
      <w:r>
        <w:rPr>
          <w:rFonts w:asciiTheme="majorHAnsi" w:eastAsiaTheme="majorEastAsia" w:hAnsiTheme="majorHAnsi" w:cstheme="majorBidi"/>
          <w:bCs/>
          <w:color w:val="000000" w:themeColor="text1"/>
          <w:sz w:val="24"/>
          <w:szCs w:val="24"/>
        </w:rPr>
        <w:t xml:space="preserve"> because </w:t>
      </w:r>
      <w:r w:rsidRPr="003808A5">
        <w:rPr>
          <w:rFonts w:asciiTheme="majorHAnsi" w:eastAsiaTheme="majorEastAsia" w:hAnsiTheme="majorHAnsi" w:cstheme="majorBidi"/>
          <w:bCs/>
          <w:color w:val="000000" w:themeColor="text1"/>
          <w:sz w:val="24"/>
          <w:szCs w:val="24"/>
        </w:rPr>
        <w:t xml:space="preserve">capital </w:t>
      </w:r>
      <w:r>
        <w:rPr>
          <w:rFonts w:asciiTheme="majorHAnsi" w:eastAsiaTheme="majorEastAsia" w:hAnsiTheme="majorHAnsi" w:cstheme="majorBidi"/>
          <w:bCs/>
          <w:color w:val="000000" w:themeColor="text1"/>
          <w:sz w:val="24"/>
          <w:szCs w:val="24"/>
        </w:rPr>
        <w:t xml:space="preserve">would </w:t>
      </w:r>
      <w:r w:rsidRPr="003808A5">
        <w:rPr>
          <w:rFonts w:asciiTheme="majorHAnsi" w:eastAsiaTheme="majorEastAsia" w:hAnsiTheme="majorHAnsi" w:cstheme="majorBidi"/>
          <w:bCs/>
          <w:color w:val="000000" w:themeColor="text1"/>
          <w:sz w:val="24"/>
          <w:szCs w:val="24"/>
        </w:rPr>
        <w:t xml:space="preserve">flee </w:t>
      </w:r>
      <w:r>
        <w:rPr>
          <w:rFonts w:asciiTheme="majorHAnsi" w:eastAsiaTheme="majorEastAsia" w:hAnsiTheme="majorHAnsi" w:cstheme="majorBidi"/>
          <w:bCs/>
          <w:color w:val="000000" w:themeColor="text1"/>
          <w:sz w:val="24"/>
          <w:szCs w:val="24"/>
        </w:rPr>
        <w:t xml:space="preserve">from </w:t>
      </w:r>
      <w:r w:rsidRPr="003808A5">
        <w:rPr>
          <w:rFonts w:asciiTheme="majorHAnsi" w:eastAsiaTheme="majorEastAsia" w:hAnsiTheme="majorHAnsi" w:cstheme="majorBidi"/>
          <w:bCs/>
          <w:color w:val="000000" w:themeColor="text1"/>
          <w:sz w:val="24"/>
          <w:szCs w:val="24"/>
        </w:rPr>
        <w:t xml:space="preserve">states </w:t>
      </w:r>
      <w:r>
        <w:rPr>
          <w:rFonts w:asciiTheme="majorHAnsi" w:eastAsiaTheme="majorEastAsia" w:hAnsiTheme="majorHAnsi" w:cstheme="majorBidi"/>
          <w:bCs/>
          <w:color w:val="000000" w:themeColor="text1"/>
          <w:sz w:val="24"/>
          <w:szCs w:val="24"/>
        </w:rPr>
        <w:t xml:space="preserve">of </w:t>
      </w:r>
      <w:r w:rsidRPr="003808A5">
        <w:rPr>
          <w:rFonts w:asciiTheme="majorHAnsi" w:eastAsiaTheme="majorEastAsia" w:hAnsiTheme="majorHAnsi" w:cstheme="majorBidi"/>
          <w:bCs/>
          <w:color w:val="000000" w:themeColor="text1"/>
          <w:sz w:val="24"/>
          <w:szCs w:val="24"/>
        </w:rPr>
        <w:t>higher corporate taxes</w:t>
      </w:r>
      <w:r>
        <w:rPr>
          <w:rFonts w:asciiTheme="majorHAnsi" w:eastAsiaTheme="majorEastAsia" w:hAnsiTheme="majorHAnsi" w:cstheme="majorBidi"/>
          <w:bCs/>
          <w:color w:val="000000" w:themeColor="text1"/>
          <w:sz w:val="24"/>
          <w:szCs w:val="24"/>
        </w:rPr>
        <w:t xml:space="preserve"> if all other considerable factors are not significantly different</w:t>
      </w:r>
      <w:r w:rsidRPr="003808A5">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 </w:t>
      </w:r>
    </w:p>
    <w:p w14:paraId="31C86578" w14:textId="77777777" w:rsidR="006851DE" w:rsidRDefault="006851DE" w:rsidP="0062172D">
      <w:pPr>
        <w:spacing w:after="0"/>
        <w:rPr>
          <w:rFonts w:asciiTheme="majorHAnsi" w:eastAsiaTheme="majorEastAsia" w:hAnsiTheme="majorHAnsi" w:cstheme="majorBidi"/>
          <w:bCs/>
          <w:color w:val="000000" w:themeColor="text1"/>
          <w:sz w:val="24"/>
          <w:szCs w:val="24"/>
        </w:rPr>
      </w:pPr>
    </w:p>
    <w:p w14:paraId="6FE980F6" w14:textId="77777777" w:rsidR="0062172D" w:rsidRDefault="0056389E" w:rsidP="0062172D">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R.A. </w:t>
      </w:r>
      <w:r w:rsidR="0062172D" w:rsidRPr="00C546F4">
        <w:rPr>
          <w:rFonts w:asciiTheme="majorHAnsi" w:eastAsiaTheme="majorEastAsia" w:hAnsiTheme="majorHAnsi" w:cstheme="majorBidi"/>
          <w:noProof/>
          <w:color w:val="000000" w:themeColor="text1"/>
          <w:sz w:val="24"/>
          <w:szCs w:val="24"/>
        </w:rPr>
        <w:t>Felix</w:t>
      </w:r>
      <w:r>
        <w:rPr>
          <w:rFonts w:asciiTheme="majorHAnsi" w:eastAsiaTheme="majorEastAsia" w:hAnsiTheme="majorHAnsi" w:cstheme="majorBidi"/>
          <w:noProof/>
          <w:color w:val="000000" w:themeColor="text1"/>
          <w:sz w:val="24"/>
          <w:szCs w:val="24"/>
        </w:rPr>
        <w:t xml:space="preserve">, in </w:t>
      </w:r>
      <w:r w:rsidRPr="0056389E">
        <w:rPr>
          <w:rFonts w:asciiTheme="majorHAnsi" w:eastAsiaTheme="majorEastAsia" w:hAnsiTheme="majorHAnsi" w:cstheme="majorBidi"/>
          <w:i/>
          <w:noProof/>
          <w:color w:val="000000" w:themeColor="text1"/>
          <w:sz w:val="24"/>
          <w:szCs w:val="24"/>
        </w:rPr>
        <w:t>Do State Corporate Income Taxes Reduce Wages?</w:t>
      </w:r>
      <w:r w:rsidR="0062172D">
        <w:rPr>
          <w:rFonts w:asciiTheme="majorHAnsi" w:eastAsiaTheme="majorEastAsia" w:hAnsiTheme="majorHAnsi" w:cstheme="majorBidi"/>
          <w:noProof/>
          <w:color w:val="000000" w:themeColor="text1"/>
          <w:sz w:val="24"/>
          <w:szCs w:val="24"/>
        </w:rPr>
        <w:t xml:space="preserve"> (</w:t>
      </w:r>
      <w:r w:rsidR="0062172D" w:rsidRPr="00C546F4">
        <w:rPr>
          <w:rFonts w:asciiTheme="majorHAnsi" w:eastAsiaTheme="majorEastAsia" w:hAnsiTheme="majorHAnsi" w:cstheme="majorBidi"/>
          <w:noProof/>
          <w:color w:val="000000" w:themeColor="text1"/>
          <w:sz w:val="24"/>
          <w:szCs w:val="24"/>
        </w:rPr>
        <w:t>2009)</w:t>
      </w:r>
      <w:r w:rsidR="0062172D" w:rsidRPr="00D52091">
        <w:rPr>
          <w:rFonts w:asciiTheme="majorHAnsi" w:eastAsiaTheme="majorEastAsia" w:hAnsiTheme="majorHAnsi" w:cstheme="majorBidi"/>
          <w:bCs/>
          <w:color w:val="000000" w:themeColor="text1"/>
          <w:sz w:val="24"/>
          <w:szCs w:val="24"/>
        </w:rPr>
        <w:t xml:space="preserve"> </w:t>
      </w:r>
      <w:r w:rsidR="0062172D">
        <w:rPr>
          <w:rFonts w:asciiTheme="majorHAnsi" w:eastAsiaTheme="majorEastAsia" w:hAnsiTheme="majorHAnsi" w:cstheme="majorBidi"/>
          <w:bCs/>
          <w:color w:val="000000" w:themeColor="text1"/>
          <w:sz w:val="24"/>
          <w:szCs w:val="24"/>
        </w:rPr>
        <w:t>finds that</w:t>
      </w:r>
      <w:r w:rsidR="0062172D" w:rsidRPr="00D52091">
        <w:rPr>
          <w:rFonts w:asciiTheme="majorHAnsi" w:eastAsiaTheme="majorEastAsia" w:hAnsiTheme="majorHAnsi" w:cstheme="majorBidi"/>
          <w:bCs/>
          <w:color w:val="000000" w:themeColor="text1"/>
          <w:sz w:val="24"/>
          <w:szCs w:val="24"/>
        </w:rPr>
        <w:t xml:space="preserve"> labor bears a significant burden from the state corporate tax in the form of lower wages. </w:t>
      </w:r>
      <w:r w:rsidR="00AF1875">
        <w:rPr>
          <w:rFonts w:asciiTheme="majorHAnsi" w:eastAsiaTheme="majorEastAsia" w:hAnsiTheme="majorHAnsi" w:cstheme="majorBidi"/>
          <w:bCs/>
          <w:color w:val="000000" w:themeColor="text1"/>
          <w:sz w:val="24"/>
          <w:szCs w:val="24"/>
        </w:rPr>
        <w:t xml:space="preserve">Her </w:t>
      </w:r>
      <w:r w:rsidR="0062172D">
        <w:rPr>
          <w:rFonts w:asciiTheme="majorHAnsi" w:eastAsiaTheme="majorEastAsia" w:hAnsiTheme="majorHAnsi" w:cstheme="majorBidi"/>
          <w:bCs/>
          <w:color w:val="000000" w:themeColor="text1"/>
          <w:sz w:val="24"/>
          <w:szCs w:val="24"/>
        </w:rPr>
        <w:t xml:space="preserve">study further suggests that </w:t>
      </w:r>
      <w:r w:rsidR="0062172D" w:rsidRPr="00D52091">
        <w:rPr>
          <w:rFonts w:asciiTheme="majorHAnsi" w:eastAsiaTheme="majorEastAsia" w:hAnsiTheme="majorHAnsi" w:cstheme="majorBidi"/>
          <w:bCs/>
          <w:color w:val="000000" w:themeColor="text1"/>
          <w:sz w:val="24"/>
          <w:szCs w:val="24"/>
        </w:rPr>
        <w:t xml:space="preserve">a one-percentage-point increase in the marginal state corporate tax rate reduces wages </w:t>
      </w:r>
      <w:r w:rsidR="0062172D">
        <w:rPr>
          <w:rFonts w:asciiTheme="majorHAnsi" w:eastAsiaTheme="majorEastAsia" w:hAnsiTheme="majorHAnsi" w:cstheme="majorBidi"/>
          <w:bCs/>
          <w:color w:val="000000" w:themeColor="text1"/>
          <w:sz w:val="24"/>
          <w:szCs w:val="24"/>
        </w:rPr>
        <w:t xml:space="preserve">by </w:t>
      </w:r>
      <w:r w:rsidR="0062172D" w:rsidRPr="00D52091">
        <w:rPr>
          <w:rFonts w:asciiTheme="majorHAnsi" w:eastAsiaTheme="majorEastAsia" w:hAnsiTheme="majorHAnsi" w:cstheme="majorBidi"/>
          <w:bCs/>
          <w:color w:val="000000" w:themeColor="text1"/>
          <w:sz w:val="24"/>
          <w:szCs w:val="24"/>
        </w:rPr>
        <w:t xml:space="preserve">0.14 to </w:t>
      </w:r>
      <w:r w:rsidR="0062172D">
        <w:rPr>
          <w:rFonts w:asciiTheme="majorHAnsi" w:eastAsiaTheme="majorEastAsia" w:hAnsiTheme="majorHAnsi" w:cstheme="majorBidi"/>
          <w:bCs/>
          <w:color w:val="000000" w:themeColor="text1"/>
          <w:sz w:val="24"/>
          <w:szCs w:val="24"/>
        </w:rPr>
        <w:t>0.36%, that l</w:t>
      </w:r>
      <w:r w:rsidR="0062172D" w:rsidRPr="00D52091">
        <w:rPr>
          <w:rFonts w:asciiTheme="majorHAnsi" w:eastAsiaTheme="majorEastAsia" w:hAnsiTheme="majorHAnsi" w:cstheme="majorBidi"/>
          <w:bCs/>
          <w:color w:val="000000" w:themeColor="text1"/>
          <w:sz w:val="24"/>
          <w:szCs w:val="24"/>
        </w:rPr>
        <w:t>abor’s burden from the state corporate tax has trended upward over time</w:t>
      </w:r>
      <w:r w:rsidR="0062172D">
        <w:rPr>
          <w:rFonts w:asciiTheme="majorHAnsi" w:eastAsiaTheme="majorEastAsia" w:hAnsiTheme="majorHAnsi" w:cstheme="majorBidi"/>
          <w:bCs/>
          <w:color w:val="000000" w:themeColor="text1"/>
          <w:sz w:val="24"/>
          <w:szCs w:val="24"/>
        </w:rPr>
        <w:t xml:space="preserve"> due to </w:t>
      </w:r>
      <w:r w:rsidR="0062172D" w:rsidRPr="00D52091">
        <w:rPr>
          <w:rFonts w:asciiTheme="majorHAnsi" w:eastAsiaTheme="majorEastAsia" w:hAnsiTheme="majorHAnsi" w:cstheme="majorBidi"/>
          <w:bCs/>
          <w:color w:val="000000" w:themeColor="text1"/>
          <w:sz w:val="24"/>
          <w:szCs w:val="24"/>
        </w:rPr>
        <w:t>increased global competition and increased competition among states to attract businesses</w:t>
      </w:r>
      <w:r w:rsidR="0062172D">
        <w:rPr>
          <w:rFonts w:asciiTheme="majorHAnsi" w:eastAsiaTheme="majorEastAsia" w:hAnsiTheme="majorHAnsi" w:cstheme="majorBidi"/>
          <w:bCs/>
          <w:color w:val="000000" w:themeColor="text1"/>
          <w:sz w:val="24"/>
          <w:szCs w:val="24"/>
        </w:rPr>
        <w:t>, and that s</w:t>
      </w:r>
      <w:r w:rsidR="0062172D" w:rsidRPr="00D52091">
        <w:rPr>
          <w:rFonts w:asciiTheme="majorHAnsi" w:eastAsiaTheme="majorEastAsia" w:hAnsiTheme="majorHAnsi" w:cstheme="majorBidi"/>
          <w:bCs/>
          <w:color w:val="000000" w:themeColor="text1"/>
          <w:sz w:val="24"/>
          <w:szCs w:val="24"/>
        </w:rPr>
        <w:t xml:space="preserve">tate corporate taxes reduce the wages of highly educated workers </w:t>
      </w:r>
      <w:r w:rsidR="0062172D">
        <w:rPr>
          <w:rFonts w:asciiTheme="majorHAnsi" w:eastAsiaTheme="majorEastAsia" w:hAnsiTheme="majorHAnsi" w:cstheme="majorBidi"/>
          <w:bCs/>
          <w:color w:val="000000" w:themeColor="text1"/>
          <w:sz w:val="24"/>
          <w:szCs w:val="24"/>
        </w:rPr>
        <w:t>more</w:t>
      </w:r>
      <w:r w:rsidR="0062172D" w:rsidRPr="00D52091">
        <w:rPr>
          <w:rFonts w:asciiTheme="majorHAnsi" w:eastAsiaTheme="majorEastAsia" w:hAnsiTheme="majorHAnsi" w:cstheme="majorBidi"/>
          <w:bCs/>
          <w:color w:val="000000" w:themeColor="text1"/>
          <w:sz w:val="24"/>
          <w:szCs w:val="24"/>
        </w:rPr>
        <w:t xml:space="preserve"> than </w:t>
      </w:r>
      <w:r w:rsidR="0062172D">
        <w:rPr>
          <w:rFonts w:asciiTheme="majorHAnsi" w:eastAsiaTheme="majorEastAsia" w:hAnsiTheme="majorHAnsi" w:cstheme="majorBidi"/>
          <w:bCs/>
          <w:color w:val="000000" w:themeColor="text1"/>
          <w:sz w:val="24"/>
          <w:szCs w:val="24"/>
        </w:rPr>
        <w:t>that of</w:t>
      </w:r>
      <w:r w:rsidR="0062172D" w:rsidRPr="00D52091">
        <w:rPr>
          <w:rFonts w:asciiTheme="majorHAnsi" w:eastAsiaTheme="majorEastAsia" w:hAnsiTheme="majorHAnsi" w:cstheme="majorBidi"/>
          <w:bCs/>
          <w:color w:val="000000" w:themeColor="text1"/>
          <w:sz w:val="24"/>
          <w:szCs w:val="24"/>
        </w:rPr>
        <w:t xml:space="preserve"> less-educated workers. </w:t>
      </w:r>
      <w:r w:rsidR="0062172D">
        <w:rPr>
          <w:rFonts w:asciiTheme="majorHAnsi" w:eastAsiaTheme="majorEastAsia" w:hAnsiTheme="majorHAnsi" w:cstheme="majorBidi"/>
          <w:bCs/>
          <w:color w:val="000000" w:themeColor="text1"/>
          <w:sz w:val="24"/>
          <w:szCs w:val="24"/>
        </w:rPr>
        <w:t>Even though the exact amoun</w:t>
      </w:r>
      <w:r w:rsidR="00986F62">
        <w:rPr>
          <w:rFonts w:asciiTheme="majorHAnsi" w:eastAsiaTheme="majorEastAsia" w:hAnsiTheme="majorHAnsi" w:cstheme="majorBidi"/>
          <w:bCs/>
          <w:color w:val="000000" w:themeColor="text1"/>
          <w:sz w:val="24"/>
          <w:szCs w:val="24"/>
        </w:rPr>
        <w:t>t of the impact on wages may vary among</w:t>
      </w:r>
      <w:r w:rsidR="0062172D">
        <w:rPr>
          <w:rFonts w:asciiTheme="majorHAnsi" w:eastAsiaTheme="majorEastAsia" w:hAnsiTheme="majorHAnsi" w:cstheme="majorBidi"/>
          <w:bCs/>
          <w:color w:val="000000" w:themeColor="text1"/>
          <w:sz w:val="24"/>
          <w:szCs w:val="24"/>
        </w:rPr>
        <w:t xml:space="preserve"> researchers, the logic of the effect is broadly shared.  Hence, </w:t>
      </w:r>
      <w:r w:rsidR="004E7E71">
        <w:rPr>
          <w:rFonts w:asciiTheme="majorHAnsi" w:eastAsiaTheme="majorEastAsia" w:hAnsiTheme="majorHAnsi" w:cstheme="majorBidi"/>
          <w:bCs/>
          <w:color w:val="000000" w:themeColor="text1"/>
          <w:sz w:val="24"/>
          <w:szCs w:val="24"/>
        </w:rPr>
        <w:t>the findings imply</w:t>
      </w:r>
      <w:r w:rsidR="00986F62">
        <w:rPr>
          <w:rFonts w:asciiTheme="majorHAnsi" w:eastAsiaTheme="majorEastAsia" w:hAnsiTheme="majorHAnsi" w:cstheme="majorBidi"/>
          <w:bCs/>
          <w:color w:val="000000" w:themeColor="text1"/>
          <w:sz w:val="24"/>
          <w:szCs w:val="24"/>
        </w:rPr>
        <w:t xml:space="preserve"> that the credit</w:t>
      </w:r>
      <w:r w:rsidR="006436C1">
        <w:rPr>
          <w:rFonts w:asciiTheme="majorHAnsi" w:eastAsiaTheme="majorEastAsia" w:hAnsiTheme="majorHAnsi" w:cstheme="majorBidi"/>
          <w:bCs/>
          <w:color w:val="000000" w:themeColor="text1"/>
          <w:sz w:val="24"/>
          <w:szCs w:val="24"/>
        </w:rPr>
        <w:t>, which reduces corporate taxes,</w:t>
      </w:r>
      <w:r w:rsidR="0062172D">
        <w:rPr>
          <w:rFonts w:asciiTheme="majorHAnsi" w:eastAsiaTheme="majorEastAsia" w:hAnsiTheme="majorHAnsi" w:cstheme="majorBidi"/>
          <w:bCs/>
          <w:color w:val="000000" w:themeColor="text1"/>
          <w:sz w:val="24"/>
          <w:szCs w:val="24"/>
        </w:rPr>
        <w:t xml:space="preserve"> may have benefited workers who were employed by the corporations</w:t>
      </w:r>
      <w:r w:rsidR="00986F62">
        <w:rPr>
          <w:rFonts w:asciiTheme="majorHAnsi" w:eastAsiaTheme="majorEastAsia" w:hAnsiTheme="majorHAnsi" w:cstheme="majorBidi"/>
          <w:bCs/>
          <w:color w:val="000000" w:themeColor="text1"/>
          <w:sz w:val="24"/>
          <w:szCs w:val="24"/>
        </w:rPr>
        <w:t xml:space="preserve"> directly affected by the credit</w:t>
      </w:r>
      <w:r w:rsidR="0062172D">
        <w:rPr>
          <w:rFonts w:asciiTheme="majorHAnsi" w:eastAsiaTheme="majorEastAsia" w:hAnsiTheme="majorHAnsi" w:cstheme="majorBidi"/>
          <w:bCs/>
          <w:color w:val="000000" w:themeColor="text1"/>
          <w:sz w:val="24"/>
          <w:szCs w:val="24"/>
        </w:rPr>
        <w:t xml:space="preserve"> in the form of higher wag</w:t>
      </w:r>
      <w:r w:rsidR="00986F62">
        <w:rPr>
          <w:rFonts w:asciiTheme="majorHAnsi" w:eastAsiaTheme="majorEastAsia" w:hAnsiTheme="majorHAnsi" w:cstheme="majorBidi"/>
          <w:bCs/>
          <w:color w:val="000000" w:themeColor="text1"/>
          <w:sz w:val="24"/>
          <w:szCs w:val="24"/>
        </w:rPr>
        <w:t>es.  However, this particular</w:t>
      </w:r>
      <w:r w:rsidR="0062172D">
        <w:rPr>
          <w:rFonts w:asciiTheme="majorHAnsi" w:eastAsiaTheme="majorEastAsia" w:hAnsiTheme="majorHAnsi" w:cstheme="majorBidi"/>
          <w:bCs/>
          <w:color w:val="000000" w:themeColor="text1"/>
          <w:sz w:val="24"/>
          <w:szCs w:val="24"/>
        </w:rPr>
        <w:t xml:space="preserve"> tax incentive is not significant enough to draw a definitive conclusion. </w:t>
      </w:r>
    </w:p>
    <w:p w14:paraId="6C054B6F" w14:textId="77777777" w:rsidR="0062172D" w:rsidRDefault="0062172D" w:rsidP="0062172D">
      <w:pPr>
        <w:spacing w:after="0"/>
        <w:rPr>
          <w:rFonts w:asciiTheme="majorHAnsi" w:eastAsiaTheme="majorEastAsia" w:hAnsiTheme="majorHAnsi" w:cstheme="majorBidi"/>
          <w:bCs/>
          <w:color w:val="000000" w:themeColor="text1"/>
          <w:sz w:val="24"/>
          <w:szCs w:val="24"/>
        </w:rPr>
      </w:pPr>
      <w:r w:rsidRPr="00850704">
        <w:rPr>
          <w:rFonts w:asciiTheme="majorHAnsi" w:eastAsiaTheme="majorEastAsia" w:hAnsiTheme="majorHAnsi" w:cstheme="majorBidi"/>
          <w:bCs/>
          <w:color w:val="000000" w:themeColor="text1"/>
          <w:sz w:val="24"/>
          <w:szCs w:val="24"/>
        </w:rPr>
        <w:t xml:space="preserve">  </w:t>
      </w:r>
    </w:p>
    <w:p w14:paraId="222BDB16" w14:textId="77777777" w:rsidR="0062172D" w:rsidRPr="00003FFA" w:rsidRDefault="0062172D" w:rsidP="0062172D">
      <w:pPr>
        <w:tabs>
          <w:tab w:val="left" w:pos="7050"/>
        </w:tabs>
        <w:spacing w:after="0"/>
        <w:rPr>
          <w:rFonts w:asciiTheme="majorHAnsi" w:hAnsiTheme="majorHAnsi"/>
          <w:b/>
          <w:sz w:val="24"/>
          <w:szCs w:val="24"/>
        </w:rPr>
      </w:pPr>
    </w:p>
    <w:p w14:paraId="078094EA" w14:textId="77777777" w:rsidR="0062172D" w:rsidRPr="00A07439" w:rsidRDefault="0062172D" w:rsidP="0062172D">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EVALUATION:  COMPARING COSTS AND BENEFITS</w:t>
      </w:r>
    </w:p>
    <w:p w14:paraId="6ADD9824" w14:textId="77777777" w:rsidR="0062172D" w:rsidRDefault="0062172D" w:rsidP="0062172D">
      <w:pPr>
        <w:tabs>
          <w:tab w:val="left" w:pos="7050"/>
        </w:tabs>
        <w:spacing w:after="0"/>
        <w:rPr>
          <w:rFonts w:asciiTheme="majorHAnsi" w:hAnsiTheme="majorHAnsi"/>
          <w:bCs/>
          <w:sz w:val="24"/>
          <w:szCs w:val="23"/>
        </w:rPr>
      </w:pPr>
      <w:r>
        <w:rPr>
          <w:rFonts w:asciiTheme="majorHAnsi" w:hAnsiTheme="majorHAnsi"/>
          <w:bCs/>
          <w:sz w:val="24"/>
          <w:szCs w:val="23"/>
        </w:rPr>
        <w:t xml:space="preserve">Tables </w:t>
      </w:r>
      <w:r w:rsidR="00E43463">
        <w:rPr>
          <w:rFonts w:asciiTheme="majorHAnsi" w:hAnsiTheme="majorHAnsi"/>
          <w:bCs/>
          <w:sz w:val="24"/>
          <w:szCs w:val="23"/>
        </w:rPr>
        <w:t xml:space="preserve">7 </w:t>
      </w:r>
      <w:r>
        <w:rPr>
          <w:rFonts w:asciiTheme="majorHAnsi" w:hAnsiTheme="majorHAnsi"/>
          <w:bCs/>
          <w:sz w:val="24"/>
          <w:szCs w:val="23"/>
        </w:rPr>
        <w:t xml:space="preserve">and </w:t>
      </w:r>
      <w:r w:rsidR="00E43463">
        <w:rPr>
          <w:rFonts w:asciiTheme="majorHAnsi" w:hAnsiTheme="majorHAnsi"/>
          <w:bCs/>
          <w:sz w:val="24"/>
          <w:szCs w:val="23"/>
        </w:rPr>
        <w:t xml:space="preserve">8 </w:t>
      </w:r>
      <w:r>
        <w:rPr>
          <w:rFonts w:asciiTheme="majorHAnsi" w:hAnsiTheme="majorHAnsi"/>
          <w:bCs/>
          <w:sz w:val="24"/>
          <w:szCs w:val="23"/>
        </w:rPr>
        <w:t>below</w:t>
      </w:r>
      <w:r w:rsidR="00DE3415">
        <w:rPr>
          <w:rFonts w:asciiTheme="majorHAnsi" w:hAnsiTheme="majorHAnsi"/>
          <w:bCs/>
          <w:sz w:val="24"/>
          <w:szCs w:val="23"/>
        </w:rPr>
        <w:t xml:space="preserve"> </w:t>
      </w:r>
      <w:r w:rsidR="002A6AB5">
        <w:rPr>
          <w:rFonts w:asciiTheme="majorHAnsi" w:hAnsiTheme="majorHAnsi"/>
          <w:bCs/>
          <w:sz w:val="24"/>
          <w:szCs w:val="23"/>
        </w:rPr>
        <w:t>depict</w:t>
      </w:r>
      <w:r w:rsidR="00DE3415">
        <w:rPr>
          <w:rFonts w:asciiTheme="majorHAnsi" w:hAnsiTheme="majorHAnsi"/>
          <w:bCs/>
          <w:sz w:val="24"/>
          <w:szCs w:val="23"/>
        </w:rPr>
        <w:t xml:space="preserve"> the net additional tax reve</w:t>
      </w:r>
      <w:r w:rsidR="002A6AB5">
        <w:rPr>
          <w:rFonts w:asciiTheme="majorHAnsi" w:hAnsiTheme="majorHAnsi"/>
          <w:bCs/>
          <w:sz w:val="24"/>
          <w:szCs w:val="23"/>
        </w:rPr>
        <w:t xml:space="preserve">nue impact of the credit by </w:t>
      </w:r>
      <w:r w:rsidR="00F05C58">
        <w:rPr>
          <w:rFonts w:asciiTheme="majorHAnsi" w:hAnsiTheme="majorHAnsi"/>
          <w:bCs/>
          <w:sz w:val="24"/>
          <w:szCs w:val="23"/>
        </w:rPr>
        <w:t>examining</w:t>
      </w:r>
      <w:r w:rsidR="002A6AB5">
        <w:rPr>
          <w:rFonts w:asciiTheme="majorHAnsi" w:hAnsiTheme="majorHAnsi"/>
          <w:bCs/>
          <w:sz w:val="24"/>
          <w:szCs w:val="23"/>
        </w:rPr>
        <w:t xml:space="preserve"> whether the credit’s costs are outweighed by its benefits by comparing the data present in Tables 3, 4, </w:t>
      </w:r>
      <w:r w:rsidR="00E43463">
        <w:rPr>
          <w:rFonts w:asciiTheme="majorHAnsi" w:hAnsiTheme="majorHAnsi"/>
          <w:bCs/>
          <w:sz w:val="24"/>
          <w:szCs w:val="23"/>
        </w:rPr>
        <w:t xml:space="preserve">5, </w:t>
      </w:r>
      <w:r w:rsidR="002A6AB5">
        <w:rPr>
          <w:rFonts w:asciiTheme="majorHAnsi" w:hAnsiTheme="majorHAnsi"/>
          <w:bCs/>
          <w:sz w:val="24"/>
          <w:szCs w:val="23"/>
        </w:rPr>
        <w:t xml:space="preserve">and </w:t>
      </w:r>
      <w:r w:rsidR="00E43463">
        <w:rPr>
          <w:rFonts w:asciiTheme="majorHAnsi" w:hAnsiTheme="majorHAnsi"/>
          <w:bCs/>
          <w:sz w:val="24"/>
          <w:szCs w:val="23"/>
        </w:rPr>
        <w:t>6</w:t>
      </w:r>
      <w:r w:rsidR="002A6AB5">
        <w:rPr>
          <w:rFonts w:asciiTheme="majorHAnsi" w:hAnsiTheme="majorHAnsi"/>
          <w:bCs/>
          <w:sz w:val="24"/>
          <w:szCs w:val="23"/>
        </w:rPr>
        <w:t xml:space="preserve">.  </w:t>
      </w:r>
      <w:r w:rsidR="002A6AB5">
        <w:rPr>
          <w:rFonts w:asciiTheme="majorHAnsi" w:eastAsiaTheme="majorEastAsia" w:hAnsiTheme="majorHAnsi" w:cstheme="majorBidi"/>
          <w:bCs/>
          <w:color w:val="000000" w:themeColor="text1"/>
          <w:sz w:val="24"/>
          <w:szCs w:val="24"/>
        </w:rPr>
        <w:t xml:space="preserve">The results indicate that </w:t>
      </w:r>
      <w:r w:rsidR="00EF0FCC">
        <w:rPr>
          <w:rFonts w:asciiTheme="majorHAnsi" w:eastAsiaTheme="majorEastAsia" w:hAnsiTheme="majorHAnsi" w:cstheme="majorBidi"/>
          <w:bCs/>
          <w:color w:val="000000" w:themeColor="text1"/>
          <w:sz w:val="24"/>
          <w:szCs w:val="24"/>
        </w:rPr>
        <w:t>the</w:t>
      </w:r>
      <w:r w:rsidR="002A6AB5">
        <w:rPr>
          <w:rFonts w:asciiTheme="majorHAnsi" w:eastAsiaTheme="majorEastAsia" w:hAnsiTheme="majorHAnsi" w:cstheme="majorBidi"/>
          <w:bCs/>
          <w:color w:val="000000" w:themeColor="text1"/>
          <w:sz w:val="24"/>
          <w:szCs w:val="24"/>
        </w:rPr>
        <w:t xml:space="preserve"> benefits of the</w:t>
      </w:r>
      <w:r w:rsidR="00EF0FCC">
        <w:rPr>
          <w:rFonts w:asciiTheme="majorHAnsi" w:eastAsiaTheme="majorEastAsia" w:hAnsiTheme="majorHAnsi" w:cstheme="majorBidi"/>
          <w:bCs/>
          <w:color w:val="000000" w:themeColor="text1"/>
          <w:sz w:val="24"/>
          <w:szCs w:val="24"/>
        </w:rPr>
        <w:t xml:space="preserve"> tax credit</w:t>
      </w:r>
      <w:r w:rsidR="002A6AB5">
        <w:rPr>
          <w:rFonts w:asciiTheme="majorHAnsi" w:eastAsiaTheme="majorEastAsia" w:hAnsiTheme="majorHAnsi" w:cstheme="majorBidi"/>
          <w:bCs/>
          <w:color w:val="000000" w:themeColor="text1"/>
          <w:sz w:val="24"/>
          <w:szCs w:val="24"/>
        </w:rPr>
        <w:t xml:space="preserve"> are </w:t>
      </w:r>
      <w:r w:rsidR="006851DE">
        <w:rPr>
          <w:rFonts w:asciiTheme="majorHAnsi" w:eastAsiaTheme="majorEastAsia" w:hAnsiTheme="majorHAnsi" w:cstheme="majorBidi"/>
          <w:bCs/>
          <w:color w:val="000000" w:themeColor="text1"/>
          <w:sz w:val="24"/>
          <w:szCs w:val="24"/>
        </w:rPr>
        <w:t xml:space="preserve">partially </w:t>
      </w:r>
      <w:r w:rsidR="002A6AB5">
        <w:rPr>
          <w:rFonts w:asciiTheme="majorHAnsi" w:eastAsiaTheme="majorEastAsia" w:hAnsiTheme="majorHAnsi" w:cstheme="majorBidi"/>
          <w:bCs/>
          <w:color w:val="000000" w:themeColor="text1"/>
          <w:sz w:val="24"/>
          <w:szCs w:val="24"/>
        </w:rPr>
        <w:t xml:space="preserve">offset by the tax credit’s </w:t>
      </w:r>
      <w:r w:rsidR="00543F6A">
        <w:rPr>
          <w:rFonts w:asciiTheme="majorHAnsi" w:eastAsiaTheme="majorEastAsia" w:hAnsiTheme="majorHAnsi" w:cstheme="majorBidi"/>
          <w:bCs/>
          <w:color w:val="000000" w:themeColor="text1"/>
          <w:sz w:val="24"/>
          <w:szCs w:val="24"/>
        </w:rPr>
        <w:t xml:space="preserve">costs and that </w:t>
      </w:r>
      <w:r w:rsidR="002A6AB5">
        <w:rPr>
          <w:rFonts w:asciiTheme="majorHAnsi" w:eastAsiaTheme="majorEastAsia" w:hAnsiTheme="majorHAnsi" w:cstheme="majorBidi"/>
          <w:bCs/>
          <w:color w:val="000000" w:themeColor="text1"/>
          <w:sz w:val="24"/>
          <w:szCs w:val="24"/>
        </w:rPr>
        <w:t>the credit has a</w:t>
      </w:r>
      <w:r w:rsidR="00EF0FCC">
        <w:rPr>
          <w:rFonts w:asciiTheme="majorHAnsi" w:eastAsiaTheme="majorEastAsia" w:hAnsiTheme="majorHAnsi" w:cstheme="majorBidi"/>
          <w:bCs/>
          <w:color w:val="000000" w:themeColor="text1"/>
          <w:sz w:val="24"/>
          <w:szCs w:val="24"/>
        </w:rPr>
        <w:t xml:space="preserve"> negligible net impact</w:t>
      </w:r>
      <w:r w:rsidR="002A6AB5">
        <w:rPr>
          <w:rFonts w:asciiTheme="majorHAnsi" w:eastAsiaTheme="majorEastAsia" w:hAnsiTheme="majorHAnsi" w:cstheme="majorBidi"/>
          <w:bCs/>
          <w:color w:val="000000" w:themeColor="text1"/>
          <w:sz w:val="24"/>
          <w:szCs w:val="24"/>
        </w:rPr>
        <w:t xml:space="preserve"> overall</w:t>
      </w:r>
      <w:r w:rsidR="002B7465">
        <w:rPr>
          <w:rFonts w:asciiTheme="majorHAnsi" w:eastAsiaTheme="majorEastAsia" w:hAnsiTheme="majorHAnsi" w:cstheme="majorBidi"/>
          <w:bCs/>
          <w:color w:val="000000" w:themeColor="text1"/>
          <w:sz w:val="24"/>
          <w:szCs w:val="24"/>
        </w:rPr>
        <w:t xml:space="preserve"> on economic activity in Massachusetts</w:t>
      </w:r>
      <w:r w:rsidR="00EF0FCC">
        <w:rPr>
          <w:rFonts w:asciiTheme="majorHAnsi" w:eastAsiaTheme="majorEastAsia" w:hAnsiTheme="majorHAnsi" w:cstheme="majorBidi"/>
          <w:bCs/>
          <w:color w:val="000000" w:themeColor="text1"/>
          <w:sz w:val="24"/>
          <w:szCs w:val="24"/>
        </w:rPr>
        <w:t xml:space="preserve"> in terms of real state GDP and personal income.  There are also very small impacts on employment and additional </w:t>
      </w:r>
      <w:r w:rsidR="00781968">
        <w:rPr>
          <w:rFonts w:asciiTheme="majorHAnsi" w:eastAsiaTheme="majorEastAsia" w:hAnsiTheme="majorHAnsi" w:cstheme="majorBidi"/>
          <w:bCs/>
          <w:color w:val="000000" w:themeColor="text1"/>
          <w:sz w:val="24"/>
          <w:szCs w:val="24"/>
        </w:rPr>
        <w:t xml:space="preserve">state </w:t>
      </w:r>
      <w:r w:rsidR="00EF0FCC">
        <w:rPr>
          <w:rFonts w:asciiTheme="majorHAnsi" w:eastAsiaTheme="majorEastAsia" w:hAnsiTheme="majorHAnsi" w:cstheme="majorBidi"/>
          <w:bCs/>
          <w:color w:val="000000" w:themeColor="text1"/>
          <w:sz w:val="24"/>
          <w:szCs w:val="24"/>
        </w:rPr>
        <w:t>revenues.</w:t>
      </w:r>
    </w:p>
    <w:p w14:paraId="522293B0" w14:textId="77777777" w:rsidR="0062172D" w:rsidRDefault="0062172D" w:rsidP="0062172D">
      <w:pPr>
        <w:tabs>
          <w:tab w:val="left" w:pos="7050"/>
        </w:tabs>
        <w:spacing w:after="0"/>
        <w:rPr>
          <w:rFonts w:asciiTheme="majorHAnsi" w:hAnsiTheme="majorHAnsi"/>
          <w:bCs/>
          <w:sz w:val="24"/>
          <w:szCs w:val="23"/>
        </w:rPr>
      </w:pPr>
    </w:p>
    <w:p w14:paraId="1388B576" w14:textId="77777777" w:rsidR="00EF0FCC" w:rsidRDefault="00EF0FCC" w:rsidP="00EF0FCC">
      <w:pPr>
        <w:spacing w:after="0"/>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E43463">
        <w:rPr>
          <w:rFonts w:asciiTheme="majorHAnsi" w:eastAsiaTheme="majorEastAsia" w:hAnsiTheme="majorHAnsi" w:cstheme="majorBidi"/>
          <w:b/>
          <w:color w:val="000000" w:themeColor="text1"/>
          <w:sz w:val="24"/>
          <w:szCs w:val="24"/>
        </w:rPr>
        <w:t>7</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Net Additional Revenue Impact of </w:t>
      </w:r>
      <w:bookmarkStart w:id="1" w:name="_Hlk48831434"/>
      <w:r w:rsidR="002B7465">
        <w:rPr>
          <w:rFonts w:asciiTheme="majorHAnsi" w:eastAsiaTheme="majorEastAsia" w:hAnsiTheme="majorHAnsi" w:cstheme="majorBidi"/>
          <w:b/>
          <w:color w:val="000000" w:themeColor="text1"/>
          <w:sz w:val="24"/>
          <w:szCs w:val="24"/>
        </w:rPr>
        <w:t>Medical Device User-F</w:t>
      </w:r>
      <w:r>
        <w:rPr>
          <w:rFonts w:asciiTheme="majorHAnsi" w:eastAsiaTheme="majorEastAsia" w:hAnsiTheme="majorHAnsi" w:cstheme="majorBidi"/>
          <w:b/>
          <w:color w:val="000000" w:themeColor="text1"/>
          <w:sz w:val="24"/>
          <w:szCs w:val="24"/>
        </w:rPr>
        <w:t xml:space="preserve">ee Credit </w:t>
      </w:r>
      <w:bookmarkEnd w:id="1"/>
      <w:r>
        <w:rPr>
          <w:rFonts w:asciiTheme="majorHAnsi" w:eastAsiaTheme="majorEastAsia" w:hAnsiTheme="majorHAnsi" w:cstheme="majorBidi"/>
          <w:b/>
          <w:color w:val="000000" w:themeColor="text1"/>
          <w:sz w:val="24"/>
          <w:szCs w:val="24"/>
        </w:rPr>
        <w:t>*</w:t>
      </w:r>
    </w:p>
    <w:tbl>
      <w:tblPr>
        <w:tblW w:w="9162" w:type="dxa"/>
        <w:tblInd w:w="108" w:type="dxa"/>
        <w:tblLook w:val="04A0" w:firstRow="1" w:lastRow="0" w:firstColumn="1" w:lastColumn="0" w:noHBand="0" w:noVBand="1"/>
      </w:tblPr>
      <w:tblGrid>
        <w:gridCol w:w="3597"/>
        <w:gridCol w:w="1113"/>
        <w:gridCol w:w="1113"/>
        <w:gridCol w:w="1113"/>
        <w:gridCol w:w="1113"/>
        <w:gridCol w:w="1113"/>
      </w:tblGrid>
      <w:tr w:rsidR="00EF0FCC" w:rsidRPr="00930DA1" w14:paraId="53CA0CE0" w14:textId="77777777" w:rsidTr="002720BF">
        <w:trPr>
          <w:trHeight w:val="500"/>
        </w:trPr>
        <w:tc>
          <w:tcPr>
            <w:tcW w:w="3597"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7EA62044" w14:textId="77777777" w:rsidR="00EF0FCC" w:rsidRPr="00930DA1" w:rsidRDefault="00EF0FCC" w:rsidP="00B267BF">
            <w:pPr>
              <w:spacing w:after="0" w:line="240" w:lineRule="auto"/>
              <w:jc w:val="center"/>
              <w:rPr>
                <w:rFonts w:ascii="Cambria" w:eastAsia="Times New Roman" w:hAnsi="Cambria" w:cs="Arial"/>
                <w:sz w:val="20"/>
                <w:szCs w:val="20"/>
                <w:lang w:eastAsia="ko-KR"/>
              </w:rPr>
            </w:pPr>
            <w:r w:rsidRPr="00930DA1">
              <w:rPr>
                <w:rFonts w:ascii="Cambria" w:eastAsia="Times New Roman" w:hAnsi="Cambria" w:cs="Arial"/>
                <w:sz w:val="20"/>
                <w:szCs w:val="20"/>
                <w:lang w:eastAsia="ko-KR"/>
              </w:rPr>
              <w:lastRenderedPageBreak/>
              <w:t>Fiscal Year</w:t>
            </w:r>
          </w:p>
        </w:tc>
        <w:tc>
          <w:tcPr>
            <w:tcW w:w="1113" w:type="dxa"/>
            <w:tcBorders>
              <w:top w:val="single" w:sz="4" w:space="0" w:color="auto"/>
              <w:left w:val="nil"/>
              <w:bottom w:val="single" w:sz="4" w:space="0" w:color="auto"/>
              <w:right w:val="single" w:sz="4" w:space="0" w:color="auto"/>
            </w:tcBorders>
            <w:shd w:val="clear" w:color="000000" w:fill="B7DEE8"/>
            <w:noWrap/>
            <w:vAlign w:val="center"/>
            <w:hideMark/>
          </w:tcPr>
          <w:p w14:paraId="4630DDF1" w14:textId="77777777" w:rsidR="00EF0FCC" w:rsidRPr="00930DA1" w:rsidRDefault="00EF0FCC" w:rsidP="00B267BF">
            <w:pPr>
              <w:spacing w:after="0" w:line="240" w:lineRule="auto"/>
              <w:jc w:val="center"/>
              <w:rPr>
                <w:rFonts w:ascii="Cambria" w:eastAsia="Times New Roman" w:hAnsi="Cambria" w:cs="Arial"/>
                <w:sz w:val="20"/>
                <w:szCs w:val="20"/>
                <w:lang w:eastAsia="ko-KR"/>
              </w:rPr>
            </w:pPr>
            <w:r w:rsidRPr="00930DA1">
              <w:rPr>
                <w:rFonts w:ascii="Cambria" w:eastAsia="Times New Roman" w:hAnsi="Cambria" w:cs="Arial"/>
                <w:sz w:val="20"/>
                <w:szCs w:val="20"/>
                <w:lang w:eastAsia="ko-KR"/>
              </w:rPr>
              <w:t>2018</w:t>
            </w:r>
          </w:p>
        </w:tc>
        <w:tc>
          <w:tcPr>
            <w:tcW w:w="1113" w:type="dxa"/>
            <w:tcBorders>
              <w:top w:val="single" w:sz="4" w:space="0" w:color="auto"/>
              <w:left w:val="nil"/>
              <w:bottom w:val="single" w:sz="4" w:space="0" w:color="auto"/>
              <w:right w:val="single" w:sz="4" w:space="0" w:color="auto"/>
            </w:tcBorders>
            <w:shd w:val="clear" w:color="000000" w:fill="B7DEE8"/>
            <w:noWrap/>
            <w:vAlign w:val="center"/>
            <w:hideMark/>
          </w:tcPr>
          <w:p w14:paraId="5BBF4F86" w14:textId="77777777" w:rsidR="00EF0FCC" w:rsidRPr="00930DA1" w:rsidRDefault="00EF0FCC" w:rsidP="00B267BF">
            <w:pPr>
              <w:spacing w:after="0" w:line="240" w:lineRule="auto"/>
              <w:jc w:val="center"/>
              <w:rPr>
                <w:rFonts w:ascii="Cambria" w:eastAsia="Times New Roman" w:hAnsi="Cambria" w:cs="Arial"/>
                <w:sz w:val="20"/>
                <w:szCs w:val="20"/>
                <w:lang w:eastAsia="ko-KR"/>
              </w:rPr>
            </w:pPr>
            <w:r w:rsidRPr="00930DA1">
              <w:rPr>
                <w:rFonts w:ascii="Cambria" w:eastAsia="Times New Roman" w:hAnsi="Cambria" w:cs="Arial"/>
                <w:sz w:val="20"/>
                <w:szCs w:val="20"/>
                <w:lang w:eastAsia="ko-KR"/>
              </w:rPr>
              <w:t>2019</w:t>
            </w:r>
          </w:p>
        </w:tc>
        <w:tc>
          <w:tcPr>
            <w:tcW w:w="1113" w:type="dxa"/>
            <w:tcBorders>
              <w:top w:val="single" w:sz="4" w:space="0" w:color="auto"/>
              <w:left w:val="nil"/>
              <w:bottom w:val="single" w:sz="4" w:space="0" w:color="auto"/>
              <w:right w:val="single" w:sz="4" w:space="0" w:color="auto"/>
            </w:tcBorders>
            <w:shd w:val="clear" w:color="000000" w:fill="B7DEE8"/>
            <w:noWrap/>
            <w:vAlign w:val="center"/>
            <w:hideMark/>
          </w:tcPr>
          <w:p w14:paraId="555AB3E0" w14:textId="77777777" w:rsidR="00EF0FCC" w:rsidRPr="00930DA1" w:rsidRDefault="00EF0FCC" w:rsidP="00B267BF">
            <w:pPr>
              <w:spacing w:after="0" w:line="240" w:lineRule="auto"/>
              <w:jc w:val="center"/>
              <w:rPr>
                <w:rFonts w:ascii="Cambria" w:eastAsia="Times New Roman" w:hAnsi="Cambria" w:cs="Arial"/>
                <w:sz w:val="20"/>
                <w:szCs w:val="20"/>
                <w:lang w:eastAsia="ko-KR"/>
              </w:rPr>
            </w:pPr>
            <w:r w:rsidRPr="00930DA1">
              <w:rPr>
                <w:rFonts w:ascii="Cambria" w:eastAsia="Times New Roman" w:hAnsi="Cambria" w:cs="Arial"/>
                <w:sz w:val="20"/>
                <w:szCs w:val="20"/>
                <w:lang w:eastAsia="ko-KR"/>
              </w:rPr>
              <w:t>2020</w:t>
            </w:r>
          </w:p>
        </w:tc>
        <w:tc>
          <w:tcPr>
            <w:tcW w:w="1113" w:type="dxa"/>
            <w:tcBorders>
              <w:top w:val="single" w:sz="4" w:space="0" w:color="auto"/>
              <w:left w:val="nil"/>
              <w:bottom w:val="single" w:sz="4" w:space="0" w:color="auto"/>
              <w:right w:val="single" w:sz="4" w:space="0" w:color="auto"/>
            </w:tcBorders>
            <w:shd w:val="clear" w:color="000000" w:fill="B7DEE8"/>
            <w:noWrap/>
            <w:vAlign w:val="center"/>
            <w:hideMark/>
          </w:tcPr>
          <w:p w14:paraId="13B37D4E" w14:textId="77777777" w:rsidR="00EF0FCC" w:rsidRPr="00930DA1" w:rsidRDefault="00EF0FCC" w:rsidP="00B267BF">
            <w:pPr>
              <w:spacing w:after="0" w:line="240" w:lineRule="auto"/>
              <w:jc w:val="center"/>
              <w:rPr>
                <w:rFonts w:ascii="Cambria" w:eastAsia="Times New Roman" w:hAnsi="Cambria" w:cs="Arial"/>
                <w:sz w:val="20"/>
                <w:szCs w:val="20"/>
                <w:lang w:eastAsia="ko-KR"/>
              </w:rPr>
            </w:pPr>
            <w:r w:rsidRPr="00930DA1">
              <w:rPr>
                <w:rFonts w:ascii="Cambria" w:eastAsia="Times New Roman" w:hAnsi="Cambria" w:cs="Arial"/>
                <w:sz w:val="20"/>
                <w:szCs w:val="20"/>
                <w:lang w:eastAsia="ko-KR"/>
              </w:rPr>
              <w:t>2021</w:t>
            </w:r>
          </w:p>
        </w:tc>
        <w:tc>
          <w:tcPr>
            <w:tcW w:w="1113" w:type="dxa"/>
            <w:tcBorders>
              <w:top w:val="single" w:sz="4" w:space="0" w:color="auto"/>
              <w:left w:val="nil"/>
              <w:bottom w:val="single" w:sz="4" w:space="0" w:color="auto"/>
              <w:right w:val="single" w:sz="4" w:space="0" w:color="auto"/>
            </w:tcBorders>
            <w:shd w:val="clear" w:color="000000" w:fill="B7DEE8"/>
            <w:noWrap/>
            <w:vAlign w:val="center"/>
            <w:hideMark/>
          </w:tcPr>
          <w:p w14:paraId="67DAE683" w14:textId="77777777" w:rsidR="00EF0FCC" w:rsidRPr="00930DA1" w:rsidRDefault="00EF0FCC" w:rsidP="00B267BF">
            <w:pPr>
              <w:spacing w:after="0" w:line="240" w:lineRule="auto"/>
              <w:jc w:val="center"/>
              <w:rPr>
                <w:rFonts w:ascii="Cambria" w:eastAsia="Times New Roman" w:hAnsi="Cambria" w:cs="Arial"/>
                <w:sz w:val="20"/>
                <w:szCs w:val="20"/>
                <w:lang w:eastAsia="ko-KR"/>
              </w:rPr>
            </w:pPr>
            <w:r w:rsidRPr="00930DA1">
              <w:rPr>
                <w:rFonts w:ascii="Cambria" w:eastAsia="Times New Roman" w:hAnsi="Cambria" w:cs="Arial"/>
                <w:sz w:val="20"/>
                <w:szCs w:val="20"/>
                <w:lang w:eastAsia="ko-KR"/>
              </w:rPr>
              <w:t>2022</w:t>
            </w:r>
          </w:p>
        </w:tc>
      </w:tr>
      <w:tr w:rsidR="00EF0FCC" w:rsidRPr="00930DA1" w14:paraId="643CF7E4" w14:textId="77777777" w:rsidTr="002720BF">
        <w:trPr>
          <w:trHeight w:val="500"/>
        </w:trPr>
        <w:tc>
          <w:tcPr>
            <w:tcW w:w="3597" w:type="dxa"/>
            <w:tcBorders>
              <w:top w:val="nil"/>
              <w:left w:val="single" w:sz="4" w:space="0" w:color="auto"/>
              <w:bottom w:val="single" w:sz="4" w:space="0" w:color="auto"/>
              <w:right w:val="single" w:sz="4" w:space="0" w:color="auto"/>
            </w:tcBorders>
            <w:shd w:val="clear" w:color="auto" w:fill="auto"/>
            <w:vAlign w:val="center"/>
            <w:hideMark/>
          </w:tcPr>
          <w:p w14:paraId="095CCCB0" w14:textId="77777777" w:rsidR="00EF0FCC" w:rsidRPr="00930DA1" w:rsidRDefault="00EF0FCC" w:rsidP="00B267BF">
            <w:pPr>
              <w:spacing w:after="0" w:line="240" w:lineRule="auto"/>
              <w:rPr>
                <w:rFonts w:ascii="Cambria" w:eastAsia="Times New Roman" w:hAnsi="Cambria" w:cs="Arial"/>
                <w:sz w:val="20"/>
                <w:szCs w:val="20"/>
                <w:lang w:eastAsia="ko-KR"/>
              </w:rPr>
            </w:pPr>
            <w:r w:rsidRPr="00930DA1">
              <w:rPr>
                <w:rFonts w:ascii="Cambria" w:eastAsia="Times New Roman" w:hAnsi="Cambria" w:cs="Arial"/>
                <w:sz w:val="20"/>
                <w:szCs w:val="20"/>
                <w:lang w:eastAsia="ko-KR"/>
              </w:rPr>
              <w:t>Net additional revenue impact ($000)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53136" w14:textId="77777777" w:rsidR="00EF0FCC" w:rsidRPr="00930DA1"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($2)</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55DDC413" w14:textId="77777777" w:rsidR="00EF0FCC" w:rsidRPr="00930DA1"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($1)</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37B7F67A" w14:textId="77777777" w:rsidR="00EF0FCC" w:rsidRPr="00930DA1"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$2</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27777D8A" w14:textId="77777777" w:rsidR="00EF0FCC" w:rsidRPr="00930DA1"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$4</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2E17DB18" w14:textId="77777777" w:rsidR="00EF0FCC" w:rsidRPr="00930DA1" w:rsidRDefault="00EF0FCC"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$7</w:t>
            </w:r>
          </w:p>
        </w:tc>
      </w:tr>
    </w:tbl>
    <w:p w14:paraId="11FECD4F" w14:textId="77777777" w:rsidR="00EF0FCC" w:rsidRPr="00DF16CA" w:rsidRDefault="00EF0FCC" w:rsidP="00EF0FCC">
      <w:pPr>
        <w:tabs>
          <w:tab w:val="left" w:pos="7050"/>
        </w:tabs>
        <w:spacing w:after="0"/>
        <w:rPr>
          <w:rFonts w:asciiTheme="majorHAnsi" w:hAnsiTheme="majorHAnsi"/>
          <w:bCs/>
          <w:sz w:val="20"/>
          <w:szCs w:val="20"/>
        </w:rPr>
      </w:pPr>
      <w:r w:rsidRPr="00DF16CA">
        <w:rPr>
          <w:rFonts w:asciiTheme="majorHAnsi" w:hAnsiTheme="majorHAnsi"/>
          <w:bCs/>
          <w:sz w:val="20"/>
          <w:szCs w:val="20"/>
        </w:rPr>
        <w:t xml:space="preserve">* assuming the state government spending is </w:t>
      </w:r>
      <w:r w:rsidR="002B7465">
        <w:rPr>
          <w:rFonts w:asciiTheme="majorHAnsi" w:hAnsiTheme="majorHAnsi"/>
          <w:bCs/>
          <w:sz w:val="20"/>
          <w:szCs w:val="20"/>
        </w:rPr>
        <w:t>reduced</w:t>
      </w:r>
      <w:r w:rsidRPr="00DF16CA">
        <w:rPr>
          <w:rFonts w:asciiTheme="majorHAnsi" w:hAnsiTheme="majorHAnsi"/>
          <w:bCs/>
          <w:sz w:val="20"/>
          <w:szCs w:val="20"/>
        </w:rPr>
        <w:t xml:space="preserve"> by t</w:t>
      </w:r>
      <w:r w:rsidR="002B7465">
        <w:rPr>
          <w:rFonts w:asciiTheme="majorHAnsi" w:hAnsiTheme="majorHAnsi"/>
          <w:bCs/>
          <w:sz w:val="20"/>
          <w:szCs w:val="20"/>
        </w:rPr>
        <w:t>he same amount as the medical device user fee</w:t>
      </w:r>
      <w:r w:rsidRPr="00DF16CA">
        <w:rPr>
          <w:rFonts w:asciiTheme="majorHAnsi" w:hAnsiTheme="majorHAnsi"/>
          <w:bCs/>
          <w:sz w:val="20"/>
          <w:szCs w:val="20"/>
        </w:rPr>
        <w:t xml:space="preserve"> tax credit</w:t>
      </w:r>
      <w:r>
        <w:rPr>
          <w:rFonts w:asciiTheme="majorHAnsi" w:hAnsiTheme="majorHAnsi"/>
          <w:bCs/>
          <w:sz w:val="20"/>
          <w:szCs w:val="20"/>
        </w:rPr>
        <w:t xml:space="preserve"> to balance budget</w:t>
      </w:r>
      <w:r w:rsidRPr="00DF16CA">
        <w:rPr>
          <w:rFonts w:asciiTheme="majorHAnsi" w:hAnsiTheme="majorHAnsi"/>
          <w:bCs/>
          <w:sz w:val="20"/>
          <w:szCs w:val="20"/>
        </w:rPr>
        <w:t>.</w:t>
      </w:r>
    </w:p>
    <w:p w14:paraId="47FE913C" w14:textId="77777777" w:rsidR="0062172D" w:rsidRDefault="0062172D" w:rsidP="0062172D">
      <w:pPr>
        <w:spacing w:after="0"/>
        <w:rPr>
          <w:rFonts w:asciiTheme="majorHAnsi" w:eastAsiaTheme="majorEastAsia" w:hAnsiTheme="majorHAnsi" w:cstheme="majorBidi"/>
          <w:bCs/>
          <w:color w:val="000000" w:themeColor="text1"/>
          <w:sz w:val="24"/>
          <w:szCs w:val="24"/>
        </w:rPr>
      </w:pPr>
    </w:p>
    <w:p w14:paraId="0C1696EC" w14:textId="77777777" w:rsidR="0062172D" w:rsidRDefault="0062172D" w:rsidP="0062172D">
      <w:pPr>
        <w:spacing w:after="0"/>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E43463">
        <w:rPr>
          <w:rFonts w:asciiTheme="majorHAnsi" w:eastAsiaTheme="majorEastAsia" w:hAnsiTheme="majorHAnsi" w:cstheme="majorBidi"/>
          <w:b/>
          <w:color w:val="000000" w:themeColor="text1"/>
          <w:sz w:val="24"/>
          <w:szCs w:val="24"/>
        </w:rPr>
        <w:t>8</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Selected Net Economic </w:t>
      </w:r>
      <w:r w:rsidR="002B7465">
        <w:rPr>
          <w:rFonts w:asciiTheme="majorHAnsi" w:eastAsiaTheme="majorEastAsia" w:hAnsiTheme="majorHAnsi" w:cstheme="majorBidi"/>
          <w:b/>
          <w:color w:val="000000" w:themeColor="text1"/>
          <w:sz w:val="24"/>
          <w:szCs w:val="24"/>
        </w:rPr>
        <w:t>Impacts of Medical Device User-F</w:t>
      </w:r>
      <w:r>
        <w:rPr>
          <w:rFonts w:asciiTheme="majorHAnsi" w:eastAsiaTheme="majorEastAsia" w:hAnsiTheme="majorHAnsi" w:cstheme="majorBidi"/>
          <w:b/>
          <w:color w:val="000000" w:themeColor="text1"/>
          <w:sz w:val="24"/>
          <w:szCs w:val="24"/>
        </w:rPr>
        <w:t>ee</w:t>
      </w:r>
      <w:r w:rsidR="002B7465">
        <w:rPr>
          <w:rFonts w:asciiTheme="majorHAnsi" w:eastAsiaTheme="majorEastAsia" w:hAnsiTheme="majorHAnsi" w:cstheme="majorBidi"/>
          <w:b/>
          <w:color w:val="000000" w:themeColor="text1"/>
          <w:sz w:val="24"/>
          <w:szCs w:val="24"/>
        </w:rPr>
        <w:t xml:space="preserve"> Tax</w:t>
      </w:r>
      <w:r>
        <w:rPr>
          <w:rFonts w:asciiTheme="majorHAnsi" w:eastAsiaTheme="majorEastAsia" w:hAnsiTheme="majorHAnsi" w:cstheme="majorBidi"/>
          <w:b/>
          <w:color w:val="000000" w:themeColor="text1"/>
          <w:sz w:val="24"/>
          <w:szCs w:val="24"/>
        </w:rPr>
        <w:t xml:space="preserve"> Credit* </w:t>
      </w:r>
    </w:p>
    <w:tbl>
      <w:tblPr>
        <w:tblW w:w="9427" w:type="dxa"/>
        <w:tblInd w:w="108" w:type="dxa"/>
        <w:tblLook w:val="04A0" w:firstRow="1" w:lastRow="0" w:firstColumn="1" w:lastColumn="0" w:noHBand="0" w:noVBand="1"/>
      </w:tblPr>
      <w:tblGrid>
        <w:gridCol w:w="2052"/>
        <w:gridCol w:w="1435"/>
        <w:gridCol w:w="1530"/>
        <w:gridCol w:w="1440"/>
        <w:gridCol w:w="1530"/>
        <w:gridCol w:w="1440"/>
      </w:tblGrid>
      <w:tr w:rsidR="0099041C" w:rsidRPr="006C209C" w14:paraId="42282D04" w14:textId="77777777" w:rsidTr="002720BF">
        <w:trPr>
          <w:trHeight w:val="380"/>
        </w:trPr>
        <w:tc>
          <w:tcPr>
            <w:tcW w:w="2052"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9A89354"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sidRPr="006C209C">
              <w:rPr>
                <w:rFonts w:ascii="Cambria" w:eastAsia="Times New Roman" w:hAnsi="Cambria" w:cs="Arial"/>
                <w:sz w:val="20"/>
                <w:szCs w:val="20"/>
                <w:lang w:eastAsia="ko-KR"/>
              </w:rPr>
              <w:t>Calendar Year</w:t>
            </w:r>
          </w:p>
        </w:tc>
        <w:tc>
          <w:tcPr>
            <w:tcW w:w="1435" w:type="dxa"/>
            <w:tcBorders>
              <w:top w:val="single" w:sz="4" w:space="0" w:color="auto"/>
              <w:left w:val="nil"/>
              <w:bottom w:val="single" w:sz="4" w:space="0" w:color="auto"/>
              <w:right w:val="single" w:sz="4" w:space="0" w:color="auto"/>
            </w:tcBorders>
            <w:shd w:val="clear" w:color="000000" w:fill="B7DEE8"/>
            <w:noWrap/>
            <w:vAlign w:val="center"/>
            <w:hideMark/>
          </w:tcPr>
          <w:p w14:paraId="3328F52D"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sidRPr="006C209C">
              <w:rPr>
                <w:rFonts w:ascii="Cambria" w:eastAsia="Times New Roman" w:hAnsi="Cambria" w:cs="Arial"/>
                <w:sz w:val="20"/>
                <w:szCs w:val="20"/>
                <w:lang w:eastAsia="ko-KR"/>
              </w:rPr>
              <w:t>2018</w:t>
            </w:r>
          </w:p>
        </w:tc>
        <w:tc>
          <w:tcPr>
            <w:tcW w:w="1530" w:type="dxa"/>
            <w:tcBorders>
              <w:top w:val="single" w:sz="4" w:space="0" w:color="auto"/>
              <w:left w:val="nil"/>
              <w:bottom w:val="single" w:sz="4" w:space="0" w:color="auto"/>
              <w:right w:val="single" w:sz="4" w:space="0" w:color="auto"/>
            </w:tcBorders>
            <w:shd w:val="clear" w:color="000000" w:fill="B7DEE8"/>
            <w:noWrap/>
            <w:vAlign w:val="center"/>
            <w:hideMark/>
          </w:tcPr>
          <w:p w14:paraId="45529C42"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sidRPr="006C209C">
              <w:rPr>
                <w:rFonts w:ascii="Cambria" w:eastAsia="Times New Roman" w:hAnsi="Cambria" w:cs="Arial"/>
                <w:sz w:val="20"/>
                <w:szCs w:val="20"/>
                <w:lang w:eastAsia="ko-KR"/>
              </w:rPr>
              <w:t>2019</w:t>
            </w:r>
          </w:p>
        </w:tc>
        <w:tc>
          <w:tcPr>
            <w:tcW w:w="1440" w:type="dxa"/>
            <w:tcBorders>
              <w:top w:val="single" w:sz="4" w:space="0" w:color="auto"/>
              <w:left w:val="nil"/>
              <w:bottom w:val="single" w:sz="4" w:space="0" w:color="auto"/>
              <w:right w:val="single" w:sz="4" w:space="0" w:color="auto"/>
            </w:tcBorders>
            <w:shd w:val="clear" w:color="000000" w:fill="B7DEE8"/>
            <w:noWrap/>
            <w:vAlign w:val="center"/>
            <w:hideMark/>
          </w:tcPr>
          <w:p w14:paraId="0D4172CF"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sidRPr="006C209C">
              <w:rPr>
                <w:rFonts w:ascii="Cambria" w:eastAsia="Times New Roman" w:hAnsi="Cambria" w:cs="Arial"/>
                <w:sz w:val="20"/>
                <w:szCs w:val="20"/>
                <w:lang w:eastAsia="ko-KR"/>
              </w:rPr>
              <w:t>2020</w:t>
            </w:r>
          </w:p>
        </w:tc>
        <w:tc>
          <w:tcPr>
            <w:tcW w:w="1530" w:type="dxa"/>
            <w:tcBorders>
              <w:top w:val="single" w:sz="4" w:space="0" w:color="auto"/>
              <w:left w:val="nil"/>
              <w:bottom w:val="single" w:sz="4" w:space="0" w:color="auto"/>
              <w:right w:val="single" w:sz="4" w:space="0" w:color="auto"/>
            </w:tcBorders>
            <w:shd w:val="clear" w:color="000000" w:fill="B7DEE8"/>
            <w:noWrap/>
            <w:vAlign w:val="center"/>
            <w:hideMark/>
          </w:tcPr>
          <w:p w14:paraId="22DE3915"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sidRPr="006C209C">
              <w:rPr>
                <w:rFonts w:ascii="Cambria" w:eastAsia="Times New Roman" w:hAnsi="Cambria" w:cs="Arial"/>
                <w:sz w:val="20"/>
                <w:szCs w:val="20"/>
                <w:lang w:eastAsia="ko-KR"/>
              </w:rPr>
              <w:t>2021</w:t>
            </w:r>
          </w:p>
        </w:tc>
        <w:tc>
          <w:tcPr>
            <w:tcW w:w="1440" w:type="dxa"/>
            <w:tcBorders>
              <w:top w:val="single" w:sz="4" w:space="0" w:color="auto"/>
              <w:left w:val="nil"/>
              <w:bottom w:val="single" w:sz="4" w:space="0" w:color="auto"/>
              <w:right w:val="single" w:sz="4" w:space="0" w:color="auto"/>
            </w:tcBorders>
            <w:shd w:val="clear" w:color="000000" w:fill="B7DEE8"/>
            <w:noWrap/>
            <w:vAlign w:val="center"/>
            <w:hideMark/>
          </w:tcPr>
          <w:p w14:paraId="424091DA"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sidRPr="006C209C">
              <w:rPr>
                <w:rFonts w:ascii="Cambria" w:eastAsia="Times New Roman" w:hAnsi="Cambria" w:cs="Arial"/>
                <w:sz w:val="20"/>
                <w:szCs w:val="20"/>
                <w:lang w:eastAsia="ko-KR"/>
              </w:rPr>
              <w:t>2022</w:t>
            </w:r>
          </w:p>
        </w:tc>
      </w:tr>
      <w:tr w:rsidR="0062172D" w:rsidRPr="006C209C" w14:paraId="7F12CD71" w14:textId="77777777" w:rsidTr="002720BF">
        <w:trPr>
          <w:trHeight w:val="54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1A53BD9C" w14:textId="77777777" w:rsidR="0062172D" w:rsidRPr="006C209C" w:rsidRDefault="0062172D" w:rsidP="00B267BF">
            <w:pPr>
              <w:spacing w:after="0" w:line="240" w:lineRule="auto"/>
              <w:rPr>
                <w:rFonts w:ascii="Cambria" w:eastAsia="Times New Roman" w:hAnsi="Cambria" w:cs="Arial"/>
                <w:sz w:val="20"/>
                <w:szCs w:val="20"/>
                <w:lang w:eastAsia="ko-KR"/>
              </w:rPr>
            </w:pPr>
            <w:r w:rsidRPr="006C209C">
              <w:rPr>
                <w:rFonts w:ascii="Cambria" w:eastAsia="Times New Roman" w:hAnsi="Cambria" w:cs="Arial"/>
                <w:sz w:val="20"/>
                <w:szCs w:val="20"/>
                <w:lang w:eastAsia="ko-KR"/>
              </w:rPr>
              <w:t>Impact on total employment</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DC445"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(3)</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547F4031"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0CE6953"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79AB609A"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EA5F0C7"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w:t>
            </w:r>
          </w:p>
        </w:tc>
      </w:tr>
      <w:tr w:rsidR="0062172D" w:rsidRPr="006C209C" w14:paraId="536F594C" w14:textId="77777777" w:rsidTr="002720BF">
        <w:trPr>
          <w:trHeight w:val="5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0F606F60" w14:textId="77777777" w:rsidR="0062172D" w:rsidRPr="006C209C" w:rsidRDefault="0062172D" w:rsidP="00B267BF">
            <w:pPr>
              <w:spacing w:after="0" w:line="240" w:lineRule="auto"/>
              <w:rPr>
                <w:rFonts w:ascii="Cambria" w:eastAsia="Times New Roman" w:hAnsi="Cambria" w:cs="Arial"/>
                <w:sz w:val="20"/>
                <w:szCs w:val="20"/>
                <w:lang w:eastAsia="ko-KR"/>
              </w:rPr>
            </w:pPr>
            <w:r w:rsidRPr="006C209C">
              <w:rPr>
                <w:rFonts w:ascii="Cambria" w:eastAsia="Times New Roman" w:hAnsi="Cambria" w:cs="Arial"/>
                <w:sz w:val="20"/>
                <w:szCs w:val="20"/>
                <w:lang w:eastAsia="ko-KR"/>
              </w:rPr>
              <w:t>Impact on private non-farm employment</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019D6B27"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2</w:t>
            </w:r>
          </w:p>
        </w:tc>
        <w:tc>
          <w:tcPr>
            <w:tcW w:w="1530" w:type="dxa"/>
            <w:tcBorders>
              <w:top w:val="nil"/>
              <w:left w:val="nil"/>
              <w:bottom w:val="single" w:sz="4" w:space="0" w:color="auto"/>
              <w:right w:val="single" w:sz="4" w:space="0" w:color="auto"/>
            </w:tcBorders>
            <w:shd w:val="clear" w:color="auto" w:fill="auto"/>
            <w:noWrap/>
            <w:vAlign w:val="center"/>
            <w:hideMark/>
          </w:tcPr>
          <w:p w14:paraId="0F247044"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3</w:t>
            </w:r>
          </w:p>
        </w:tc>
        <w:tc>
          <w:tcPr>
            <w:tcW w:w="1440" w:type="dxa"/>
            <w:tcBorders>
              <w:top w:val="nil"/>
              <w:left w:val="nil"/>
              <w:bottom w:val="single" w:sz="4" w:space="0" w:color="auto"/>
              <w:right w:val="single" w:sz="4" w:space="0" w:color="auto"/>
            </w:tcBorders>
            <w:shd w:val="clear" w:color="auto" w:fill="auto"/>
            <w:noWrap/>
            <w:vAlign w:val="center"/>
            <w:hideMark/>
          </w:tcPr>
          <w:p w14:paraId="03F3A3EB"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3</w:t>
            </w:r>
          </w:p>
        </w:tc>
        <w:tc>
          <w:tcPr>
            <w:tcW w:w="1530" w:type="dxa"/>
            <w:tcBorders>
              <w:top w:val="nil"/>
              <w:left w:val="nil"/>
              <w:bottom w:val="single" w:sz="4" w:space="0" w:color="auto"/>
              <w:right w:val="single" w:sz="4" w:space="0" w:color="auto"/>
            </w:tcBorders>
            <w:shd w:val="clear" w:color="auto" w:fill="auto"/>
            <w:noWrap/>
            <w:vAlign w:val="center"/>
            <w:hideMark/>
          </w:tcPr>
          <w:p w14:paraId="34E42ABA"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4</w:t>
            </w:r>
          </w:p>
        </w:tc>
        <w:tc>
          <w:tcPr>
            <w:tcW w:w="1440" w:type="dxa"/>
            <w:tcBorders>
              <w:top w:val="nil"/>
              <w:left w:val="nil"/>
              <w:bottom w:val="single" w:sz="4" w:space="0" w:color="auto"/>
              <w:right w:val="single" w:sz="4" w:space="0" w:color="auto"/>
            </w:tcBorders>
            <w:shd w:val="clear" w:color="auto" w:fill="auto"/>
            <w:noWrap/>
            <w:vAlign w:val="center"/>
            <w:hideMark/>
          </w:tcPr>
          <w:p w14:paraId="3047F42E"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3</w:t>
            </w:r>
          </w:p>
        </w:tc>
      </w:tr>
      <w:tr w:rsidR="0062172D" w:rsidRPr="006C209C" w14:paraId="04EE7DF2" w14:textId="77777777" w:rsidTr="002720BF">
        <w:trPr>
          <w:trHeight w:val="5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71C18CDD" w14:textId="77777777" w:rsidR="0062172D" w:rsidRPr="006C209C" w:rsidRDefault="0062172D" w:rsidP="00B267BF">
            <w:pPr>
              <w:spacing w:after="0" w:line="240" w:lineRule="auto"/>
              <w:rPr>
                <w:rFonts w:ascii="Cambria" w:eastAsia="Times New Roman" w:hAnsi="Cambria" w:cs="Arial"/>
                <w:sz w:val="20"/>
                <w:szCs w:val="20"/>
                <w:lang w:eastAsia="ko-KR"/>
              </w:rPr>
            </w:pPr>
            <w:r w:rsidRPr="006C209C">
              <w:rPr>
                <w:rFonts w:ascii="Cambria" w:eastAsia="Times New Roman" w:hAnsi="Cambria" w:cs="Arial"/>
                <w:sz w:val="20"/>
                <w:szCs w:val="20"/>
                <w:lang w:eastAsia="ko-KR"/>
              </w:rPr>
              <w:t>Impact on GDP ($000), real dollars</w:t>
            </w:r>
            <w:r>
              <w:rPr>
                <w:rFonts w:ascii="Cambria" w:eastAsia="Times New Roman" w:hAnsi="Cambria" w:cs="Arial"/>
                <w:sz w:val="20"/>
                <w:szCs w:val="20"/>
                <w:lang w:eastAsia="ko-KR"/>
              </w:rPr>
              <w:t xml:space="preserve"> </w:t>
            </w:r>
            <w:r w:rsidRPr="006C209C">
              <w:rPr>
                <w:rFonts w:ascii="Cambria" w:eastAsia="Times New Roman" w:hAnsi="Cambria" w:cs="Arial"/>
                <w:sz w:val="20"/>
                <w:szCs w:val="20"/>
                <w:lang w:eastAsia="ko-KR"/>
              </w:rPr>
              <w:t>(2012)</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2945F120"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w:t>
            </w:r>
          </w:p>
        </w:tc>
        <w:tc>
          <w:tcPr>
            <w:tcW w:w="1530" w:type="dxa"/>
            <w:tcBorders>
              <w:top w:val="nil"/>
              <w:left w:val="nil"/>
              <w:bottom w:val="single" w:sz="4" w:space="0" w:color="auto"/>
              <w:right w:val="single" w:sz="4" w:space="0" w:color="auto"/>
            </w:tcBorders>
            <w:shd w:val="clear" w:color="auto" w:fill="auto"/>
            <w:noWrap/>
            <w:vAlign w:val="center"/>
            <w:hideMark/>
          </w:tcPr>
          <w:p w14:paraId="7B400F65"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w:t>
            </w:r>
          </w:p>
        </w:tc>
        <w:tc>
          <w:tcPr>
            <w:tcW w:w="1440" w:type="dxa"/>
            <w:tcBorders>
              <w:top w:val="nil"/>
              <w:left w:val="nil"/>
              <w:bottom w:val="single" w:sz="4" w:space="0" w:color="auto"/>
              <w:right w:val="single" w:sz="4" w:space="0" w:color="auto"/>
            </w:tcBorders>
            <w:shd w:val="clear" w:color="auto" w:fill="auto"/>
            <w:noWrap/>
            <w:vAlign w:val="center"/>
            <w:hideMark/>
          </w:tcPr>
          <w:p w14:paraId="639B8D6D"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w:t>
            </w:r>
          </w:p>
        </w:tc>
        <w:tc>
          <w:tcPr>
            <w:tcW w:w="1530" w:type="dxa"/>
            <w:tcBorders>
              <w:top w:val="nil"/>
              <w:left w:val="nil"/>
              <w:bottom w:val="single" w:sz="4" w:space="0" w:color="auto"/>
              <w:right w:val="single" w:sz="4" w:space="0" w:color="auto"/>
            </w:tcBorders>
            <w:shd w:val="clear" w:color="auto" w:fill="auto"/>
            <w:noWrap/>
            <w:vAlign w:val="center"/>
            <w:hideMark/>
          </w:tcPr>
          <w:p w14:paraId="618D72A0"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w:t>
            </w:r>
          </w:p>
        </w:tc>
        <w:tc>
          <w:tcPr>
            <w:tcW w:w="1440" w:type="dxa"/>
            <w:tcBorders>
              <w:top w:val="nil"/>
              <w:left w:val="nil"/>
              <w:bottom w:val="single" w:sz="4" w:space="0" w:color="auto"/>
              <w:right w:val="single" w:sz="4" w:space="0" w:color="auto"/>
            </w:tcBorders>
            <w:shd w:val="clear" w:color="auto" w:fill="auto"/>
            <w:noWrap/>
            <w:vAlign w:val="center"/>
            <w:hideMark/>
          </w:tcPr>
          <w:p w14:paraId="0A7350C6"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w:t>
            </w:r>
          </w:p>
        </w:tc>
      </w:tr>
      <w:tr w:rsidR="0062172D" w:rsidRPr="006C209C" w14:paraId="1A5FD42B" w14:textId="77777777" w:rsidTr="002720BF">
        <w:trPr>
          <w:trHeight w:val="5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4C62615D" w14:textId="77777777" w:rsidR="0062172D" w:rsidRPr="006C209C" w:rsidRDefault="0062172D" w:rsidP="00B267BF">
            <w:pPr>
              <w:spacing w:after="0" w:line="240" w:lineRule="auto"/>
              <w:rPr>
                <w:rFonts w:ascii="Cambria" w:eastAsia="Times New Roman" w:hAnsi="Cambria" w:cs="Arial"/>
                <w:sz w:val="20"/>
                <w:szCs w:val="20"/>
                <w:lang w:eastAsia="ko-KR"/>
              </w:rPr>
            </w:pPr>
            <w:r w:rsidRPr="006C209C">
              <w:rPr>
                <w:rFonts w:ascii="Cambria" w:eastAsia="Times New Roman" w:hAnsi="Cambria" w:cs="Arial"/>
                <w:sz w:val="20"/>
                <w:szCs w:val="20"/>
                <w:lang w:eastAsia="ko-KR"/>
              </w:rPr>
              <w:t>Impact on personal income ($000)</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753E0C51"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w:t>
            </w:r>
          </w:p>
        </w:tc>
        <w:tc>
          <w:tcPr>
            <w:tcW w:w="1530" w:type="dxa"/>
            <w:tcBorders>
              <w:top w:val="nil"/>
              <w:left w:val="nil"/>
              <w:bottom w:val="single" w:sz="4" w:space="0" w:color="auto"/>
              <w:right w:val="single" w:sz="4" w:space="0" w:color="auto"/>
            </w:tcBorders>
            <w:shd w:val="clear" w:color="auto" w:fill="auto"/>
            <w:noWrap/>
            <w:vAlign w:val="center"/>
            <w:hideMark/>
          </w:tcPr>
          <w:p w14:paraId="686B6FF7"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w:t>
            </w:r>
          </w:p>
        </w:tc>
        <w:tc>
          <w:tcPr>
            <w:tcW w:w="1440" w:type="dxa"/>
            <w:tcBorders>
              <w:top w:val="nil"/>
              <w:left w:val="nil"/>
              <w:bottom w:val="single" w:sz="4" w:space="0" w:color="auto"/>
              <w:right w:val="single" w:sz="4" w:space="0" w:color="auto"/>
            </w:tcBorders>
            <w:shd w:val="clear" w:color="auto" w:fill="auto"/>
            <w:noWrap/>
            <w:vAlign w:val="center"/>
            <w:hideMark/>
          </w:tcPr>
          <w:p w14:paraId="7CB35056"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w:t>
            </w:r>
          </w:p>
        </w:tc>
        <w:tc>
          <w:tcPr>
            <w:tcW w:w="1530" w:type="dxa"/>
            <w:tcBorders>
              <w:top w:val="nil"/>
              <w:left w:val="nil"/>
              <w:bottom w:val="single" w:sz="4" w:space="0" w:color="auto"/>
              <w:right w:val="single" w:sz="4" w:space="0" w:color="auto"/>
            </w:tcBorders>
            <w:shd w:val="clear" w:color="auto" w:fill="auto"/>
            <w:noWrap/>
            <w:vAlign w:val="center"/>
            <w:hideMark/>
          </w:tcPr>
          <w:p w14:paraId="061DEBE1"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w:t>
            </w:r>
          </w:p>
        </w:tc>
        <w:tc>
          <w:tcPr>
            <w:tcW w:w="1440" w:type="dxa"/>
            <w:tcBorders>
              <w:top w:val="nil"/>
              <w:left w:val="nil"/>
              <w:bottom w:val="single" w:sz="4" w:space="0" w:color="auto"/>
              <w:right w:val="single" w:sz="4" w:space="0" w:color="auto"/>
            </w:tcBorders>
            <w:shd w:val="clear" w:color="auto" w:fill="auto"/>
            <w:noWrap/>
            <w:vAlign w:val="center"/>
            <w:hideMark/>
          </w:tcPr>
          <w:p w14:paraId="44EEDB4C" w14:textId="77777777" w:rsidR="0062172D" w:rsidRPr="006C209C" w:rsidRDefault="0062172D" w:rsidP="00B267BF">
            <w:pPr>
              <w:spacing w:after="0" w:line="240" w:lineRule="auto"/>
              <w:jc w:val="center"/>
              <w:rPr>
                <w:rFonts w:ascii="Cambria" w:eastAsia="Times New Roman" w:hAnsi="Cambria" w:cs="Arial"/>
                <w:sz w:val="20"/>
                <w:szCs w:val="20"/>
                <w:lang w:eastAsia="ko-KR"/>
              </w:rPr>
            </w:pPr>
            <w:r>
              <w:rPr>
                <w:rFonts w:ascii="Cambria" w:hAnsi="Cambria" w:cs="Arial"/>
                <w:sz w:val="20"/>
                <w:szCs w:val="20"/>
              </w:rPr>
              <w:t>-</w:t>
            </w:r>
          </w:p>
        </w:tc>
      </w:tr>
    </w:tbl>
    <w:p w14:paraId="695B3C20" w14:textId="77777777" w:rsidR="0062172D" w:rsidRPr="008A3AB7" w:rsidRDefault="0062172D" w:rsidP="0062172D">
      <w:pPr>
        <w:tabs>
          <w:tab w:val="left" w:pos="7050"/>
        </w:tabs>
        <w:spacing w:after="0"/>
        <w:rPr>
          <w:rFonts w:asciiTheme="majorHAnsi" w:hAnsiTheme="majorHAnsi"/>
          <w:bCs/>
          <w:sz w:val="20"/>
          <w:szCs w:val="20"/>
        </w:rPr>
      </w:pPr>
      <w:r w:rsidRPr="008A3AB7">
        <w:rPr>
          <w:rFonts w:asciiTheme="majorHAnsi" w:hAnsiTheme="majorHAnsi"/>
          <w:bCs/>
          <w:sz w:val="20"/>
          <w:szCs w:val="20"/>
        </w:rPr>
        <w:t xml:space="preserve">* assuming the state government spending is </w:t>
      </w:r>
      <w:r w:rsidR="002B7465">
        <w:rPr>
          <w:rFonts w:asciiTheme="majorHAnsi" w:hAnsiTheme="majorHAnsi"/>
          <w:bCs/>
          <w:sz w:val="20"/>
          <w:szCs w:val="20"/>
        </w:rPr>
        <w:t>reduced</w:t>
      </w:r>
      <w:r w:rsidRPr="008A3AB7">
        <w:rPr>
          <w:rFonts w:asciiTheme="majorHAnsi" w:hAnsiTheme="majorHAnsi"/>
          <w:bCs/>
          <w:sz w:val="20"/>
          <w:szCs w:val="20"/>
        </w:rPr>
        <w:t xml:space="preserve"> by the same amount as the </w:t>
      </w:r>
      <w:r w:rsidR="002B7465">
        <w:rPr>
          <w:rFonts w:asciiTheme="majorHAnsi" w:hAnsiTheme="majorHAnsi"/>
          <w:bCs/>
          <w:sz w:val="20"/>
          <w:szCs w:val="20"/>
        </w:rPr>
        <w:t>medical device user fee</w:t>
      </w:r>
      <w:r w:rsidRPr="008A3AB7">
        <w:rPr>
          <w:rFonts w:asciiTheme="majorHAnsi" w:hAnsiTheme="majorHAnsi"/>
          <w:bCs/>
          <w:sz w:val="20"/>
          <w:szCs w:val="20"/>
        </w:rPr>
        <w:t xml:space="preserve"> tax credit</w:t>
      </w:r>
      <w:r>
        <w:rPr>
          <w:rFonts w:asciiTheme="majorHAnsi" w:hAnsiTheme="majorHAnsi"/>
          <w:bCs/>
          <w:sz w:val="20"/>
          <w:szCs w:val="20"/>
        </w:rPr>
        <w:t xml:space="preserve"> to balance budget</w:t>
      </w:r>
      <w:r w:rsidRPr="008A3AB7">
        <w:rPr>
          <w:rFonts w:asciiTheme="majorHAnsi" w:hAnsiTheme="majorHAnsi"/>
          <w:bCs/>
          <w:sz w:val="20"/>
          <w:szCs w:val="20"/>
        </w:rPr>
        <w:t>.</w:t>
      </w:r>
    </w:p>
    <w:p w14:paraId="6C4356BB" w14:textId="77777777" w:rsidR="0062172D" w:rsidRDefault="0062172D" w:rsidP="0062172D">
      <w:pPr>
        <w:tabs>
          <w:tab w:val="left" w:pos="7050"/>
        </w:tabs>
        <w:spacing w:after="0"/>
        <w:rPr>
          <w:rFonts w:asciiTheme="majorHAnsi" w:hAnsiTheme="majorHAnsi"/>
          <w:bCs/>
          <w:sz w:val="24"/>
          <w:szCs w:val="23"/>
        </w:rPr>
      </w:pPr>
    </w:p>
    <w:p w14:paraId="6E6324AA" w14:textId="77777777" w:rsidR="0062172D" w:rsidRDefault="0062172D" w:rsidP="0062172D">
      <w:pPr>
        <w:tabs>
          <w:tab w:val="left" w:pos="7050"/>
        </w:tabs>
        <w:spacing w:after="0"/>
        <w:rPr>
          <w:rFonts w:asciiTheme="majorHAnsi" w:hAnsiTheme="majorHAnsi"/>
          <w:bCs/>
          <w:sz w:val="24"/>
          <w:szCs w:val="23"/>
        </w:rPr>
      </w:pPr>
      <w:r w:rsidRPr="00E4532C">
        <w:rPr>
          <w:rFonts w:asciiTheme="majorHAnsi" w:hAnsiTheme="majorHAnsi"/>
          <w:bCs/>
          <w:sz w:val="24"/>
          <w:szCs w:val="23"/>
        </w:rPr>
        <w:t>There</w:t>
      </w:r>
      <w:r>
        <w:rPr>
          <w:rFonts w:asciiTheme="majorHAnsi" w:hAnsiTheme="majorHAnsi"/>
          <w:bCs/>
          <w:sz w:val="24"/>
          <w:szCs w:val="23"/>
        </w:rPr>
        <w:t xml:space="preserve"> </w:t>
      </w:r>
      <w:r w:rsidRPr="00E4532C">
        <w:rPr>
          <w:rFonts w:asciiTheme="majorHAnsi" w:hAnsiTheme="majorHAnsi"/>
          <w:bCs/>
          <w:sz w:val="24"/>
          <w:szCs w:val="23"/>
        </w:rPr>
        <w:t>are</w:t>
      </w:r>
      <w:r>
        <w:rPr>
          <w:rFonts w:asciiTheme="majorHAnsi" w:hAnsiTheme="majorHAnsi"/>
          <w:bCs/>
          <w:sz w:val="24"/>
          <w:szCs w:val="23"/>
        </w:rPr>
        <w:t xml:space="preserve"> </w:t>
      </w:r>
      <w:r w:rsidRPr="00E4532C">
        <w:rPr>
          <w:rFonts w:asciiTheme="majorHAnsi" w:hAnsiTheme="majorHAnsi"/>
          <w:bCs/>
          <w:sz w:val="24"/>
          <w:szCs w:val="23"/>
        </w:rPr>
        <w:t>other</w:t>
      </w:r>
      <w:r>
        <w:rPr>
          <w:rFonts w:asciiTheme="majorHAnsi" w:hAnsiTheme="majorHAnsi"/>
          <w:bCs/>
          <w:sz w:val="24"/>
          <w:szCs w:val="23"/>
        </w:rPr>
        <w:t xml:space="preserve"> </w:t>
      </w:r>
      <w:r w:rsidRPr="00E4532C">
        <w:rPr>
          <w:rFonts w:asciiTheme="majorHAnsi" w:hAnsiTheme="majorHAnsi"/>
          <w:bCs/>
          <w:sz w:val="24"/>
          <w:szCs w:val="23"/>
        </w:rPr>
        <w:t>costs</w:t>
      </w:r>
      <w:r>
        <w:rPr>
          <w:rFonts w:asciiTheme="majorHAnsi" w:hAnsiTheme="majorHAnsi"/>
          <w:bCs/>
          <w:sz w:val="24"/>
          <w:szCs w:val="23"/>
        </w:rPr>
        <w:t xml:space="preserve"> </w:t>
      </w:r>
      <w:r w:rsidRPr="00E4532C">
        <w:rPr>
          <w:rFonts w:asciiTheme="majorHAnsi" w:hAnsiTheme="majorHAnsi"/>
          <w:bCs/>
          <w:sz w:val="24"/>
          <w:szCs w:val="23"/>
        </w:rPr>
        <w:t>and</w:t>
      </w:r>
      <w:r>
        <w:rPr>
          <w:rFonts w:asciiTheme="majorHAnsi" w:hAnsiTheme="majorHAnsi"/>
          <w:bCs/>
          <w:sz w:val="24"/>
          <w:szCs w:val="23"/>
        </w:rPr>
        <w:t xml:space="preserve"> </w:t>
      </w:r>
      <w:r w:rsidRPr="00E4532C">
        <w:rPr>
          <w:rFonts w:asciiTheme="majorHAnsi" w:hAnsiTheme="majorHAnsi"/>
          <w:bCs/>
          <w:sz w:val="24"/>
          <w:szCs w:val="23"/>
        </w:rPr>
        <w:t>benefits</w:t>
      </w:r>
      <w:r>
        <w:rPr>
          <w:rFonts w:asciiTheme="majorHAnsi" w:hAnsiTheme="majorHAnsi"/>
          <w:bCs/>
          <w:sz w:val="24"/>
          <w:szCs w:val="23"/>
        </w:rPr>
        <w:t xml:space="preserve"> </w:t>
      </w:r>
      <w:r w:rsidRPr="00E4532C">
        <w:rPr>
          <w:rFonts w:asciiTheme="majorHAnsi" w:hAnsiTheme="majorHAnsi"/>
          <w:bCs/>
          <w:sz w:val="24"/>
          <w:szCs w:val="23"/>
        </w:rPr>
        <w:t>that</w:t>
      </w:r>
      <w:r>
        <w:rPr>
          <w:rFonts w:asciiTheme="majorHAnsi" w:hAnsiTheme="majorHAnsi"/>
          <w:bCs/>
          <w:sz w:val="24"/>
          <w:szCs w:val="23"/>
        </w:rPr>
        <w:t xml:space="preserve"> are hard to </w:t>
      </w:r>
      <w:r w:rsidRPr="00E4532C">
        <w:rPr>
          <w:rFonts w:asciiTheme="majorHAnsi" w:hAnsiTheme="majorHAnsi"/>
          <w:bCs/>
          <w:sz w:val="24"/>
          <w:szCs w:val="23"/>
        </w:rPr>
        <w:t>quantify</w:t>
      </w:r>
      <w:r>
        <w:rPr>
          <w:rFonts w:asciiTheme="majorHAnsi" w:hAnsiTheme="majorHAnsi"/>
          <w:bCs/>
          <w:sz w:val="24"/>
          <w:szCs w:val="23"/>
        </w:rPr>
        <w:t xml:space="preserve"> because of data and time limitations</w:t>
      </w:r>
      <w:r w:rsidRPr="00E4532C">
        <w:rPr>
          <w:rFonts w:asciiTheme="majorHAnsi" w:hAnsiTheme="majorHAnsi"/>
          <w:bCs/>
          <w:sz w:val="24"/>
          <w:szCs w:val="23"/>
        </w:rPr>
        <w:t>.</w:t>
      </w:r>
      <w:r>
        <w:rPr>
          <w:rFonts w:asciiTheme="majorHAnsi" w:hAnsiTheme="majorHAnsi"/>
          <w:bCs/>
          <w:sz w:val="24"/>
          <w:szCs w:val="23"/>
        </w:rPr>
        <w:t xml:space="preserve"> </w:t>
      </w:r>
      <w:r w:rsidR="002B7465">
        <w:rPr>
          <w:rFonts w:asciiTheme="majorHAnsi" w:hAnsiTheme="majorHAnsi"/>
          <w:bCs/>
          <w:sz w:val="24"/>
          <w:szCs w:val="23"/>
        </w:rPr>
        <w:t xml:space="preserve"> </w:t>
      </w:r>
      <w:r w:rsidR="002720BF" w:rsidRPr="00A05217">
        <w:rPr>
          <w:rFonts w:asciiTheme="majorHAnsi" w:hAnsiTheme="majorHAnsi"/>
          <w:noProof/>
          <w:sz w:val="24"/>
          <w:szCs w:val="23"/>
        </w:rPr>
        <w:t>Ihlanfeldt and Sjoquist</w:t>
      </w:r>
      <w:r w:rsidR="002720BF">
        <w:rPr>
          <w:rFonts w:asciiTheme="majorHAnsi" w:hAnsiTheme="majorHAnsi"/>
          <w:noProof/>
          <w:sz w:val="24"/>
          <w:szCs w:val="23"/>
        </w:rPr>
        <w:t xml:space="preserve"> </w:t>
      </w:r>
      <w:r w:rsidR="002720BF" w:rsidRPr="00A05217">
        <w:rPr>
          <w:rFonts w:asciiTheme="majorHAnsi" w:hAnsiTheme="majorHAnsi"/>
          <w:noProof/>
          <w:sz w:val="24"/>
          <w:szCs w:val="23"/>
        </w:rPr>
        <w:t>(2001)</w:t>
      </w:r>
      <w:r w:rsidR="002B7465">
        <w:rPr>
          <w:rFonts w:asciiTheme="majorHAnsi" w:hAnsiTheme="majorHAnsi"/>
          <w:bCs/>
          <w:sz w:val="24"/>
          <w:szCs w:val="23"/>
        </w:rPr>
        <w:t xml:space="preserve"> summarizes</w:t>
      </w:r>
      <w:r>
        <w:rPr>
          <w:rFonts w:asciiTheme="majorHAnsi" w:hAnsiTheme="majorHAnsi"/>
          <w:bCs/>
          <w:sz w:val="24"/>
          <w:szCs w:val="23"/>
        </w:rPr>
        <w:t xml:space="preserve"> </w:t>
      </w:r>
      <w:r w:rsidR="00053B7E">
        <w:rPr>
          <w:rFonts w:asciiTheme="majorHAnsi" w:hAnsiTheme="majorHAnsi"/>
          <w:bCs/>
          <w:sz w:val="24"/>
          <w:szCs w:val="23"/>
        </w:rPr>
        <w:t xml:space="preserve">some of </w:t>
      </w:r>
      <w:r>
        <w:rPr>
          <w:rFonts w:asciiTheme="majorHAnsi" w:hAnsiTheme="majorHAnsi"/>
          <w:bCs/>
          <w:sz w:val="24"/>
          <w:szCs w:val="23"/>
        </w:rPr>
        <w:t xml:space="preserve">these costs and benefits as follows:  </w:t>
      </w:r>
    </w:p>
    <w:p w14:paraId="6C827AC7" w14:textId="77777777" w:rsidR="0062172D" w:rsidRDefault="0062172D" w:rsidP="0062172D">
      <w:pPr>
        <w:tabs>
          <w:tab w:val="left" w:pos="7050"/>
        </w:tabs>
        <w:spacing w:after="0"/>
        <w:rPr>
          <w:rFonts w:asciiTheme="majorHAnsi" w:hAnsiTheme="majorHAnsi"/>
          <w:bCs/>
          <w:sz w:val="24"/>
          <w:szCs w:val="23"/>
        </w:rPr>
      </w:pPr>
    </w:p>
    <w:p w14:paraId="64AD0938" w14:textId="77777777" w:rsidR="0062172D" w:rsidRDefault="0062172D" w:rsidP="0062172D">
      <w:pPr>
        <w:tabs>
          <w:tab w:val="left" w:pos="7050"/>
        </w:tabs>
        <w:spacing w:after="0"/>
        <w:rPr>
          <w:rFonts w:asciiTheme="majorHAnsi" w:hAnsiTheme="majorHAnsi"/>
          <w:bCs/>
          <w:sz w:val="24"/>
          <w:szCs w:val="23"/>
        </w:rPr>
      </w:pPr>
      <w:r w:rsidRPr="009552B7">
        <w:rPr>
          <w:rFonts w:asciiTheme="majorHAnsi" w:hAnsiTheme="majorHAnsi"/>
          <w:bCs/>
          <w:i/>
          <w:iCs/>
          <w:sz w:val="24"/>
          <w:szCs w:val="23"/>
          <w:u w:val="single"/>
        </w:rPr>
        <w:t>Loss of competitiveness.</w:t>
      </w:r>
      <w:r w:rsidRPr="00E4532C">
        <w:rPr>
          <w:rFonts w:asciiTheme="majorHAnsi" w:hAnsiTheme="majorHAnsi"/>
          <w:bCs/>
          <w:sz w:val="24"/>
          <w:szCs w:val="23"/>
        </w:rPr>
        <w:t xml:space="preserve"> P</w:t>
      </w:r>
      <w:r w:rsidR="006851DE">
        <w:rPr>
          <w:rFonts w:asciiTheme="majorHAnsi" w:hAnsiTheme="majorHAnsi"/>
          <w:bCs/>
          <w:sz w:val="24"/>
          <w:szCs w:val="23"/>
        </w:rPr>
        <w:t>roviding tax credits to select</w:t>
      </w:r>
      <w:r w:rsidRPr="00E4532C">
        <w:rPr>
          <w:rFonts w:asciiTheme="majorHAnsi" w:hAnsiTheme="majorHAnsi"/>
          <w:bCs/>
          <w:sz w:val="24"/>
          <w:szCs w:val="23"/>
        </w:rPr>
        <w:t xml:space="preserve"> firms </w:t>
      </w:r>
      <w:r>
        <w:rPr>
          <w:rFonts w:asciiTheme="majorHAnsi" w:hAnsiTheme="majorHAnsi"/>
          <w:bCs/>
          <w:sz w:val="24"/>
          <w:szCs w:val="23"/>
        </w:rPr>
        <w:t>may d</w:t>
      </w:r>
      <w:r w:rsidRPr="00E4532C">
        <w:rPr>
          <w:rFonts w:asciiTheme="majorHAnsi" w:hAnsiTheme="majorHAnsi"/>
          <w:bCs/>
          <w:sz w:val="24"/>
          <w:szCs w:val="23"/>
        </w:rPr>
        <w:t>iminish</w:t>
      </w:r>
      <w:r>
        <w:rPr>
          <w:rFonts w:asciiTheme="majorHAnsi" w:hAnsiTheme="majorHAnsi"/>
          <w:bCs/>
          <w:sz w:val="24"/>
          <w:szCs w:val="23"/>
        </w:rPr>
        <w:t xml:space="preserve"> the </w:t>
      </w:r>
      <w:r w:rsidRPr="00E4532C">
        <w:rPr>
          <w:rFonts w:asciiTheme="majorHAnsi" w:hAnsiTheme="majorHAnsi"/>
          <w:bCs/>
          <w:sz w:val="24"/>
          <w:szCs w:val="23"/>
        </w:rPr>
        <w:t>competitiveness</w:t>
      </w:r>
      <w:r>
        <w:rPr>
          <w:rFonts w:asciiTheme="majorHAnsi" w:hAnsiTheme="majorHAnsi"/>
          <w:bCs/>
          <w:sz w:val="24"/>
          <w:szCs w:val="23"/>
        </w:rPr>
        <w:t xml:space="preserve"> </w:t>
      </w:r>
      <w:r w:rsidRPr="00E4532C">
        <w:rPr>
          <w:rFonts w:asciiTheme="majorHAnsi" w:hAnsiTheme="majorHAnsi"/>
          <w:bCs/>
          <w:sz w:val="24"/>
          <w:szCs w:val="23"/>
        </w:rPr>
        <w:t>for</w:t>
      </w:r>
      <w:r>
        <w:rPr>
          <w:rFonts w:asciiTheme="majorHAnsi" w:hAnsiTheme="majorHAnsi"/>
          <w:bCs/>
          <w:sz w:val="24"/>
          <w:szCs w:val="23"/>
        </w:rPr>
        <w:t xml:space="preserve"> similar firms that do not receive tax credits</w:t>
      </w:r>
    </w:p>
    <w:p w14:paraId="5D479CF5" w14:textId="77777777" w:rsidR="0062172D" w:rsidRDefault="0062172D" w:rsidP="0062172D">
      <w:pPr>
        <w:tabs>
          <w:tab w:val="left" w:pos="7050"/>
        </w:tabs>
        <w:spacing w:after="0"/>
        <w:rPr>
          <w:rFonts w:asciiTheme="majorHAnsi" w:hAnsiTheme="majorHAnsi"/>
          <w:bCs/>
          <w:sz w:val="24"/>
          <w:szCs w:val="23"/>
        </w:rPr>
      </w:pPr>
    </w:p>
    <w:p w14:paraId="1F5D4743" w14:textId="77777777" w:rsidR="0062172D" w:rsidRDefault="0062172D" w:rsidP="0062172D">
      <w:pPr>
        <w:tabs>
          <w:tab w:val="left" w:pos="7050"/>
        </w:tabs>
        <w:spacing w:after="0"/>
        <w:rPr>
          <w:rFonts w:asciiTheme="majorHAnsi" w:hAnsiTheme="majorHAnsi"/>
          <w:bCs/>
          <w:sz w:val="24"/>
          <w:szCs w:val="23"/>
        </w:rPr>
      </w:pPr>
      <w:r w:rsidRPr="009552B7">
        <w:rPr>
          <w:rFonts w:asciiTheme="majorHAnsi" w:hAnsiTheme="majorHAnsi"/>
          <w:bCs/>
          <w:i/>
          <w:iCs/>
          <w:sz w:val="24"/>
          <w:szCs w:val="23"/>
          <w:u w:val="single"/>
        </w:rPr>
        <w:t>Compliance costs.</w:t>
      </w:r>
      <w:r>
        <w:rPr>
          <w:rFonts w:asciiTheme="majorHAnsi" w:hAnsiTheme="majorHAnsi"/>
          <w:bCs/>
          <w:sz w:val="24"/>
          <w:szCs w:val="23"/>
        </w:rPr>
        <w:t xml:space="preserve">  C</w:t>
      </w:r>
      <w:r w:rsidRPr="00E4532C">
        <w:rPr>
          <w:rFonts w:asciiTheme="majorHAnsi" w:hAnsiTheme="majorHAnsi"/>
          <w:bCs/>
          <w:sz w:val="24"/>
          <w:szCs w:val="23"/>
        </w:rPr>
        <w:t xml:space="preserve">osts to the firm </w:t>
      </w:r>
      <w:r>
        <w:rPr>
          <w:rFonts w:asciiTheme="majorHAnsi" w:hAnsiTheme="majorHAnsi"/>
          <w:bCs/>
          <w:sz w:val="24"/>
          <w:szCs w:val="23"/>
        </w:rPr>
        <w:t xml:space="preserve">may be </w:t>
      </w:r>
      <w:r w:rsidRPr="00E4532C">
        <w:rPr>
          <w:rFonts w:asciiTheme="majorHAnsi" w:hAnsiTheme="majorHAnsi"/>
          <w:bCs/>
          <w:sz w:val="24"/>
          <w:szCs w:val="23"/>
        </w:rPr>
        <w:t xml:space="preserve">substantial. </w:t>
      </w:r>
    </w:p>
    <w:p w14:paraId="58838A2A" w14:textId="77777777" w:rsidR="0062172D" w:rsidRDefault="0062172D" w:rsidP="0062172D">
      <w:pPr>
        <w:tabs>
          <w:tab w:val="left" w:pos="7050"/>
        </w:tabs>
        <w:spacing w:after="0"/>
        <w:rPr>
          <w:rFonts w:asciiTheme="majorHAnsi" w:hAnsiTheme="majorHAnsi"/>
          <w:bCs/>
          <w:sz w:val="24"/>
          <w:szCs w:val="23"/>
        </w:rPr>
      </w:pPr>
    </w:p>
    <w:p w14:paraId="49584945" w14:textId="77777777" w:rsidR="0062172D" w:rsidRDefault="0062172D" w:rsidP="0062172D">
      <w:pPr>
        <w:tabs>
          <w:tab w:val="left" w:pos="7050"/>
        </w:tabs>
        <w:spacing w:after="0"/>
        <w:rPr>
          <w:rFonts w:asciiTheme="majorHAnsi" w:hAnsiTheme="majorHAnsi"/>
          <w:bCs/>
          <w:sz w:val="24"/>
          <w:szCs w:val="23"/>
        </w:rPr>
      </w:pPr>
      <w:r w:rsidRPr="009552B7">
        <w:rPr>
          <w:rFonts w:asciiTheme="majorHAnsi" w:hAnsiTheme="majorHAnsi"/>
          <w:bCs/>
          <w:i/>
          <w:iCs/>
          <w:sz w:val="24"/>
          <w:szCs w:val="23"/>
          <w:u w:val="single"/>
        </w:rPr>
        <w:t>Improved business climate.</w:t>
      </w:r>
      <w:r>
        <w:rPr>
          <w:rFonts w:asciiTheme="majorHAnsi" w:hAnsiTheme="majorHAnsi"/>
          <w:bCs/>
          <w:sz w:val="24"/>
          <w:szCs w:val="23"/>
        </w:rPr>
        <w:t xml:space="preserve"> </w:t>
      </w:r>
      <w:r w:rsidRPr="00E4532C">
        <w:rPr>
          <w:rFonts w:asciiTheme="majorHAnsi" w:hAnsiTheme="majorHAnsi"/>
          <w:bCs/>
          <w:sz w:val="24"/>
          <w:szCs w:val="23"/>
        </w:rPr>
        <w:t>Tax</w:t>
      </w:r>
      <w:r>
        <w:rPr>
          <w:rFonts w:asciiTheme="majorHAnsi" w:hAnsiTheme="majorHAnsi"/>
          <w:bCs/>
          <w:sz w:val="24"/>
          <w:szCs w:val="23"/>
        </w:rPr>
        <w:t xml:space="preserve"> </w:t>
      </w:r>
      <w:r w:rsidRPr="00E4532C">
        <w:rPr>
          <w:rFonts w:asciiTheme="majorHAnsi" w:hAnsiTheme="majorHAnsi"/>
          <w:bCs/>
          <w:sz w:val="24"/>
          <w:szCs w:val="23"/>
        </w:rPr>
        <w:t>incentive</w:t>
      </w:r>
      <w:r>
        <w:rPr>
          <w:rFonts w:asciiTheme="majorHAnsi" w:hAnsiTheme="majorHAnsi"/>
          <w:bCs/>
          <w:sz w:val="24"/>
          <w:szCs w:val="23"/>
        </w:rPr>
        <w:t xml:space="preserve">s make the business climate in the state more attractive and may lead a business to locate in one state over another. </w:t>
      </w:r>
    </w:p>
    <w:p w14:paraId="5AFFB801" w14:textId="77777777" w:rsidR="0062172D" w:rsidRDefault="0062172D" w:rsidP="0062172D">
      <w:pPr>
        <w:tabs>
          <w:tab w:val="left" w:pos="7050"/>
        </w:tabs>
        <w:spacing w:after="0"/>
        <w:rPr>
          <w:rFonts w:asciiTheme="majorHAnsi" w:hAnsiTheme="majorHAnsi"/>
          <w:bCs/>
          <w:sz w:val="24"/>
          <w:szCs w:val="23"/>
        </w:rPr>
      </w:pPr>
    </w:p>
    <w:p w14:paraId="1F42D356" w14:textId="77777777" w:rsidR="002B7465" w:rsidRDefault="0062172D" w:rsidP="0062172D">
      <w:pPr>
        <w:tabs>
          <w:tab w:val="left" w:pos="7050"/>
        </w:tabs>
        <w:spacing w:after="0"/>
        <w:rPr>
          <w:rFonts w:asciiTheme="majorHAnsi" w:hAnsiTheme="majorHAnsi"/>
          <w:bCs/>
          <w:sz w:val="24"/>
          <w:szCs w:val="23"/>
        </w:rPr>
      </w:pPr>
      <w:r w:rsidRPr="009552B7">
        <w:rPr>
          <w:rFonts w:asciiTheme="majorHAnsi" w:hAnsiTheme="majorHAnsi"/>
          <w:bCs/>
          <w:i/>
          <w:iCs/>
          <w:sz w:val="24"/>
          <w:szCs w:val="23"/>
          <w:u w:val="single"/>
        </w:rPr>
        <w:t>Synergistic or clustering effects.</w:t>
      </w:r>
      <w:r>
        <w:rPr>
          <w:rFonts w:asciiTheme="majorHAnsi" w:hAnsiTheme="majorHAnsi"/>
          <w:bCs/>
          <w:sz w:val="24"/>
          <w:szCs w:val="23"/>
        </w:rPr>
        <w:t xml:space="preserve"> T</w:t>
      </w:r>
      <w:r w:rsidRPr="00E4532C">
        <w:rPr>
          <w:rFonts w:asciiTheme="majorHAnsi" w:hAnsiTheme="majorHAnsi"/>
          <w:bCs/>
          <w:sz w:val="24"/>
          <w:szCs w:val="23"/>
        </w:rPr>
        <w:t>ax</w:t>
      </w:r>
      <w:r>
        <w:rPr>
          <w:rFonts w:asciiTheme="majorHAnsi" w:hAnsiTheme="majorHAnsi"/>
          <w:bCs/>
          <w:sz w:val="24"/>
          <w:szCs w:val="23"/>
        </w:rPr>
        <w:t xml:space="preserve"> </w:t>
      </w:r>
      <w:r w:rsidRPr="00E4532C">
        <w:rPr>
          <w:rFonts w:asciiTheme="majorHAnsi" w:hAnsiTheme="majorHAnsi"/>
          <w:bCs/>
          <w:sz w:val="24"/>
          <w:szCs w:val="23"/>
        </w:rPr>
        <w:t>incentive</w:t>
      </w:r>
      <w:r>
        <w:rPr>
          <w:rFonts w:asciiTheme="majorHAnsi" w:hAnsiTheme="majorHAnsi"/>
          <w:bCs/>
          <w:sz w:val="24"/>
          <w:szCs w:val="23"/>
        </w:rPr>
        <w:t xml:space="preserve"> </w:t>
      </w:r>
      <w:r w:rsidRPr="00E4532C">
        <w:rPr>
          <w:rFonts w:asciiTheme="majorHAnsi" w:hAnsiTheme="majorHAnsi"/>
          <w:bCs/>
          <w:sz w:val="24"/>
          <w:szCs w:val="23"/>
        </w:rPr>
        <w:t>may</w:t>
      </w:r>
      <w:r>
        <w:rPr>
          <w:rFonts w:asciiTheme="majorHAnsi" w:hAnsiTheme="majorHAnsi"/>
          <w:bCs/>
          <w:sz w:val="24"/>
          <w:szCs w:val="23"/>
        </w:rPr>
        <w:t xml:space="preserve"> </w:t>
      </w:r>
      <w:r w:rsidRPr="00E4532C">
        <w:rPr>
          <w:rFonts w:asciiTheme="majorHAnsi" w:hAnsiTheme="majorHAnsi"/>
          <w:bCs/>
          <w:sz w:val="24"/>
          <w:szCs w:val="23"/>
        </w:rPr>
        <w:t>attract</w:t>
      </w:r>
      <w:r>
        <w:rPr>
          <w:rFonts w:asciiTheme="majorHAnsi" w:hAnsiTheme="majorHAnsi"/>
          <w:bCs/>
          <w:sz w:val="24"/>
          <w:szCs w:val="23"/>
        </w:rPr>
        <w:t xml:space="preserve"> </w:t>
      </w:r>
      <w:r w:rsidRPr="00E4532C">
        <w:rPr>
          <w:rFonts w:asciiTheme="majorHAnsi" w:hAnsiTheme="majorHAnsi"/>
          <w:bCs/>
          <w:sz w:val="24"/>
          <w:szCs w:val="23"/>
        </w:rPr>
        <w:t>a</w:t>
      </w:r>
      <w:r>
        <w:rPr>
          <w:rFonts w:asciiTheme="majorHAnsi" w:hAnsiTheme="majorHAnsi"/>
          <w:bCs/>
          <w:sz w:val="24"/>
          <w:szCs w:val="23"/>
        </w:rPr>
        <w:t xml:space="preserve"> </w:t>
      </w:r>
      <w:r w:rsidRPr="00E4532C">
        <w:rPr>
          <w:rFonts w:asciiTheme="majorHAnsi" w:hAnsiTheme="majorHAnsi"/>
          <w:bCs/>
          <w:sz w:val="24"/>
          <w:szCs w:val="23"/>
        </w:rPr>
        <w:t>firm</w:t>
      </w:r>
      <w:r>
        <w:rPr>
          <w:rFonts w:asciiTheme="majorHAnsi" w:hAnsiTheme="majorHAnsi"/>
          <w:bCs/>
          <w:sz w:val="24"/>
          <w:szCs w:val="23"/>
        </w:rPr>
        <w:t xml:space="preserve"> </w:t>
      </w:r>
      <w:r w:rsidRPr="00E4532C">
        <w:rPr>
          <w:rFonts w:asciiTheme="majorHAnsi" w:hAnsiTheme="majorHAnsi"/>
          <w:bCs/>
          <w:sz w:val="24"/>
          <w:szCs w:val="23"/>
        </w:rPr>
        <w:t>in</w:t>
      </w:r>
      <w:r>
        <w:rPr>
          <w:rFonts w:asciiTheme="majorHAnsi" w:hAnsiTheme="majorHAnsi"/>
          <w:bCs/>
          <w:sz w:val="24"/>
          <w:szCs w:val="23"/>
        </w:rPr>
        <w:t xml:space="preserve"> </w:t>
      </w:r>
      <w:r w:rsidRPr="00E4532C">
        <w:rPr>
          <w:rFonts w:asciiTheme="majorHAnsi" w:hAnsiTheme="majorHAnsi"/>
          <w:bCs/>
          <w:sz w:val="24"/>
          <w:szCs w:val="23"/>
        </w:rPr>
        <w:t>an</w:t>
      </w:r>
      <w:r>
        <w:rPr>
          <w:rFonts w:asciiTheme="majorHAnsi" w:hAnsiTheme="majorHAnsi"/>
          <w:bCs/>
          <w:sz w:val="24"/>
          <w:szCs w:val="23"/>
        </w:rPr>
        <w:t xml:space="preserve"> </w:t>
      </w:r>
      <w:r w:rsidRPr="00E4532C">
        <w:rPr>
          <w:rFonts w:asciiTheme="majorHAnsi" w:hAnsiTheme="majorHAnsi"/>
          <w:bCs/>
          <w:sz w:val="24"/>
          <w:szCs w:val="23"/>
        </w:rPr>
        <w:t>industry</w:t>
      </w:r>
      <w:r>
        <w:rPr>
          <w:rFonts w:asciiTheme="majorHAnsi" w:hAnsiTheme="majorHAnsi"/>
          <w:bCs/>
          <w:sz w:val="24"/>
          <w:szCs w:val="23"/>
        </w:rPr>
        <w:t xml:space="preserve"> </w:t>
      </w:r>
      <w:r w:rsidRPr="00E4532C">
        <w:rPr>
          <w:rFonts w:asciiTheme="majorHAnsi" w:hAnsiTheme="majorHAnsi"/>
          <w:bCs/>
          <w:sz w:val="24"/>
          <w:szCs w:val="23"/>
        </w:rPr>
        <w:t>new</w:t>
      </w:r>
      <w:r>
        <w:rPr>
          <w:rFonts w:asciiTheme="majorHAnsi" w:hAnsiTheme="majorHAnsi"/>
          <w:bCs/>
          <w:sz w:val="24"/>
          <w:szCs w:val="23"/>
        </w:rPr>
        <w:t xml:space="preserve"> </w:t>
      </w:r>
      <w:r w:rsidRPr="00E4532C">
        <w:rPr>
          <w:rFonts w:asciiTheme="majorHAnsi" w:hAnsiTheme="majorHAnsi"/>
          <w:bCs/>
          <w:sz w:val="24"/>
          <w:szCs w:val="23"/>
        </w:rPr>
        <w:t>to</w:t>
      </w:r>
      <w:r>
        <w:rPr>
          <w:rFonts w:asciiTheme="majorHAnsi" w:hAnsiTheme="majorHAnsi"/>
          <w:bCs/>
          <w:sz w:val="24"/>
          <w:szCs w:val="23"/>
        </w:rPr>
        <w:t xml:space="preserve"> </w:t>
      </w:r>
      <w:r w:rsidRPr="00E4532C">
        <w:rPr>
          <w:rFonts w:asciiTheme="majorHAnsi" w:hAnsiTheme="majorHAnsi"/>
          <w:bCs/>
          <w:sz w:val="24"/>
          <w:szCs w:val="23"/>
        </w:rPr>
        <w:t>the</w:t>
      </w:r>
      <w:r>
        <w:rPr>
          <w:rFonts w:asciiTheme="majorHAnsi" w:hAnsiTheme="majorHAnsi"/>
          <w:bCs/>
          <w:sz w:val="24"/>
          <w:szCs w:val="23"/>
        </w:rPr>
        <w:t xml:space="preserve"> </w:t>
      </w:r>
      <w:r w:rsidRPr="00E4532C">
        <w:rPr>
          <w:rFonts w:asciiTheme="majorHAnsi" w:hAnsiTheme="majorHAnsi"/>
          <w:bCs/>
          <w:sz w:val="24"/>
          <w:szCs w:val="23"/>
        </w:rPr>
        <w:t>state,</w:t>
      </w:r>
      <w:r>
        <w:rPr>
          <w:rFonts w:asciiTheme="majorHAnsi" w:hAnsiTheme="majorHAnsi"/>
          <w:bCs/>
          <w:sz w:val="24"/>
          <w:szCs w:val="23"/>
        </w:rPr>
        <w:t xml:space="preserve"> </w:t>
      </w:r>
      <w:r w:rsidRPr="00E4532C">
        <w:rPr>
          <w:rFonts w:asciiTheme="majorHAnsi" w:hAnsiTheme="majorHAnsi"/>
          <w:bCs/>
          <w:sz w:val="24"/>
          <w:szCs w:val="23"/>
        </w:rPr>
        <w:t>which</w:t>
      </w:r>
      <w:r w:rsidR="002B7465">
        <w:rPr>
          <w:rFonts w:asciiTheme="majorHAnsi" w:hAnsiTheme="majorHAnsi"/>
          <w:bCs/>
          <w:sz w:val="24"/>
          <w:szCs w:val="23"/>
        </w:rPr>
        <w:t xml:space="preserve"> draws </w:t>
      </w:r>
      <w:r w:rsidRPr="00E4532C">
        <w:rPr>
          <w:rFonts w:asciiTheme="majorHAnsi" w:hAnsiTheme="majorHAnsi"/>
          <w:bCs/>
          <w:sz w:val="24"/>
          <w:szCs w:val="23"/>
        </w:rPr>
        <w:t>additional</w:t>
      </w:r>
      <w:r>
        <w:rPr>
          <w:rFonts w:asciiTheme="majorHAnsi" w:hAnsiTheme="majorHAnsi"/>
          <w:bCs/>
          <w:sz w:val="24"/>
          <w:szCs w:val="23"/>
        </w:rPr>
        <w:t xml:space="preserve"> </w:t>
      </w:r>
      <w:r w:rsidRPr="00E4532C">
        <w:rPr>
          <w:rFonts w:asciiTheme="majorHAnsi" w:hAnsiTheme="majorHAnsi"/>
          <w:bCs/>
          <w:sz w:val="24"/>
          <w:szCs w:val="23"/>
        </w:rPr>
        <w:t>firms</w:t>
      </w:r>
      <w:r>
        <w:rPr>
          <w:rFonts w:asciiTheme="majorHAnsi" w:hAnsiTheme="majorHAnsi"/>
          <w:bCs/>
          <w:sz w:val="24"/>
          <w:szCs w:val="23"/>
        </w:rPr>
        <w:t xml:space="preserve"> </w:t>
      </w:r>
      <w:r w:rsidRPr="00E4532C">
        <w:rPr>
          <w:rFonts w:asciiTheme="majorHAnsi" w:hAnsiTheme="majorHAnsi"/>
          <w:bCs/>
          <w:sz w:val="24"/>
          <w:szCs w:val="23"/>
        </w:rPr>
        <w:t>in</w:t>
      </w:r>
      <w:r>
        <w:rPr>
          <w:rFonts w:asciiTheme="majorHAnsi" w:hAnsiTheme="majorHAnsi"/>
          <w:bCs/>
          <w:sz w:val="24"/>
          <w:szCs w:val="23"/>
        </w:rPr>
        <w:t xml:space="preserve"> </w:t>
      </w:r>
      <w:r w:rsidRPr="00E4532C">
        <w:rPr>
          <w:rFonts w:asciiTheme="majorHAnsi" w:hAnsiTheme="majorHAnsi"/>
          <w:bCs/>
          <w:sz w:val="24"/>
          <w:szCs w:val="23"/>
        </w:rPr>
        <w:t>the</w:t>
      </w:r>
      <w:r>
        <w:rPr>
          <w:rFonts w:asciiTheme="majorHAnsi" w:hAnsiTheme="majorHAnsi"/>
          <w:bCs/>
          <w:sz w:val="24"/>
          <w:szCs w:val="23"/>
        </w:rPr>
        <w:t xml:space="preserve"> </w:t>
      </w:r>
      <w:r w:rsidRPr="00E4532C">
        <w:rPr>
          <w:rFonts w:asciiTheme="majorHAnsi" w:hAnsiTheme="majorHAnsi"/>
          <w:bCs/>
          <w:sz w:val="24"/>
          <w:szCs w:val="23"/>
        </w:rPr>
        <w:t>industry</w:t>
      </w:r>
      <w:r>
        <w:rPr>
          <w:rFonts w:asciiTheme="majorHAnsi" w:hAnsiTheme="majorHAnsi"/>
          <w:bCs/>
          <w:sz w:val="24"/>
          <w:szCs w:val="23"/>
        </w:rPr>
        <w:t xml:space="preserve"> into that state</w:t>
      </w:r>
      <w:r w:rsidRPr="00E4532C">
        <w:rPr>
          <w:rFonts w:asciiTheme="majorHAnsi" w:hAnsiTheme="majorHAnsi"/>
          <w:bCs/>
          <w:sz w:val="24"/>
          <w:szCs w:val="23"/>
        </w:rPr>
        <w:t>.</w:t>
      </w:r>
      <w:r>
        <w:rPr>
          <w:rFonts w:asciiTheme="majorHAnsi" w:hAnsiTheme="majorHAnsi"/>
          <w:bCs/>
          <w:sz w:val="24"/>
          <w:szCs w:val="23"/>
        </w:rPr>
        <w:t xml:space="preserve"> </w:t>
      </w:r>
    </w:p>
    <w:p w14:paraId="61B23CF8" w14:textId="77777777" w:rsidR="002B7465" w:rsidRDefault="002B7465" w:rsidP="0062172D">
      <w:pPr>
        <w:tabs>
          <w:tab w:val="left" w:pos="7050"/>
        </w:tabs>
        <w:spacing w:after="0"/>
        <w:rPr>
          <w:rFonts w:asciiTheme="majorHAnsi" w:hAnsiTheme="majorHAnsi"/>
          <w:bCs/>
          <w:sz w:val="24"/>
          <w:szCs w:val="23"/>
        </w:rPr>
      </w:pPr>
    </w:p>
    <w:p w14:paraId="0DD9CED0" w14:textId="77777777" w:rsidR="0062172D" w:rsidRDefault="00B267BF" w:rsidP="0062172D">
      <w:pPr>
        <w:tabs>
          <w:tab w:val="left" w:pos="7050"/>
        </w:tabs>
        <w:spacing w:after="0"/>
        <w:rPr>
          <w:rFonts w:asciiTheme="majorHAnsi" w:hAnsiTheme="majorHAnsi"/>
          <w:bCs/>
          <w:sz w:val="24"/>
          <w:szCs w:val="23"/>
        </w:rPr>
      </w:pPr>
      <w:r>
        <w:rPr>
          <w:rFonts w:asciiTheme="majorHAnsi" w:hAnsiTheme="majorHAnsi"/>
          <w:bCs/>
          <w:sz w:val="24"/>
          <w:szCs w:val="23"/>
        </w:rPr>
        <w:t>Considering the limited size and scope of this credit</w:t>
      </w:r>
      <w:r w:rsidR="0062172D">
        <w:rPr>
          <w:rFonts w:asciiTheme="majorHAnsi" w:hAnsiTheme="majorHAnsi"/>
          <w:bCs/>
          <w:sz w:val="24"/>
          <w:szCs w:val="23"/>
        </w:rPr>
        <w:t xml:space="preserve">, we don’t think that these other costs and benefits would be significant. </w:t>
      </w:r>
    </w:p>
    <w:p w14:paraId="77DFB76F" w14:textId="77777777" w:rsidR="0062172D" w:rsidRDefault="0062172D" w:rsidP="0062172D">
      <w:pPr>
        <w:tabs>
          <w:tab w:val="left" w:pos="7050"/>
        </w:tabs>
        <w:spacing w:after="0"/>
        <w:rPr>
          <w:rFonts w:asciiTheme="majorHAnsi" w:hAnsiTheme="majorHAnsi"/>
          <w:bCs/>
          <w:sz w:val="24"/>
          <w:szCs w:val="23"/>
        </w:rPr>
      </w:pPr>
    </w:p>
    <w:p w14:paraId="5C8D0E2A" w14:textId="77777777" w:rsidR="0062172D" w:rsidRDefault="0062172D" w:rsidP="0062172D">
      <w:pPr>
        <w:tabs>
          <w:tab w:val="left" w:pos="7050"/>
        </w:tabs>
        <w:spacing w:after="0" w:line="240" w:lineRule="auto"/>
        <w:rPr>
          <w:rFonts w:asciiTheme="majorHAnsi" w:hAnsiTheme="majorHAnsi"/>
          <w:b/>
          <w:sz w:val="23"/>
          <w:szCs w:val="23"/>
        </w:rPr>
      </w:pPr>
    </w:p>
    <w:p w14:paraId="2A655061" w14:textId="77777777" w:rsidR="0062172D" w:rsidRPr="004C3153" w:rsidRDefault="0062172D" w:rsidP="0062172D">
      <w:pPr>
        <w:spacing w:after="0"/>
        <w:rPr>
          <w:rFonts w:asciiTheme="majorHAnsi" w:eastAsiaTheme="majorEastAsia" w:hAnsiTheme="majorHAnsi" w:cstheme="majorBidi"/>
          <w:b/>
          <w:bCs/>
          <w:color w:val="E36C0A" w:themeColor="accent6" w:themeShade="BF"/>
          <w:sz w:val="28"/>
          <w:szCs w:val="28"/>
        </w:rPr>
      </w:pPr>
      <w:r w:rsidRPr="004C3153">
        <w:rPr>
          <w:rFonts w:asciiTheme="majorHAnsi" w:eastAsiaTheme="majorEastAsia" w:hAnsiTheme="majorHAnsi" w:cstheme="majorBidi"/>
          <w:b/>
          <w:bCs/>
          <w:color w:val="E36C0A" w:themeColor="accent6" w:themeShade="BF"/>
          <w:sz w:val="28"/>
          <w:szCs w:val="28"/>
        </w:rPr>
        <w:t>Similar Tax Expenditures Offered by Other States</w:t>
      </w:r>
    </w:p>
    <w:p w14:paraId="0BC95B07" w14:textId="77777777" w:rsidR="0062172D" w:rsidRPr="009D4E5F" w:rsidRDefault="0062172D" w:rsidP="00815DC8">
      <w:pPr>
        <w:tabs>
          <w:tab w:val="left" w:pos="7050"/>
        </w:tabs>
        <w:spacing w:after="0"/>
        <w:rPr>
          <w:rFonts w:asciiTheme="majorHAnsi" w:hAnsiTheme="majorHAnsi"/>
          <w:b/>
          <w:sz w:val="23"/>
        </w:rPr>
      </w:pPr>
      <w:r w:rsidRPr="00382B28">
        <w:rPr>
          <w:rFonts w:asciiTheme="majorHAnsi" w:hAnsiTheme="majorHAnsi"/>
          <w:sz w:val="24"/>
          <w:szCs w:val="24"/>
        </w:rPr>
        <w:lastRenderedPageBreak/>
        <w:t xml:space="preserve">Neighboring states do not provide a credit for user fees paid to the FDA with respect to medical devices.  </w:t>
      </w:r>
    </w:p>
    <w:p w14:paraId="46B5E173" w14:textId="77777777" w:rsidR="0062172D" w:rsidRDefault="0062172D" w:rsidP="0062172D">
      <w:pPr>
        <w:tabs>
          <w:tab w:val="left" w:pos="7050"/>
        </w:tabs>
        <w:spacing w:after="0" w:line="240" w:lineRule="auto"/>
        <w:rPr>
          <w:rFonts w:asciiTheme="majorHAnsi" w:hAnsiTheme="majorHAnsi"/>
          <w:b/>
          <w:sz w:val="23"/>
          <w:szCs w:val="23"/>
        </w:rPr>
      </w:pPr>
    </w:p>
    <w:p w14:paraId="4A96E4AC" w14:textId="77777777" w:rsidR="00EF0FCC" w:rsidRPr="00A07439" w:rsidRDefault="00EF0FCC" w:rsidP="00EF0FCC">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19CF89E8" w14:textId="77777777" w:rsidR="0062172D" w:rsidRPr="009D4E5F" w:rsidRDefault="0035078D" w:rsidP="0062172D">
      <w:pPr>
        <w:rPr>
          <w:rFonts w:asciiTheme="majorHAnsi" w:hAnsiTheme="majorHAnsi"/>
          <w:sz w:val="24"/>
        </w:rPr>
      </w:pPr>
      <w:r>
        <w:rPr>
          <w:rFonts w:asciiTheme="majorHAnsi" w:eastAsiaTheme="majorEastAsia" w:hAnsiTheme="majorHAnsi" w:cstheme="majorBidi"/>
          <w:bCs/>
          <w:color w:val="000000" w:themeColor="text1"/>
          <w:sz w:val="24"/>
          <w:szCs w:val="24"/>
        </w:rPr>
        <w:t>[FOR TERC TO COMPLETE]</w:t>
      </w:r>
      <w:r w:rsidR="0062172D" w:rsidRPr="009D4E5F">
        <w:rPr>
          <w:rFonts w:asciiTheme="majorHAnsi" w:hAnsiTheme="majorHAnsi"/>
          <w:sz w:val="24"/>
        </w:rPr>
        <w:br w:type="page"/>
      </w:r>
    </w:p>
    <w:sdt>
      <w:sdtPr>
        <w:rPr>
          <w:rFonts w:asciiTheme="minorHAnsi" w:eastAsiaTheme="minorHAnsi" w:hAnsiTheme="minorHAnsi" w:cstheme="minorBidi"/>
          <w:color w:val="auto"/>
          <w:sz w:val="22"/>
          <w:szCs w:val="22"/>
        </w:rPr>
        <w:id w:val="-1515295587"/>
        <w:docPartObj>
          <w:docPartGallery w:val="Bibliographies"/>
          <w:docPartUnique/>
        </w:docPartObj>
      </w:sdtPr>
      <w:sdtEndPr/>
      <w:sdtContent>
        <w:p w14:paraId="49EA4094" w14:textId="77777777" w:rsidR="0062172D" w:rsidRDefault="0062172D" w:rsidP="0062172D">
          <w:pPr>
            <w:pStyle w:val="Heading1"/>
          </w:pPr>
          <w:r w:rsidRPr="00C25BB2">
            <w:t>References</w:t>
          </w:r>
        </w:p>
        <w:p w14:paraId="3ABC498E" w14:textId="77777777" w:rsidR="0062172D" w:rsidRPr="00C546F4" w:rsidRDefault="0062172D" w:rsidP="0062172D">
          <w:pPr>
            <w:pStyle w:val="Bibliography"/>
            <w:ind w:left="720" w:hanging="720"/>
            <w:rPr>
              <w:rFonts w:asciiTheme="majorHAnsi" w:hAnsiTheme="majorHAnsi"/>
              <w:noProof/>
              <w:sz w:val="24"/>
              <w:szCs w:val="24"/>
            </w:rPr>
          </w:pPr>
          <w:r w:rsidRPr="00C546F4">
            <w:rPr>
              <w:rFonts w:asciiTheme="majorHAnsi" w:hAnsiTheme="majorHAnsi"/>
              <w:noProof/>
            </w:rPr>
            <w:t xml:space="preserve">Felix, </w:t>
          </w:r>
          <w:r>
            <w:rPr>
              <w:rFonts w:asciiTheme="majorHAnsi" w:hAnsiTheme="majorHAnsi"/>
              <w:noProof/>
            </w:rPr>
            <w:t>R.</w:t>
          </w:r>
          <w:r w:rsidRPr="00C546F4">
            <w:rPr>
              <w:rFonts w:asciiTheme="majorHAnsi" w:hAnsiTheme="majorHAnsi"/>
              <w:noProof/>
            </w:rPr>
            <w:t xml:space="preserve"> </w:t>
          </w:r>
          <w:r>
            <w:rPr>
              <w:rFonts w:asciiTheme="majorHAnsi" w:hAnsiTheme="majorHAnsi"/>
              <w:noProof/>
            </w:rPr>
            <w:t xml:space="preserve">A. </w:t>
          </w:r>
          <w:r w:rsidRPr="00C546F4">
            <w:rPr>
              <w:rFonts w:asciiTheme="majorHAnsi" w:hAnsiTheme="majorHAnsi"/>
              <w:noProof/>
            </w:rPr>
            <w:t>(2009</w:t>
          </w:r>
          <w:r>
            <w:rPr>
              <w:rFonts w:asciiTheme="majorHAnsi" w:hAnsiTheme="majorHAnsi"/>
              <w:noProof/>
            </w:rPr>
            <w:t>, Second Quarter</w:t>
          </w:r>
          <w:r w:rsidRPr="00C546F4">
            <w:rPr>
              <w:rFonts w:asciiTheme="majorHAnsi" w:hAnsiTheme="majorHAnsi"/>
              <w:noProof/>
            </w:rPr>
            <w:t xml:space="preserve">). </w:t>
          </w:r>
          <w:r w:rsidRPr="00C546F4">
            <w:rPr>
              <w:rFonts w:asciiTheme="majorHAnsi" w:hAnsiTheme="majorHAnsi"/>
              <w:i/>
              <w:iCs/>
              <w:noProof/>
            </w:rPr>
            <w:t>Do State Corporate Income Taxes Reduce Wages?</w:t>
          </w:r>
          <w:r>
            <w:rPr>
              <w:rFonts w:asciiTheme="majorHAnsi" w:hAnsiTheme="majorHAnsi"/>
              <w:i/>
              <w:iCs/>
              <w:noProof/>
            </w:rPr>
            <w:t>,</w:t>
          </w:r>
          <w:r w:rsidRPr="00C546F4">
            <w:rPr>
              <w:rFonts w:asciiTheme="majorHAnsi" w:hAnsiTheme="majorHAnsi"/>
              <w:noProof/>
            </w:rPr>
            <w:t xml:space="preserve"> Economic Review, FEDERAL RESERVE BANK OF KANSAS CITY.</w:t>
          </w:r>
        </w:p>
        <w:sdt>
          <w:sdtPr>
            <w:rPr>
              <w:rFonts w:asciiTheme="majorHAnsi" w:hAnsiTheme="majorHAnsi"/>
            </w:rPr>
            <w:id w:val="-573587230"/>
            <w:bibliography/>
          </w:sdtPr>
          <w:sdtEndPr>
            <w:rPr>
              <w:rFonts w:asciiTheme="minorHAnsi" w:hAnsiTheme="minorHAnsi"/>
            </w:rPr>
          </w:sdtEndPr>
          <w:sdtContent>
            <w:p w14:paraId="645E939E" w14:textId="77777777" w:rsidR="0062172D" w:rsidRPr="008C5582" w:rsidRDefault="0062172D" w:rsidP="0062172D">
              <w:pPr>
                <w:pStyle w:val="Bibliography"/>
                <w:ind w:left="720" w:hanging="720"/>
                <w:rPr>
                  <w:rFonts w:asciiTheme="majorHAnsi" w:hAnsiTheme="majorHAnsi"/>
                  <w:noProof/>
                  <w:sz w:val="24"/>
                  <w:szCs w:val="24"/>
                </w:rPr>
              </w:pPr>
              <w:r w:rsidRPr="008C5582">
                <w:rPr>
                  <w:rFonts w:asciiTheme="majorHAnsi" w:hAnsiTheme="majorHAnsi"/>
                </w:rPr>
                <w:fldChar w:fldCharType="begin"/>
              </w:r>
              <w:r w:rsidRPr="008C5582">
                <w:rPr>
                  <w:rFonts w:asciiTheme="majorHAnsi" w:hAnsiTheme="majorHAnsi"/>
                </w:rPr>
                <w:instrText xml:space="preserve"> BIBLIOGRAPHY </w:instrText>
              </w:r>
              <w:r w:rsidRPr="008C5582">
                <w:rPr>
                  <w:rFonts w:asciiTheme="majorHAnsi" w:hAnsiTheme="majorHAnsi"/>
                </w:rPr>
                <w:fldChar w:fldCharType="separate"/>
              </w:r>
              <w:r w:rsidRPr="008C5582">
                <w:rPr>
                  <w:rFonts w:asciiTheme="majorHAnsi" w:hAnsiTheme="majorHAnsi"/>
                  <w:noProof/>
                </w:rPr>
                <w:t xml:space="preserve">Keith R. Ihlanfeldt, David L. Sjoquist. (2001, August). Conducting an Analysis of Georgia’s Economic Development Tax Incentive Program. </w:t>
              </w:r>
              <w:r w:rsidRPr="008C5582">
                <w:rPr>
                  <w:rFonts w:asciiTheme="majorHAnsi" w:hAnsiTheme="majorHAnsi"/>
                  <w:i/>
                  <w:iCs/>
                  <w:noProof/>
                </w:rPr>
                <w:t>ECONOMIC DEVELOPMENT QUARTERLY, 15</w:t>
              </w:r>
              <w:r w:rsidRPr="008C5582">
                <w:rPr>
                  <w:rFonts w:asciiTheme="majorHAnsi" w:hAnsiTheme="majorHAnsi"/>
                  <w:noProof/>
                </w:rPr>
                <w:t>(3), 217-228.</w:t>
              </w:r>
            </w:p>
            <w:p w14:paraId="1B51F5BC" w14:textId="77777777" w:rsidR="0062172D" w:rsidRDefault="0062172D" w:rsidP="0062172D">
              <w:pPr>
                <w:pStyle w:val="Bibliography"/>
                <w:ind w:left="720" w:hanging="720"/>
                <w:rPr>
                  <w:rFonts w:asciiTheme="majorHAnsi" w:hAnsiTheme="majorHAnsi"/>
                  <w:noProof/>
                </w:rPr>
              </w:pPr>
              <w:r w:rsidRPr="008C5582">
                <w:rPr>
                  <w:rFonts w:asciiTheme="majorHAnsi" w:hAnsiTheme="majorHAnsi"/>
                  <w:i/>
                  <w:iCs/>
                  <w:noProof/>
                </w:rPr>
                <w:t>MODELS: TAX-PI</w:t>
              </w:r>
              <w:r w:rsidRPr="008C5582">
                <w:rPr>
                  <w:rFonts w:asciiTheme="majorHAnsi" w:hAnsiTheme="majorHAnsi"/>
                  <w:noProof/>
                </w:rPr>
                <w:t>. (n.d.). Retrieved from Regional Economic Models, Inc.: https://www.remi.com/model/tax-pi/</w:t>
              </w:r>
            </w:p>
            <w:p w14:paraId="324CDEE7" w14:textId="77777777" w:rsidR="006816A3" w:rsidRDefault="006816A3" w:rsidP="006816A3"/>
            <w:p w14:paraId="4A1000D6" w14:textId="77777777" w:rsidR="006816A3" w:rsidRPr="00F316CF" w:rsidRDefault="006816A3" w:rsidP="00D6250D"/>
            <w:p w14:paraId="62FCDF11" w14:textId="77777777" w:rsidR="0062172D" w:rsidRDefault="0062172D" w:rsidP="0062172D">
              <w:r w:rsidRPr="008C5582">
                <w:rPr>
                  <w:rFonts w:asciiTheme="majorHAnsi" w:hAnsiTheme="majorHAnsi"/>
                  <w:b/>
                  <w:bCs/>
                  <w:noProof/>
                </w:rPr>
                <w:fldChar w:fldCharType="end"/>
              </w:r>
            </w:p>
          </w:sdtContent>
        </w:sdt>
      </w:sdtContent>
    </w:sdt>
    <w:p w14:paraId="1A067A67" w14:textId="77777777" w:rsidR="0062172D" w:rsidRPr="00BB467B" w:rsidRDefault="0062172D" w:rsidP="0062172D">
      <w:pPr>
        <w:tabs>
          <w:tab w:val="left" w:pos="7050"/>
        </w:tabs>
        <w:spacing w:after="0"/>
        <w:rPr>
          <w:rFonts w:asciiTheme="majorHAnsi" w:hAnsiTheme="majorHAnsi"/>
          <w:sz w:val="24"/>
          <w:szCs w:val="24"/>
        </w:rPr>
      </w:pPr>
    </w:p>
    <w:p w14:paraId="05927220" w14:textId="77777777" w:rsidR="0062172D" w:rsidRPr="00881147" w:rsidRDefault="0062172D" w:rsidP="0062172D">
      <w:pPr>
        <w:tabs>
          <w:tab w:val="left" w:pos="7050"/>
        </w:tabs>
        <w:rPr>
          <w:rFonts w:asciiTheme="majorHAnsi" w:hAnsiTheme="majorHAnsi"/>
          <w:b/>
          <w:sz w:val="24"/>
          <w:szCs w:val="24"/>
        </w:rPr>
      </w:pPr>
    </w:p>
    <w:p w14:paraId="5E30EBA6" w14:textId="77777777" w:rsidR="005F4E8F" w:rsidRPr="009D4E5F" w:rsidRDefault="005F4E8F" w:rsidP="009D4E5F"/>
    <w:sectPr w:rsidR="005F4E8F" w:rsidRPr="009D4E5F" w:rsidSect="00B267BF">
      <w:headerReference w:type="even" r:id="rId14"/>
      <w:headerReference w:type="default" r:id="rId15"/>
      <w:footerReference w:type="default" r:id="rId16"/>
      <w:head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34459" w14:textId="77777777" w:rsidR="008E036E" w:rsidRDefault="008E036E" w:rsidP="0062172D">
      <w:pPr>
        <w:spacing w:after="0" w:line="240" w:lineRule="auto"/>
      </w:pPr>
      <w:r>
        <w:separator/>
      </w:r>
    </w:p>
  </w:endnote>
  <w:endnote w:type="continuationSeparator" w:id="0">
    <w:p w14:paraId="0AE878BF" w14:textId="77777777" w:rsidR="008E036E" w:rsidRDefault="008E036E" w:rsidP="0062172D">
      <w:pPr>
        <w:spacing w:after="0" w:line="240" w:lineRule="auto"/>
      </w:pPr>
      <w:r>
        <w:continuationSeparator/>
      </w:r>
    </w:p>
  </w:endnote>
  <w:endnote w:type="continuationNotice" w:id="1">
    <w:p w14:paraId="53F0F82A" w14:textId="77777777" w:rsidR="008E036E" w:rsidRDefault="008E03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9B5EF" w14:textId="77777777" w:rsidR="001849EA" w:rsidRDefault="00184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002447"/>
      <w:docPartObj>
        <w:docPartGallery w:val="Page Numbers (Bottom of Page)"/>
        <w:docPartUnique/>
      </w:docPartObj>
    </w:sdtPr>
    <w:sdtEndPr>
      <w:rPr>
        <w:noProof/>
      </w:rPr>
    </w:sdtEndPr>
    <w:sdtContent>
      <w:p w14:paraId="01B52419" w14:textId="77777777" w:rsidR="00F05C58" w:rsidRDefault="00F05C58">
        <w:pPr>
          <w:pStyle w:val="Footer"/>
          <w:jc w:val="center"/>
        </w:pPr>
        <w:r>
          <w:fldChar w:fldCharType="begin"/>
        </w:r>
        <w:r>
          <w:instrText xml:space="preserve"> PAGE   \* MERGEFORMAT </w:instrText>
        </w:r>
        <w:r>
          <w:fldChar w:fldCharType="separate"/>
        </w:r>
        <w:r w:rsidR="00F316CF">
          <w:rPr>
            <w:noProof/>
          </w:rPr>
          <w:t>1</w:t>
        </w:r>
        <w:r>
          <w:rPr>
            <w:noProof/>
          </w:rPr>
          <w:fldChar w:fldCharType="end"/>
        </w:r>
      </w:p>
    </w:sdtContent>
  </w:sdt>
  <w:p w14:paraId="1D36806B" w14:textId="77777777" w:rsidR="00F05C58" w:rsidRDefault="00F05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6B473" w14:textId="77777777" w:rsidR="001849EA" w:rsidRDefault="001849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793664"/>
      <w:docPartObj>
        <w:docPartGallery w:val="Page Numbers (Bottom of Page)"/>
        <w:docPartUnique/>
      </w:docPartObj>
    </w:sdtPr>
    <w:sdtEndPr>
      <w:rPr>
        <w:rFonts w:asciiTheme="majorHAnsi" w:hAnsiTheme="majorHAnsi"/>
        <w:noProof/>
        <w:sz w:val="24"/>
      </w:rPr>
    </w:sdtEndPr>
    <w:sdtContent>
      <w:p w14:paraId="641EF21E" w14:textId="77777777" w:rsidR="00F05C58" w:rsidRPr="00B204AF" w:rsidRDefault="00F05C58">
        <w:pPr>
          <w:pStyle w:val="Footer"/>
          <w:jc w:val="center"/>
          <w:rPr>
            <w:rFonts w:asciiTheme="majorHAnsi" w:hAnsiTheme="majorHAnsi"/>
            <w:sz w:val="24"/>
          </w:rPr>
        </w:pPr>
        <w:r w:rsidRPr="00B204AF">
          <w:rPr>
            <w:rFonts w:asciiTheme="majorHAnsi" w:hAnsiTheme="majorHAnsi"/>
            <w:sz w:val="24"/>
          </w:rPr>
          <w:fldChar w:fldCharType="begin"/>
        </w:r>
        <w:r w:rsidRPr="00B204AF">
          <w:rPr>
            <w:rFonts w:asciiTheme="majorHAnsi" w:hAnsiTheme="majorHAnsi"/>
            <w:sz w:val="24"/>
          </w:rPr>
          <w:instrText xml:space="preserve"> PAGE   \* MERGEFORMAT </w:instrText>
        </w:r>
        <w:r w:rsidRPr="00B204AF">
          <w:rPr>
            <w:rFonts w:asciiTheme="majorHAnsi" w:hAnsiTheme="majorHAnsi"/>
            <w:sz w:val="24"/>
          </w:rPr>
          <w:fldChar w:fldCharType="separate"/>
        </w:r>
        <w:r w:rsidR="00F316CF">
          <w:rPr>
            <w:rFonts w:asciiTheme="majorHAnsi" w:hAnsiTheme="majorHAnsi"/>
            <w:noProof/>
            <w:sz w:val="24"/>
          </w:rPr>
          <w:t>3</w:t>
        </w:r>
        <w:r w:rsidRPr="00B204AF">
          <w:rPr>
            <w:rFonts w:asciiTheme="majorHAnsi" w:hAnsiTheme="majorHAnsi"/>
            <w:noProof/>
            <w:sz w:val="24"/>
          </w:rPr>
          <w:fldChar w:fldCharType="end"/>
        </w:r>
      </w:p>
    </w:sdtContent>
  </w:sdt>
  <w:p w14:paraId="123B5C11" w14:textId="77777777" w:rsidR="00F05C58" w:rsidRDefault="00F05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EC001" w14:textId="77777777" w:rsidR="008E036E" w:rsidRDefault="008E036E" w:rsidP="0062172D">
      <w:pPr>
        <w:spacing w:after="0" w:line="240" w:lineRule="auto"/>
      </w:pPr>
      <w:r>
        <w:separator/>
      </w:r>
    </w:p>
  </w:footnote>
  <w:footnote w:type="continuationSeparator" w:id="0">
    <w:p w14:paraId="23197CA3" w14:textId="77777777" w:rsidR="008E036E" w:rsidRDefault="008E036E" w:rsidP="0062172D">
      <w:pPr>
        <w:spacing w:after="0" w:line="240" w:lineRule="auto"/>
      </w:pPr>
      <w:r>
        <w:continuationSeparator/>
      </w:r>
    </w:p>
  </w:footnote>
  <w:footnote w:type="continuationNotice" w:id="1">
    <w:p w14:paraId="618FEA54" w14:textId="77777777" w:rsidR="008E036E" w:rsidRDefault="008E036E">
      <w:pPr>
        <w:spacing w:after="0" w:line="240" w:lineRule="auto"/>
      </w:pPr>
    </w:p>
  </w:footnote>
  <w:footnote w:id="2">
    <w:p w14:paraId="360215D4" w14:textId="77777777" w:rsidR="00F05C58" w:rsidRDefault="00F05C58" w:rsidP="0062172D">
      <w:pPr>
        <w:pStyle w:val="FootnoteText"/>
        <w:jc w:val="left"/>
      </w:pPr>
      <w:r>
        <w:rPr>
          <w:rStyle w:val="FootnoteReference"/>
        </w:rPr>
        <w:footnoteRef/>
      </w:r>
      <w:r>
        <w:t xml:space="preserve"> Slide 4 of the following link provides a good illustration of “Multiplier Effect”: </w:t>
      </w:r>
      <w:hyperlink r:id="rId1" w:history="1">
        <w:r w:rsidRPr="009C6ABB">
          <w:rPr>
            <w:rStyle w:val="Hyperlink"/>
          </w:rPr>
          <w:t>https://www.ilw.com/seminars/JohnNeillCitation.pdf</w:t>
        </w:r>
      </w:hyperlink>
    </w:p>
  </w:footnote>
  <w:footnote w:id="3">
    <w:p w14:paraId="090C30DF" w14:textId="77777777" w:rsidR="00EB5027" w:rsidRDefault="00EB5027">
      <w:pPr>
        <w:pStyle w:val="FootnoteText"/>
      </w:pPr>
      <w:r>
        <w:rPr>
          <w:rStyle w:val="FootnoteReference"/>
        </w:rPr>
        <w:footnoteRef/>
      </w:r>
      <w:r>
        <w:t xml:space="preserve"> Including both tax and non-tax revenues.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40DFC" w14:textId="593086AC" w:rsidR="001849EA" w:rsidRDefault="001849EA">
    <w:pPr>
      <w:pStyle w:val="Header"/>
    </w:pPr>
    <w:r>
      <w:rPr>
        <w:noProof/>
      </w:rPr>
      <w:pict w14:anchorId="591A1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9278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27030" w14:textId="231F9A2C" w:rsidR="00F05C58" w:rsidRDefault="001849EA">
    <w:pPr>
      <w:pStyle w:val="Header"/>
    </w:pPr>
    <w:r>
      <w:rPr>
        <w:noProof/>
      </w:rPr>
      <w:pict w14:anchorId="746A0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9278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2C9FD" w14:textId="075BDF96" w:rsidR="001849EA" w:rsidRDefault="001849EA">
    <w:pPr>
      <w:pStyle w:val="Header"/>
    </w:pPr>
    <w:r>
      <w:rPr>
        <w:noProof/>
      </w:rPr>
      <w:pict w14:anchorId="461DF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9278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D691" w14:textId="1A479A8A" w:rsidR="001849EA" w:rsidRDefault="001849EA">
    <w:pPr>
      <w:pStyle w:val="Header"/>
    </w:pPr>
    <w:r>
      <w:rPr>
        <w:noProof/>
      </w:rPr>
      <w:pict w14:anchorId="2F603E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92785" o:spid="_x0000_s2053"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73310" w14:textId="06C434A6" w:rsidR="001849EA" w:rsidRDefault="001849EA">
    <w:pPr>
      <w:pStyle w:val="Header"/>
    </w:pPr>
    <w:r>
      <w:rPr>
        <w:noProof/>
      </w:rPr>
      <w:pict w14:anchorId="1D70A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92786" o:spid="_x0000_s2054"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EF5C7" w14:textId="11F83D5A" w:rsidR="001849EA" w:rsidRDefault="001849EA">
    <w:pPr>
      <w:pStyle w:val="Header"/>
    </w:pPr>
    <w:r>
      <w:rPr>
        <w:noProof/>
      </w:rPr>
      <w:pict w14:anchorId="2D14CC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92784" o:spid="_x0000_s2052"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A6117"/>
    <w:multiLevelType w:val="hybridMultilevel"/>
    <w:tmpl w:val="FF82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72D"/>
    <w:rsid w:val="00003921"/>
    <w:rsid w:val="00003D8B"/>
    <w:rsid w:val="0000728B"/>
    <w:rsid w:val="00010FE0"/>
    <w:rsid w:val="000128C2"/>
    <w:rsid w:val="0002088F"/>
    <w:rsid w:val="00037B28"/>
    <w:rsid w:val="00046C6A"/>
    <w:rsid w:val="00051B73"/>
    <w:rsid w:val="00051FAB"/>
    <w:rsid w:val="00053B7E"/>
    <w:rsid w:val="000602DF"/>
    <w:rsid w:val="00066F7A"/>
    <w:rsid w:val="000A246F"/>
    <w:rsid w:val="000A33DA"/>
    <w:rsid w:val="000A351F"/>
    <w:rsid w:val="000A4F52"/>
    <w:rsid w:val="000B4D73"/>
    <w:rsid w:val="000C56D9"/>
    <w:rsid w:val="000C58F4"/>
    <w:rsid w:val="000D1675"/>
    <w:rsid w:val="000D3A56"/>
    <w:rsid w:val="000D3ABD"/>
    <w:rsid w:val="000E63A9"/>
    <w:rsid w:val="000F3809"/>
    <w:rsid w:val="00100B84"/>
    <w:rsid w:val="00104253"/>
    <w:rsid w:val="00107835"/>
    <w:rsid w:val="00110E98"/>
    <w:rsid w:val="001125C9"/>
    <w:rsid w:val="00115AEC"/>
    <w:rsid w:val="0012207F"/>
    <w:rsid w:val="00122D60"/>
    <w:rsid w:val="00130122"/>
    <w:rsid w:val="001371BB"/>
    <w:rsid w:val="00141566"/>
    <w:rsid w:val="00145090"/>
    <w:rsid w:val="00154A78"/>
    <w:rsid w:val="0016043B"/>
    <w:rsid w:val="0016241F"/>
    <w:rsid w:val="00172E91"/>
    <w:rsid w:val="00180655"/>
    <w:rsid w:val="00182A65"/>
    <w:rsid w:val="00183ABF"/>
    <w:rsid w:val="00183F06"/>
    <w:rsid w:val="001849EA"/>
    <w:rsid w:val="001949E0"/>
    <w:rsid w:val="00194FEC"/>
    <w:rsid w:val="001A4EFC"/>
    <w:rsid w:val="001A4FF7"/>
    <w:rsid w:val="001A5185"/>
    <w:rsid w:val="001B1853"/>
    <w:rsid w:val="001B77F3"/>
    <w:rsid w:val="001C54F6"/>
    <w:rsid w:val="001C6225"/>
    <w:rsid w:val="001D0B05"/>
    <w:rsid w:val="001E33EE"/>
    <w:rsid w:val="001E4BD2"/>
    <w:rsid w:val="001F5A8F"/>
    <w:rsid w:val="002116BE"/>
    <w:rsid w:val="00213F69"/>
    <w:rsid w:val="00223E4F"/>
    <w:rsid w:val="0023045E"/>
    <w:rsid w:val="002308EA"/>
    <w:rsid w:val="002323C5"/>
    <w:rsid w:val="00232533"/>
    <w:rsid w:val="002338BE"/>
    <w:rsid w:val="00235025"/>
    <w:rsid w:val="00236C0C"/>
    <w:rsid w:val="00245D07"/>
    <w:rsid w:val="0024779B"/>
    <w:rsid w:val="00255426"/>
    <w:rsid w:val="00255B1F"/>
    <w:rsid w:val="002630F5"/>
    <w:rsid w:val="002660BB"/>
    <w:rsid w:val="002720BF"/>
    <w:rsid w:val="002768F2"/>
    <w:rsid w:val="0028262D"/>
    <w:rsid w:val="00282EBF"/>
    <w:rsid w:val="0028699E"/>
    <w:rsid w:val="00291074"/>
    <w:rsid w:val="002948B5"/>
    <w:rsid w:val="002970B4"/>
    <w:rsid w:val="002A0346"/>
    <w:rsid w:val="002A40B3"/>
    <w:rsid w:val="002A54D6"/>
    <w:rsid w:val="002A6AB5"/>
    <w:rsid w:val="002A71E8"/>
    <w:rsid w:val="002B32CC"/>
    <w:rsid w:val="002B5CC8"/>
    <w:rsid w:val="002B7465"/>
    <w:rsid w:val="002C3DE4"/>
    <w:rsid w:val="002C6426"/>
    <w:rsid w:val="002D43A1"/>
    <w:rsid w:val="002D4C62"/>
    <w:rsid w:val="002D74AE"/>
    <w:rsid w:val="002E23CA"/>
    <w:rsid w:val="002F10DB"/>
    <w:rsid w:val="002F5704"/>
    <w:rsid w:val="00303630"/>
    <w:rsid w:val="003039C1"/>
    <w:rsid w:val="00307189"/>
    <w:rsid w:val="0031149D"/>
    <w:rsid w:val="00315089"/>
    <w:rsid w:val="003229C4"/>
    <w:rsid w:val="0032350C"/>
    <w:rsid w:val="00323A01"/>
    <w:rsid w:val="0032425F"/>
    <w:rsid w:val="003374F6"/>
    <w:rsid w:val="00342E43"/>
    <w:rsid w:val="00344841"/>
    <w:rsid w:val="0035078D"/>
    <w:rsid w:val="00353E2B"/>
    <w:rsid w:val="00355122"/>
    <w:rsid w:val="00355A51"/>
    <w:rsid w:val="00366FFC"/>
    <w:rsid w:val="0037238A"/>
    <w:rsid w:val="003727D6"/>
    <w:rsid w:val="00380D5D"/>
    <w:rsid w:val="003859E2"/>
    <w:rsid w:val="00386F43"/>
    <w:rsid w:val="00394829"/>
    <w:rsid w:val="00395804"/>
    <w:rsid w:val="003A0D4B"/>
    <w:rsid w:val="003B3706"/>
    <w:rsid w:val="003B4D97"/>
    <w:rsid w:val="003D6C0F"/>
    <w:rsid w:val="003E1B9C"/>
    <w:rsid w:val="003E71AD"/>
    <w:rsid w:val="003E7CF9"/>
    <w:rsid w:val="003F26B0"/>
    <w:rsid w:val="0040098F"/>
    <w:rsid w:val="00412FB9"/>
    <w:rsid w:val="00420970"/>
    <w:rsid w:val="00431F42"/>
    <w:rsid w:val="0043241D"/>
    <w:rsid w:val="004335B5"/>
    <w:rsid w:val="004351B8"/>
    <w:rsid w:val="00451897"/>
    <w:rsid w:val="004536CE"/>
    <w:rsid w:val="00477764"/>
    <w:rsid w:val="00480677"/>
    <w:rsid w:val="00481E5A"/>
    <w:rsid w:val="00485FBB"/>
    <w:rsid w:val="00486F3F"/>
    <w:rsid w:val="00490C38"/>
    <w:rsid w:val="004A1129"/>
    <w:rsid w:val="004A3B69"/>
    <w:rsid w:val="004B14D0"/>
    <w:rsid w:val="004B392B"/>
    <w:rsid w:val="004C0367"/>
    <w:rsid w:val="004C1B4D"/>
    <w:rsid w:val="004C2F1B"/>
    <w:rsid w:val="004C45A3"/>
    <w:rsid w:val="004D4DE9"/>
    <w:rsid w:val="004D54CC"/>
    <w:rsid w:val="004E1677"/>
    <w:rsid w:val="004E18AD"/>
    <w:rsid w:val="004E4ECC"/>
    <w:rsid w:val="004E7E71"/>
    <w:rsid w:val="004F5F6D"/>
    <w:rsid w:val="004F6762"/>
    <w:rsid w:val="005021E0"/>
    <w:rsid w:val="00503DFA"/>
    <w:rsid w:val="00507496"/>
    <w:rsid w:val="00515EE7"/>
    <w:rsid w:val="00535467"/>
    <w:rsid w:val="00543F6A"/>
    <w:rsid w:val="00550634"/>
    <w:rsid w:val="005529C5"/>
    <w:rsid w:val="00553011"/>
    <w:rsid w:val="0056389E"/>
    <w:rsid w:val="005649CE"/>
    <w:rsid w:val="00565D22"/>
    <w:rsid w:val="00567D60"/>
    <w:rsid w:val="00576773"/>
    <w:rsid w:val="00577120"/>
    <w:rsid w:val="005771C1"/>
    <w:rsid w:val="00586902"/>
    <w:rsid w:val="005A0637"/>
    <w:rsid w:val="005A4163"/>
    <w:rsid w:val="005A53F3"/>
    <w:rsid w:val="005B1BBE"/>
    <w:rsid w:val="005B2DA4"/>
    <w:rsid w:val="005D070C"/>
    <w:rsid w:val="005D78D5"/>
    <w:rsid w:val="005F4E8F"/>
    <w:rsid w:val="006016F3"/>
    <w:rsid w:val="006038A7"/>
    <w:rsid w:val="0060536D"/>
    <w:rsid w:val="0060580F"/>
    <w:rsid w:val="006069CE"/>
    <w:rsid w:val="00617863"/>
    <w:rsid w:val="0062172D"/>
    <w:rsid w:val="0062204B"/>
    <w:rsid w:val="00632EA2"/>
    <w:rsid w:val="006379EE"/>
    <w:rsid w:val="006436C1"/>
    <w:rsid w:val="006465E8"/>
    <w:rsid w:val="00650708"/>
    <w:rsid w:val="00657B88"/>
    <w:rsid w:val="00664139"/>
    <w:rsid w:val="00666836"/>
    <w:rsid w:val="00670B6B"/>
    <w:rsid w:val="006811D9"/>
    <w:rsid w:val="006816A3"/>
    <w:rsid w:val="00681C39"/>
    <w:rsid w:val="00682DC7"/>
    <w:rsid w:val="006851DE"/>
    <w:rsid w:val="0068623F"/>
    <w:rsid w:val="0069136A"/>
    <w:rsid w:val="0069164A"/>
    <w:rsid w:val="006939AA"/>
    <w:rsid w:val="006A209C"/>
    <w:rsid w:val="006C209C"/>
    <w:rsid w:val="006D2924"/>
    <w:rsid w:val="006D53F0"/>
    <w:rsid w:val="006E056A"/>
    <w:rsid w:val="006E0C1D"/>
    <w:rsid w:val="006E37E1"/>
    <w:rsid w:val="006E6604"/>
    <w:rsid w:val="006E6A64"/>
    <w:rsid w:val="006F4DB1"/>
    <w:rsid w:val="006F7289"/>
    <w:rsid w:val="00712D6A"/>
    <w:rsid w:val="007167C3"/>
    <w:rsid w:val="0072239F"/>
    <w:rsid w:val="00722BA2"/>
    <w:rsid w:val="007263A6"/>
    <w:rsid w:val="00730654"/>
    <w:rsid w:val="007322A4"/>
    <w:rsid w:val="007361C4"/>
    <w:rsid w:val="0074239C"/>
    <w:rsid w:val="00743219"/>
    <w:rsid w:val="00773ABE"/>
    <w:rsid w:val="00781968"/>
    <w:rsid w:val="00786EC5"/>
    <w:rsid w:val="00793203"/>
    <w:rsid w:val="007A3349"/>
    <w:rsid w:val="007A608E"/>
    <w:rsid w:val="007B3429"/>
    <w:rsid w:val="007B51D8"/>
    <w:rsid w:val="007C3ABD"/>
    <w:rsid w:val="007D17AF"/>
    <w:rsid w:val="007D6FE3"/>
    <w:rsid w:val="007F1706"/>
    <w:rsid w:val="0080644F"/>
    <w:rsid w:val="00814F8F"/>
    <w:rsid w:val="00815DC8"/>
    <w:rsid w:val="008337C2"/>
    <w:rsid w:val="008363B9"/>
    <w:rsid w:val="00844E47"/>
    <w:rsid w:val="00850704"/>
    <w:rsid w:val="00855BD4"/>
    <w:rsid w:val="008618F7"/>
    <w:rsid w:val="00861B56"/>
    <w:rsid w:val="00862325"/>
    <w:rsid w:val="008750C3"/>
    <w:rsid w:val="00876379"/>
    <w:rsid w:val="00881147"/>
    <w:rsid w:val="00882C1B"/>
    <w:rsid w:val="008901B6"/>
    <w:rsid w:val="008A4F33"/>
    <w:rsid w:val="008A645C"/>
    <w:rsid w:val="008B0902"/>
    <w:rsid w:val="008B6193"/>
    <w:rsid w:val="008C2341"/>
    <w:rsid w:val="008C5582"/>
    <w:rsid w:val="008D37F1"/>
    <w:rsid w:val="008E036E"/>
    <w:rsid w:val="008E217E"/>
    <w:rsid w:val="008E5FD0"/>
    <w:rsid w:val="008F2CCC"/>
    <w:rsid w:val="008F6345"/>
    <w:rsid w:val="008F7CA9"/>
    <w:rsid w:val="00907C7E"/>
    <w:rsid w:val="00921525"/>
    <w:rsid w:val="009223DE"/>
    <w:rsid w:val="00930827"/>
    <w:rsid w:val="00930C4A"/>
    <w:rsid w:val="00930DA1"/>
    <w:rsid w:val="00946662"/>
    <w:rsid w:val="0095267F"/>
    <w:rsid w:val="009552B7"/>
    <w:rsid w:val="00975297"/>
    <w:rsid w:val="00986F62"/>
    <w:rsid w:val="0099041C"/>
    <w:rsid w:val="009940D1"/>
    <w:rsid w:val="009A59C6"/>
    <w:rsid w:val="009B3A0D"/>
    <w:rsid w:val="009C1C2A"/>
    <w:rsid w:val="009C6ABB"/>
    <w:rsid w:val="009D1530"/>
    <w:rsid w:val="009D2A72"/>
    <w:rsid w:val="009D4E5F"/>
    <w:rsid w:val="009E0474"/>
    <w:rsid w:val="00A02BD4"/>
    <w:rsid w:val="00A07796"/>
    <w:rsid w:val="00A27B98"/>
    <w:rsid w:val="00A33B2D"/>
    <w:rsid w:val="00A3614D"/>
    <w:rsid w:val="00A3663A"/>
    <w:rsid w:val="00A6097D"/>
    <w:rsid w:val="00A72C0D"/>
    <w:rsid w:val="00A72F5E"/>
    <w:rsid w:val="00A76DFB"/>
    <w:rsid w:val="00A77EF1"/>
    <w:rsid w:val="00A836A8"/>
    <w:rsid w:val="00A846CA"/>
    <w:rsid w:val="00A90017"/>
    <w:rsid w:val="00A90259"/>
    <w:rsid w:val="00A91E9D"/>
    <w:rsid w:val="00A94CCD"/>
    <w:rsid w:val="00A95B72"/>
    <w:rsid w:val="00AB7F15"/>
    <w:rsid w:val="00AC29FB"/>
    <w:rsid w:val="00AD2A39"/>
    <w:rsid w:val="00AF1875"/>
    <w:rsid w:val="00B204AF"/>
    <w:rsid w:val="00B21922"/>
    <w:rsid w:val="00B22F9D"/>
    <w:rsid w:val="00B267BF"/>
    <w:rsid w:val="00B26F09"/>
    <w:rsid w:val="00B3327E"/>
    <w:rsid w:val="00B37DB1"/>
    <w:rsid w:val="00B456BE"/>
    <w:rsid w:val="00B459FF"/>
    <w:rsid w:val="00B47A6F"/>
    <w:rsid w:val="00B56ED8"/>
    <w:rsid w:val="00B573C7"/>
    <w:rsid w:val="00B7208E"/>
    <w:rsid w:val="00B728D3"/>
    <w:rsid w:val="00B77568"/>
    <w:rsid w:val="00B77D67"/>
    <w:rsid w:val="00B80C28"/>
    <w:rsid w:val="00B844FA"/>
    <w:rsid w:val="00B85321"/>
    <w:rsid w:val="00B854A0"/>
    <w:rsid w:val="00B95849"/>
    <w:rsid w:val="00BB362C"/>
    <w:rsid w:val="00BC2DFF"/>
    <w:rsid w:val="00BC6806"/>
    <w:rsid w:val="00BD3224"/>
    <w:rsid w:val="00BD4BE1"/>
    <w:rsid w:val="00BE01E6"/>
    <w:rsid w:val="00BE1E02"/>
    <w:rsid w:val="00BE6CE3"/>
    <w:rsid w:val="00BF78BC"/>
    <w:rsid w:val="00C01D82"/>
    <w:rsid w:val="00C07688"/>
    <w:rsid w:val="00C127C1"/>
    <w:rsid w:val="00C12E94"/>
    <w:rsid w:val="00C15449"/>
    <w:rsid w:val="00C17DC7"/>
    <w:rsid w:val="00C21B9A"/>
    <w:rsid w:val="00C24414"/>
    <w:rsid w:val="00C25BB2"/>
    <w:rsid w:val="00C27760"/>
    <w:rsid w:val="00C30D79"/>
    <w:rsid w:val="00C34EAC"/>
    <w:rsid w:val="00C36504"/>
    <w:rsid w:val="00C44490"/>
    <w:rsid w:val="00C55640"/>
    <w:rsid w:val="00C645DE"/>
    <w:rsid w:val="00C730B8"/>
    <w:rsid w:val="00C93C45"/>
    <w:rsid w:val="00C949DF"/>
    <w:rsid w:val="00CA1E93"/>
    <w:rsid w:val="00CA2512"/>
    <w:rsid w:val="00CA63D6"/>
    <w:rsid w:val="00CA75CF"/>
    <w:rsid w:val="00CB416C"/>
    <w:rsid w:val="00CC05CE"/>
    <w:rsid w:val="00CC1580"/>
    <w:rsid w:val="00CC208F"/>
    <w:rsid w:val="00CE181C"/>
    <w:rsid w:val="00CF41DD"/>
    <w:rsid w:val="00CF7E01"/>
    <w:rsid w:val="00D040CC"/>
    <w:rsid w:val="00D06509"/>
    <w:rsid w:val="00D0731B"/>
    <w:rsid w:val="00D11AFE"/>
    <w:rsid w:val="00D157DC"/>
    <w:rsid w:val="00D26692"/>
    <w:rsid w:val="00D268D2"/>
    <w:rsid w:val="00D27042"/>
    <w:rsid w:val="00D363DB"/>
    <w:rsid w:val="00D36A49"/>
    <w:rsid w:val="00D4431A"/>
    <w:rsid w:val="00D47204"/>
    <w:rsid w:val="00D62397"/>
    <w:rsid w:val="00D6250D"/>
    <w:rsid w:val="00D6784F"/>
    <w:rsid w:val="00D73F36"/>
    <w:rsid w:val="00D75F36"/>
    <w:rsid w:val="00D76C48"/>
    <w:rsid w:val="00D80D2E"/>
    <w:rsid w:val="00D80E80"/>
    <w:rsid w:val="00DA102C"/>
    <w:rsid w:val="00DA6867"/>
    <w:rsid w:val="00DB5207"/>
    <w:rsid w:val="00DB5AF0"/>
    <w:rsid w:val="00DC7357"/>
    <w:rsid w:val="00DD2D41"/>
    <w:rsid w:val="00DD632C"/>
    <w:rsid w:val="00DE0DA2"/>
    <w:rsid w:val="00DE29D8"/>
    <w:rsid w:val="00DE3415"/>
    <w:rsid w:val="00DE553E"/>
    <w:rsid w:val="00DF1213"/>
    <w:rsid w:val="00E31AE7"/>
    <w:rsid w:val="00E43463"/>
    <w:rsid w:val="00E463C7"/>
    <w:rsid w:val="00E5466A"/>
    <w:rsid w:val="00E565FE"/>
    <w:rsid w:val="00E671DE"/>
    <w:rsid w:val="00E72562"/>
    <w:rsid w:val="00E8313D"/>
    <w:rsid w:val="00E87343"/>
    <w:rsid w:val="00E91385"/>
    <w:rsid w:val="00E92C1D"/>
    <w:rsid w:val="00E964C3"/>
    <w:rsid w:val="00E974EB"/>
    <w:rsid w:val="00EA6287"/>
    <w:rsid w:val="00EB26DD"/>
    <w:rsid w:val="00EB40E2"/>
    <w:rsid w:val="00EB5027"/>
    <w:rsid w:val="00EB5E19"/>
    <w:rsid w:val="00EC58E8"/>
    <w:rsid w:val="00EC5B57"/>
    <w:rsid w:val="00ED3285"/>
    <w:rsid w:val="00ED4589"/>
    <w:rsid w:val="00ED7020"/>
    <w:rsid w:val="00ED7D41"/>
    <w:rsid w:val="00EF0FCC"/>
    <w:rsid w:val="00EF4AAA"/>
    <w:rsid w:val="00EF77DB"/>
    <w:rsid w:val="00F05C58"/>
    <w:rsid w:val="00F065BC"/>
    <w:rsid w:val="00F076B1"/>
    <w:rsid w:val="00F07D62"/>
    <w:rsid w:val="00F224BE"/>
    <w:rsid w:val="00F228BE"/>
    <w:rsid w:val="00F22DAA"/>
    <w:rsid w:val="00F24AE3"/>
    <w:rsid w:val="00F24DF2"/>
    <w:rsid w:val="00F316CF"/>
    <w:rsid w:val="00F31A6A"/>
    <w:rsid w:val="00F370D2"/>
    <w:rsid w:val="00F51224"/>
    <w:rsid w:val="00F51306"/>
    <w:rsid w:val="00F525AC"/>
    <w:rsid w:val="00F720D7"/>
    <w:rsid w:val="00F7586D"/>
    <w:rsid w:val="00F82B29"/>
    <w:rsid w:val="00F82F4E"/>
    <w:rsid w:val="00F830FF"/>
    <w:rsid w:val="00F863DF"/>
    <w:rsid w:val="00F9013D"/>
    <w:rsid w:val="00FB2B75"/>
    <w:rsid w:val="00FC00EA"/>
    <w:rsid w:val="00FC27F0"/>
    <w:rsid w:val="00FC4AC5"/>
    <w:rsid w:val="00FC7795"/>
    <w:rsid w:val="00FD6D02"/>
    <w:rsid w:val="00FF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72FEA52"/>
  <w15:docId w15:val="{F2870CDB-7020-4A64-8AEE-8FB59E34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72D"/>
  </w:style>
  <w:style w:type="paragraph" w:styleId="Heading1">
    <w:name w:val="heading 1"/>
    <w:basedOn w:val="Normal"/>
    <w:next w:val="Normal"/>
    <w:link w:val="Heading1Char"/>
    <w:uiPriority w:val="9"/>
    <w:qFormat/>
    <w:rsid w:val="0062172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72D"/>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62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2">
    <w:name w:val="Medium List 1 Accent 2"/>
    <w:basedOn w:val="TableNormal"/>
    <w:uiPriority w:val="65"/>
    <w:rsid w:val="006217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FootnoteText">
    <w:name w:val="footnote text"/>
    <w:basedOn w:val="Normal"/>
    <w:link w:val="FootnoteTextChar"/>
    <w:semiHidden/>
    <w:rsid w:val="0062172D"/>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2172D"/>
    <w:rPr>
      <w:rFonts w:ascii="Times New Roman" w:eastAsia="Times New Roman" w:hAnsi="Times New Roman" w:cs="Times New Roman"/>
      <w:sz w:val="20"/>
      <w:szCs w:val="20"/>
    </w:rPr>
  </w:style>
  <w:style w:type="character" w:styleId="FootnoteReference">
    <w:name w:val="footnote reference"/>
    <w:semiHidden/>
    <w:rsid w:val="0062172D"/>
    <w:rPr>
      <w:rFonts w:cs="Times New Roman"/>
      <w:vertAlign w:val="superscript"/>
    </w:rPr>
  </w:style>
  <w:style w:type="character" w:styleId="Hyperlink">
    <w:name w:val="Hyperlink"/>
    <w:rsid w:val="0062172D"/>
    <w:rPr>
      <w:rFonts w:cs="Times New Roman"/>
      <w:color w:val="0000FF"/>
      <w:u w:val="single"/>
    </w:rPr>
  </w:style>
  <w:style w:type="paragraph" w:styleId="Header">
    <w:name w:val="header"/>
    <w:basedOn w:val="Normal"/>
    <w:link w:val="HeaderChar"/>
    <w:uiPriority w:val="99"/>
    <w:unhideWhenUsed/>
    <w:rsid w:val="00621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72D"/>
  </w:style>
  <w:style w:type="paragraph" w:styleId="Footer">
    <w:name w:val="footer"/>
    <w:basedOn w:val="Normal"/>
    <w:link w:val="FooterChar"/>
    <w:uiPriority w:val="99"/>
    <w:unhideWhenUsed/>
    <w:rsid w:val="00621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72D"/>
  </w:style>
  <w:style w:type="character" w:styleId="CommentReference">
    <w:name w:val="annotation reference"/>
    <w:basedOn w:val="DefaultParagraphFont"/>
    <w:uiPriority w:val="99"/>
    <w:semiHidden/>
    <w:unhideWhenUsed/>
    <w:rsid w:val="0062172D"/>
    <w:rPr>
      <w:sz w:val="16"/>
      <w:szCs w:val="16"/>
    </w:rPr>
  </w:style>
  <w:style w:type="paragraph" w:styleId="CommentText">
    <w:name w:val="annotation text"/>
    <w:basedOn w:val="Normal"/>
    <w:link w:val="CommentTextChar"/>
    <w:uiPriority w:val="99"/>
    <w:semiHidden/>
    <w:unhideWhenUsed/>
    <w:rsid w:val="0062172D"/>
    <w:pPr>
      <w:spacing w:line="240" w:lineRule="auto"/>
    </w:pPr>
    <w:rPr>
      <w:sz w:val="20"/>
      <w:szCs w:val="20"/>
    </w:rPr>
  </w:style>
  <w:style w:type="character" w:customStyle="1" w:styleId="CommentTextChar">
    <w:name w:val="Comment Text Char"/>
    <w:basedOn w:val="DefaultParagraphFont"/>
    <w:link w:val="CommentText"/>
    <w:uiPriority w:val="99"/>
    <w:semiHidden/>
    <w:rsid w:val="0062172D"/>
    <w:rPr>
      <w:sz w:val="20"/>
      <w:szCs w:val="20"/>
    </w:rPr>
  </w:style>
  <w:style w:type="paragraph" w:styleId="Bibliography">
    <w:name w:val="Bibliography"/>
    <w:basedOn w:val="Normal"/>
    <w:next w:val="Normal"/>
    <w:uiPriority w:val="37"/>
    <w:unhideWhenUsed/>
    <w:rsid w:val="0062172D"/>
  </w:style>
  <w:style w:type="paragraph" w:styleId="BalloonText">
    <w:name w:val="Balloon Text"/>
    <w:basedOn w:val="Normal"/>
    <w:link w:val="BalloonTextChar"/>
    <w:uiPriority w:val="99"/>
    <w:semiHidden/>
    <w:unhideWhenUsed/>
    <w:rsid w:val="0062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72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30F5"/>
    <w:rPr>
      <w:b/>
      <w:bCs/>
    </w:rPr>
  </w:style>
  <w:style w:type="character" w:customStyle="1" w:styleId="CommentSubjectChar">
    <w:name w:val="Comment Subject Char"/>
    <w:basedOn w:val="CommentTextChar"/>
    <w:link w:val="CommentSubject"/>
    <w:uiPriority w:val="99"/>
    <w:semiHidden/>
    <w:rsid w:val="002630F5"/>
    <w:rPr>
      <w:b/>
      <w:bCs/>
      <w:sz w:val="20"/>
      <w:szCs w:val="20"/>
    </w:rPr>
  </w:style>
  <w:style w:type="table" w:styleId="LightShading">
    <w:name w:val="Light Shading"/>
    <w:basedOn w:val="TableNormal"/>
    <w:uiPriority w:val="60"/>
    <w:rsid w:val="00990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99041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9904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904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904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904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9041C"/>
    <w:pPr>
      <w:autoSpaceDE w:val="0"/>
      <w:autoSpaceDN w:val="0"/>
      <w:adjustRightInd w:val="0"/>
      <w:spacing w:after="0" w:line="240" w:lineRule="auto"/>
    </w:pPr>
    <w:rPr>
      <w:rFonts w:ascii="Sabon LT Std" w:hAnsi="Sabon LT Std" w:cs="Sabon LT Std"/>
      <w:color w:val="000000"/>
      <w:sz w:val="24"/>
      <w:szCs w:val="24"/>
    </w:rPr>
  </w:style>
  <w:style w:type="paragraph" w:styleId="ListParagraph">
    <w:name w:val="List Paragraph"/>
    <w:basedOn w:val="Normal"/>
    <w:uiPriority w:val="34"/>
    <w:qFormat/>
    <w:rsid w:val="0099041C"/>
    <w:pPr>
      <w:ind w:left="720"/>
      <w:contextualSpacing/>
    </w:pPr>
  </w:style>
  <w:style w:type="character" w:customStyle="1" w:styleId="UnresolvedMention1">
    <w:name w:val="Unresolved Mention1"/>
    <w:basedOn w:val="DefaultParagraphFont"/>
    <w:uiPriority w:val="99"/>
    <w:semiHidden/>
    <w:unhideWhenUsed/>
    <w:rsid w:val="0099041C"/>
    <w:rPr>
      <w:color w:val="605E5C"/>
      <w:shd w:val="clear" w:color="auto" w:fill="E1DFDD"/>
    </w:rPr>
  </w:style>
  <w:style w:type="paragraph" w:styleId="Revision">
    <w:name w:val="Revision"/>
    <w:hidden/>
    <w:uiPriority w:val="99"/>
    <w:semiHidden/>
    <w:rsid w:val="001C54F6"/>
    <w:pPr>
      <w:spacing w:after="0" w:line="240" w:lineRule="auto"/>
    </w:pPr>
  </w:style>
  <w:style w:type="character" w:styleId="FollowedHyperlink">
    <w:name w:val="FollowedHyperlink"/>
    <w:basedOn w:val="DefaultParagraphFont"/>
    <w:uiPriority w:val="99"/>
    <w:semiHidden/>
    <w:unhideWhenUsed/>
    <w:rsid w:val="00EC5B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5716">
      <w:bodyDiv w:val="1"/>
      <w:marLeft w:val="0"/>
      <w:marRight w:val="0"/>
      <w:marTop w:val="0"/>
      <w:marBottom w:val="0"/>
      <w:divBdr>
        <w:top w:val="none" w:sz="0" w:space="0" w:color="auto"/>
        <w:left w:val="none" w:sz="0" w:space="0" w:color="auto"/>
        <w:bottom w:val="none" w:sz="0" w:space="0" w:color="auto"/>
        <w:right w:val="none" w:sz="0" w:space="0" w:color="auto"/>
      </w:divBdr>
    </w:div>
    <w:div w:id="326399403">
      <w:bodyDiv w:val="1"/>
      <w:marLeft w:val="0"/>
      <w:marRight w:val="0"/>
      <w:marTop w:val="0"/>
      <w:marBottom w:val="0"/>
      <w:divBdr>
        <w:top w:val="none" w:sz="0" w:space="0" w:color="auto"/>
        <w:left w:val="none" w:sz="0" w:space="0" w:color="auto"/>
        <w:bottom w:val="none" w:sz="0" w:space="0" w:color="auto"/>
        <w:right w:val="none" w:sz="0" w:space="0" w:color="auto"/>
      </w:divBdr>
    </w:div>
    <w:div w:id="341055656">
      <w:bodyDiv w:val="1"/>
      <w:marLeft w:val="0"/>
      <w:marRight w:val="0"/>
      <w:marTop w:val="0"/>
      <w:marBottom w:val="0"/>
      <w:divBdr>
        <w:top w:val="none" w:sz="0" w:space="0" w:color="auto"/>
        <w:left w:val="none" w:sz="0" w:space="0" w:color="auto"/>
        <w:bottom w:val="none" w:sz="0" w:space="0" w:color="auto"/>
        <w:right w:val="none" w:sz="0" w:space="0" w:color="auto"/>
      </w:divBdr>
    </w:div>
    <w:div w:id="470559423">
      <w:bodyDiv w:val="1"/>
      <w:marLeft w:val="0"/>
      <w:marRight w:val="0"/>
      <w:marTop w:val="0"/>
      <w:marBottom w:val="0"/>
      <w:divBdr>
        <w:top w:val="none" w:sz="0" w:space="0" w:color="auto"/>
        <w:left w:val="none" w:sz="0" w:space="0" w:color="auto"/>
        <w:bottom w:val="none" w:sz="0" w:space="0" w:color="auto"/>
        <w:right w:val="none" w:sz="0" w:space="0" w:color="auto"/>
      </w:divBdr>
    </w:div>
    <w:div w:id="572593887">
      <w:bodyDiv w:val="1"/>
      <w:marLeft w:val="0"/>
      <w:marRight w:val="0"/>
      <w:marTop w:val="0"/>
      <w:marBottom w:val="0"/>
      <w:divBdr>
        <w:top w:val="none" w:sz="0" w:space="0" w:color="auto"/>
        <w:left w:val="none" w:sz="0" w:space="0" w:color="auto"/>
        <w:bottom w:val="none" w:sz="0" w:space="0" w:color="auto"/>
        <w:right w:val="none" w:sz="0" w:space="0" w:color="auto"/>
      </w:divBdr>
    </w:div>
    <w:div w:id="755521111">
      <w:bodyDiv w:val="1"/>
      <w:marLeft w:val="0"/>
      <w:marRight w:val="0"/>
      <w:marTop w:val="0"/>
      <w:marBottom w:val="0"/>
      <w:divBdr>
        <w:top w:val="none" w:sz="0" w:space="0" w:color="auto"/>
        <w:left w:val="none" w:sz="0" w:space="0" w:color="auto"/>
        <w:bottom w:val="none" w:sz="0" w:space="0" w:color="auto"/>
        <w:right w:val="none" w:sz="0" w:space="0" w:color="auto"/>
      </w:divBdr>
    </w:div>
    <w:div w:id="1047027188">
      <w:bodyDiv w:val="1"/>
      <w:marLeft w:val="0"/>
      <w:marRight w:val="0"/>
      <w:marTop w:val="0"/>
      <w:marBottom w:val="0"/>
      <w:divBdr>
        <w:top w:val="none" w:sz="0" w:space="0" w:color="auto"/>
        <w:left w:val="none" w:sz="0" w:space="0" w:color="auto"/>
        <w:bottom w:val="none" w:sz="0" w:space="0" w:color="auto"/>
        <w:right w:val="none" w:sz="0" w:space="0" w:color="auto"/>
      </w:divBdr>
    </w:div>
    <w:div w:id="1130127531">
      <w:bodyDiv w:val="1"/>
      <w:marLeft w:val="0"/>
      <w:marRight w:val="0"/>
      <w:marTop w:val="0"/>
      <w:marBottom w:val="0"/>
      <w:divBdr>
        <w:top w:val="none" w:sz="0" w:space="0" w:color="auto"/>
        <w:left w:val="none" w:sz="0" w:space="0" w:color="auto"/>
        <w:bottom w:val="none" w:sz="0" w:space="0" w:color="auto"/>
        <w:right w:val="none" w:sz="0" w:space="0" w:color="auto"/>
      </w:divBdr>
    </w:div>
    <w:div w:id="1450778935">
      <w:bodyDiv w:val="1"/>
      <w:marLeft w:val="0"/>
      <w:marRight w:val="0"/>
      <w:marTop w:val="0"/>
      <w:marBottom w:val="0"/>
      <w:divBdr>
        <w:top w:val="none" w:sz="0" w:space="0" w:color="auto"/>
        <w:left w:val="none" w:sz="0" w:space="0" w:color="auto"/>
        <w:bottom w:val="none" w:sz="0" w:space="0" w:color="auto"/>
        <w:right w:val="none" w:sz="0" w:space="0" w:color="auto"/>
      </w:divBdr>
    </w:div>
    <w:div w:id="1458983647">
      <w:bodyDiv w:val="1"/>
      <w:marLeft w:val="0"/>
      <w:marRight w:val="0"/>
      <w:marTop w:val="0"/>
      <w:marBottom w:val="0"/>
      <w:divBdr>
        <w:top w:val="none" w:sz="0" w:space="0" w:color="auto"/>
        <w:left w:val="none" w:sz="0" w:space="0" w:color="auto"/>
        <w:bottom w:val="none" w:sz="0" w:space="0" w:color="auto"/>
        <w:right w:val="none" w:sz="0" w:space="0" w:color="auto"/>
      </w:divBdr>
    </w:div>
    <w:div w:id="1502816456">
      <w:bodyDiv w:val="1"/>
      <w:marLeft w:val="0"/>
      <w:marRight w:val="0"/>
      <w:marTop w:val="0"/>
      <w:marBottom w:val="0"/>
      <w:divBdr>
        <w:top w:val="none" w:sz="0" w:space="0" w:color="auto"/>
        <w:left w:val="none" w:sz="0" w:space="0" w:color="auto"/>
        <w:bottom w:val="none" w:sz="0" w:space="0" w:color="auto"/>
        <w:right w:val="none" w:sz="0" w:space="0" w:color="auto"/>
      </w:divBdr>
    </w:div>
    <w:div w:id="1620337497">
      <w:bodyDiv w:val="1"/>
      <w:marLeft w:val="0"/>
      <w:marRight w:val="0"/>
      <w:marTop w:val="0"/>
      <w:marBottom w:val="0"/>
      <w:divBdr>
        <w:top w:val="none" w:sz="0" w:space="0" w:color="auto"/>
        <w:left w:val="none" w:sz="0" w:space="0" w:color="auto"/>
        <w:bottom w:val="none" w:sz="0" w:space="0" w:color="auto"/>
        <w:right w:val="none" w:sz="0" w:space="0" w:color="auto"/>
      </w:divBdr>
    </w:div>
    <w:div w:id="1627858908">
      <w:bodyDiv w:val="1"/>
      <w:marLeft w:val="0"/>
      <w:marRight w:val="0"/>
      <w:marTop w:val="0"/>
      <w:marBottom w:val="0"/>
      <w:divBdr>
        <w:top w:val="none" w:sz="0" w:space="0" w:color="auto"/>
        <w:left w:val="none" w:sz="0" w:space="0" w:color="auto"/>
        <w:bottom w:val="none" w:sz="0" w:space="0" w:color="auto"/>
        <w:right w:val="none" w:sz="0" w:space="0" w:color="auto"/>
      </w:divBdr>
    </w:div>
    <w:div w:id="1700398698">
      <w:bodyDiv w:val="1"/>
      <w:marLeft w:val="0"/>
      <w:marRight w:val="0"/>
      <w:marTop w:val="0"/>
      <w:marBottom w:val="0"/>
      <w:divBdr>
        <w:top w:val="none" w:sz="0" w:space="0" w:color="auto"/>
        <w:left w:val="none" w:sz="0" w:space="0" w:color="auto"/>
        <w:bottom w:val="none" w:sz="0" w:space="0" w:color="auto"/>
        <w:right w:val="none" w:sz="0" w:space="0" w:color="auto"/>
      </w:divBdr>
    </w:div>
    <w:div w:id="188101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ilw.com/seminars/JohnNeillC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Kei01</b:Tag>
    <b:SourceType>JournalArticle</b:SourceType>
    <b:Guid>{A0843040-038B-436D-B613-D31E48F67D03}</b:Guid>
    <b:Author>
      <b:Author>
        <b:Corporate>Keith R. Ihlanfeldt, David L. Sjoquist</b:Corporate>
      </b:Author>
    </b:Author>
    <b:Title>Conducting an Analysis of Georgia’s Economic Development Tax Incentive Program</b:Title>
    <b:Year>2001</b:Year>
    <b:Month>August</b:Month>
    <b:JournalName>ECONOMIC DEVELOPMENT QUARTERLY</b:JournalName>
    <b:Pages>217-228</b:Pages>
    <b:Publisher>Sage Publications</b:Publisher>
    <b:Volume>15</b:Volume>
    <b:Issue>3</b:Issue>
    <b:RefOrder>2</b:RefOrder>
  </b:Source>
  <b:Source>
    <b:Tag>MOD</b:Tag>
    <b:SourceType>InternetSite</b:SourceType>
    <b:Guid>{BCEA689A-4171-43CD-A07E-1F467FC70C08}</b:Guid>
    <b:Title>MODELS: TAX-PI</b:Title>
    <b:InternetSiteTitle>Regional Economic Models, Inc.</b:InternetSiteTitle>
    <b:URL>https://www.remi.com/model/tax-pi/</b:URL>
    <b:RefOrder>1</b:RefOrder>
  </b:Source>
</b:Sources>
</file>

<file path=customXml/itemProps1.xml><?xml version="1.0" encoding="utf-8"?>
<ds:datastoreItem xmlns:ds="http://schemas.openxmlformats.org/officeDocument/2006/customXml" ds:itemID="{DC544E3A-085F-4877-9522-8395CCB8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DBB</dc:creator>
  <cp:lastModifiedBy>Scannell, Rachel (DOR)</cp:lastModifiedBy>
  <cp:revision>3</cp:revision>
  <dcterms:created xsi:type="dcterms:W3CDTF">2020-09-24T17:18:00Z</dcterms:created>
  <dcterms:modified xsi:type="dcterms:W3CDTF">2020-09-24T17:19:00Z</dcterms:modified>
</cp:coreProperties>
</file>