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0E312" w14:textId="77777777" w:rsidR="00931F16" w:rsidRDefault="00F8640C">
      <w:pPr>
        <w:pStyle w:val="BodyText"/>
        <w:ind w:left="264"/>
        <w:rPr>
          <w:sz w:val="20"/>
        </w:rPr>
      </w:pPr>
      <w:r>
        <w:rPr>
          <w:noProof/>
          <w:sz w:val="20"/>
        </w:rPr>
        <w:drawing>
          <wp:inline distT="0" distB="0" distL="0" distR="0" wp14:anchorId="7EBCEC9F" wp14:editId="70B7A1C7">
            <wp:extent cx="901686" cy="1064418"/>
            <wp:effectExtent l="0" t="0" r="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901686" cy="1064418"/>
                    </a:xfrm>
                    <a:prstGeom prst="rect">
                      <a:avLst/>
                    </a:prstGeom>
                  </pic:spPr>
                </pic:pic>
              </a:graphicData>
            </a:graphic>
          </wp:inline>
        </w:drawing>
      </w:r>
    </w:p>
    <w:p w14:paraId="3963E435" w14:textId="77777777" w:rsidR="00931F16" w:rsidRDefault="00931F16">
      <w:pPr>
        <w:pStyle w:val="BodyText"/>
        <w:spacing w:before="126"/>
        <w:rPr>
          <w:sz w:val="16"/>
        </w:rPr>
      </w:pPr>
    </w:p>
    <w:p w14:paraId="4836A7B6" w14:textId="77777777" w:rsidR="00931F16" w:rsidRDefault="00F8640C">
      <w:pPr>
        <w:spacing w:before="1" w:line="185" w:lineRule="exact"/>
        <w:ind w:left="69" w:right="2"/>
        <w:jc w:val="center"/>
        <w:rPr>
          <w:rFonts w:ascii="Arial Rounded MT Bold"/>
          <w:sz w:val="16"/>
        </w:rPr>
      </w:pPr>
      <w:r>
        <w:rPr>
          <w:rFonts w:ascii="Arial Rounded MT Bold"/>
          <w:sz w:val="16"/>
        </w:rPr>
        <w:t>CHARLES</w:t>
      </w:r>
      <w:r>
        <w:rPr>
          <w:rFonts w:ascii="Arial Rounded MT Bold"/>
          <w:spacing w:val="-6"/>
          <w:sz w:val="16"/>
        </w:rPr>
        <w:t xml:space="preserve"> </w:t>
      </w:r>
      <w:r>
        <w:rPr>
          <w:rFonts w:ascii="Arial Rounded MT Bold"/>
          <w:sz w:val="16"/>
        </w:rPr>
        <w:t>D.</w:t>
      </w:r>
      <w:r>
        <w:rPr>
          <w:rFonts w:ascii="Arial Rounded MT Bold"/>
          <w:spacing w:val="-8"/>
          <w:sz w:val="16"/>
        </w:rPr>
        <w:t xml:space="preserve"> </w:t>
      </w:r>
      <w:r>
        <w:rPr>
          <w:rFonts w:ascii="Arial Rounded MT Bold"/>
          <w:spacing w:val="-2"/>
          <w:sz w:val="16"/>
        </w:rPr>
        <w:t>BAKER</w:t>
      </w:r>
    </w:p>
    <w:p w14:paraId="73CCBE84" w14:textId="77777777" w:rsidR="00931F16" w:rsidRDefault="00F8640C">
      <w:pPr>
        <w:spacing w:line="162" w:lineRule="exact"/>
        <w:ind w:left="69" w:right="2"/>
        <w:jc w:val="center"/>
        <w:rPr>
          <w:rFonts w:ascii="Arial Rounded MT Bold"/>
          <w:sz w:val="14"/>
        </w:rPr>
      </w:pPr>
      <w:r>
        <w:rPr>
          <w:rFonts w:ascii="Arial Rounded MT Bold"/>
          <w:spacing w:val="-2"/>
          <w:sz w:val="14"/>
        </w:rPr>
        <w:t>Governor</w:t>
      </w:r>
    </w:p>
    <w:p w14:paraId="10B5C026" w14:textId="77777777" w:rsidR="00931F16" w:rsidRDefault="00F8640C">
      <w:pPr>
        <w:spacing w:before="120" w:line="185" w:lineRule="exact"/>
        <w:ind w:left="69" w:right="2"/>
        <w:jc w:val="center"/>
        <w:rPr>
          <w:rFonts w:ascii="Arial Rounded MT Bold"/>
          <w:sz w:val="16"/>
        </w:rPr>
      </w:pPr>
      <w:r>
        <w:rPr>
          <w:rFonts w:ascii="Arial Rounded MT Bold"/>
          <w:sz w:val="16"/>
        </w:rPr>
        <w:t>KARYN</w:t>
      </w:r>
      <w:r>
        <w:rPr>
          <w:rFonts w:ascii="Arial Rounded MT Bold"/>
          <w:spacing w:val="-6"/>
          <w:sz w:val="16"/>
        </w:rPr>
        <w:t xml:space="preserve"> </w:t>
      </w:r>
      <w:r>
        <w:rPr>
          <w:rFonts w:ascii="Arial Rounded MT Bold"/>
          <w:sz w:val="16"/>
        </w:rPr>
        <w:t>E.</w:t>
      </w:r>
      <w:r>
        <w:rPr>
          <w:rFonts w:ascii="Arial Rounded MT Bold"/>
          <w:spacing w:val="-5"/>
          <w:sz w:val="16"/>
        </w:rPr>
        <w:t xml:space="preserve"> </w:t>
      </w:r>
      <w:r>
        <w:rPr>
          <w:rFonts w:ascii="Arial Rounded MT Bold"/>
          <w:spacing w:val="-2"/>
          <w:sz w:val="16"/>
        </w:rPr>
        <w:t>POLITO</w:t>
      </w:r>
    </w:p>
    <w:p w14:paraId="27991E64" w14:textId="77777777" w:rsidR="00931F16" w:rsidRDefault="00F8640C">
      <w:pPr>
        <w:spacing w:line="162" w:lineRule="exact"/>
        <w:ind w:left="69"/>
        <w:jc w:val="center"/>
        <w:rPr>
          <w:rFonts w:ascii="Arial Rounded MT Bold"/>
          <w:sz w:val="14"/>
        </w:rPr>
      </w:pPr>
      <w:r>
        <w:rPr>
          <w:rFonts w:ascii="Arial Rounded MT Bold"/>
          <w:sz w:val="14"/>
        </w:rPr>
        <w:t>Lieutenant</w:t>
      </w:r>
      <w:r>
        <w:rPr>
          <w:rFonts w:ascii="Arial Rounded MT Bold"/>
          <w:spacing w:val="-4"/>
          <w:sz w:val="14"/>
        </w:rPr>
        <w:t xml:space="preserve"> </w:t>
      </w:r>
      <w:r>
        <w:rPr>
          <w:rFonts w:ascii="Arial Rounded MT Bold"/>
          <w:spacing w:val="-2"/>
          <w:sz w:val="14"/>
        </w:rPr>
        <w:t>Governor</w:t>
      </w:r>
    </w:p>
    <w:p w14:paraId="382F98BA" w14:textId="77777777" w:rsidR="00931F16" w:rsidRDefault="00F8640C">
      <w:pPr>
        <w:pStyle w:val="Title"/>
      </w:pPr>
      <w:r>
        <w:br w:type="column"/>
        <w:t>The</w:t>
      </w:r>
      <w:r>
        <w:rPr>
          <w:spacing w:val="-14"/>
        </w:rPr>
        <w:t xml:space="preserve"> </w:t>
      </w:r>
      <w:r>
        <w:t>Commonwealth</w:t>
      </w:r>
      <w:r>
        <w:rPr>
          <w:spacing w:val="-15"/>
        </w:rPr>
        <w:t xml:space="preserve"> </w:t>
      </w:r>
      <w:r>
        <w:t>of</w:t>
      </w:r>
      <w:r>
        <w:rPr>
          <w:spacing w:val="-15"/>
        </w:rPr>
        <w:t xml:space="preserve"> </w:t>
      </w:r>
      <w:r>
        <w:rPr>
          <w:spacing w:val="-2"/>
        </w:rPr>
        <w:t>Massachusetts</w:t>
      </w:r>
    </w:p>
    <w:p w14:paraId="1502EC78" w14:textId="77777777" w:rsidR="00931F16" w:rsidRDefault="00F8640C">
      <w:pPr>
        <w:ind w:left="68"/>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7"/>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6"/>
          <w:sz w:val="28"/>
        </w:rPr>
        <w:t xml:space="preserve"> </w:t>
      </w:r>
      <w:r>
        <w:rPr>
          <w:rFonts w:ascii="Arial"/>
          <w:sz w:val="28"/>
        </w:rPr>
        <w:t>and</w:t>
      </w:r>
      <w:r>
        <w:rPr>
          <w:rFonts w:ascii="Arial"/>
          <w:spacing w:val="-7"/>
          <w:sz w:val="28"/>
        </w:rPr>
        <w:t xml:space="preserve"> </w:t>
      </w:r>
      <w:r>
        <w:rPr>
          <w:rFonts w:ascii="Arial"/>
          <w:sz w:val="28"/>
        </w:rPr>
        <w:t>Human</w:t>
      </w:r>
      <w:r>
        <w:rPr>
          <w:rFonts w:ascii="Arial"/>
          <w:spacing w:val="-6"/>
          <w:sz w:val="28"/>
        </w:rPr>
        <w:t xml:space="preserve"> </w:t>
      </w:r>
      <w:r>
        <w:rPr>
          <w:rFonts w:ascii="Arial"/>
          <w:sz w:val="28"/>
        </w:rPr>
        <w:t>Services Department of Public Health</w:t>
      </w:r>
    </w:p>
    <w:p w14:paraId="2C36635A" w14:textId="77777777" w:rsidR="00931F16" w:rsidRDefault="00F8640C">
      <w:pPr>
        <w:spacing w:line="321" w:lineRule="exact"/>
        <w:ind w:left="68"/>
        <w:jc w:val="center"/>
        <w:rPr>
          <w:rFonts w:ascii="Arial"/>
          <w:sz w:val="28"/>
        </w:rPr>
      </w:pPr>
      <w:r>
        <w:rPr>
          <w:rFonts w:ascii="Arial"/>
          <w:sz w:val="28"/>
        </w:rPr>
        <w:t>250</w:t>
      </w:r>
      <w:r>
        <w:rPr>
          <w:rFonts w:ascii="Arial"/>
          <w:spacing w:val="-13"/>
          <w:sz w:val="28"/>
        </w:rPr>
        <w:t xml:space="preserve"> </w:t>
      </w:r>
      <w:r>
        <w:rPr>
          <w:rFonts w:ascii="Arial"/>
          <w:sz w:val="28"/>
        </w:rPr>
        <w:t>Washington</w:t>
      </w:r>
      <w:r>
        <w:rPr>
          <w:rFonts w:ascii="Arial"/>
          <w:spacing w:val="-11"/>
          <w:sz w:val="28"/>
        </w:rPr>
        <w:t xml:space="preserve"> </w:t>
      </w:r>
      <w:r>
        <w:rPr>
          <w:rFonts w:ascii="Arial"/>
          <w:sz w:val="28"/>
        </w:rPr>
        <w:t>Street,</w:t>
      </w:r>
      <w:r>
        <w:rPr>
          <w:rFonts w:ascii="Arial"/>
          <w:spacing w:val="-13"/>
          <w:sz w:val="28"/>
        </w:rPr>
        <w:t xml:space="preserve"> </w:t>
      </w:r>
      <w:r>
        <w:rPr>
          <w:rFonts w:ascii="Arial"/>
          <w:sz w:val="28"/>
        </w:rPr>
        <w:t>Boston,</w:t>
      </w:r>
      <w:r>
        <w:rPr>
          <w:rFonts w:ascii="Arial"/>
          <w:spacing w:val="-11"/>
          <w:sz w:val="28"/>
        </w:rPr>
        <w:t xml:space="preserve"> </w:t>
      </w:r>
      <w:r>
        <w:rPr>
          <w:rFonts w:ascii="Arial"/>
          <w:sz w:val="28"/>
        </w:rPr>
        <w:t>MA</w:t>
      </w:r>
      <w:r>
        <w:rPr>
          <w:rFonts w:ascii="Arial"/>
          <w:spacing w:val="-13"/>
          <w:sz w:val="28"/>
        </w:rPr>
        <w:t xml:space="preserve"> </w:t>
      </w:r>
      <w:r>
        <w:rPr>
          <w:rFonts w:ascii="Arial"/>
          <w:sz w:val="28"/>
        </w:rPr>
        <w:t>02108-</w:t>
      </w:r>
      <w:r>
        <w:rPr>
          <w:rFonts w:ascii="Arial"/>
          <w:spacing w:val="-4"/>
          <w:sz w:val="28"/>
        </w:rPr>
        <w:t>4619</w:t>
      </w:r>
    </w:p>
    <w:p w14:paraId="3D8E5088" w14:textId="77777777" w:rsidR="00931F16" w:rsidRDefault="00F8640C">
      <w:pPr>
        <w:rPr>
          <w:rFonts w:ascii="Arial"/>
          <w:sz w:val="16"/>
        </w:rPr>
      </w:pPr>
      <w:r>
        <w:br w:type="column"/>
      </w:r>
    </w:p>
    <w:p w14:paraId="17B44D45" w14:textId="77777777" w:rsidR="00931F16" w:rsidRDefault="00931F16">
      <w:pPr>
        <w:pStyle w:val="BodyText"/>
        <w:rPr>
          <w:rFonts w:ascii="Arial"/>
          <w:sz w:val="16"/>
        </w:rPr>
      </w:pPr>
    </w:p>
    <w:p w14:paraId="7B051E10" w14:textId="77777777" w:rsidR="00931F16" w:rsidRDefault="00931F16">
      <w:pPr>
        <w:pStyle w:val="BodyText"/>
        <w:rPr>
          <w:rFonts w:ascii="Arial"/>
          <w:sz w:val="16"/>
        </w:rPr>
      </w:pPr>
    </w:p>
    <w:p w14:paraId="0E5F4F64" w14:textId="77777777" w:rsidR="00931F16" w:rsidRDefault="00931F16">
      <w:pPr>
        <w:pStyle w:val="BodyText"/>
        <w:rPr>
          <w:rFonts w:ascii="Arial"/>
          <w:sz w:val="16"/>
        </w:rPr>
      </w:pPr>
    </w:p>
    <w:p w14:paraId="7975614D" w14:textId="77777777" w:rsidR="00931F16" w:rsidRDefault="00931F16">
      <w:pPr>
        <w:pStyle w:val="BodyText"/>
        <w:rPr>
          <w:rFonts w:ascii="Arial"/>
          <w:sz w:val="16"/>
        </w:rPr>
      </w:pPr>
    </w:p>
    <w:p w14:paraId="2722CD19" w14:textId="77777777" w:rsidR="00931F16" w:rsidRDefault="00931F16">
      <w:pPr>
        <w:pStyle w:val="BodyText"/>
        <w:rPr>
          <w:rFonts w:ascii="Arial"/>
          <w:sz w:val="16"/>
        </w:rPr>
      </w:pPr>
    </w:p>
    <w:p w14:paraId="7D22F0F3" w14:textId="77777777" w:rsidR="00931F16" w:rsidRDefault="00931F16">
      <w:pPr>
        <w:pStyle w:val="BodyText"/>
        <w:rPr>
          <w:rFonts w:ascii="Arial"/>
          <w:sz w:val="16"/>
        </w:rPr>
      </w:pPr>
    </w:p>
    <w:p w14:paraId="4082954F" w14:textId="77777777" w:rsidR="00931F16" w:rsidRDefault="00931F16">
      <w:pPr>
        <w:pStyle w:val="BodyText"/>
        <w:rPr>
          <w:rFonts w:ascii="Arial"/>
          <w:sz w:val="16"/>
        </w:rPr>
      </w:pPr>
    </w:p>
    <w:p w14:paraId="6CA6DB6D" w14:textId="77777777" w:rsidR="00931F16" w:rsidRDefault="00931F16">
      <w:pPr>
        <w:pStyle w:val="BodyText"/>
        <w:rPr>
          <w:rFonts w:ascii="Arial"/>
          <w:sz w:val="16"/>
        </w:rPr>
      </w:pPr>
    </w:p>
    <w:p w14:paraId="583CDBBC" w14:textId="77777777" w:rsidR="00931F16" w:rsidRDefault="00931F16">
      <w:pPr>
        <w:pStyle w:val="BodyText"/>
        <w:spacing w:before="147"/>
        <w:rPr>
          <w:rFonts w:ascii="Arial"/>
          <w:sz w:val="16"/>
        </w:rPr>
      </w:pPr>
    </w:p>
    <w:p w14:paraId="31C68DF2" w14:textId="77777777" w:rsidR="00931F16" w:rsidRDefault="00F8640C">
      <w:pPr>
        <w:spacing w:before="1" w:line="185" w:lineRule="exact"/>
        <w:ind w:right="1"/>
        <w:jc w:val="center"/>
        <w:rPr>
          <w:rFonts w:ascii="Arial Rounded MT Bold"/>
          <w:sz w:val="16"/>
        </w:rPr>
      </w:pPr>
      <w:r>
        <w:rPr>
          <w:rFonts w:ascii="Arial Rounded MT Bold"/>
          <w:spacing w:val="-2"/>
          <w:sz w:val="16"/>
        </w:rPr>
        <w:t>MARYLOU</w:t>
      </w:r>
      <w:r>
        <w:rPr>
          <w:rFonts w:ascii="Arial Rounded MT Bold"/>
          <w:spacing w:val="3"/>
          <w:sz w:val="16"/>
        </w:rPr>
        <w:t xml:space="preserve"> </w:t>
      </w:r>
      <w:r>
        <w:rPr>
          <w:rFonts w:ascii="Arial Rounded MT Bold"/>
          <w:spacing w:val="-2"/>
          <w:sz w:val="16"/>
        </w:rPr>
        <w:t>SUDDERS</w:t>
      </w:r>
    </w:p>
    <w:p w14:paraId="29403DCE" w14:textId="77777777" w:rsidR="00931F16" w:rsidRDefault="00F8640C">
      <w:pPr>
        <w:spacing w:line="162" w:lineRule="exact"/>
        <w:ind w:right="1"/>
        <w:jc w:val="center"/>
        <w:rPr>
          <w:rFonts w:ascii="Arial Rounded MT Bold"/>
          <w:sz w:val="14"/>
        </w:rPr>
      </w:pPr>
      <w:r>
        <w:rPr>
          <w:rFonts w:ascii="Arial Rounded MT Bold"/>
          <w:spacing w:val="-2"/>
          <w:sz w:val="14"/>
        </w:rPr>
        <w:t>Secretary</w:t>
      </w:r>
    </w:p>
    <w:p w14:paraId="208FC6DA" w14:textId="77777777" w:rsidR="00931F16" w:rsidRDefault="00F8640C">
      <w:pPr>
        <w:spacing w:before="120" w:line="185" w:lineRule="exact"/>
        <w:ind w:right="1"/>
        <w:jc w:val="center"/>
        <w:rPr>
          <w:rFonts w:ascii="Arial Rounded MT Bold"/>
          <w:sz w:val="16"/>
        </w:rPr>
      </w:pPr>
      <w:r>
        <w:rPr>
          <w:rFonts w:ascii="Arial Rounded MT Bold"/>
          <w:sz w:val="16"/>
        </w:rPr>
        <w:t>MARGRET</w:t>
      </w:r>
      <w:r>
        <w:rPr>
          <w:rFonts w:ascii="Arial Rounded MT Bold"/>
          <w:spacing w:val="-8"/>
          <w:sz w:val="16"/>
        </w:rPr>
        <w:t xml:space="preserve"> </w:t>
      </w:r>
      <w:r>
        <w:rPr>
          <w:rFonts w:ascii="Arial Rounded MT Bold"/>
          <w:sz w:val="16"/>
        </w:rPr>
        <w:t>R.</w:t>
      </w:r>
      <w:r>
        <w:rPr>
          <w:rFonts w:ascii="Arial Rounded MT Bold"/>
          <w:spacing w:val="-5"/>
          <w:sz w:val="16"/>
        </w:rPr>
        <w:t xml:space="preserve"> </w:t>
      </w:r>
      <w:r>
        <w:rPr>
          <w:rFonts w:ascii="Arial Rounded MT Bold"/>
          <w:spacing w:val="-2"/>
          <w:sz w:val="16"/>
        </w:rPr>
        <w:t>COOKE</w:t>
      </w:r>
    </w:p>
    <w:p w14:paraId="46CC69D1" w14:textId="77777777" w:rsidR="00931F16" w:rsidRDefault="00F8640C">
      <w:pPr>
        <w:spacing w:line="162" w:lineRule="exact"/>
        <w:ind w:right="1"/>
        <w:jc w:val="center"/>
        <w:rPr>
          <w:rFonts w:ascii="Arial Rounded MT Bold"/>
          <w:sz w:val="14"/>
        </w:rPr>
      </w:pPr>
      <w:r>
        <w:rPr>
          <w:rFonts w:ascii="Arial Rounded MT Bold"/>
          <w:spacing w:val="-2"/>
          <w:sz w:val="14"/>
        </w:rPr>
        <w:t>Commissioner</w:t>
      </w:r>
    </w:p>
    <w:p w14:paraId="2B0461DA" w14:textId="77777777" w:rsidR="00931F16" w:rsidRDefault="00931F16">
      <w:pPr>
        <w:pStyle w:val="BodyText"/>
        <w:rPr>
          <w:rFonts w:ascii="Arial Rounded MT Bold"/>
          <w:sz w:val="14"/>
        </w:rPr>
      </w:pPr>
    </w:p>
    <w:p w14:paraId="622AA363" w14:textId="77777777" w:rsidR="00931F16" w:rsidRDefault="00F8640C">
      <w:pPr>
        <w:jc w:val="center"/>
        <w:rPr>
          <w:rFonts w:ascii="Arial"/>
          <w:b/>
          <w:sz w:val="14"/>
        </w:rPr>
      </w:pPr>
      <w:r>
        <w:rPr>
          <w:rFonts w:ascii="Arial"/>
          <w:b/>
          <w:sz w:val="14"/>
        </w:rPr>
        <w:t>Tel:</w:t>
      </w:r>
      <w:r>
        <w:rPr>
          <w:rFonts w:ascii="Arial"/>
          <w:b/>
          <w:spacing w:val="-7"/>
          <w:sz w:val="14"/>
        </w:rPr>
        <w:t xml:space="preserve"> </w:t>
      </w:r>
      <w:r>
        <w:rPr>
          <w:rFonts w:ascii="Arial"/>
          <w:b/>
          <w:sz w:val="14"/>
        </w:rPr>
        <w:t>617-624-</w:t>
      </w:r>
      <w:r>
        <w:rPr>
          <w:rFonts w:ascii="Arial"/>
          <w:b/>
          <w:spacing w:val="-4"/>
          <w:sz w:val="14"/>
        </w:rPr>
        <w:t>6000</w:t>
      </w:r>
    </w:p>
    <w:p w14:paraId="18CAF9D7" w14:textId="77777777" w:rsidR="00931F16" w:rsidRDefault="00000000">
      <w:pPr>
        <w:ind w:right="1"/>
        <w:jc w:val="center"/>
        <w:rPr>
          <w:rFonts w:ascii="Arial"/>
          <w:b/>
          <w:sz w:val="14"/>
        </w:rPr>
      </w:pPr>
      <w:hyperlink r:id="rId5">
        <w:r w:rsidR="00F8640C">
          <w:rPr>
            <w:rFonts w:ascii="Arial"/>
            <w:b/>
            <w:spacing w:val="-2"/>
            <w:sz w:val="14"/>
          </w:rPr>
          <w:t>www.mass.gov/dph</w:t>
        </w:r>
      </w:hyperlink>
    </w:p>
    <w:p w14:paraId="3DDF5DA9" w14:textId="77777777" w:rsidR="00931F16" w:rsidRDefault="00931F16">
      <w:pPr>
        <w:jc w:val="center"/>
        <w:rPr>
          <w:rFonts w:ascii="Arial"/>
          <w:sz w:val="14"/>
        </w:rPr>
        <w:sectPr w:rsidR="00931F16" w:rsidSect="00C16A0B">
          <w:type w:val="continuous"/>
          <w:pgSz w:w="12240" w:h="15840"/>
          <w:pgMar w:top="560" w:right="680" w:bottom="280" w:left="700" w:header="720" w:footer="720" w:gutter="0"/>
          <w:cols w:num="3" w:space="720" w:equalWidth="0">
            <w:col w:w="1745" w:space="732"/>
            <w:col w:w="6269" w:space="243"/>
            <w:col w:w="1871"/>
          </w:cols>
        </w:sectPr>
      </w:pPr>
    </w:p>
    <w:p w14:paraId="3D18EAD8" w14:textId="77777777" w:rsidR="00931F16" w:rsidRDefault="00931F16">
      <w:pPr>
        <w:pStyle w:val="BodyText"/>
        <w:spacing w:before="177"/>
        <w:rPr>
          <w:rFonts w:ascii="Arial"/>
          <w:b/>
        </w:rPr>
      </w:pPr>
    </w:p>
    <w:p w14:paraId="7FF6411F" w14:textId="77777777" w:rsidR="00931F16" w:rsidRDefault="00F8640C">
      <w:pPr>
        <w:pStyle w:val="BodyText"/>
        <w:tabs>
          <w:tab w:val="left" w:pos="1099"/>
        </w:tabs>
        <w:ind w:left="1100" w:right="2556" w:hanging="720"/>
      </w:pPr>
      <w:r>
        <w:rPr>
          <w:spacing w:val="-4"/>
        </w:rPr>
        <w:t>To:</w:t>
      </w:r>
      <w:r>
        <w:tab/>
        <w:t>Licensed</w:t>
      </w:r>
      <w:r>
        <w:rPr>
          <w:spacing w:val="40"/>
        </w:rPr>
        <w:t xml:space="preserve"> </w:t>
      </w:r>
      <w:r>
        <w:t>Alcohol</w:t>
      </w:r>
      <w:r>
        <w:rPr>
          <w:spacing w:val="40"/>
        </w:rPr>
        <w:t xml:space="preserve"> </w:t>
      </w:r>
      <w:r>
        <w:t>and</w:t>
      </w:r>
      <w:r>
        <w:rPr>
          <w:spacing w:val="40"/>
        </w:rPr>
        <w:t xml:space="preserve"> </w:t>
      </w:r>
      <w:r>
        <w:t>Drug</w:t>
      </w:r>
      <w:r>
        <w:rPr>
          <w:spacing w:val="40"/>
        </w:rPr>
        <w:t xml:space="preserve"> </w:t>
      </w:r>
      <w:r>
        <w:t>Counselors,</w:t>
      </w:r>
      <w:r>
        <w:rPr>
          <w:spacing w:val="40"/>
        </w:rPr>
        <w:t xml:space="preserve"> </w:t>
      </w:r>
      <w:r>
        <w:t>BSAS-licensed</w:t>
      </w:r>
      <w:r>
        <w:rPr>
          <w:spacing w:val="40"/>
        </w:rPr>
        <w:t xml:space="preserve"> </w:t>
      </w:r>
      <w:r>
        <w:t>Providers,</w:t>
      </w:r>
      <w:r>
        <w:rPr>
          <w:spacing w:val="40"/>
        </w:rPr>
        <w:t xml:space="preserve"> </w:t>
      </w:r>
      <w:r>
        <w:t>and Substance Use Disorder Education Providers</w:t>
      </w:r>
    </w:p>
    <w:p w14:paraId="252D4E9B" w14:textId="77777777" w:rsidR="00931F16" w:rsidRDefault="00931F16">
      <w:pPr>
        <w:pStyle w:val="BodyText"/>
      </w:pPr>
    </w:p>
    <w:p w14:paraId="562D4C07" w14:textId="77777777" w:rsidR="00931F16" w:rsidRDefault="00F8640C">
      <w:pPr>
        <w:pStyle w:val="BodyText"/>
        <w:tabs>
          <w:tab w:val="left" w:pos="1099"/>
        </w:tabs>
        <w:spacing w:line="480" w:lineRule="auto"/>
        <w:ind w:left="380" w:right="1240"/>
      </w:pPr>
      <w:r>
        <w:t>From:</w:t>
      </w:r>
      <w:r>
        <w:rPr>
          <w:spacing w:val="40"/>
        </w:rPr>
        <w:t xml:space="preserve"> </w:t>
      </w:r>
      <w:r>
        <w:t>Deirdre</w:t>
      </w:r>
      <w:r>
        <w:rPr>
          <w:spacing w:val="-3"/>
        </w:rPr>
        <w:t xml:space="preserve"> </w:t>
      </w:r>
      <w:r>
        <w:t>Calvert,</w:t>
      </w:r>
      <w:r>
        <w:rPr>
          <w:spacing w:val="-4"/>
        </w:rPr>
        <w:t xml:space="preserve"> </w:t>
      </w:r>
      <w:r>
        <w:t>MSW,</w:t>
      </w:r>
      <w:r>
        <w:rPr>
          <w:spacing w:val="-3"/>
        </w:rPr>
        <w:t xml:space="preserve"> </w:t>
      </w:r>
      <w:r>
        <w:t>LICSW,</w:t>
      </w:r>
      <w:r>
        <w:rPr>
          <w:spacing w:val="-3"/>
        </w:rPr>
        <w:t xml:space="preserve"> </w:t>
      </w:r>
      <w:r>
        <w:t>Director</w:t>
      </w:r>
      <w:r>
        <w:rPr>
          <w:spacing w:val="-4"/>
        </w:rPr>
        <w:t xml:space="preserve"> </w:t>
      </w:r>
      <w:r>
        <w:t>of</w:t>
      </w:r>
      <w:r>
        <w:rPr>
          <w:spacing w:val="-3"/>
        </w:rPr>
        <w:t xml:space="preserve"> </w:t>
      </w:r>
      <w:r>
        <w:t>the</w:t>
      </w:r>
      <w:r>
        <w:rPr>
          <w:spacing w:val="-3"/>
        </w:rPr>
        <w:t xml:space="preserve"> </w:t>
      </w:r>
      <w:r>
        <w:t>Bureau</w:t>
      </w:r>
      <w:r>
        <w:rPr>
          <w:spacing w:val="-3"/>
        </w:rPr>
        <w:t xml:space="preserve"> </w:t>
      </w:r>
      <w:r>
        <w:t>of</w:t>
      </w:r>
      <w:r>
        <w:rPr>
          <w:spacing w:val="-3"/>
        </w:rPr>
        <w:t xml:space="preserve"> </w:t>
      </w:r>
      <w:r>
        <w:t>Substance</w:t>
      </w:r>
      <w:r>
        <w:rPr>
          <w:spacing w:val="-3"/>
        </w:rPr>
        <w:t xml:space="preserve"> </w:t>
      </w:r>
      <w:r>
        <w:t>Addiction</w:t>
      </w:r>
      <w:r>
        <w:rPr>
          <w:spacing w:val="-3"/>
        </w:rPr>
        <w:t xml:space="preserve"> </w:t>
      </w:r>
      <w:r>
        <w:t xml:space="preserve">Services </w:t>
      </w:r>
      <w:r>
        <w:rPr>
          <w:spacing w:val="-2"/>
        </w:rPr>
        <w:t>Date:</w:t>
      </w:r>
      <w:r>
        <w:tab/>
        <w:t>May 6, 2022</w:t>
      </w:r>
    </w:p>
    <w:p w14:paraId="22CA7978" w14:textId="77777777" w:rsidR="00931F16" w:rsidRDefault="00F8640C">
      <w:pPr>
        <w:pStyle w:val="BodyText"/>
        <w:tabs>
          <w:tab w:val="left" w:pos="1073"/>
        </w:tabs>
        <w:ind w:left="380"/>
      </w:pPr>
      <w:r>
        <w:rPr>
          <w:noProof/>
        </w:rPr>
        <mc:AlternateContent>
          <mc:Choice Requires="wps">
            <w:drawing>
              <wp:anchor distT="0" distB="0" distL="0" distR="0" simplePos="0" relativeHeight="487587840" behindDoc="1" locked="0" layoutInCell="1" allowOverlap="1" wp14:anchorId="7D45419E" wp14:editId="4FC631C0">
                <wp:simplePos x="0" y="0"/>
                <wp:positionH relativeFrom="page">
                  <wp:posOffset>666750</wp:posOffset>
                </wp:positionH>
                <wp:positionV relativeFrom="paragraph">
                  <wp:posOffset>187378</wp:posOffset>
                </wp:positionV>
                <wp:extent cx="6440170" cy="635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6350"/>
                        </a:xfrm>
                        <a:custGeom>
                          <a:avLst/>
                          <a:gdLst/>
                          <a:ahLst/>
                          <a:cxnLst/>
                          <a:rect l="l" t="t" r="r" b="b"/>
                          <a:pathLst>
                            <a:path w="6440170" h="6350">
                              <a:moveTo>
                                <a:pt x="6439661" y="0"/>
                              </a:moveTo>
                              <a:lnTo>
                                <a:pt x="0" y="0"/>
                              </a:lnTo>
                              <a:lnTo>
                                <a:pt x="0" y="6096"/>
                              </a:lnTo>
                              <a:lnTo>
                                <a:pt x="6439661" y="6096"/>
                              </a:lnTo>
                              <a:lnTo>
                                <a:pt x="6439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BB2205" id="Graphic 2" o:spid="_x0000_s1026" alt="&quot;&quot;" style="position:absolute;margin-left:52.5pt;margin-top:14.75pt;width:507.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40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" path="m6439661,l,,,6096r6439661,l6439661,xe" fillcolor="black" stroked="f">
                <v:path arrowok="t"/>
                <w10:wrap type="topAndBottom" anchorx="page"/>
              </v:shape>
            </w:pict>
          </mc:Fallback>
        </mc:AlternateContent>
      </w:r>
      <w:r>
        <w:rPr>
          <w:spacing w:val="-5"/>
        </w:rPr>
        <w:t>Re:</w:t>
      </w:r>
      <w:r>
        <w:tab/>
        <w:t>LADC</w:t>
      </w:r>
      <w:r>
        <w:rPr>
          <w:spacing w:val="-1"/>
        </w:rPr>
        <w:t xml:space="preserve"> </w:t>
      </w:r>
      <w:r>
        <w:t>Application</w:t>
      </w:r>
      <w:r>
        <w:rPr>
          <w:spacing w:val="1"/>
        </w:rPr>
        <w:t xml:space="preserve"> </w:t>
      </w:r>
      <w:r>
        <w:t>and</w:t>
      </w:r>
      <w:r>
        <w:rPr>
          <w:spacing w:val="-1"/>
        </w:rPr>
        <w:t xml:space="preserve"> </w:t>
      </w:r>
      <w:r>
        <w:t xml:space="preserve">Licensing Fee </w:t>
      </w:r>
      <w:r>
        <w:rPr>
          <w:spacing w:val="-2"/>
        </w:rPr>
        <w:t>Waiver</w:t>
      </w:r>
    </w:p>
    <w:p w14:paraId="4CA2AAAA" w14:textId="77777777" w:rsidR="00931F16" w:rsidRDefault="00931F16">
      <w:pPr>
        <w:pStyle w:val="BodyText"/>
        <w:spacing w:before="1"/>
      </w:pPr>
    </w:p>
    <w:p w14:paraId="177A0CD5" w14:textId="77777777" w:rsidR="00931F16" w:rsidRDefault="00F8640C">
      <w:pPr>
        <w:pStyle w:val="BodyText"/>
        <w:ind w:left="380" w:right="396"/>
        <w:jc w:val="both"/>
      </w:pPr>
      <w:r>
        <w:t xml:space="preserve">The Department of Public Health, Bureau of Substance Addiction Services recognizes the continuing workforce challenges facing the Treatment System. </w:t>
      </w:r>
      <w:proofErr w:type="gramStart"/>
      <w:r>
        <w:t>In order to</w:t>
      </w:r>
      <w:proofErr w:type="gramEnd"/>
      <w:r>
        <w:t xml:space="preserve"> assist with supporting and developing</w:t>
      </w:r>
      <w:r>
        <w:rPr>
          <w:spacing w:val="40"/>
        </w:rPr>
        <w:t xml:space="preserve"> </w:t>
      </w:r>
      <w:r>
        <w:t>this workforce further the Department is providing a waiver for certain regulatory requirements associated with Licensed Alcohol and Drug Counselors (LADC) pursuant to 105 CMR 168.000.</w:t>
      </w:r>
    </w:p>
    <w:p w14:paraId="404B0F63" w14:textId="77777777" w:rsidR="00931F16" w:rsidRDefault="00931F16">
      <w:pPr>
        <w:pStyle w:val="BodyText"/>
        <w:spacing w:before="1"/>
      </w:pPr>
    </w:p>
    <w:p w14:paraId="1A9A11CC" w14:textId="77777777" w:rsidR="00931F16" w:rsidRDefault="00F8640C">
      <w:pPr>
        <w:pStyle w:val="BodyText"/>
        <w:ind w:left="380" w:right="398"/>
        <w:jc w:val="both"/>
      </w:pPr>
      <w:r>
        <w:t xml:space="preserve">As of </w:t>
      </w:r>
      <w:r>
        <w:rPr>
          <w:b/>
          <w:u w:val="single"/>
        </w:rPr>
        <w:t>May 9, 2022</w:t>
      </w:r>
      <w:r>
        <w:t>, The Department is issuing a waiver for the required application and licensing fee. The Department will waive the fee for both new and renewal applications for Licensed Alcohol and Drug Counselors to include all levels of licensure.</w:t>
      </w:r>
    </w:p>
    <w:p w14:paraId="23A987DE" w14:textId="77777777" w:rsidR="00931F16" w:rsidRDefault="00931F16">
      <w:pPr>
        <w:pStyle w:val="BodyText"/>
      </w:pPr>
    </w:p>
    <w:p w14:paraId="39CE1170" w14:textId="77777777" w:rsidR="00931F16" w:rsidRDefault="00F8640C">
      <w:pPr>
        <w:pStyle w:val="BodyText"/>
        <w:spacing w:line="480" w:lineRule="auto"/>
        <w:ind w:left="380" w:right="2207"/>
      </w:pPr>
      <w:r>
        <w:t>This</w:t>
      </w:r>
      <w:r>
        <w:rPr>
          <w:spacing w:val="-3"/>
        </w:rPr>
        <w:t xml:space="preserve"> </w:t>
      </w:r>
      <w:r>
        <w:t>waiver</w:t>
      </w:r>
      <w:r>
        <w:rPr>
          <w:spacing w:val="-4"/>
        </w:rPr>
        <w:t xml:space="preserve"> </w:t>
      </w:r>
      <w:r>
        <w:t>will</w:t>
      </w:r>
      <w:r>
        <w:rPr>
          <w:spacing w:val="-3"/>
        </w:rPr>
        <w:t xml:space="preserve"> </w:t>
      </w:r>
      <w:r>
        <w:t>be</w:t>
      </w:r>
      <w:r>
        <w:rPr>
          <w:spacing w:val="-4"/>
        </w:rPr>
        <w:t xml:space="preserve"> </w:t>
      </w:r>
      <w:r>
        <w:t>in</w:t>
      </w:r>
      <w:r>
        <w:rPr>
          <w:spacing w:val="-3"/>
        </w:rPr>
        <w:t xml:space="preserve"> </w:t>
      </w:r>
      <w:r>
        <w:t>effect</w:t>
      </w:r>
      <w:r>
        <w:rPr>
          <w:spacing w:val="-3"/>
        </w:rPr>
        <w:t xml:space="preserve"> </w:t>
      </w:r>
      <w:r>
        <w:t>until</w:t>
      </w:r>
      <w:r>
        <w:rPr>
          <w:spacing w:val="-3"/>
        </w:rPr>
        <w:t xml:space="preserve"> </w:t>
      </w:r>
      <w:r>
        <w:t>such</w:t>
      </w:r>
      <w:r>
        <w:rPr>
          <w:spacing w:val="-3"/>
        </w:rPr>
        <w:t xml:space="preserve"> </w:t>
      </w:r>
      <w:r>
        <w:t>time</w:t>
      </w:r>
      <w:r>
        <w:rPr>
          <w:spacing w:val="-3"/>
        </w:rPr>
        <w:t xml:space="preserve"> </w:t>
      </w:r>
      <w:r>
        <w:t>as</w:t>
      </w:r>
      <w:r>
        <w:rPr>
          <w:spacing w:val="-4"/>
        </w:rPr>
        <w:t xml:space="preserve"> </w:t>
      </w:r>
      <w:r>
        <w:t>the</w:t>
      </w:r>
      <w:r>
        <w:rPr>
          <w:spacing w:val="-3"/>
        </w:rPr>
        <w:t xml:space="preserve"> </w:t>
      </w:r>
      <w:r>
        <w:t>Department</w:t>
      </w:r>
      <w:r>
        <w:rPr>
          <w:spacing w:val="-3"/>
        </w:rPr>
        <w:t xml:space="preserve"> </w:t>
      </w:r>
      <w:r>
        <w:t>rescinds</w:t>
      </w:r>
      <w:r>
        <w:rPr>
          <w:spacing w:val="-3"/>
        </w:rPr>
        <w:t xml:space="preserve"> </w:t>
      </w:r>
      <w:r>
        <w:t>the</w:t>
      </w:r>
      <w:r>
        <w:rPr>
          <w:spacing w:val="-3"/>
        </w:rPr>
        <w:t xml:space="preserve"> </w:t>
      </w:r>
      <w:r>
        <w:t>waiver. 105 CMR 168.007 (F)</w:t>
      </w:r>
    </w:p>
    <w:p w14:paraId="317FBB99" w14:textId="77777777" w:rsidR="00931F16" w:rsidRDefault="00F8640C">
      <w:pPr>
        <w:pStyle w:val="BodyText"/>
        <w:ind w:left="380"/>
      </w:pPr>
      <w:r>
        <w:t>(F)</w:t>
      </w:r>
      <w:r>
        <w:rPr>
          <w:spacing w:val="-1"/>
        </w:rPr>
        <w:t xml:space="preserve"> </w:t>
      </w:r>
      <w:r>
        <w:rPr>
          <w:u w:val="single"/>
        </w:rPr>
        <w:t>Fees</w:t>
      </w:r>
      <w:r>
        <w:t>.</w:t>
      </w:r>
      <w:r>
        <w:rPr>
          <w:spacing w:val="-1"/>
        </w:rPr>
        <w:t xml:space="preserve"> </w:t>
      </w:r>
      <w:r>
        <w:t>Each application</w:t>
      </w:r>
      <w:r>
        <w:rPr>
          <w:spacing w:val="-1"/>
        </w:rPr>
        <w:t xml:space="preserve"> </w:t>
      </w:r>
      <w:r>
        <w:t>submitted</w:t>
      </w:r>
      <w:r>
        <w:rPr>
          <w:spacing w:val="-1"/>
        </w:rPr>
        <w:t xml:space="preserve"> </w:t>
      </w:r>
      <w:r>
        <w:t>shall</w:t>
      </w:r>
      <w:r>
        <w:rPr>
          <w:spacing w:val="-1"/>
        </w:rPr>
        <w:t xml:space="preserve"> </w:t>
      </w:r>
      <w:r>
        <w:t>include</w:t>
      </w:r>
      <w:r>
        <w:rPr>
          <w:spacing w:val="-1"/>
        </w:rPr>
        <w:t xml:space="preserve"> </w:t>
      </w:r>
      <w:r>
        <w:t>the</w:t>
      </w:r>
      <w:r>
        <w:rPr>
          <w:spacing w:val="-1"/>
        </w:rPr>
        <w:t xml:space="preserve"> </w:t>
      </w:r>
      <w:r>
        <w:t>requisite</w:t>
      </w:r>
      <w:r>
        <w:rPr>
          <w:spacing w:val="-1"/>
        </w:rPr>
        <w:t xml:space="preserve"> </w:t>
      </w:r>
      <w:r>
        <w:t>fee</w:t>
      </w:r>
      <w:r>
        <w:rPr>
          <w:spacing w:val="-1"/>
        </w:rPr>
        <w:t xml:space="preserve"> </w:t>
      </w:r>
      <w:r>
        <w:t xml:space="preserve">of </w:t>
      </w:r>
      <w:r>
        <w:rPr>
          <w:spacing w:val="-2"/>
        </w:rPr>
        <w:t>$100.00.</w:t>
      </w:r>
    </w:p>
    <w:p w14:paraId="0C4CA21E" w14:textId="77777777" w:rsidR="00931F16" w:rsidRDefault="00931F16">
      <w:pPr>
        <w:pStyle w:val="BodyText"/>
      </w:pPr>
    </w:p>
    <w:p w14:paraId="72F421F3" w14:textId="77777777" w:rsidR="00931F16" w:rsidRDefault="00F8640C">
      <w:pPr>
        <w:pStyle w:val="BodyText"/>
        <w:ind w:left="380" w:right="400"/>
        <w:jc w:val="both"/>
      </w:pPr>
      <w:r>
        <w:t>The</w:t>
      </w:r>
      <w:r>
        <w:rPr>
          <w:spacing w:val="-2"/>
        </w:rPr>
        <w:t xml:space="preserve"> </w:t>
      </w:r>
      <w:r>
        <w:t>Department</w:t>
      </w:r>
      <w:r>
        <w:rPr>
          <w:spacing w:val="-2"/>
        </w:rPr>
        <w:t xml:space="preserve"> </w:t>
      </w:r>
      <w:r>
        <w:t>intends</w:t>
      </w:r>
      <w:r>
        <w:rPr>
          <w:spacing w:val="-2"/>
        </w:rPr>
        <w:t xml:space="preserve"> </w:t>
      </w:r>
      <w:r>
        <w:t>to</w:t>
      </w:r>
      <w:r>
        <w:rPr>
          <w:spacing w:val="-2"/>
        </w:rPr>
        <w:t xml:space="preserve"> </w:t>
      </w:r>
      <w:r>
        <w:t>seek</w:t>
      </w:r>
      <w:r>
        <w:rPr>
          <w:spacing w:val="-2"/>
        </w:rPr>
        <w:t xml:space="preserve"> </w:t>
      </w:r>
      <w:r>
        <w:t>out</w:t>
      </w:r>
      <w:r>
        <w:rPr>
          <w:spacing w:val="-2"/>
        </w:rPr>
        <w:t xml:space="preserve"> </w:t>
      </w:r>
      <w:r>
        <w:t>additional</w:t>
      </w:r>
      <w:r>
        <w:rPr>
          <w:spacing w:val="-3"/>
        </w:rPr>
        <w:t xml:space="preserve"> </w:t>
      </w:r>
      <w:r>
        <w:t>opportunities</w:t>
      </w:r>
      <w:r>
        <w:rPr>
          <w:spacing w:val="-2"/>
        </w:rPr>
        <w:t xml:space="preserve"> </w:t>
      </w:r>
      <w:r>
        <w:t>to</w:t>
      </w:r>
      <w:r>
        <w:rPr>
          <w:spacing w:val="-2"/>
        </w:rPr>
        <w:t xml:space="preserve"> </w:t>
      </w:r>
      <w:r>
        <w:t>reduce</w:t>
      </w:r>
      <w:r>
        <w:rPr>
          <w:spacing w:val="-2"/>
        </w:rPr>
        <w:t xml:space="preserve"> </w:t>
      </w:r>
      <w:r>
        <w:t>and/or</w:t>
      </w:r>
      <w:r>
        <w:rPr>
          <w:spacing w:val="-2"/>
        </w:rPr>
        <w:t xml:space="preserve"> </w:t>
      </w:r>
      <w:r>
        <w:t>eliminate</w:t>
      </w:r>
      <w:r>
        <w:rPr>
          <w:spacing w:val="-2"/>
        </w:rPr>
        <w:t xml:space="preserve"> </w:t>
      </w:r>
      <w:r>
        <w:t>financial</w:t>
      </w:r>
      <w:r>
        <w:rPr>
          <w:spacing w:val="-2"/>
        </w:rPr>
        <w:t xml:space="preserve"> </w:t>
      </w:r>
      <w:r>
        <w:t>burdens associated with LADC licensure. LADC licensees are an essential and impactful part of the Substance Use Disorder Treatment and Recovery System, therefore the Department is encouraging individuals to further their professional development in the substance use disorder field through LADC licensure.</w:t>
      </w:r>
    </w:p>
    <w:p w14:paraId="1AC76B4E" w14:textId="77777777" w:rsidR="00931F16" w:rsidRDefault="00931F16">
      <w:pPr>
        <w:pStyle w:val="BodyText"/>
      </w:pPr>
    </w:p>
    <w:p w14:paraId="6F6C44E8" w14:textId="77777777" w:rsidR="00931F16" w:rsidRDefault="00F8640C">
      <w:pPr>
        <w:pStyle w:val="BodyText"/>
        <w:ind w:left="380" w:right="397"/>
        <w:jc w:val="both"/>
      </w:pPr>
      <w:r>
        <w:t xml:space="preserve">If you have any questions associated with the waiver or the LADC licensing requirements, please reach out to Ian Bain, LADC Coordinator, at </w:t>
      </w:r>
      <w:hyperlink r:id="rId6">
        <w:r>
          <w:rPr>
            <w:color w:val="0000FF"/>
            <w:u w:val="single" w:color="0000FF"/>
          </w:rPr>
          <w:t>Ian.Bain@mass.gov</w:t>
        </w:r>
      </w:hyperlink>
      <w:r>
        <w:rPr>
          <w:color w:val="0000FF"/>
        </w:rPr>
        <w:t xml:space="preserve"> </w:t>
      </w:r>
      <w:r>
        <w:t>.</w:t>
      </w:r>
    </w:p>
    <w:p w14:paraId="279C739D" w14:textId="77777777" w:rsidR="00931F16" w:rsidRDefault="00931F16">
      <w:pPr>
        <w:pStyle w:val="BodyText"/>
      </w:pPr>
    </w:p>
    <w:p w14:paraId="380C2747" w14:textId="77777777" w:rsidR="00931F16" w:rsidRDefault="00F8640C">
      <w:pPr>
        <w:pStyle w:val="BodyText"/>
        <w:ind w:left="380"/>
      </w:pPr>
      <w:r>
        <w:t>LADC</w:t>
      </w:r>
      <w:r>
        <w:rPr>
          <w:spacing w:val="-1"/>
        </w:rPr>
        <w:t xml:space="preserve"> </w:t>
      </w:r>
      <w:r>
        <w:t>Licensure Information can</w:t>
      </w:r>
      <w:r>
        <w:rPr>
          <w:spacing w:val="-3"/>
        </w:rPr>
        <w:t xml:space="preserve"> </w:t>
      </w:r>
      <w:r>
        <w:t xml:space="preserve">be found </w:t>
      </w:r>
      <w:r>
        <w:rPr>
          <w:spacing w:val="-5"/>
        </w:rPr>
        <w:t>at:</w:t>
      </w:r>
    </w:p>
    <w:p w14:paraId="454B8F15" w14:textId="77777777" w:rsidR="00931F16" w:rsidRDefault="00000000">
      <w:pPr>
        <w:pStyle w:val="BodyText"/>
        <w:ind w:left="380"/>
      </w:pPr>
      <w:hyperlink r:id="rId7">
        <w:r w:rsidR="00F8640C">
          <w:rPr>
            <w:color w:val="0000FF"/>
            <w:spacing w:val="-2"/>
            <w:u w:val="single" w:color="0000FF"/>
          </w:rPr>
          <w:t>https://www.mass.gov/ladc-and-substance-use-disorder-treatment-program-licensing</w:t>
        </w:r>
      </w:hyperlink>
    </w:p>
    <w:sectPr w:rsidR="00931F16">
      <w:type w:val="continuous"/>
      <w:pgSz w:w="12240" w:h="15840"/>
      <w:pgMar w:top="560" w:right="6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DG2MLI0MbMwNTFR0lEKTi0uzszPAykwrAUAbO7qeiwAAAA="/>
  </w:docVars>
  <w:rsids>
    <w:rsidRoot w:val="00931F16"/>
    <w:rsid w:val="006A3026"/>
    <w:rsid w:val="00931F16"/>
    <w:rsid w:val="00B12367"/>
    <w:rsid w:val="00C0374C"/>
    <w:rsid w:val="00C16A0B"/>
    <w:rsid w:val="00F8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A7DB4"/>
  <w15:docId w15:val="{015BB73A-EF1F-4017-BEA8-65549559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0"/>
      <w:ind w:left="67"/>
      <w:jc w:val="center"/>
    </w:pPr>
    <w:rPr>
      <w:rFonts w:ascii="Arial" w:eastAsia="Arial" w:hAnsi="Arial" w:cs="Arial"/>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ss.gov/ladc-and-substance-use-disorder-treatment-program-licens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an.Bain@mass.gov" TargetMode="External"/><Relationship Id="rId5" Type="http://schemas.openxmlformats.org/officeDocument/2006/relationships/hyperlink" Target="http://www.mass.gov/dph"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Harrison, Deborah (EHS)</cp:lastModifiedBy>
  <cp:revision>2</cp:revision>
  <dcterms:created xsi:type="dcterms:W3CDTF">2024-09-24T11:02:00Z</dcterms:created>
  <dcterms:modified xsi:type="dcterms:W3CDTF">2024-09-24T11:02:00Z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Microsoft® Word for Microsoft 365</vt:lpwstr>
  </property>
  <property fmtid="{D5CDD505-2E9C-101B-9397-08002B2CF9AE}" pid="4" name="LastSaved">
    <vt:filetime>2024-03-21T00:00:00Z</vt:filetime>
  </property>
  <property fmtid="{D5CDD505-2E9C-101B-9397-08002B2CF9AE}" pid="5" name="Producer">
    <vt:lpwstr>Microsoft® Word for Microsoft 365</vt:lpwstr>
  </property>
  <property fmtid="{D5CDD505-2E9C-101B-9397-08002B2CF9AE}" pid="6" name="GrammarlyDocumentId">
    <vt:lpwstr>f6da73621aeb1fc59abf563b4bbb954b6ba39db663f63cd2a52db140bd0f8d40</vt:lpwstr>
  </property>
</Properties>
</file>