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D1E2" w14:textId="77777777" w:rsidR="00215DC0" w:rsidRDefault="00215DC0" w:rsidP="00215DC0">
      <w:pPr>
        <w:spacing w:before="65"/>
        <w:ind w:left="7340" w:firstLine="580"/>
        <w:rPr>
          <w:rFonts w:ascii="Book Antiqua"/>
          <w:sz w:val="18"/>
        </w:rPr>
      </w:pPr>
      <w:r>
        <w:rPr>
          <w:noProof/>
        </w:rPr>
        <w:drawing>
          <wp:inline distT="0" distB="0" distL="0" distR="0" wp14:anchorId="22AEC7D1" wp14:editId="68A183A1">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22AEC7AB" w14:textId="1743A5C9" w:rsidR="002E6846" w:rsidRDefault="00215DC0">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22AEC7AC" w14:textId="77777777" w:rsidR="002E6846" w:rsidRDefault="00215DC0">
      <w:pPr>
        <w:spacing w:before="9" w:line="249" w:lineRule="auto"/>
        <w:ind w:left="140" w:right="616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22AEC7AD" w14:textId="77777777" w:rsidR="002E6846" w:rsidRDefault="002E6846">
      <w:pPr>
        <w:pStyle w:val="BodyText"/>
        <w:spacing w:before="9"/>
        <w:ind w:left="0"/>
        <w:rPr>
          <w:rFonts w:ascii="Book Antiqua"/>
          <w:sz w:val="10"/>
        </w:rPr>
      </w:pPr>
    </w:p>
    <w:p w14:paraId="22AEC7AE" w14:textId="77777777" w:rsidR="002E6846" w:rsidRDefault="00215DC0">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22AEC7AF" w14:textId="77777777" w:rsidR="002E6846" w:rsidRDefault="002E6846">
      <w:pPr>
        <w:pStyle w:val="BodyText"/>
        <w:spacing w:before="10"/>
        <w:ind w:left="0"/>
        <w:rPr>
          <w:rFonts w:ascii="Book Antiqua"/>
          <w:b/>
          <w:sz w:val="22"/>
        </w:rPr>
      </w:pPr>
    </w:p>
    <w:p w14:paraId="22AEC7B0" w14:textId="77777777" w:rsidR="002E6846" w:rsidRDefault="00215DC0">
      <w:pPr>
        <w:pStyle w:val="BodyText"/>
      </w:pPr>
      <w:r>
        <w:t>July</w:t>
      </w:r>
      <w:r>
        <w:rPr>
          <w:spacing w:val="-3"/>
        </w:rPr>
        <w:t xml:space="preserve"> </w:t>
      </w:r>
      <w:r>
        <w:t>24,</w:t>
      </w:r>
      <w:r>
        <w:rPr>
          <w:spacing w:val="-1"/>
        </w:rPr>
        <w:t xml:space="preserve"> </w:t>
      </w:r>
      <w:r>
        <w:rPr>
          <w:spacing w:val="-4"/>
        </w:rPr>
        <w:t>2023</w:t>
      </w:r>
    </w:p>
    <w:p w14:paraId="22AEC7B1" w14:textId="77777777" w:rsidR="002E6846" w:rsidRDefault="002E6846">
      <w:pPr>
        <w:pStyle w:val="BodyText"/>
        <w:ind w:left="0"/>
      </w:pPr>
    </w:p>
    <w:p w14:paraId="22AEC7B2" w14:textId="77777777" w:rsidR="002E6846" w:rsidRDefault="00215DC0">
      <w:pPr>
        <w:pStyle w:val="BodyText"/>
      </w:pPr>
      <w:r>
        <w:t>Mike</w:t>
      </w:r>
      <w:r>
        <w:rPr>
          <w:spacing w:val="-2"/>
        </w:rPr>
        <w:t xml:space="preserve"> Levine</w:t>
      </w:r>
    </w:p>
    <w:p w14:paraId="22AEC7B3" w14:textId="77777777" w:rsidR="002E6846" w:rsidRDefault="00215DC0">
      <w:pPr>
        <w:pStyle w:val="BodyText"/>
        <w:ind w:right="3254"/>
      </w:pPr>
      <w:r>
        <w:t>Assistant</w:t>
      </w:r>
      <w:r>
        <w:rPr>
          <w:spacing w:val="-8"/>
        </w:rPr>
        <w:t xml:space="preserve"> </w:t>
      </w:r>
      <w:r>
        <w:t>Secretary</w:t>
      </w:r>
      <w:r>
        <w:rPr>
          <w:spacing w:val="-7"/>
        </w:rPr>
        <w:t xml:space="preserve"> </w:t>
      </w:r>
      <w:r>
        <w:t>for</w:t>
      </w:r>
      <w:r>
        <w:rPr>
          <w:spacing w:val="-8"/>
        </w:rPr>
        <w:t xml:space="preserve"> </w:t>
      </w:r>
      <w:r>
        <w:t>MassHealth,</w:t>
      </w:r>
      <w:r>
        <w:rPr>
          <w:spacing w:val="-8"/>
        </w:rPr>
        <w:t xml:space="preserve"> </w:t>
      </w:r>
      <w:r>
        <w:t>Medicaid</w:t>
      </w:r>
      <w:r>
        <w:rPr>
          <w:spacing w:val="-8"/>
        </w:rPr>
        <w:t xml:space="preserve"> </w:t>
      </w:r>
      <w:r>
        <w:t>Director Massachusetts Office of Medicaid</w:t>
      </w:r>
    </w:p>
    <w:p w14:paraId="22AEC7B4" w14:textId="77777777" w:rsidR="002E6846" w:rsidRDefault="00215DC0">
      <w:pPr>
        <w:pStyle w:val="BodyText"/>
        <w:ind w:right="488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22AEC7B5" w14:textId="77777777" w:rsidR="002E6846" w:rsidRDefault="00215DC0">
      <w:pPr>
        <w:pStyle w:val="BodyText"/>
        <w:spacing w:before="1" w:line="480" w:lineRule="auto"/>
        <w:ind w:right="6597"/>
      </w:pPr>
      <w:r>
        <w:t>Boston,</w:t>
      </w:r>
      <w:r>
        <w:rPr>
          <w:spacing w:val="-15"/>
        </w:rPr>
        <w:t xml:space="preserve"> </w:t>
      </w:r>
      <w:r>
        <w:t>Massachusetts</w:t>
      </w:r>
      <w:r>
        <w:rPr>
          <w:spacing w:val="-15"/>
        </w:rPr>
        <w:t xml:space="preserve"> </w:t>
      </w:r>
      <w:r>
        <w:t>02108 Dear Mr. Levine:</w:t>
      </w:r>
    </w:p>
    <w:p w14:paraId="22AEC7B6" w14:textId="77777777" w:rsidR="002E6846" w:rsidRDefault="00215DC0">
      <w:pPr>
        <w:pStyle w:val="BodyText"/>
      </w:pPr>
      <w:r>
        <w:t>This letter is in response to Massachusetts’s request, dated May 5, 2023, for</w:t>
      </w:r>
      <w:r>
        <w:rPr>
          <w:spacing w:val="-1"/>
        </w:rPr>
        <w:t xml:space="preserve"> </w:t>
      </w:r>
      <w:r>
        <w:t>a</w:t>
      </w:r>
      <w:r>
        <w:rPr>
          <w:spacing w:val="-1"/>
        </w:rPr>
        <w:t xml:space="preserve"> </w:t>
      </w:r>
      <w:r>
        <w:t>waiver under section 1902(e)(14)(A)</w:t>
      </w:r>
      <w:r>
        <w:rPr>
          <w:spacing w:val="-5"/>
        </w:rPr>
        <w:t xml:space="preserve"> </w:t>
      </w:r>
      <w:r>
        <w:t>of</w:t>
      </w:r>
      <w:r>
        <w:rPr>
          <w:spacing w:val="-3"/>
        </w:rPr>
        <w:t xml:space="preserve"> </w:t>
      </w:r>
      <w:r>
        <w:t>the</w:t>
      </w:r>
      <w:r>
        <w:rPr>
          <w:spacing w:val="-5"/>
        </w:rPr>
        <w:t xml:space="preserve"> </w:t>
      </w:r>
      <w:r>
        <w:t>Social</w:t>
      </w:r>
      <w:r>
        <w:rPr>
          <w:spacing w:val="-3"/>
        </w:rPr>
        <w:t xml:space="preserve"> </w:t>
      </w:r>
      <w:r>
        <w:t>Security</w:t>
      </w:r>
      <w:r>
        <w:rPr>
          <w:spacing w:val="-3"/>
        </w:rPr>
        <w:t xml:space="preserve"> </w:t>
      </w:r>
      <w:r>
        <w:t>Act</w:t>
      </w:r>
      <w:r>
        <w:rPr>
          <w:spacing w:val="-3"/>
        </w:rPr>
        <w:t xml:space="preserve"> </w:t>
      </w:r>
      <w:r>
        <w:t>(the</w:t>
      </w:r>
      <w:r>
        <w:rPr>
          <w:spacing w:val="-4"/>
        </w:rPr>
        <w:t xml:space="preserve"> </w:t>
      </w:r>
      <w:r>
        <w:t>Act),</w:t>
      </w:r>
      <w:r>
        <w:rPr>
          <w:spacing w:val="-3"/>
        </w:rPr>
        <w:t xml:space="preserve"> </w:t>
      </w:r>
      <w:r>
        <w:t>that</w:t>
      </w:r>
      <w:r>
        <w:rPr>
          <w:spacing w:val="-3"/>
        </w:rPr>
        <w:t xml:space="preserve"> </w:t>
      </w:r>
      <w:r>
        <w:t>will</w:t>
      </w:r>
      <w:r>
        <w:rPr>
          <w:spacing w:val="-3"/>
        </w:rPr>
        <w:t xml:space="preserve"> </w:t>
      </w:r>
      <w:r>
        <w:t>protect</w:t>
      </w:r>
      <w:r>
        <w:rPr>
          <w:spacing w:val="-3"/>
        </w:rPr>
        <w:t xml:space="preserve"> </w:t>
      </w:r>
      <w:r>
        <w:t>beneficiaries</w:t>
      </w:r>
      <w:r>
        <w:rPr>
          <w:spacing w:val="-3"/>
        </w:rPr>
        <w:t xml:space="preserve"> </w:t>
      </w:r>
      <w:r>
        <w:t>in</w:t>
      </w:r>
      <w:r>
        <w:rPr>
          <w:spacing w:val="-3"/>
        </w:rPr>
        <w:t xml:space="preserve"> </w:t>
      </w:r>
      <w:r>
        <w:t>addressing the challenges the state faces as part of a transition to routine operations upon the expiration of the Medicaid continuous enrollment condition. Section 1902(e)(14)(A) allows for waivers “as are necessary to ensure that states establish income and eligibility determination systems that protect beneficiaries.”</w:t>
      </w:r>
      <w:r>
        <w:rPr>
          <w:spacing w:val="-2"/>
        </w:rPr>
        <w:t xml:space="preserve"> </w:t>
      </w:r>
      <w:r>
        <w:t>Such</w:t>
      </w:r>
      <w:r>
        <w:rPr>
          <w:spacing w:val="-1"/>
        </w:rPr>
        <w:t xml:space="preserve"> </w:t>
      </w:r>
      <w:r>
        <w:t>waivers</w:t>
      </w:r>
      <w:r>
        <w:rPr>
          <w:spacing w:val="-1"/>
        </w:rPr>
        <w:t xml:space="preserve"> </w:t>
      </w:r>
      <w:r>
        <w:t>are</w:t>
      </w:r>
      <w:r>
        <w:rPr>
          <w:spacing w:val="-2"/>
        </w:rPr>
        <w:t xml:space="preserve"> </w:t>
      </w:r>
      <w:r>
        <w:t>time-limited</w:t>
      </w:r>
      <w:r>
        <w:rPr>
          <w:spacing w:val="-1"/>
        </w:rPr>
        <w:t xml:space="preserve"> </w:t>
      </w:r>
      <w:r>
        <w:t>and</w:t>
      </w:r>
      <w:r>
        <w:rPr>
          <w:spacing w:val="-1"/>
        </w:rPr>
        <w:t xml:space="preserve"> </w:t>
      </w:r>
      <w:r>
        <w:t>are</w:t>
      </w:r>
      <w:r>
        <w:rPr>
          <w:spacing w:val="-3"/>
        </w:rPr>
        <w:t xml:space="preserve"> </w:t>
      </w:r>
      <w:r>
        <w:t>meant</w:t>
      </w:r>
      <w:r>
        <w:rPr>
          <w:spacing w:val="-1"/>
        </w:rPr>
        <w:t xml:space="preserve"> </w:t>
      </w:r>
      <w:r>
        <w:t>to</w:t>
      </w:r>
      <w:r>
        <w:rPr>
          <w:spacing w:val="-1"/>
        </w:rPr>
        <w:t xml:space="preserve"> </w:t>
      </w:r>
      <w:r>
        <w:t>promote</w:t>
      </w:r>
      <w:r>
        <w:rPr>
          <w:spacing w:val="-2"/>
        </w:rPr>
        <w:t xml:space="preserve"> </w:t>
      </w:r>
      <w:r>
        <w:t>enrollment</w:t>
      </w:r>
      <w:r>
        <w:rPr>
          <w:spacing w:val="-1"/>
        </w:rPr>
        <w:t xml:space="preserve"> </w:t>
      </w:r>
      <w:r>
        <w:t>and</w:t>
      </w:r>
      <w:r>
        <w:rPr>
          <w:spacing w:val="-1"/>
        </w:rPr>
        <w:t xml:space="preserve"> </w:t>
      </w:r>
      <w:r>
        <w:t>retention</w:t>
      </w:r>
      <w:r>
        <w:rPr>
          <w:spacing w:val="-1"/>
        </w:rPr>
        <w:t xml:space="preserve"> </w:t>
      </w:r>
      <w:r>
        <w:t>of eligible individuals by easing the administrative burden states may experience in light of systems limitations and challenges.</w:t>
      </w:r>
    </w:p>
    <w:p w14:paraId="22AEC7B7" w14:textId="77777777" w:rsidR="002E6846" w:rsidRDefault="002E6846">
      <w:pPr>
        <w:pStyle w:val="BodyText"/>
        <w:ind w:left="0"/>
      </w:pPr>
    </w:p>
    <w:p w14:paraId="22AEC7B8" w14:textId="77777777" w:rsidR="002E6846" w:rsidRDefault="00215DC0">
      <w:pPr>
        <w:pStyle w:val="BodyText"/>
        <w:ind w:right="136"/>
      </w:pPr>
      <w:r>
        <w:t>Massachusetts</w:t>
      </w:r>
      <w:r>
        <w:rPr>
          <w:spacing w:val="-3"/>
        </w:rPr>
        <w:t xml:space="preserve"> </w:t>
      </w:r>
      <w:r>
        <w:t>has</w:t>
      </w:r>
      <w:r>
        <w:rPr>
          <w:spacing w:val="-3"/>
        </w:rPr>
        <w:t xml:space="preserve"> </w:t>
      </w:r>
      <w:r>
        <w:t>requested</w:t>
      </w:r>
      <w:r>
        <w:rPr>
          <w:spacing w:val="-3"/>
        </w:rPr>
        <w:t xml:space="preserve"> </w:t>
      </w:r>
      <w:r>
        <w:t>that</w:t>
      </w:r>
      <w:r>
        <w:rPr>
          <w:spacing w:val="-3"/>
        </w:rPr>
        <w:t xml:space="preserve"> </w:t>
      </w:r>
      <w:r>
        <w:t>CMS</w:t>
      </w:r>
      <w:r>
        <w:rPr>
          <w:spacing w:val="-3"/>
        </w:rPr>
        <w:t xml:space="preserve"> </w:t>
      </w:r>
      <w:r>
        <w:t>provide</w:t>
      </w:r>
      <w:r>
        <w:rPr>
          <w:spacing w:val="-3"/>
        </w:rPr>
        <w:t xml:space="preserve"> </w:t>
      </w:r>
      <w:r>
        <w:t>authority</w:t>
      </w:r>
      <w:r>
        <w:rPr>
          <w:spacing w:val="-3"/>
        </w:rPr>
        <w:t xml:space="preserve"> </w:t>
      </w:r>
      <w:r>
        <w:t>under</w:t>
      </w:r>
      <w:r>
        <w:rPr>
          <w:spacing w:val="-3"/>
        </w:rPr>
        <w:t xml:space="preserve"> </w:t>
      </w:r>
      <w:r>
        <w:t>section</w:t>
      </w:r>
      <w:r>
        <w:rPr>
          <w:spacing w:val="-3"/>
        </w:rPr>
        <w:t xml:space="preserve"> </w:t>
      </w:r>
      <w:r>
        <w:t>1902(e)(14)(A)</w:t>
      </w:r>
      <w:r>
        <w:rPr>
          <w:spacing w:val="-5"/>
        </w:rPr>
        <w:t xml:space="preserve"> </w:t>
      </w:r>
      <w:r>
        <w:t>of</w:t>
      </w:r>
      <w:r>
        <w:rPr>
          <w:spacing w:val="-3"/>
        </w:rPr>
        <w:t xml:space="preserve"> </w:t>
      </w:r>
      <w:r>
        <w:t>the</w:t>
      </w:r>
      <w:r>
        <w:rPr>
          <w:spacing w:val="-5"/>
        </w:rPr>
        <w:t xml:space="preserve"> </w:t>
      </w:r>
      <w:r>
        <w:t>Act</w:t>
      </w:r>
      <w:r>
        <w:rPr>
          <w:spacing w:val="-3"/>
        </w:rPr>
        <w:t xml:space="preserve"> </w:t>
      </w:r>
      <w:r>
        <w:t xml:space="preserve">to temporarily complete </w:t>
      </w:r>
      <w:r>
        <w:rPr>
          <w:i/>
        </w:rPr>
        <w:t xml:space="preserve">ex parte </w:t>
      </w:r>
      <w:r>
        <w:t>renewals when no income data is returned from data sources for individuals who were previously enrolled or whose coverage was renewed based on a verified attestation of zero-dollar income. The state has expressed the need for this authority in order to address systems and operational issues related to the extraordinarily high volume of renewals and other eligibility and enrollment actions that need to be conducted during the unwinding period.</w:t>
      </w:r>
    </w:p>
    <w:p w14:paraId="22AEC7B9" w14:textId="77777777" w:rsidR="002E6846" w:rsidRDefault="00215DC0">
      <w:pPr>
        <w:pStyle w:val="BodyText"/>
        <w:spacing w:before="1"/>
      </w:pPr>
      <w:r>
        <w:t>Specifically,</w:t>
      </w:r>
      <w:r>
        <w:rPr>
          <w:spacing w:val="-3"/>
        </w:rPr>
        <w:t xml:space="preserve"> </w:t>
      </w:r>
      <w:r>
        <w:t>the</w:t>
      </w:r>
      <w:r>
        <w:rPr>
          <w:spacing w:val="-4"/>
        </w:rPr>
        <w:t xml:space="preserve"> </w:t>
      </w:r>
      <w:r>
        <w:t>state</w:t>
      </w:r>
      <w:r>
        <w:rPr>
          <w:spacing w:val="-4"/>
        </w:rPr>
        <w:t xml:space="preserve"> </w:t>
      </w:r>
      <w:r>
        <w:t>is</w:t>
      </w:r>
      <w:r>
        <w:rPr>
          <w:spacing w:val="-3"/>
        </w:rPr>
        <w:t xml:space="preserve"> </w:t>
      </w:r>
      <w:r>
        <w:t>concerned</w:t>
      </w:r>
      <w:r>
        <w:rPr>
          <w:spacing w:val="-3"/>
        </w:rPr>
        <w:t xml:space="preserve"> </w:t>
      </w:r>
      <w:r>
        <w:t>that</w:t>
      </w:r>
      <w:r>
        <w:rPr>
          <w:spacing w:val="-3"/>
        </w:rPr>
        <w:t xml:space="preserve"> </w:t>
      </w:r>
      <w:r>
        <w:t>the</w:t>
      </w:r>
      <w:r>
        <w:rPr>
          <w:spacing w:val="-4"/>
        </w:rPr>
        <w:t xml:space="preserve"> </w:t>
      </w:r>
      <w:r>
        <w:t>additional</w:t>
      </w:r>
      <w:r>
        <w:rPr>
          <w:spacing w:val="-3"/>
        </w:rPr>
        <w:t xml:space="preserve"> </w:t>
      </w:r>
      <w:r>
        <w:t>requests</w:t>
      </w:r>
      <w:r>
        <w:rPr>
          <w:spacing w:val="-3"/>
        </w:rPr>
        <w:t xml:space="preserve"> </w:t>
      </w:r>
      <w:r>
        <w:t>for</w:t>
      </w:r>
      <w:r>
        <w:rPr>
          <w:spacing w:val="-3"/>
        </w:rPr>
        <w:t xml:space="preserve"> </w:t>
      </w:r>
      <w:r>
        <w:t>information</w:t>
      </w:r>
      <w:r>
        <w:rPr>
          <w:spacing w:val="-3"/>
        </w:rPr>
        <w:t xml:space="preserve"> </w:t>
      </w:r>
      <w:r>
        <w:t>from</w:t>
      </w:r>
      <w:r>
        <w:rPr>
          <w:spacing w:val="-3"/>
        </w:rPr>
        <w:t xml:space="preserve"> </w:t>
      </w:r>
      <w:r>
        <w:t>beneficiaries</w:t>
      </w:r>
      <w:r>
        <w:rPr>
          <w:spacing w:val="-3"/>
        </w:rPr>
        <w:t xml:space="preserve"> </w:t>
      </w:r>
      <w:r>
        <w:t>that would otherwise be required would delay renewal processing, create unmanageable workload given limited staff capacity, and lead to an increase in procedural closures. The state believes that this authority will protect beneficiaries from inappropriate terminations and reduce state administration burden, thereby helping the state increase renewal rates and reduce gaps in coverage.</w:t>
      </w:r>
    </w:p>
    <w:p w14:paraId="22AEC7BA" w14:textId="77777777" w:rsidR="002E6846" w:rsidRDefault="002E6846">
      <w:pPr>
        <w:pStyle w:val="BodyText"/>
        <w:ind w:left="0"/>
      </w:pPr>
    </w:p>
    <w:p w14:paraId="22AEC7BB" w14:textId="77777777" w:rsidR="002E6846" w:rsidRDefault="00215DC0">
      <w:pPr>
        <w:pStyle w:val="BodyText"/>
        <w:ind w:right="103"/>
      </w:pPr>
      <w:r>
        <w:t xml:space="preserve">Under Section 1902(e)(14)(A) of the Act, your request to complete </w:t>
      </w:r>
      <w:r>
        <w:rPr>
          <w:i/>
        </w:rPr>
        <w:t xml:space="preserve">ex parte </w:t>
      </w:r>
      <w:r>
        <w:t>renewals when no income data is returned from data sources for individuals who were previously enrolled or whose coverage</w:t>
      </w:r>
      <w:r>
        <w:rPr>
          <w:spacing w:val="-4"/>
        </w:rPr>
        <w:t xml:space="preserve"> </w:t>
      </w:r>
      <w:r>
        <w:t>was</w:t>
      </w:r>
      <w:r>
        <w:rPr>
          <w:spacing w:val="-1"/>
        </w:rPr>
        <w:t xml:space="preserve"> </w:t>
      </w:r>
      <w:r>
        <w:t>renewed</w:t>
      </w:r>
      <w:r>
        <w:rPr>
          <w:spacing w:val="-3"/>
        </w:rPr>
        <w:t xml:space="preserve"> </w:t>
      </w:r>
      <w:r>
        <w:t>based</w:t>
      </w:r>
      <w:r>
        <w:rPr>
          <w:spacing w:val="-3"/>
        </w:rPr>
        <w:t xml:space="preserve"> </w:t>
      </w:r>
      <w:r>
        <w:t>on</w:t>
      </w:r>
      <w:r>
        <w:rPr>
          <w:spacing w:val="-3"/>
        </w:rPr>
        <w:t xml:space="preserve"> </w:t>
      </w:r>
      <w:r>
        <w:t>a</w:t>
      </w:r>
      <w:r>
        <w:rPr>
          <w:spacing w:val="-4"/>
        </w:rPr>
        <w:t xml:space="preserve"> </w:t>
      </w:r>
      <w:r>
        <w:t>verified</w:t>
      </w:r>
      <w:r>
        <w:rPr>
          <w:spacing w:val="-3"/>
        </w:rPr>
        <w:t xml:space="preserve"> </w:t>
      </w:r>
      <w:r>
        <w:t>attestation</w:t>
      </w:r>
      <w:r>
        <w:rPr>
          <w:spacing w:val="-3"/>
        </w:rPr>
        <w:t xml:space="preserve"> </w:t>
      </w:r>
      <w:r>
        <w:t>of</w:t>
      </w:r>
      <w:r>
        <w:rPr>
          <w:spacing w:val="-4"/>
        </w:rPr>
        <w:t xml:space="preserve"> </w:t>
      </w:r>
      <w:r>
        <w:t>zero-dollar</w:t>
      </w:r>
      <w:r>
        <w:rPr>
          <w:spacing w:val="-3"/>
        </w:rPr>
        <w:t xml:space="preserve"> </w:t>
      </w:r>
      <w:r>
        <w:t>income is</w:t>
      </w:r>
      <w:r>
        <w:rPr>
          <w:spacing w:val="-3"/>
        </w:rPr>
        <w:t xml:space="preserve"> </w:t>
      </w:r>
      <w:r>
        <w:t>approved,</w:t>
      </w:r>
      <w:r>
        <w:rPr>
          <w:spacing w:val="-3"/>
        </w:rPr>
        <w:t xml:space="preserve"> </w:t>
      </w:r>
      <w:r>
        <w:t>as</w:t>
      </w:r>
      <w:r>
        <w:rPr>
          <w:spacing w:val="-3"/>
        </w:rPr>
        <w:t xml:space="preserve"> </w:t>
      </w:r>
      <w:r>
        <w:t>described and subject to the conditions below.</w:t>
      </w:r>
    </w:p>
    <w:p w14:paraId="22AEC7BC" w14:textId="77777777" w:rsidR="002E6846" w:rsidRDefault="002E6846">
      <w:pPr>
        <w:pStyle w:val="BodyText"/>
        <w:spacing w:before="1"/>
        <w:ind w:left="0"/>
      </w:pPr>
    </w:p>
    <w:p w14:paraId="22AEC7BD" w14:textId="77777777" w:rsidR="002E6846" w:rsidRDefault="00215DC0">
      <w:pPr>
        <w:ind w:left="140"/>
        <w:rPr>
          <w:i/>
          <w:sz w:val="24"/>
        </w:rPr>
      </w:pPr>
      <w:r>
        <w:rPr>
          <w:i/>
          <w:sz w:val="24"/>
          <w:u w:val="single"/>
        </w:rPr>
        <w:t>Renew</w:t>
      </w:r>
      <w:r>
        <w:rPr>
          <w:i/>
          <w:spacing w:val="-3"/>
          <w:sz w:val="24"/>
          <w:u w:val="single"/>
        </w:rPr>
        <w:t xml:space="preserve"> </w:t>
      </w:r>
      <w:r>
        <w:rPr>
          <w:i/>
          <w:sz w:val="24"/>
          <w:u w:val="single"/>
        </w:rPr>
        <w:t>Medicaid</w:t>
      </w:r>
      <w:r>
        <w:rPr>
          <w:i/>
          <w:spacing w:val="-3"/>
          <w:sz w:val="24"/>
          <w:u w:val="single"/>
        </w:rPr>
        <w:t xml:space="preserve"> </w:t>
      </w:r>
      <w:r>
        <w:rPr>
          <w:i/>
          <w:sz w:val="24"/>
          <w:u w:val="single"/>
        </w:rPr>
        <w:t>Eligibility</w:t>
      </w:r>
      <w:r>
        <w:rPr>
          <w:i/>
          <w:spacing w:val="-3"/>
          <w:sz w:val="24"/>
          <w:u w:val="single"/>
        </w:rPr>
        <w:t xml:space="preserve"> </w:t>
      </w:r>
      <w:r>
        <w:rPr>
          <w:i/>
          <w:sz w:val="24"/>
          <w:u w:val="single"/>
        </w:rPr>
        <w:t>for</w:t>
      </w:r>
      <w:r>
        <w:rPr>
          <w:i/>
          <w:spacing w:val="-3"/>
          <w:sz w:val="24"/>
          <w:u w:val="single"/>
        </w:rPr>
        <w:t xml:space="preserve"> </w:t>
      </w:r>
      <w:r>
        <w:rPr>
          <w:i/>
          <w:sz w:val="24"/>
          <w:u w:val="single"/>
        </w:rPr>
        <w:t>Individuals</w:t>
      </w:r>
      <w:r>
        <w:rPr>
          <w:i/>
          <w:spacing w:val="-3"/>
          <w:sz w:val="24"/>
          <w:u w:val="single"/>
        </w:rPr>
        <w:t xml:space="preserve"> </w:t>
      </w:r>
      <w:r>
        <w:rPr>
          <w:i/>
          <w:sz w:val="24"/>
          <w:u w:val="single"/>
        </w:rPr>
        <w:t>with</w:t>
      </w:r>
      <w:r>
        <w:rPr>
          <w:i/>
          <w:spacing w:val="-3"/>
          <w:sz w:val="24"/>
          <w:u w:val="single"/>
        </w:rPr>
        <w:t xml:space="preserve"> </w:t>
      </w:r>
      <w:r>
        <w:rPr>
          <w:i/>
          <w:sz w:val="24"/>
          <w:u w:val="single"/>
        </w:rPr>
        <w:t>No</w:t>
      </w:r>
      <w:r>
        <w:rPr>
          <w:i/>
          <w:spacing w:val="-3"/>
          <w:sz w:val="24"/>
          <w:u w:val="single"/>
        </w:rPr>
        <w:t xml:space="preserve"> </w:t>
      </w:r>
      <w:r>
        <w:rPr>
          <w:i/>
          <w:sz w:val="24"/>
          <w:u w:val="single"/>
        </w:rPr>
        <w:t>Income</w:t>
      </w:r>
      <w:r>
        <w:rPr>
          <w:i/>
          <w:spacing w:val="-5"/>
          <w:sz w:val="24"/>
          <w:u w:val="single"/>
        </w:rPr>
        <w:t xml:space="preserve"> </w:t>
      </w:r>
      <w:r>
        <w:rPr>
          <w:i/>
          <w:sz w:val="24"/>
          <w:u w:val="single"/>
        </w:rPr>
        <w:t>and</w:t>
      </w:r>
      <w:r>
        <w:rPr>
          <w:i/>
          <w:spacing w:val="-3"/>
          <w:sz w:val="24"/>
          <w:u w:val="single"/>
        </w:rPr>
        <w:t xml:space="preserve"> </w:t>
      </w:r>
      <w:r>
        <w:rPr>
          <w:i/>
          <w:sz w:val="24"/>
          <w:u w:val="single"/>
        </w:rPr>
        <w:t>No</w:t>
      </w:r>
      <w:r>
        <w:rPr>
          <w:i/>
          <w:spacing w:val="-3"/>
          <w:sz w:val="24"/>
          <w:u w:val="single"/>
        </w:rPr>
        <w:t xml:space="preserve"> </w:t>
      </w:r>
      <w:r>
        <w:rPr>
          <w:i/>
          <w:sz w:val="24"/>
          <w:u w:val="single"/>
        </w:rPr>
        <w:t>Data</w:t>
      </w:r>
      <w:r>
        <w:rPr>
          <w:i/>
          <w:spacing w:val="-3"/>
          <w:sz w:val="24"/>
          <w:u w:val="single"/>
        </w:rPr>
        <w:t xml:space="preserve"> </w:t>
      </w:r>
      <w:r>
        <w:rPr>
          <w:i/>
          <w:sz w:val="24"/>
          <w:u w:val="single"/>
        </w:rPr>
        <w:t>Returned</w:t>
      </w:r>
      <w:r>
        <w:rPr>
          <w:i/>
          <w:spacing w:val="-3"/>
          <w:sz w:val="24"/>
          <w:u w:val="single"/>
        </w:rPr>
        <w:t xml:space="preserve"> </w:t>
      </w:r>
      <w:r>
        <w:rPr>
          <w:i/>
          <w:sz w:val="24"/>
          <w:u w:val="single"/>
        </w:rPr>
        <w:t>on</w:t>
      </w:r>
      <w:r>
        <w:rPr>
          <w:i/>
          <w:spacing w:val="-3"/>
          <w:sz w:val="24"/>
          <w:u w:val="single"/>
        </w:rPr>
        <w:t xml:space="preserve"> </w:t>
      </w:r>
      <w:r>
        <w:rPr>
          <w:i/>
          <w:sz w:val="24"/>
          <w:u w:val="single"/>
        </w:rPr>
        <w:t>an</w:t>
      </w:r>
      <w:r>
        <w:rPr>
          <w:i/>
          <w:spacing w:val="-3"/>
          <w:sz w:val="24"/>
          <w:u w:val="single"/>
        </w:rPr>
        <w:t xml:space="preserve"> </w:t>
      </w:r>
      <w:r>
        <w:rPr>
          <w:i/>
          <w:sz w:val="24"/>
          <w:u w:val="single"/>
        </w:rPr>
        <w:t>Ex</w:t>
      </w:r>
      <w:r>
        <w:rPr>
          <w:i/>
          <w:spacing w:val="-5"/>
          <w:sz w:val="24"/>
          <w:u w:val="single"/>
        </w:rPr>
        <w:t xml:space="preserve"> </w:t>
      </w:r>
      <w:r>
        <w:rPr>
          <w:i/>
          <w:sz w:val="24"/>
          <w:u w:val="single"/>
        </w:rPr>
        <w:t>Parte</w:t>
      </w:r>
      <w:r>
        <w:rPr>
          <w:i/>
          <w:sz w:val="24"/>
        </w:rPr>
        <w:t xml:space="preserve"> </w:t>
      </w:r>
      <w:r>
        <w:rPr>
          <w:i/>
          <w:sz w:val="24"/>
          <w:u w:val="single"/>
        </w:rPr>
        <w:t>Basis ($0 Income Strategy):</w:t>
      </w:r>
    </w:p>
    <w:p w14:paraId="22AEC7BE" w14:textId="77777777" w:rsidR="002E6846" w:rsidRDefault="002E6846">
      <w:pPr>
        <w:pStyle w:val="BodyText"/>
        <w:spacing w:before="2"/>
        <w:ind w:left="0"/>
        <w:rPr>
          <w:i/>
          <w:sz w:val="16"/>
        </w:rPr>
      </w:pPr>
    </w:p>
    <w:p w14:paraId="22AEC7BF" w14:textId="77777777" w:rsidR="002E6846" w:rsidRDefault="00215DC0">
      <w:pPr>
        <w:pStyle w:val="BodyText"/>
        <w:spacing w:before="90"/>
        <w:ind w:right="136"/>
      </w:pPr>
      <w:r>
        <w:t xml:space="preserve">The authority provided in accordance with this letter will enable the state, during the period of time specified below, to temporarily complete the income determination for </w:t>
      </w:r>
      <w:r>
        <w:rPr>
          <w:i/>
        </w:rPr>
        <w:t xml:space="preserve">ex parte </w:t>
      </w:r>
      <w:r>
        <w:t xml:space="preserve">renewals without </w:t>
      </w:r>
      <w:r>
        <w:lastRenderedPageBreak/>
        <w:t>requesting additional income information or documentation if: (1) the most recent income determination (either at initial application or most recent renewal) was no earlier than 12 months prior</w:t>
      </w:r>
      <w:r>
        <w:rPr>
          <w:spacing w:val="-3"/>
        </w:rPr>
        <w:t xml:space="preserve"> </w:t>
      </w:r>
      <w:r>
        <w:t>to</w:t>
      </w:r>
      <w:r>
        <w:rPr>
          <w:spacing w:val="-2"/>
        </w:rPr>
        <w:t xml:space="preserve"> </w:t>
      </w:r>
      <w:r>
        <w:t>the</w:t>
      </w:r>
      <w:r>
        <w:rPr>
          <w:spacing w:val="-3"/>
        </w:rPr>
        <w:t xml:space="preserve"> </w:t>
      </w:r>
      <w:r>
        <w:t>beginning</w:t>
      </w:r>
      <w:r>
        <w:rPr>
          <w:spacing w:val="-2"/>
        </w:rPr>
        <w:t xml:space="preserve"> </w:t>
      </w:r>
      <w:r>
        <w:t>of</w:t>
      </w:r>
      <w:r>
        <w:rPr>
          <w:spacing w:val="-1"/>
        </w:rPr>
        <w:t xml:space="preserve"> </w:t>
      </w:r>
      <w:r>
        <w:t>the</w:t>
      </w:r>
      <w:r>
        <w:rPr>
          <w:spacing w:val="-2"/>
        </w:rPr>
        <w:t xml:space="preserve"> </w:t>
      </w:r>
      <w:r>
        <w:t>PHE</w:t>
      </w:r>
      <w:r>
        <w:rPr>
          <w:spacing w:val="-2"/>
        </w:rPr>
        <w:t xml:space="preserve"> </w:t>
      </w:r>
      <w:r>
        <w:t>(i.e.,</w:t>
      </w:r>
      <w:r>
        <w:rPr>
          <w:spacing w:val="-2"/>
        </w:rPr>
        <w:t xml:space="preserve"> </w:t>
      </w:r>
      <w:r>
        <w:t>March</w:t>
      </w:r>
      <w:r>
        <w:rPr>
          <w:spacing w:val="40"/>
        </w:rPr>
        <w:t xml:space="preserve"> </w:t>
      </w:r>
      <w:r>
        <w:t>2019)</w:t>
      </w:r>
      <w:r>
        <w:rPr>
          <w:spacing w:val="-2"/>
        </w:rPr>
        <w:t xml:space="preserve"> </w:t>
      </w:r>
      <w:r>
        <w:t>and</w:t>
      </w:r>
      <w:r>
        <w:rPr>
          <w:spacing w:val="-2"/>
        </w:rPr>
        <w:t xml:space="preserve"> </w:t>
      </w:r>
      <w:r>
        <w:t>was</w:t>
      </w:r>
      <w:r>
        <w:rPr>
          <w:spacing w:val="-2"/>
        </w:rPr>
        <w:t xml:space="preserve"> </w:t>
      </w:r>
      <w:r>
        <w:t>based</w:t>
      </w:r>
      <w:r>
        <w:rPr>
          <w:spacing w:val="-2"/>
        </w:rPr>
        <w:t xml:space="preserve"> </w:t>
      </w:r>
      <w:r>
        <w:t>on</w:t>
      </w:r>
      <w:r>
        <w:rPr>
          <w:spacing w:val="-2"/>
        </w:rPr>
        <w:t xml:space="preserve"> </w:t>
      </w:r>
      <w:r>
        <w:t>a</w:t>
      </w:r>
      <w:r>
        <w:rPr>
          <w:spacing w:val="-3"/>
        </w:rPr>
        <w:t xml:space="preserve"> </w:t>
      </w:r>
      <w:r>
        <w:t>verified</w:t>
      </w:r>
      <w:r>
        <w:rPr>
          <w:spacing w:val="-2"/>
        </w:rPr>
        <w:t xml:space="preserve"> </w:t>
      </w:r>
      <w:r>
        <w:t>attestation</w:t>
      </w:r>
      <w:r>
        <w:rPr>
          <w:spacing w:val="-2"/>
        </w:rPr>
        <w:t xml:space="preserve"> </w:t>
      </w:r>
      <w:r>
        <w:t>of zero-</w:t>
      </w:r>
    </w:p>
    <w:p w14:paraId="22AEC7C0" w14:textId="77777777" w:rsidR="002E6846" w:rsidRDefault="002E6846">
      <w:pPr>
        <w:sectPr w:rsidR="002E6846">
          <w:type w:val="continuous"/>
          <w:pgSz w:w="12240" w:h="15840"/>
          <w:pgMar w:top="940" w:right="940" w:bottom="280" w:left="1300" w:header="720" w:footer="720" w:gutter="0"/>
          <w:cols w:space="720"/>
        </w:sectPr>
      </w:pPr>
    </w:p>
    <w:p w14:paraId="22AEC7C1" w14:textId="77777777" w:rsidR="002E6846" w:rsidRDefault="00215DC0">
      <w:pPr>
        <w:pStyle w:val="BodyText"/>
        <w:spacing w:before="79"/>
      </w:pPr>
      <w:r>
        <w:lastRenderedPageBreak/>
        <w:t>Mike</w:t>
      </w:r>
      <w:r>
        <w:rPr>
          <w:spacing w:val="-4"/>
        </w:rPr>
        <w:t xml:space="preserve"> </w:t>
      </w:r>
      <w:r>
        <w:t>Levine–</w:t>
      </w:r>
      <w:r>
        <w:rPr>
          <w:spacing w:val="-1"/>
        </w:rPr>
        <w:t xml:space="preserve"> </w:t>
      </w:r>
      <w:r>
        <w:t>Page</w:t>
      </w:r>
      <w:r>
        <w:rPr>
          <w:spacing w:val="-2"/>
        </w:rPr>
        <w:t xml:space="preserve"> </w:t>
      </w:r>
      <w:r>
        <w:rPr>
          <w:spacing w:val="-10"/>
        </w:rPr>
        <w:t>2</w:t>
      </w:r>
    </w:p>
    <w:p w14:paraId="22AEC7C2" w14:textId="77777777" w:rsidR="002E6846" w:rsidRDefault="002E6846">
      <w:pPr>
        <w:pStyle w:val="BodyText"/>
        <w:ind w:left="0"/>
      </w:pPr>
    </w:p>
    <w:p w14:paraId="22AEC7C3" w14:textId="77777777" w:rsidR="002E6846" w:rsidRDefault="00215DC0">
      <w:pPr>
        <w:pStyle w:val="BodyText"/>
      </w:pPr>
      <w:r>
        <w:t>dollar</w:t>
      </w:r>
      <w:r>
        <w:rPr>
          <w:spacing w:val="-3"/>
        </w:rPr>
        <w:t xml:space="preserve"> </w:t>
      </w:r>
      <w:r>
        <w:t>income;</w:t>
      </w:r>
      <w:r>
        <w:rPr>
          <w:spacing w:val="-3"/>
        </w:rPr>
        <w:t xml:space="preserve"> </w:t>
      </w:r>
      <w:r>
        <w:t>(2)</w:t>
      </w:r>
      <w:r>
        <w:rPr>
          <w:spacing w:val="-4"/>
        </w:rPr>
        <w:t xml:space="preserve"> </w:t>
      </w:r>
      <w:r>
        <w:t>the</w:t>
      </w:r>
      <w:r>
        <w:rPr>
          <w:spacing w:val="-3"/>
        </w:rPr>
        <w:t xml:space="preserve"> </w:t>
      </w:r>
      <w:r>
        <w:t>state</w:t>
      </w:r>
      <w:r>
        <w:rPr>
          <w:spacing w:val="-3"/>
        </w:rPr>
        <w:t xml:space="preserve"> </w:t>
      </w:r>
      <w:r>
        <w:t>has</w:t>
      </w:r>
      <w:r>
        <w:rPr>
          <w:spacing w:val="-3"/>
        </w:rPr>
        <w:t xml:space="preserve"> </w:t>
      </w:r>
      <w:r>
        <w:t>checked</w:t>
      </w:r>
      <w:r>
        <w:rPr>
          <w:spacing w:val="-3"/>
        </w:rPr>
        <w:t xml:space="preserve"> </w:t>
      </w:r>
      <w:r>
        <w:t>financial</w:t>
      </w:r>
      <w:r>
        <w:rPr>
          <w:spacing w:val="-1"/>
        </w:rPr>
        <w:t xml:space="preserve"> </w:t>
      </w:r>
      <w:r>
        <w:t>data</w:t>
      </w:r>
      <w:r>
        <w:rPr>
          <w:spacing w:val="-3"/>
        </w:rPr>
        <w:t xml:space="preserve"> </w:t>
      </w:r>
      <w:r>
        <w:t>sources</w:t>
      </w:r>
      <w:r>
        <w:rPr>
          <w:spacing w:val="-3"/>
        </w:rPr>
        <w:t xml:space="preserve"> </w:t>
      </w:r>
      <w:r>
        <w:t>in</w:t>
      </w:r>
      <w:r>
        <w:rPr>
          <w:spacing w:val="-3"/>
        </w:rPr>
        <w:t xml:space="preserve"> </w:t>
      </w:r>
      <w:r>
        <w:t>accordance</w:t>
      </w:r>
      <w:r>
        <w:rPr>
          <w:spacing w:val="-4"/>
        </w:rPr>
        <w:t xml:space="preserve"> </w:t>
      </w:r>
      <w:r>
        <w:t>with</w:t>
      </w:r>
      <w:r>
        <w:rPr>
          <w:spacing w:val="-3"/>
        </w:rPr>
        <w:t xml:space="preserve"> </w:t>
      </w:r>
      <w:r>
        <w:t>its</w:t>
      </w:r>
      <w:r>
        <w:rPr>
          <w:spacing w:val="-3"/>
        </w:rPr>
        <w:t xml:space="preserve"> </w:t>
      </w:r>
      <w:r>
        <w:t>verification</w:t>
      </w:r>
      <w:r>
        <w:rPr>
          <w:spacing w:val="-3"/>
        </w:rPr>
        <w:t xml:space="preserve"> </w:t>
      </w:r>
      <w:r>
        <w:t xml:space="preserve">plan and no information is received. In order to complete the </w:t>
      </w:r>
      <w:r>
        <w:rPr>
          <w:i/>
        </w:rPr>
        <w:t xml:space="preserve">ex parte </w:t>
      </w:r>
      <w:r>
        <w:t>renewal, the state must take appropriate steps to review the non-financial components of eligibility consistent with the state’s</w:t>
      </w:r>
    </w:p>
    <w:p w14:paraId="22AEC7C4" w14:textId="77777777" w:rsidR="002E6846" w:rsidRDefault="00215DC0">
      <w:pPr>
        <w:pStyle w:val="BodyText"/>
        <w:ind w:right="136"/>
      </w:pPr>
      <w:r>
        <w:t>existing</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outlined</w:t>
      </w:r>
      <w:r>
        <w:rPr>
          <w:spacing w:val="-3"/>
        </w:rPr>
        <w:t xml:space="preserve"> </w:t>
      </w:r>
      <w:r>
        <w:t>in</w:t>
      </w:r>
      <w:r>
        <w:rPr>
          <w:spacing w:val="-3"/>
        </w:rPr>
        <w:t xml:space="preserve"> </w:t>
      </w:r>
      <w:r>
        <w:t>the</w:t>
      </w:r>
      <w:r>
        <w:rPr>
          <w:spacing w:val="-4"/>
        </w:rPr>
        <w:t xml:space="preserve"> </w:t>
      </w:r>
      <w:r>
        <w:t>state’s</w:t>
      </w:r>
      <w:r>
        <w:rPr>
          <w:spacing w:val="-4"/>
        </w:rPr>
        <w:t xml:space="preserve"> </w:t>
      </w:r>
      <w:r>
        <w:t>verification</w:t>
      </w:r>
      <w:r>
        <w:rPr>
          <w:spacing w:val="-3"/>
        </w:rPr>
        <w:t xml:space="preserve"> </w:t>
      </w:r>
      <w:r>
        <w:t>plan</w:t>
      </w:r>
      <w:r>
        <w:rPr>
          <w:spacing w:val="-3"/>
        </w:rPr>
        <w:t xml:space="preserve"> </w:t>
      </w:r>
      <w:r>
        <w:t>implementing</w:t>
      </w:r>
      <w:r>
        <w:rPr>
          <w:spacing w:val="-3"/>
        </w:rPr>
        <w:t xml:space="preserve"> </w:t>
      </w:r>
      <w:r>
        <w:t>42</w:t>
      </w:r>
      <w:r>
        <w:rPr>
          <w:spacing w:val="-3"/>
        </w:rPr>
        <w:t xml:space="preserve"> </w:t>
      </w:r>
      <w:r>
        <w:t>C.F.R.</w:t>
      </w:r>
      <w:r>
        <w:rPr>
          <w:spacing w:val="-3"/>
        </w:rPr>
        <w:t xml:space="preserve"> </w:t>
      </w:r>
      <w:r>
        <w:t>§§ 435.916 and 435.956. The state will notify individuals whose eligibility is renewed using this authority that they must inform the agency if any of the information relied upon by the state in completing the renewal is inaccurate, consistent with 42 C.F.R. § 435.916(a)(2)(ii).</w:t>
      </w:r>
    </w:p>
    <w:p w14:paraId="22AEC7C5" w14:textId="77777777" w:rsidR="002E6846" w:rsidRDefault="002E6846">
      <w:pPr>
        <w:pStyle w:val="BodyText"/>
        <w:ind w:left="0"/>
      </w:pPr>
    </w:p>
    <w:p w14:paraId="22AEC7C6" w14:textId="77777777" w:rsidR="002E6846" w:rsidRDefault="00215DC0">
      <w:pPr>
        <w:pStyle w:val="BodyText"/>
      </w:pPr>
      <w:r>
        <w:t>The</w:t>
      </w:r>
      <w:r>
        <w:rPr>
          <w:spacing w:val="-4"/>
        </w:rPr>
        <w:t xml:space="preserve"> </w:t>
      </w:r>
      <w:r>
        <w:t>authority</w:t>
      </w:r>
      <w:r>
        <w:rPr>
          <w:spacing w:val="-3"/>
        </w:rPr>
        <w:t xml:space="preserve"> </w:t>
      </w:r>
      <w:r>
        <w:t>provided</w:t>
      </w:r>
      <w:r>
        <w:rPr>
          <w:spacing w:val="-3"/>
        </w:rPr>
        <w:t xml:space="preserve"> </w:t>
      </w:r>
      <w:r>
        <w:t>in</w:t>
      </w:r>
      <w:r>
        <w:rPr>
          <w:spacing w:val="-3"/>
        </w:rPr>
        <w:t xml:space="preserve"> </w:t>
      </w:r>
      <w:r>
        <w:t>this</w:t>
      </w:r>
      <w:r>
        <w:rPr>
          <w:spacing w:val="-3"/>
        </w:rPr>
        <w:t xml:space="preserve"> </w:t>
      </w:r>
      <w:r>
        <w:t>letter</w:t>
      </w:r>
      <w:r>
        <w:rPr>
          <w:spacing w:val="-3"/>
        </w:rPr>
        <w:t xml:space="preserve"> </w:t>
      </w:r>
      <w:r>
        <w:t>is</w:t>
      </w:r>
      <w:r>
        <w:rPr>
          <w:spacing w:val="-3"/>
        </w:rPr>
        <w:t xml:space="preserve"> </w:t>
      </w:r>
      <w:r>
        <w:t>effective</w:t>
      </w:r>
      <w:r>
        <w:rPr>
          <w:spacing w:val="-4"/>
        </w:rPr>
        <w:t xml:space="preserve"> </w:t>
      </w:r>
      <w:r>
        <w:t>June</w:t>
      </w:r>
      <w:r>
        <w:rPr>
          <w:spacing w:val="-4"/>
        </w:rPr>
        <w:t xml:space="preserve"> </w:t>
      </w:r>
      <w:r>
        <w:t>18,</w:t>
      </w:r>
      <w:r>
        <w:rPr>
          <w:spacing w:val="-3"/>
        </w:rPr>
        <w:t xml:space="preserve"> </w:t>
      </w:r>
      <w:r>
        <w:t>2023,</w:t>
      </w:r>
      <w:r>
        <w:rPr>
          <w:spacing w:val="-3"/>
        </w:rPr>
        <w:t xml:space="preserve"> </w:t>
      </w:r>
      <w:r>
        <w:t>and</w:t>
      </w:r>
      <w:r>
        <w:rPr>
          <w:spacing w:val="-3"/>
        </w:rPr>
        <w:t xml:space="preserve"> </w:t>
      </w:r>
      <w:r>
        <w:t>will</w:t>
      </w:r>
      <w:r>
        <w:rPr>
          <w:spacing w:val="-3"/>
        </w:rPr>
        <w:t xml:space="preserve"> </w:t>
      </w:r>
      <w:r>
        <w:t>remain</w:t>
      </w:r>
      <w:r>
        <w:rPr>
          <w:spacing w:val="-3"/>
        </w:rPr>
        <w:t xml:space="preserve"> </w:t>
      </w:r>
      <w:r>
        <w:t>effective</w:t>
      </w:r>
      <w:r>
        <w:rPr>
          <w:spacing w:val="-4"/>
        </w:rPr>
        <w:t xml:space="preserve"> </w:t>
      </w:r>
      <w:r>
        <w:t>for</w:t>
      </w:r>
      <w:r>
        <w:rPr>
          <w:spacing w:val="-3"/>
        </w:rPr>
        <w:t xml:space="preserve"> </w:t>
      </w:r>
      <w:r>
        <w:t>renewals initiated through the end of the state’s 12-month unwinding period, as defined in the March 3, 2022, CMS State Health Official (SHO) letter #22-001.</w:t>
      </w:r>
    </w:p>
    <w:p w14:paraId="22AEC7C7" w14:textId="77777777" w:rsidR="002E6846" w:rsidRDefault="002E6846">
      <w:pPr>
        <w:pStyle w:val="BodyText"/>
        <w:spacing w:before="1"/>
        <w:ind w:left="0"/>
      </w:pPr>
    </w:p>
    <w:p w14:paraId="22AEC7C8" w14:textId="77777777" w:rsidR="002E6846" w:rsidRDefault="00215DC0">
      <w:pPr>
        <w:pStyle w:val="BodyText"/>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5"/>
        </w:rPr>
        <w:t xml:space="preserve"> </w:t>
      </w:r>
      <w:r>
        <w:rPr>
          <w:spacing w:val="-2"/>
        </w:rPr>
        <w:t>receiving</w:t>
      </w:r>
      <w:r>
        <w:rPr>
          <w:spacing w:val="-13"/>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2"/>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2"/>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22AEC7C9" w14:textId="77777777" w:rsidR="002E6846" w:rsidRDefault="002E6846">
      <w:pPr>
        <w:pStyle w:val="BodyText"/>
        <w:ind w:left="0"/>
      </w:pPr>
    </w:p>
    <w:p w14:paraId="22AEC7CA" w14:textId="77777777" w:rsidR="002E6846" w:rsidRDefault="00215DC0">
      <w:pPr>
        <w:pStyle w:val="BodyText"/>
        <w:ind w:right="283"/>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2"/>
        </w:rPr>
        <w:t xml:space="preserve"> </w:t>
      </w:r>
      <w:r>
        <w:t>work</w:t>
      </w:r>
      <w:r>
        <w:rPr>
          <w:spacing w:val="-14"/>
        </w:rPr>
        <w:t xml:space="preserve"> </w:t>
      </w:r>
      <w:r>
        <w:t>together</w:t>
      </w:r>
      <w:r>
        <w:rPr>
          <w:spacing w:val="-12"/>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10"/>
        </w:rPr>
        <w:t xml:space="preserve"> </w:t>
      </w:r>
      <w:r>
        <w:t>If</w:t>
      </w:r>
      <w:r>
        <w:rPr>
          <w:spacing w:val="-13"/>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1"/>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r>
        <w:rPr>
          <w:spacing w:val="-4"/>
        </w:rPr>
        <w:t>Weissfeld</w:t>
      </w:r>
      <w:r>
        <w:rPr>
          <w:spacing w:val="-11"/>
        </w:rPr>
        <w:t xml:space="preserve"> </w:t>
      </w:r>
      <w:r>
        <w:rPr>
          <w:spacing w:val="-4"/>
        </w:rPr>
        <w:t>and</w:t>
      </w:r>
      <w:r>
        <w:rPr>
          <w:spacing w:val="-11"/>
        </w:rPr>
        <w:t xml:space="preserve"> </w:t>
      </w:r>
      <w:r>
        <w:rPr>
          <w:spacing w:val="-4"/>
        </w:rPr>
        <w:t>Jessika</w:t>
      </w:r>
      <w:r>
        <w:rPr>
          <w:spacing w:val="-11"/>
        </w:rPr>
        <w:t xml:space="preserve"> </w:t>
      </w:r>
      <w:r>
        <w:rPr>
          <w:spacing w:val="-4"/>
        </w:rPr>
        <w:t>Douglas</w:t>
      </w:r>
      <w:r>
        <w:rPr>
          <w:spacing w:val="-11"/>
        </w:rPr>
        <w:t xml:space="preserve"> </w:t>
      </w:r>
      <w:r>
        <w:rPr>
          <w:spacing w:val="-4"/>
        </w:rPr>
        <w:t>in</w:t>
      </w:r>
      <w:r>
        <w:rPr>
          <w:spacing w:val="-11"/>
        </w:rPr>
        <w:t xml:space="preserve"> </w:t>
      </w:r>
      <w:r>
        <w:rPr>
          <w:spacing w:val="-4"/>
        </w:rPr>
        <w:t>the</w:t>
      </w:r>
      <w:r>
        <w:rPr>
          <w:spacing w:val="-11"/>
        </w:rPr>
        <w:t xml:space="preserve"> </w:t>
      </w:r>
      <w:r>
        <w:rPr>
          <w:spacing w:val="-4"/>
        </w:rPr>
        <w:t>Division</w:t>
      </w:r>
      <w:r>
        <w:rPr>
          <w:spacing w:val="-11"/>
        </w:rPr>
        <w:t xml:space="preserve"> </w:t>
      </w:r>
      <w:r>
        <w:rPr>
          <w:spacing w:val="-4"/>
        </w:rPr>
        <w:t xml:space="preserve">of Enrollment Policy and Operations, at </w:t>
      </w:r>
      <w:hyperlink r:id="rId5">
        <w:r>
          <w:rPr>
            <w:color w:val="0462C1"/>
            <w:spacing w:val="-4"/>
            <w:u w:val="single" w:color="0462C1"/>
          </w:rPr>
          <w:t>josef.weissfeld@cms.hhs.gov</w:t>
        </w:r>
      </w:hyperlink>
      <w:r>
        <w:rPr>
          <w:color w:val="0462C1"/>
          <w:spacing w:val="-4"/>
        </w:rPr>
        <w:t xml:space="preserve"> </w:t>
      </w:r>
      <w:r>
        <w:rPr>
          <w:spacing w:val="-4"/>
        </w:rPr>
        <w:t xml:space="preserve">and </w:t>
      </w:r>
      <w:hyperlink r:id="rId6">
        <w:r>
          <w:rPr>
            <w:color w:val="0462C1"/>
            <w:spacing w:val="-4"/>
            <w:u w:val="single" w:color="0462C1"/>
          </w:rPr>
          <w:t>jessika.douglas@cms.hhs.gov</w:t>
        </w:r>
      </w:hyperlink>
      <w:r>
        <w:rPr>
          <w:spacing w:val="-4"/>
        </w:rPr>
        <w:t>.</w:t>
      </w:r>
    </w:p>
    <w:p w14:paraId="22AEC7CB" w14:textId="77777777" w:rsidR="002E6846" w:rsidRDefault="002E6846">
      <w:pPr>
        <w:pStyle w:val="BodyText"/>
        <w:spacing w:before="2"/>
        <w:ind w:left="0"/>
        <w:rPr>
          <w:sz w:val="16"/>
        </w:rPr>
      </w:pPr>
    </w:p>
    <w:p w14:paraId="22AEC7CC" w14:textId="77777777" w:rsidR="002E6846" w:rsidRDefault="00215DC0">
      <w:pPr>
        <w:pStyle w:val="BodyText"/>
        <w:spacing w:before="90"/>
        <w:ind w:left="4461"/>
      </w:pPr>
      <w:r>
        <w:rPr>
          <w:spacing w:val="-2"/>
        </w:rPr>
        <w:t>Sincerely,</w:t>
      </w:r>
    </w:p>
    <w:p w14:paraId="22AEC7CD" w14:textId="77777777" w:rsidR="002E6846" w:rsidRDefault="00215DC0" w:rsidP="00215DC0">
      <w:pPr>
        <w:pStyle w:val="BodyText"/>
        <w:spacing w:before="6"/>
        <w:ind w:left="3741" w:firstLine="720"/>
        <w:rPr>
          <w:sz w:val="7"/>
        </w:rPr>
      </w:pPr>
      <w:r>
        <w:rPr>
          <w:noProof/>
        </w:rPr>
        <w:drawing>
          <wp:inline distT="0" distB="0" distL="0" distR="0" wp14:anchorId="22AEC7D3" wp14:editId="21D65FA6">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22AEC7CE" w14:textId="77777777" w:rsidR="002E6846" w:rsidRDefault="002E6846">
      <w:pPr>
        <w:pStyle w:val="BodyText"/>
        <w:spacing w:before="8"/>
        <w:ind w:left="0"/>
        <w:rPr>
          <w:sz w:val="26"/>
        </w:rPr>
      </w:pPr>
    </w:p>
    <w:p w14:paraId="22AEC7CF" w14:textId="77777777" w:rsidR="002E6846" w:rsidRDefault="00215DC0">
      <w:pPr>
        <w:pStyle w:val="BodyText"/>
        <w:ind w:left="4461"/>
      </w:pPr>
      <w:r>
        <w:t>Sarah</w:t>
      </w:r>
      <w:r>
        <w:rPr>
          <w:spacing w:val="-4"/>
        </w:rPr>
        <w:t xml:space="preserve"> </w:t>
      </w:r>
      <w:r>
        <w:t>deLone,</w:t>
      </w:r>
      <w:r>
        <w:rPr>
          <w:spacing w:val="-2"/>
        </w:rPr>
        <w:t xml:space="preserve"> Director,</w:t>
      </w:r>
    </w:p>
    <w:p w14:paraId="22AEC7D0" w14:textId="77777777" w:rsidR="002E6846" w:rsidRDefault="00215DC0">
      <w:pPr>
        <w:pStyle w:val="BodyText"/>
        <w:ind w:left="4461"/>
      </w:pPr>
      <w:r>
        <w:t>Children</w:t>
      </w:r>
      <w:r>
        <w:rPr>
          <w:spacing w:val="-2"/>
        </w:rPr>
        <w:t xml:space="preserve"> </w:t>
      </w:r>
      <w:r>
        <w:t>and</w:t>
      </w:r>
      <w:r>
        <w:rPr>
          <w:spacing w:val="-1"/>
        </w:rPr>
        <w:t xml:space="preserve"> </w:t>
      </w:r>
      <w:r>
        <w:t>Adults</w:t>
      </w:r>
      <w:r>
        <w:rPr>
          <w:spacing w:val="-2"/>
        </w:rPr>
        <w:t xml:space="preserve"> </w:t>
      </w:r>
      <w:r>
        <w:t>Health</w:t>
      </w:r>
      <w:r>
        <w:rPr>
          <w:spacing w:val="-1"/>
        </w:rPr>
        <w:t xml:space="preserve"> </w:t>
      </w:r>
      <w:r>
        <w:t>Programs</w:t>
      </w:r>
      <w:r>
        <w:rPr>
          <w:spacing w:val="-1"/>
        </w:rPr>
        <w:t xml:space="preserve"> </w:t>
      </w:r>
      <w:r>
        <w:rPr>
          <w:spacing w:val="-2"/>
        </w:rPr>
        <w:t>Group</w:t>
      </w:r>
    </w:p>
    <w:sectPr w:rsidR="002E6846">
      <w:pgSz w:w="12240" w:h="15840"/>
      <w:pgMar w:top="1360" w:right="9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E6846"/>
    <w:rsid w:val="00215DC0"/>
    <w:rsid w:val="002E6846"/>
    <w:rsid w:val="007C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C7AB"/>
  <w15:docId w15:val="{BBF846E0-6DF7-4394-8A47-EC0FB7DA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ka.douglas@cms.hhs.gov" TargetMode="External"/><Relationship Id="rId5" Type="http://schemas.openxmlformats.org/officeDocument/2006/relationships/hyperlink" Target="mailto:josef.weissfeld@cms.hhs.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4110</Characters>
  <Application>Microsoft Office Word</Application>
  <DocSecurity>0</DocSecurity>
  <Lines>34</Lines>
  <Paragraphs>9</Paragraphs>
  <ScaleCrop>false</ScaleCrop>
  <Company>Commonwealth of Massachusetts</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3</cp:revision>
  <dcterms:created xsi:type="dcterms:W3CDTF">2023-09-12T13:00:00Z</dcterms:created>
  <dcterms:modified xsi:type="dcterms:W3CDTF">2023-09-12T14:16:00Z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