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549F" w14:textId="77777777" w:rsidR="00B72400" w:rsidRDefault="00BC7EE4" w:rsidP="00B72400">
      <w:pPr>
        <w:spacing w:before="65"/>
        <w:ind w:left="7200" w:firstLine="720"/>
        <w:rPr>
          <w:rFonts w:ascii="Book Antiqua"/>
          <w:sz w:val="18"/>
        </w:rPr>
      </w:pPr>
      <w:r>
        <w:rPr>
          <w:noProof/>
        </w:rPr>
        <w:drawing>
          <wp:inline distT="0" distB="0" distL="0" distR="0" wp14:anchorId="3D3212CC" wp14:editId="0DD56CE4">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r w:rsidR="00B72400">
        <w:rPr>
          <w:rFonts w:ascii="Book Antiqua"/>
          <w:sz w:val="18"/>
        </w:rPr>
        <w:tab/>
      </w:r>
      <w:r w:rsidR="00B72400">
        <w:rPr>
          <w:rFonts w:ascii="Book Antiqua"/>
          <w:sz w:val="18"/>
        </w:rPr>
        <w:tab/>
      </w:r>
      <w:r w:rsidR="00B72400">
        <w:rPr>
          <w:rFonts w:ascii="Book Antiqua"/>
          <w:sz w:val="18"/>
        </w:rPr>
        <w:tab/>
      </w:r>
      <w:r w:rsidR="00B72400">
        <w:rPr>
          <w:rFonts w:ascii="Book Antiqua"/>
          <w:sz w:val="18"/>
        </w:rPr>
        <w:tab/>
      </w:r>
    </w:p>
    <w:p w14:paraId="3D3212A3" w14:textId="6A81C2CE" w:rsidR="00017307" w:rsidRDefault="00BC7EE4" w:rsidP="00BC7EE4">
      <w:pPr>
        <w:spacing w:before="65"/>
        <w:ind w:firstLine="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3D3212A4" w14:textId="77777777" w:rsidR="00017307" w:rsidRDefault="00BC7EE4">
      <w:pPr>
        <w:spacing w:before="9" w:line="249" w:lineRule="auto"/>
        <w:ind w:left="140" w:right="620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3D3212A5" w14:textId="77777777" w:rsidR="00017307" w:rsidRDefault="00017307">
      <w:pPr>
        <w:pStyle w:val="BodyText"/>
        <w:spacing w:before="9"/>
        <w:ind w:left="0"/>
        <w:rPr>
          <w:rFonts w:ascii="Book Antiqua"/>
          <w:sz w:val="10"/>
        </w:rPr>
      </w:pPr>
    </w:p>
    <w:p w14:paraId="3D3212A6" w14:textId="77777777" w:rsidR="00017307" w:rsidRDefault="00BC7EE4">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3D3212A7" w14:textId="77777777" w:rsidR="00017307" w:rsidRDefault="00017307">
      <w:pPr>
        <w:pStyle w:val="BodyText"/>
        <w:spacing w:before="10"/>
        <w:ind w:left="0"/>
        <w:rPr>
          <w:rFonts w:ascii="Book Antiqua"/>
          <w:b/>
          <w:sz w:val="22"/>
        </w:rPr>
      </w:pPr>
    </w:p>
    <w:p w14:paraId="3D3212A8" w14:textId="77777777" w:rsidR="00017307" w:rsidRDefault="00BC7EE4">
      <w:pPr>
        <w:pStyle w:val="BodyText"/>
      </w:pPr>
      <w:r>
        <w:t>September</w:t>
      </w:r>
      <w:r>
        <w:rPr>
          <w:spacing w:val="-1"/>
        </w:rPr>
        <w:t xml:space="preserve"> </w:t>
      </w:r>
      <w:r>
        <w:t>23,</w:t>
      </w:r>
      <w:r>
        <w:rPr>
          <w:spacing w:val="-2"/>
        </w:rPr>
        <w:t xml:space="preserve"> </w:t>
      </w:r>
      <w:r>
        <w:rPr>
          <w:spacing w:val="-4"/>
        </w:rPr>
        <w:t>2022</w:t>
      </w:r>
    </w:p>
    <w:p w14:paraId="3D3212A9" w14:textId="77777777" w:rsidR="00017307" w:rsidRDefault="00017307">
      <w:pPr>
        <w:pStyle w:val="BodyText"/>
        <w:ind w:left="0"/>
        <w:rPr>
          <w:sz w:val="26"/>
        </w:rPr>
      </w:pPr>
    </w:p>
    <w:p w14:paraId="3D3212AA" w14:textId="77777777" w:rsidR="00017307" w:rsidRDefault="00017307">
      <w:pPr>
        <w:pStyle w:val="BodyText"/>
        <w:ind w:left="0"/>
        <w:rPr>
          <w:sz w:val="22"/>
        </w:rPr>
      </w:pPr>
    </w:p>
    <w:p w14:paraId="3D3212AB" w14:textId="77777777" w:rsidR="00017307" w:rsidRDefault="00BC7EE4">
      <w:pPr>
        <w:pStyle w:val="BodyText"/>
      </w:pPr>
      <w:r>
        <w:t>Amanda</w:t>
      </w:r>
      <w:r>
        <w:rPr>
          <w:spacing w:val="-2"/>
        </w:rPr>
        <w:t xml:space="preserve"> </w:t>
      </w:r>
      <w:r>
        <w:t>Cassel</w:t>
      </w:r>
      <w:r>
        <w:rPr>
          <w:spacing w:val="-1"/>
        </w:rPr>
        <w:t xml:space="preserve"> </w:t>
      </w:r>
      <w:r>
        <w:rPr>
          <w:spacing w:val="-2"/>
        </w:rPr>
        <w:t>Kraft</w:t>
      </w:r>
    </w:p>
    <w:p w14:paraId="3D3212AC" w14:textId="77777777" w:rsidR="00017307" w:rsidRDefault="00BC7EE4">
      <w:pPr>
        <w:pStyle w:val="BodyText"/>
        <w:ind w:right="6209"/>
      </w:pPr>
      <w:r>
        <w:t>Assistant</w:t>
      </w:r>
      <w:r>
        <w:rPr>
          <w:spacing w:val="-13"/>
        </w:rPr>
        <w:t xml:space="preserve"> </w:t>
      </w:r>
      <w:r>
        <w:t>Secretary</w:t>
      </w:r>
      <w:r>
        <w:rPr>
          <w:spacing w:val="-15"/>
        </w:rPr>
        <w:t xml:space="preserve"> </w:t>
      </w:r>
      <w:r>
        <w:t>for</w:t>
      </w:r>
      <w:r>
        <w:rPr>
          <w:spacing w:val="-13"/>
        </w:rPr>
        <w:t xml:space="preserve"> </w:t>
      </w:r>
      <w:r>
        <w:t>MassHealth Massachusetts Office of Medicaid</w:t>
      </w:r>
    </w:p>
    <w:p w14:paraId="3D3212AD" w14:textId="77777777" w:rsidR="00017307" w:rsidRDefault="00BC7EE4">
      <w:pPr>
        <w:pStyle w:val="BodyText"/>
        <w:spacing w:before="1"/>
        <w:ind w:right="492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3D3212AE" w14:textId="77777777" w:rsidR="00017307" w:rsidRDefault="00BC7EE4">
      <w:pPr>
        <w:pStyle w:val="BodyText"/>
        <w:spacing w:line="480" w:lineRule="auto"/>
        <w:ind w:right="6637"/>
      </w:pPr>
      <w:r>
        <w:t>Boston,</w:t>
      </w:r>
      <w:r>
        <w:rPr>
          <w:spacing w:val="-15"/>
        </w:rPr>
        <w:t xml:space="preserve"> </w:t>
      </w:r>
      <w:r>
        <w:t>Massachusetts</w:t>
      </w:r>
      <w:r>
        <w:rPr>
          <w:spacing w:val="-15"/>
        </w:rPr>
        <w:t xml:space="preserve"> </w:t>
      </w:r>
      <w:r>
        <w:t>02108 Dear Ms. Cassel Kraft:</w:t>
      </w:r>
    </w:p>
    <w:p w14:paraId="3D3212AF" w14:textId="77777777" w:rsidR="00017307" w:rsidRDefault="00BC7EE4">
      <w:pPr>
        <w:pStyle w:val="BodyText"/>
        <w:ind w:right="169"/>
      </w:pPr>
      <w:r>
        <w:t>This</w:t>
      </w:r>
      <w:r>
        <w:rPr>
          <w:spacing w:val="-3"/>
        </w:rPr>
        <w:t xml:space="preserve"> </w:t>
      </w:r>
      <w:r>
        <w:t>letter</w:t>
      </w:r>
      <w:r>
        <w:rPr>
          <w:spacing w:val="-3"/>
        </w:rPr>
        <w:t xml:space="preserve"> </w:t>
      </w:r>
      <w:r>
        <w:t>is</w:t>
      </w:r>
      <w:r>
        <w:rPr>
          <w:spacing w:val="-3"/>
        </w:rPr>
        <w:t xml:space="preserve"> </w:t>
      </w:r>
      <w:r>
        <w:t>in</w:t>
      </w:r>
      <w:r>
        <w:rPr>
          <w:spacing w:val="-2"/>
        </w:rPr>
        <w:t xml:space="preserve"> </w:t>
      </w:r>
      <w:r>
        <w:t>response</w:t>
      </w:r>
      <w:r>
        <w:rPr>
          <w:spacing w:val="-2"/>
        </w:rPr>
        <w:t xml:space="preserve"> </w:t>
      </w:r>
      <w:r>
        <w:t>to</w:t>
      </w:r>
      <w:r>
        <w:rPr>
          <w:spacing w:val="-3"/>
        </w:rPr>
        <w:t xml:space="preserve"> </w:t>
      </w:r>
      <w:r>
        <w:t>Massachusetts’s</w:t>
      </w:r>
      <w:r>
        <w:rPr>
          <w:spacing w:val="-4"/>
        </w:rPr>
        <w:t xml:space="preserve"> </w:t>
      </w:r>
      <w:r>
        <w:t>request,</w:t>
      </w:r>
      <w:r>
        <w:rPr>
          <w:spacing w:val="-3"/>
        </w:rPr>
        <w:t xml:space="preserve"> </w:t>
      </w:r>
      <w:r>
        <w:t>dated</w:t>
      </w:r>
      <w:r>
        <w:rPr>
          <w:spacing w:val="-3"/>
        </w:rPr>
        <w:t xml:space="preserve"> </w:t>
      </w:r>
      <w:r>
        <w:t>September</w:t>
      </w:r>
      <w:r>
        <w:rPr>
          <w:spacing w:val="-3"/>
        </w:rPr>
        <w:t xml:space="preserve"> </w:t>
      </w:r>
      <w:r>
        <w:t>12,</w:t>
      </w:r>
      <w:r>
        <w:rPr>
          <w:spacing w:val="-4"/>
        </w:rPr>
        <w:t xml:space="preserve"> </w:t>
      </w:r>
      <w:r>
        <w:t>2022,</w:t>
      </w:r>
      <w:r>
        <w:rPr>
          <w:spacing w:val="-1"/>
        </w:rPr>
        <w:t xml:space="preserve"> </w:t>
      </w:r>
      <w:r>
        <w:t>for</w:t>
      </w:r>
      <w:r>
        <w:rPr>
          <w:spacing w:val="-5"/>
        </w:rPr>
        <w:t xml:space="preserve"> </w:t>
      </w:r>
      <w:r>
        <w:t>a</w:t>
      </w:r>
      <w:r>
        <w:rPr>
          <w:spacing w:val="-4"/>
        </w:rPr>
        <w:t xml:space="preserve"> </w:t>
      </w:r>
      <w:r>
        <w:t>waiver</w:t>
      </w:r>
      <w:r>
        <w:rPr>
          <w:spacing w:val="-5"/>
        </w:rPr>
        <w:t xml:space="preserve"> </w:t>
      </w:r>
      <w:r>
        <w:t>under section 1902(e)(14)(A) of the Social Security Act (the Act), that will protect beneficiaries in addressing the challenges the state faces as part of a transition to routine operations when the</w:t>
      </w:r>
    </w:p>
    <w:p w14:paraId="3D3212B0" w14:textId="77777777" w:rsidR="00017307" w:rsidRDefault="00BC7EE4">
      <w:pPr>
        <w:pStyle w:val="BodyText"/>
      </w:pPr>
      <w:r>
        <w:t>COVID-19</w:t>
      </w:r>
      <w:r>
        <w:rPr>
          <w:spacing w:val="-3"/>
        </w:rPr>
        <w:t xml:space="preserve"> </w:t>
      </w:r>
      <w:r>
        <w:t>Public</w:t>
      </w:r>
      <w:r>
        <w:rPr>
          <w:spacing w:val="-4"/>
        </w:rPr>
        <w:t xml:space="preserve"> </w:t>
      </w:r>
      <w:r>
        <w:t>Health</w:t>
      </w:r>
      <w:r>
        <w:rPr>
          <w:spacing w:val="-3"/>
        </w:rPr>
        <w:t xml:space="preserve"> </w:t>
      </w:r>
      <w:r>
        <w:t>Emergency</w:t>
      </w:r>
      <w:r>
        <w:rPr>
          <w:spacing w:val="-6"/>
        </w:rPr>
        <w:t xml:space="preserve"> </w:t>
      </w:r>
      <w:r>
        <w:t>(PHE)</w:t>
      </w:r>
      <w:r>
        <w:rPr>
          <w:spacing w:val="-5"/>
        </w:rPr>
        <w:t xml:space="preserve"> </w:t>
      </w:r>
      <w:r>
        <w:t>ends.</w:t>
      </w:r>
      <w:r>
        <w:rPr>
          <w:spacing w:val="40"/>
        </w:rPr>
        <w:t xml:space="preserve"> </w:t>
      </w:r>
      <w:r>
        <w:t>Section</w:t>
      </w:r>
      <w:r>
        <w:rPr>
          <w:spacing w:val="-3"/>
        </w:rPr>
        <w:t xml:space="preserve"> </w:t>
      </w:r>
      <w:r>
        <w:t>1902(e)(14)(A)</w:t>
      </w:r>
      <w:r>
        <w:rPr>
          <w:spacing w:val="-3"/>
        </w:rPr>
        <w:t xml:space="preserve"> </w:t>
      </w:r>
      <w:r>
        <w:t>allows</w:t>
      </w:r>
      <w:r>
        <w:rPr>
          <w:spacing w:val="-3"/>
        </w:rPr>
        <w:t xml:space="preserve"> </w:t>
      </w:r>
      <w:r>
        <w:t>for</w:t>
      </w:r>
      <w:r>
        <w:rPr>
          <w:spacing w:val="-3"/>
        </w:rPr>
        <w:t xml:space="preserve"> </w:t>
      </w:r>
      <w:r>
        <w:t>waivers “as</w:t>
      </w:r>
      <w:r>
        <w:rPr>
          <w:spacing w:val="-3"/>
        </w:rPr>
        <w:t xml:space="preserve"> </w:t>
      </w:r>
      <w:r>
        <w:t>are necessary to ensure that states establish income and eligibility determination systems that protect beneficiaries.”</w:t>
      </w:r>
      <w:r>
        <w:rPr>
          <w:spacing w:val="40"/>
        </w:rPr>
        <w:t xml:space="preserve"> </w:t>
      </w:r>
      <w:r>
        <w:t>Such waivers are time-limited and are meant to promote enrollment and retention of eligible individuals by easing the administrative burden states may experience in light of systems limitations and challenges.</w:t>
      </w:r>
    </w:p>
    <w:p w14:paraId="3D3212B1" w14:textId="77777777" w:rsidR="00017307" w:rsidRDefault="00017307">
      <w:pPr>
        <w:pStyle w:val="BodyText"/>
        <w:spacing w:before="1"/>
        <w:ind w:left="0"/>
      </w:pPr>
    </w:p>
    <w:p w14:paraId="3D3212B2" w14:textId="77777777" w:rsidR="00017307" w:rsidRDefault="00BC7EE4">
      <w:pPr>
        <w:pStyle w:val="BodyText"/>
        <w:ind w:right="169"/>
      </w:pPr>
      <w:r>
        <w:t>The ongoing COVID-19 pandemic and implementation of federal policies to address the PHE have disrupted routine Medicaid and Children's Health Insurance Program (CHIP) eligibility and enrollment operations. Medicaid and CHIP enrollment has grown to historic levels due in large part to the continuous enrollment requirements that states implemented as a condition of receiving a temporary</w:t>
      </w:r>
      <w:r>
        <w:rPr>
          <w:spacing w:val="-8"/>
        </w:rPr>
        <w:t xml:space="preserve"> </w:t>
      </w:r>
      <w:r>
        <w:t>6.2</w:t>
      </w:r>
      <w:r>
        <w:rPr>
          <w:spacing w:val="-3"/>
        </w:rPr>
        <w:t xml:space="preserve"> </w:t>
      </w:r>
      <w:r>
        <w:t>percentage</w:t>
      </w:r>
      <w:r>
        <w:rPr>
          <w:spacing w:val="-2"/>
        </w:rPr>
        <w:t xml:space="preserve"> </w:t>
      </w:r>
      <w:r>
        <w:t>point</w:t>
      </w:r>
      <w:r>
        <w:rPr>
          <w:spacing w:val="-3"/>
        </w:rPr>
        <w:t xml:space="preserve"> </w:t>
      </w:r>
      <w:r>
        <w:t>federal</w:t>
      </w:r>
      <w:r>
        <w:rPr>
          <w:spacing w:val="-3"/>
        </w:rPr>
        <w:t xml:space="preserve"> </w:t>
      </w:r>
      <w:r>
        <w:t>medical</w:t>
      </w:r>
      <w:r>
        <w:rPr>
          <w:spacing w:val="-3"/>
        </w:rPr>
        <w:t xml:space="preserve"> </w:t>
      </w:r>
      <w:r>
        <w:t>assistance</w:t>
      </w:r>
      <w:r>
        <w:rPr>
          <w:spacing w:val="-4"/>
        </w:rPr>
        <w:t xml:space="preserve"> </w:t>
      </w:r>
      <w:r>
        <w:t>percentage</w:t>
      </w:r>
      <w:r>
        <w:rPr>
          <w:spacing w:val="-4"/>
        </w:rPr>
        <w:t xml:space="preserve"> </w:t>
      </w:r>
      <w:r>
        <w:t>increase</w:t>
      </w:r>
      <w:r>
        <w:rPr>
          <w:spacing w:val="-4"/>
        </w:rPr>
        <w:t xml:space="preserve"> </w:t>
      </w:r>
      <w:r>
        <w:t>under</w:t>
      </w:r>
      <w:r>
        <w:rPr>
          <w:spacing w:val="-3"/>
        </w:rPr>
        <w:t xml:space="preserve"> </w:t>
      </w:r>
      <w:r>
        <w:t>section</w:t>
      </w:r>
      <w:r>
        <w:rPr>
          <w:spacing w:val="-3"/>
        </w:rPr>
        <w:t xml:space="preserve"> </w:t>
      </w:r>
      <w:r>
        <w:t>6008</w:t>
      </w:r>
      <w:r>
        <w:rPr>
          <w:spacing w:val="-3"/>
        </w:rPr>
        <w:t xml:space="preserve"> </w:t>
      </w:r>
      <w:r>
        <w:t>of the Families First Coronavirus Response Act (P.L. 116-127).</w:t>
      </w:r>
    </w:p>
    <w:p w14:paraId="3D3212B3" w14:textId="77777777" w:rsidR="00017307" w:rsidRDefault="00017307">
      <w:pPr>
        <w:pStyle w:val="BodyText"/>
        <w:ind w:left="0"/>
      </w:pPr>
    </w:p>
    <w:p w14:paraId="3D3212B4" w14:textId="77777777" w:rsidR="00017307" w:rsidRDefault="00BC7EE4">
      <w:pPr>
        <w:ind w:left="140" w:right="169"/>
        <w:rPr>
          <w:sz w:val="24"/>
        </w:rPr>
      </w:pPr>
      <w:r>
        <w:rPr>
          <w:sz w:val="24"/>
        </w:rPr>
        <w:t>Consistent with the March 3, 2022 Centers for Medicare &amp; Medicaid Services (CMS) State Health Official (SHO) letter #22-001, “</w:t>
      </w:r>
      <w:r>
        <w:rPr>
          <w:i/>
          <w:sz w:val="24"/>
        </w:rPr>
        <w:t>Promoting Continuity of Coverage and Distributing Eligibility and Enrollment Workload in Medicaid, the Children’s Health Insurance Program (CHIP), and Basic Health Program (BHP) Upon Conclusion of the COVID-19 Public Health Emergency</w:t>
      </w:r>
      <w:r>
        <w:rPr>
          <w:sz w:val="24"/>
        </w:rPr>
        <w:t>,” Massachusetts</w:t>
      </w:r>
      <w:r>
        <w:rPr>
          <w:spacing w:val="-3"/>
          <w:sz w:val="24"/>
        </w:rPr>
        <w:t xml:space="preserve"> </w:t>
      </w:r>
      <w:r>
        <w:rPr>
          <w:sz w:val="24"/>
        </w:rPr>
        <w:t>has</w:t>
      </w:r>
      <w:r>
        <w:rPr>
          <w:spacing w:val="-3"/>
          <w:sz w:val="24"/>
        </w:rPr>
        <w:t xml:space="preserve"> </w:t>
      </w:r>
      <w:r>
        <w:rPr>
          <w:sz w:val="24"/>
        </w:rPr>
        <w:t>requested</w:t>
      </w:r>
      <w:r>
        <w:rPr>
          <w:spacing w:val="-3"/>
          <w:sz w:val="24"/>
        </w:rPr>
        <w:t xml:space="preserve"> </w:t>
      </w:r>
      <w:r>
        <w:rPr>
          <w:sz w:val="24"/>
        </w:rPr>
        <w:t>that</w:t>
      </w:r>
      <w:r>
        <w:rPr>
          <w:spacing w:val="-3"/>
          <w:sz w:val="24"/>
        </w:rPr>
        <w:t xml:space="preserve"> </w:t>
      </w:r>
      <w:r>
        <w:rPr>
          <w:sz w:val="24"/>
        </w:rPr>
        <w:t>CMS</w:t>
      </w:r>
      <w:r>
        <w:rPr>
          <w:spacing w:val="-3"/>
          <w:sz w:val="24"/>
        </w:rPr>
        <w:t xml:space="preserve"> </w:t>
      </w:r>
      <w:r>
        <w:rPr>
          <w:sz w:val="24"/>
        </w:rPr>
        <w:t>provide</w:t>
      </w:r>
      <w:r>
        <w:rPr>
          <w:spacing w:val="-3"/>
          <w:sz w:val="24"/>
        </w:rPr>
        <w:t xml:space="preserve"> </w:t>
      </w:r>
      <w:r>
        <w:rPr>
          <w:sz w:val="24"/>
        </w:rPr>
        <w:t>authority</w:t>
      </w:r>
      <w:r>
        <w:rPr>
          <w:spacing w:val="-8"/>
          <w:sz w:val="24"/>
        </w:rPr>
        <w:t xml:space="preserve"> </w:t>
      </w:r>
      <w:r>
        <w:rPr>
          <w:sz w:val="24"/>
        </w:rPr>
        <w:t>under</w:t>
      </w:r>
      <w:r>
        <w:rPr>
          <w:spacing w:val="-3"/>
          <w:sz w:val="24"/>
        </w:rPr>
        <w:t xml:space="preserve"> </w:t>
      </w:r>
      <w:r>
        <w:rPr>
          <w:sz w:val="24"/>
        </w:rPr>
        <w:t>section</w:t>
      </w:r>
      <w:r>
        <w:rPr>
          <w:spacing w:val="-3"/>
          <w:sz w:val="24"/>
        </w:rPr>
        <w:t xml:space="preserve"> </w:t>
      </w:r>
      <w:r>
        <w:rPr>
          <w:sz w:val="24"/>
        </w:rPr>
        <w:t>1902(e)(14)(A)</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Act</w:t>
      </w:r>
      <w:r>
        <w:rPr>
          <w:spacing w:val="-3"/>
          <w:sz w:val="24"/>
        </w:rPr>
        <w:t xml:space="preserve"> </w:t>
      </w:r>
      <w:r>
        <w:rPr>
          <w:sz w:val="24"/>
        </w:rPr>
        <w:t>to temporarily permit the state to accept updated in-state enrollee contact information from the U.S. Postal Services (USPS) National Change of Address (NCOA) and USPS returned mail without additional confirmation from the individual.</w:t>
      </w:r>
      <w:r>
        <w:rPr>
          <w:spacing w:val="40"/>
          <w:sz w:val="24"/>
        </w:rPr>
        <w:t xml:space="preserve"> </w:t>
      </w:r>
      <w:r>
        <w:rPr>
          <w:sz w:val="24"/>
        </w:rPr>
        <w:t>The state has expressed the need for this authority in order to address systems and operational issues related to managing staff workload and protecting beneficiary access to coverage during the unwinding period.</w:t>
      </w:r>
      <w:r>
        <w:rPr>
          <w:spacing w:val="40"/>
          <w:sz w:val="24"/>
        </w:rPr>
        <w:t xml:space="preserve"> </w:t>
      </w:r>
      <w:r>
        <w:rPr>
          <w:sz w:val="24"/>
        </w:rPr>
        <w:t>Specifically, the state cited concerns related to an unsustainable level of effort needed to update beneficiary contact information under current policy due to the state’s eligibility systems, workforce shortages, and limited resources.</w:t>
      </w:r>
    </w:p>
    <w:p w14:paraId="3D3212B5" w14:textId="77777777" w:rsidR="00017307" w:rsidRDefault="00BC7EE4">
      <w:pPr>
        <w:pStyle w:val="BodyText"/>
        <w:spacing w:before="1"/>
        <w:ind w:right="169"/>
      </w:pPr>
      <w:r>
        <w:lastRenderedPageBreak/>
        <w:t>Given</w:t>
      </w:r>
      <w:r>
        <w:rPr>
          <w:spacing w:val="-3"/>
        </w:rPr>
        <w:t xml:space="preserve"> </w:t>
      </w:r>
      <w:r>
        <w:t>that</w:t>
      </w:r>
      <w:r>
        <w:rPr>
          <w:spacing w:val="-3"/>
        </w:rPr>
        <w:t xml:space="preserve"> </w:t>
      </w:r>
      <w:r>
        <w:t>the</w:t>
      </w:r>
      <w:r>
        <w:rPr>
          <w:spacing w:val="-4"/>
        </w:rPr>
        <w:t xml:space="preserve"> </w:t>
      </w:r>
      <w:r>
        <w:t>lack</w:t>
      </w:r>
      <w:r>
        <w:rPr>
          <w:spacing w:val="-3"/>
        </w:rPr>
        <w:t xml:space="preserve"> </w:t>
      </w:r>
      <w:r>
        <w:t>of</w:t>
      </w:r>
      <w:r>
        <w:rPr>
          <w:spacing w:val="-2"/>
        </w:rPr>
        <w:t xml:space="preserve"> </w:t>
      </w:r>
      <w:r>
        <w:t>current</w:t>
      </w:r>
      <w:r>
        <w:rPr>
          <w:spacing w:val="-3"/>
        </w:rPr>
        <w:t xml:space="preserve"> </w:t>
      </w:r>
      <w:r>
        <w:t>beneficiary</w:t>
      </w:r>
      <w:r>
        <w:rPr>
          <w:spacing w:val="-6"/>
        </w:rPr>
        <w:t xml:space="preserve"> </w:t>
      </w:r>
      <w:r>
        <w:t>addresses</w:t>
      </w:r>
      <w:r>
        <w:rPr>
          <w:spacing w:val="-4"/>
        </w:rPr>
        <w:t xml:space="preserve"> </w:t>
      </w:r>
      <w:r>
        <w:t>would</w:t>
      </w:r>
      <w:r>
        <w:rPr>
          <w:spacing w:val="-3"/>
        </w:rPr>
        <w:t xml:space="preserve"> </w:t>
      </w:r>
      <w:r>
        <w:t>significantly</w:t>
      </w:r>
      <w:r>
        <w:rPr>
          <w:spacing w:val="-7"/>
        </w:rPr>
        <w:t xml:space="preserve"> </w:t>
      </w:r>
      <w:r>
        <w:t>undermine</w:t>
      </w:r>
      <w:r>
        <w:rPr>
          <w:spacing w:val="-4"/>
        </w:rPr>
        <w:t xml:space="preserve"> </w:t>
      </w:r>
      <w:r>
        <w:t>the</w:t>
      </w:r>
      <w:r>
        <w:rPr>
          <w:spacing w:val="-3"/>
        </w:rPr>
        <w:t xml:space="preserve"> </w:t>
      </w:r>
      <w:r>
        <w:t>state’s</w:t>
      </w:r>
      <w:r>
        <w:rPr>
          <w:spacing w:val="-1"/>
        </w:rPr>
        <w:t xml:space="preserve"> </w:t>
      </w:r>
      <w:r>
        <w:t>ability to successfully</w:t>
      </w:r>
      <w:r>
        <w:rPr>
          <w:spacing w:val="-1"/>
        </w:rPr>
        <w:t xml:space="preserve"> </w:t>
      </w:r>
      <w:r>
        <w:t>renew eligible beneficiaries, this authority will protect beneficiaries in the aggregate by reducing the risk of procedural terminations for many beneficiaries.</w:t>
      </w:r>
    </w:p>
    <w:p w14:paraId="3D3212B6" w14:textId="77777777" w:rsidR="00017307" w:rsidRDefault="00017307">
      <w:pPr>
        <w:sectPr w:rsidR="00017307">
          <w:type w:val="continuous"/>
          <w:pgSz w:w="12240" w:h="15840"/>
          <w:pgMar w:top="940" w:right="900" w:bottom="280" w:left="1300" w:header="720" w:footer="720" w:gutter="0"/>
          <w:cols w:space="720"/>
        </w:sectPr>
      </w:pPr>
    </w:p>
    <w:p w14:paraId="3D3212B7" w14:textId="77777777" w:rsidR="00017307" w:rsidRDefault="00BC7EE4">
      <w:pPr>
        <w:pStyle w:val="BodyText"/>
        <w:spacing w:before="79"/>
      </w:pPr>
      <w:r>
        <w:lastRenderedPageBreak/>
        <w:t>Amanda</w:t>
      </w:r>
      <w:r>
        <w:rPr>
          <w:spacing w:val="-2"/>
        </w:rPr>
        <w:t xml:space="preserve"> </w:t>
      </w:r>
      <w:r>
        <w:t>Cassel Kraft – Page</w:t>
      </w:r>
      <w:r>
        <w:rPr>
          <w:spacing w:val="-1"/>
        </w:rPr>
        <w:t xml:space="preserve"> </w:t>
      </w:r>
      <w:r>
        <w:rPr>
          <w:spacing w:val="-10"/>
        </w:rPr>
        <w:t>2</w:t>
      </w:r>
    </w:p>
    <w:p w14:paraId="3D3212B8" w14:textId="77777777" w:rsidR="00017307" w:rsidRDefault="00017307">
      <w:pPr>
        <w:pStyle w:val="BodyText"/>
        <w:ind w:left="0"/>
      </w:pPr>
    </w:p>
    <w:p w14:paraId="3D3212B9" w14:textId="77777777" w:rsidR="00017307" w:rsidRDefault="00BC7EE4">
      <w:pPr>
        <w:pStyle w:val="BodyText"/>
      </w:pPr>
      <w:r>
        <w:t>Under Section 1902(e)(14)(A) of the Act, your request to update in-state beneficiary contact information</w:t>
      </w:r>
      <w:r>
        <w:rPr>
          <w:spacing w:val="-3"/>
        </w:rPr>
        <w:t xml:space="preserve"> </w:t>
      </w:r>
      <w:r>
        <w:t>based</w:t>
      </w:r>
      <w:r>
        <w:rPr>
          <w:spacing w:val="-3"/>
        </w:rPr>
        <w:t xml:space="preserve"> </w:t>
      </w:r>
      <w:r>
        <w:t>on</w:t>
      </w:r>
      <w:r>
        <w:rPr>
          <w:spacing w:val="-3"/>
        </w:rPr>
        <w:t xml:space="preserve"> </w:t>
      </w:r>
      <w:r>
        <w:t>the</w:t>
      </w:r>
      <w:r>
        <w:rPr>
          <w:spacing w:val="-2"/>
        </w:rPr>
        <w:t xml:space="preserve"> </w:t>
      </w:r>
      <w:r>
        <w:t>USPS</w:t>
      </w:r>
      <w:r>
        <w:rPr>
          <w:spacing w:val="-3"/>
        </w:rPr>
        <w:t xml:space="preserve"> </w:t>
      </w:r>
      <w:r>
        <w:t>NCOA</w:t>
      </w:r>
      <w:r>
        <w:rPr>
          <w:spacing w:val="-4"/>
        </w:rPr>
        <w:t xml:space="preserve"> </w:t>
      </w:r>
      <w:r>
        <w:t>and</w:t>
      </w:r>
      <w:r>
        <w:rPr>
          <w:spacing w:val="-3"/>
        </w:rPr>
        <w:t xml:space="preserve"> </w:t>
      </w:r>
      <w:r>
        <w:t>returned</w:t>
      </w:r>
      <w:r>
        <w:rPr>
          <w:spacing w:val="-3"/>
        </w:rPr>
        <w:t xml:space="preserve"> </w:t>
      </w:r>
      <w:r>
        <w:t>mail</w:t>
      </w:r>
      <w:r>
        <w:rPr>
          <w:spacing w:val="-1"/>
        </w:rPr>
        <w:t xml:space="preserve"> </w:t>
      </w:r>
      <w:r>
        <w:t>is</w:t>
      </w:r>
      <w:r>
        <w:rPr>
          <w:spacing w:val="-3"/>
        </w:rPr>
        <w:t xml:space="preserve"> </w:t>
      </w:r>
      <w:r>
        <w:t>approved,</w:t>
      </w:r>
      <w:r>
        <w:rPr>
          <w:spacing w:val="-3"/>
        </w:rPr>
        <w:t xml:space="preserve"> </w:t>
      </w:r>
      <w:r>
        <w:t>as</w:t>
      </w:r>
      <w:r>
        <w:rPr>
          <w:spacing w:val="-3"/>
        </w:rPr>
        <w:t xml:space="preserve"> </w:t>
      </w:r>
      <w:r>
        <w:t>described</w:t>
      </w:r>
      <w:r>
        <w:rPr>
          <w:spacing w:val="-1"/>
        </w:rPr>
        <w:t xml:space="preserve"> </w:t>
      </w:r>
      <w:r>
        <w:t>and</w:t>
      </w:r>
      <w:r>
        <w:rPr>
          <w:spacing w:val="-3"/>
        </w:rPr>
        <w:t xml:space="preserve"> </w:t>
      </w:r>
      <w:r>
        <w:t>subject</w:t>
      </w:r>
      <w:r>
        <w:rPr>
          <w:spacing w:val="-3"/>
        </w:rPr>
        <w:t xml:space="preserve"> </w:t>
      </w:r>
      <w:r>
        <w:t>to</w:t>
      </w:r>
      <w:r>
        <w:rPr>
          <w:spacing w:val="-3"/>
        </w:rPr>
        <w:t xml:space="preserve"> </w:t>
      </w:r>
      <w:r>
        <w:t>the conditions below.</w:t>
      </w:r>
    </w:p>
    <w:p w14:paraId="3D3212BA" w14:textId="77777777" w:rsidR="00017307" w:rsidRDefault="00017307">
      <w:pPr>
        <w:pStyle w:val="BodyText"/>
        <w:ind w:left="0"/>
      </w:pPr>
    </w:p>
    <w:p w14:paraId="3D3212BB" w14:textId="77777777" w:rsidR="00017307" w:rsidRDefault="00BC7EE4">
      <w:pPr>
        <w:pStyle w:val="BodyText"/>
      </w:pPr>
      <w:r>
        <w:rPr>
          <w:u w:val="single"/>
        </w:rPr>
        <w:t>Using</w:t>
      </w:r>
      <w:r>
        <w:rPr>
          <w:spacing w:val="-6"/>
          <w:u w:val="single"/>
        </w:rPr>
        <w:t xml:space="preserve"> </w:t>
      </w:r>
      <w:r>
        <w:rPr>
          <w:u w:val="single"/>
        </w:rPr>
        <w:t>the</w:t>
      </w:r>
      <w:r>
        <w:rPr>
          <w:spacing w:val="-3"/>
          <w:u w:val="single"/>
        </w:rPr>
        <w:t xml:space="preserve"> </w:t>
      </w:r>
      <w:r>
        <w:rPr>
          <w:u w:val="single"/>
        </w:rPr>
        <w:t>U.S.</w:t>
      </w:r>
      <w:r>
        <w:rPr>
          <w:spacing w:val="-3"/>
          <w:u w:val="single"/>
        </w:rPr>
        <w:t xml:space="preserve"> </w:t>
      </w:r>
      <w:r>
        <w:rPr>
          <w:u w:val="single"/>
        </w:rPr>
        <w:t>Postal</w:t>
      </w:r>
      <w:r>
        <w:rPr>
          <w:spacing w:val="-3"/>
          <w:u w:val="single"/>
        </w:rPr>
        <w:t xml:space="preserve"> </w:t>
      </w:r>
      <w:r>
        <w:rPr>
          <w:u w:val="single"/>
        </w:rPr>
        <w:t>Service</w:t>
      </w:r>
      <w:r>
        <w:rPr>
          <w:spacing w:val="-5"/>
          <w:u w:val="single"/>
        </w:rPr>
        <w:t xml:space="preserve"> </w:t>
      </w:r>
      <w:r>
        <w:rPr>
          <w:u w:val="single"/>
        </w:rPr>
        <w:t>(USPS)</w:t>
      </w:r>
      <w:r>
        <w:rPr>
          <w:spacing w:val="-3"/>
          <w:u w:val="single"/>
        </w:rPr>
        <w:t xml:space="preserve"> </w:t>
      </w:r>
      <w:r>
        <w:rPr>
          <w:u w:val="single"/>
        </w:rPr>
        <w:t>National</w:t>
      </w:r>
      <w:r>
        <w:rPr>
          <w:spacing w:val="-3"/>
          <w:u w:val="single"/>
        </w:rPr>
        <w:t xml:space="preserve"> </w:t>
      </w:r>
      <w:r>
        <w:rPr>
          <w:u w:val="single"/>
        </w:rPr>
        <w:t>Change</w:t>
      </w:r>
      <w:r>
        <w:rPr>
          <w:spacing w:val="-4"/>
          <w:u w:val="single"/>
        </w:rPr>
        <w:t xml:space="preserve"> </w:t>
      </w:r>
      <w:r>
        <w:rPr>
          <w:u w:val="single"/>
        </w:rPr>
        <w:t>of</w:t>
      </w:r>
      <w:r>
        <w:rPr>
          <w:spacing w:val="-3"/>
          <w:u w:val="single"/>
        </w:rPr>
        <w:t xml:space="preserve"> </w:t>
      </w:r>
      <w:r>
        <w:rPr>
          <w:u w:val="single"/>
        </w:rPr>
        <w:t>Address</w:t>
      </w:r>
      <w:r>
        <w:rPr>
          <w:spacing w:val="-3"/>
          <w:u w:val="single"/>
        </w:rPr>
        <w:t xml:space="preserve"> </w:t>
      </w:r>
      <w:r>
        <w:rPr>
          <w:u w:val="single"/>
        </w:rPr>
        <w:t>(NCOA)</w:t>
      </w:r>
      <w:r>
        <w:rPr>
          <w:spacing w:val="-3"/>
          <w:u w:val="single"/>
        </w:rPr>
        <w:t xml:space="preserve"> </w:t>
      </w:r>
      <w:r>
        <w:rPr>
          <w:u w:val="single"/>
        </w:rPr>
        <w:t>Database</w:t>
      </w:r>
      <w:r>
        <w:rPr>
          <w:spacing w:val="-4"/>
          <w:u w:val="single"/>
        </w:rPr>
        <w:t xml:space="preserve"> </w:t>
      </w:r>
      <w:r>
        <w:rPr>
          <w:u w:val="single"/>
        </w:rPr>
        <w:t>and</w:t>
      </w:r>
      <w:r>
        <w:rPr>
          <w:spacing w:val="-3"/>
          <w:u w:val="single"/>
        </w:rPr>
        <w:t xml:space="preserve"> </w:t>
      </w:r>
      <w:r>
        <w:rPr>
          <w:u w:val="single"/>
        </w:rPr>
        <w:t>USPS</w:t>
      </w:r>
      <w:r>
        <w:t xml:space="preserve"> </w:t>
      </w:r>
      <w:r>
        <w:rPr>
          <w:u w:val="single"/>
        </w:rPr>
        <w:t>Returned Mail to Update Beneficiary Contact Information</w:t>
      </w:r>
    </w:p>
    <w:p w14:paraId="3D3212BC" w14:textId="77777777" w:rsidR="00017307" w:rsidRDefault="00017307">
      <w:pPr>
        <w:pStyle w:val="BodyText"/>
        <w:spacing w:before="2"/>
        <w:ind w:left="0"/>
        <w:rPr>
          <w:sz w:val="16"/>
        </w:rPr>
      </w:pPr>
    </w:p>
    <w:p w14:paraId="3D3212BD" w14:textId="77777777" w:rsidR="00017307" w:rsidRDefault="00BC7EE4">
      <w:pPr>
        <w:pStyle w:val="BodyText"/>
        <w:spacing w:before="90"/>
        <w:ind w:right="112"/>
      </w:pPr>
      <w:r>
        <w:t>The authority provided in accordance with this letter will enable the state, during the period of time specified below, to accept updated in-state contact information received from NCOA or USPS returned</w:t>
      </w:r>
      <w:r>
        <w:rPr>
          <w:spacing w:val="-2"/>
        </w:rPr>
        <w:t xml:space="preserve"> </w:t>
      </w:r>
      <w:r>
        <w:t>mail</w:t>
      </w:r>
      <w:r>
        <w:rPr>
          <w:spacing w:val="-2"/>
        </w:rPr>
        <w:t xml:space="preserve"> </w:t>
      </w:r>
      <w:r>
        <w:t>without</w:t>
      </w:r>
      <w:r>
        <w:rPr>
          <w:spacing w:val="-2"/>
        </w:rPr>
        <w:t xml:space="preserve"> </w:t>
      </w:r>
      <w:r>
        <w:t>additional</w:t>
      </w:r>
      <w:r>
        <w:rPr>
          <w:spacing w:val="-2"/>
        </w:rPr>
        <w:t xml:space="preserve"> </w:t>
      </w:r>
      <w:r>
        <w:t>confirmation</w:t>
      </w:r>
      <w:r>
        <w:rPr>
          <w:spacing w:val="-2"/>
        </w:rPr>
        <w:t xml:space="preserve"> </w:t>
      </w:r>
      <w:r>
        <w:t>from</w:t>
      </w:r>
      <w:r>
        <w:rPr>
          <w:spacing w:val="-2"/>
        </w:rPr>
        <w:t xml:space="preserve"> </w:t>
      </w:r>
      <w:r>
        <w:t>the</w:t>
      </w:r>
      <w:r>
        <w:rPr>
          <w:spacing w:val="-3"/>
        </w:rPr>
        <w:t xml:space="preserve"> </w:t>
      </w:r>
      <w:r>
        <w:t>individual.</w:t>
      </w:r>
      <w:r>
        <w:rPr>
          <w:spacing w:val="40"/>
        </w:rPr>
        <w:t xml:space="preserve"> </w:t>
      </w:r>
      <w:r>
        <w:t>Under</w:t>
      </w:r>
      <w:r>
        <w:rPr>
          <w:spacing w:val="-2"/>
        </w:rPr>
        <w:t xml:space="preserve"> </w:t>
      </w:r>
      <w:r>
        <w:t>this</w:t>
      </w:r>
      <w:r>
        <w:rPr>
          <w:spacing w:val="-2"/>
        </w:rPr>
        <w:t xml:space="preserve"> </w:t>
      </w:r>
      <w:r>
        <w:t>authority,</w:t>
      </w:r>
      <w:r>
        <w:rPr>
          <w:spacing w:val="-2"/>
        </w:rPr>
        <w:t xml:space="preserve"> </w:t>
      </w:r>
      <w:r>
        <w:t>the</w:t>
      </w:r>
      <w:r>
        <w:rPr>
          <w:spacing w:val="-2"/>
        </w:rPr>
        <w:t xml:space="preserve"> </w:t>
      </w:r>
      <w:r>
        <w:t>state</w:t>
      </w:r>
      <w:r>
        <w:rPr>
          <w:spacing w:val="-2"/>
        </w:rPr>
        <w:t xml:space="preserve"> </w:t>
      </w:r>
      <w:r>
        <w:t>will treat</w:t>
      </w:r>
      <w:r>
        <w:rPr>
          <w:spacing w:val="-3"/>
        </w:rPr>
        <w:t xml:space="preserve"> </w:t>
      </w:r>
      <w:r>
        <w:t>updated</w:t>
      </w:r>
      <w:r>
        <w:rPr>
          <w:spacing w:val="-3"/>
        </w:rPr>
        <w:t xml:space="preserve"> </w:t>
      </w:r>
      <w:r>
        <w:t>in-state</w:t>
      </w:r>
      <w:r>
        <w:rPr>
          <w:spacing w:val="-4"/>
        </w:rPr>
        <w:t xml:space="preserve"> </w:t>
      </w:r>
      <w:r>
        <w:t>contact</w:t>
      </w:r>
      <w:r>
        <w:rPr>
          <w:spacing w:val="-3"/>
        </w:rPr>
        <w:t xml:space="preserve"> </w:t>
      </w:r>
      <w:r>
        <w:t>information</w:t>
      </w:r>
      <w:r>
        <w:rPr>
          <w:spacing w:val="-3"/>
        </w:rPr>
        <w:t xml:space="preserve"> </w:t>
      </w:r>
      <w:r>
        <w:t>received from</w:t>
      </w:r>
      <w:r>
        <w:rPr>
          <w:spacing w:val="-3"/>
        </w:rPr>
        <w:t xml:space="preserve"> </w:t>
      </w:r>
      <w:r>
        <w:t>NCOA</w:t>
      </w:r>
      <w:r>
        <w:rPr>
          <w:spacing w:val="-4"/>
        </w:rPr>
        <w:t xml:space="preserve"> </w:t>
      </w:r>
      <w:r>
        <w:t>or</w:t>
      </w:r>
      <w:r>
        <w:rPr>
          <w:spacing w:val="-3"/>
        </w:rPr>
        <w:t xml:space="preserve"> </w:t>
      </w:r>
      <w:r>
        <w:t>USPS</w:t>
      </w:r>
      <w:r>
        <w:rPr>
          <w:spacing w:val="-3"/>
        </w:rPr>
        <w:t xml:space="preserve"> </w:t>
      </w:r>
      <w:r>
        <w:t>returned</w:t>
      </w:r>
      <w:r>
        <w:rPr>
          <w:spacing w:val="-3"/>
        </w:rPr>
        <w:t xml:space="preserve"> </w:t>
      </w:r>
      <w:r>
        <w:t>mail</w:t>
      </w:r>
      <w:r>
        <w:rPr>
          <w:spacing w:val="-1"/>
        </w:rPr>
        <w:t xml:space="preserve"> </w:t>
      </w:r>
      <w:r>
        <w:t>as</w:t>
      </w:r>
      <w:r>
        <w:rPr>
          <w:spacing w:val="-3"/>
        </w:rPr>
        <w:t xml:space="preserve"> </w:t>
      </w:r>
      <w:r>
        <w:t>reliable</w:t>
      </w:r>
      <w:r>
        <w:rPr>
          <w:spacing w:val="-2"/>
        </w:rPr>
        <w:t xml:space="preserve"> </w:t>
      </w:r>
      <w:r>
        <w:t>and will update the beneficiary’s case record with the new contact information without first sending a notice</w:t>
      </w:r>
      <w:r>
        <w:rPr>
          <w:spacing w:val="-3"/>
        </w:rPr>
        <w:t xml:space="preserve"> </w:t>
      </w:r>
      <w:r>
        <w:t>to</w:t>
      </w:r>
      <w:r>
        <w:rPr>
          <w:spacing w:val="-2"/>
        </w:rPr>
        <w:t xml:space="preserve"> </w:t>
      </w:r>
      <w:r>
        <w:t>the</w:t>
      </w:r>
      <w:r>
        <w:rPr>
          <w:spacing w:val="-3"/>
        </w:rPr>
        <w:t xml:space="preserve"> </w:t>
      </w:r>
      <w:r>
        <w:t>beneficiary</w:t>
      </w:r>
      <w:r>
        <w:rPr>
          <w:spacing w:val="-5"/>
        </w:rPr>
        <w:t xml:space="preserve"> </w:t>
      </w:r>
      <w:r>
        <w:t>address</w:t>
      </w:r>
      <w:r>
        <w:rPr>
          <w:spacing w:val="-2"/>
        </w:rPr>
        <w:t xml:space="preserve"> </w:t>
      </w:r>
      <w:r>
        <w:t>on</w:t>
      </w:r>
      <w:r>
        <w:rPr>
          <w:spacing w:val="-2"/>
        </w:rPr>
        <w:t xml:space="preserve"> </w:t>
      </w:r>
      <w:r>
        <w:t>file</w:t>
      </w:r>
      <w:r>
        <w:rPr>
          <w:spacing w:val="-3"/>
        </w:rPr>
        <w:t xml:space="preserve"> </w:t>
      </w:r>
      <w:r>
        <w:t>with</w:t>
      </w:r>
      <w:r>
        <w:rPr>
          <w:spacing w:val="-2"/>
        </w:rPr>
        <w:t xml:space="preserve"> </w:t>
      </w:r>
      <w:r>
        <w:t>the</w:t>
      </w:r>
      <w:r>
        <w:rPr>
          <w:spacing w:val="-1"/>
        </w:rPr>
        <w:t xml:space="preserve"> </w:t>
      </w:r>
      <w:r>
        <w:t>state</w:t>
      </w:r>
      <w:r>
        <w:rPr>
          <w:spacing w:val="-3"/>
        </w:rPr>
        <w:t xml:space="preserve"> </w:t>
      </w:r>
      <w:r>
        <w:t>in</w:t>
      </w:r>
      <w:r>
        <w:rPr>
          <w:spacing w:val="-2"/>
        </w:rPr>
        <w:t xml:space="preserve"> </w:t>
      </w:r>
      <w:r>
        <w:t>order</w:t>
      </w:r>
      <w:r>
        <w:rPr>
          <w:spacing w:val="-2"/>
        </w:rPr>
        <w:t xml:space="preserve"> </w:t>
      </w:r>
      <w:r>
        <w:t>to</w:t>
      </w:r>
      <w:r>
        <w:rPr>
          <w:spacing w:val="-2"/>
        </w:rPr>
        <w:t xml:space="preserve"> </w:t>
      </w:r>
      <w:r>
        <w:t>provide</w:t>
      </w:r>
      <w:r>
        <w:rPr>
          <w:spacing w:val="-2"/>
        </w:rPr>
        <w:t xml:space="preserve"> </w:t>
      </w:r>
      <w:r>
        <w:t>them</w:t>
      </w:r>
      <w:r>
        <w:rPr>
          <w:spacing w:val="-2"/>
        </w:rPr>
        <w:t xml:space="preserve"> </w:t>
      </w:r>
      <w:r>
        <w:t>with</w:t>
      </w:r>
      <w:r>
        <w:rPr>
          <w:spacing w:val="-2"/>
        </w:rPr>
        <w:t xml:space="preserve"> </w:t>
      </w:r>
      <w:r>
        <w:t>the</w:t>
      </w:r>
      <w:r>
        <w:rPr>
          <w:spacing w:val="-2"/>
        </w:rPr>
        <w:t xml:space="preserve"> </w:t>
      </w:r>
      <w:r>
        <w:t>opportunity</w:t>
      </w:r>
      <w:r>
        <w:rPr>
          <w:spacing w:val="-7"/>
        </w:rPr>
        <w:t xml:space="preserve"> </w:t>
      </w:r>
      <w:r>
        <w:t>to dispute the address change.</w:t>
      </w:r>
      <w:r>
        <w:rPr>
          <w:spacing w:val="40"/>
        </w:rPr>
        <w:t xml:space="preserve"> </w:t>
      </w:r>
      <w:r>
        <w:t>The authority provided in accordance with this letter does not apply to out-of-state addresses received from NCOA or USPS returned mail.</w:t>
      </w:r>
      <w:r>
        <w:rPr>
          <w:spacing w:val="40"/>
        </w:rPr>
        <w:t xml:space="preserve"> </w:t>
      </w:r>
      <w:r>
        <w:t>The authority provided in accordance with this letter applies to both Medicaid and CHIP populations within the state.</w:t>
      </w:r>
    </w:p>
    <w:p w14:paraId="3D3212BE" w14:textId="77777777" w:rsidR="00017307" w:rsidRDefault="00017307">
      <w:pPr>
        <w:pStyle w:val="BodyText"/>
        <w:spacing w:before="1"/>
        <w:ind w:left="0"/>
      </w:pPr>
    </w:p>
    <w:p w14:paraId="3D3212BF" w14:textId="77777777" w:rsidR="00017307" w:rsidRDefault="00BC7EE4">
      <w:pPr>
        <w:pStyle w:val="BodyText"/>
        <w:ind w:right="169"/>
      </w:pPr>
      <w:r>
        <w:t>In exercising</w:t>
      </w:r>
      <w:r>
        <w:rPr>
          <w:spacing w:val="-5"/>
        </w:rPr>
        <w:t xml:space="preserve"> </w:t>
      </w:r>
      <w:r>
        <w:t>the</w:t>
      </w:r>
      <w:r>
        <w:rPr>
          <w:spacing w:val="-1"/>
        </w:rPr>
        <w:t xml:space="preserve"> </w:t>
      </w:r>
      <w:r>
        <w:t>authority</w:t>
      </w:r>
      <w:r>
        <w:rPr>
          <w:spacing w:val="-5"/>
        </w:rPr>
        <w:t xml:space="preserve"> </w:t>
      </w:r>
      <w:r>
        <w:t>provided</w:t>
      </w:r>
      <w:r>
        <w:rPr>
          <w:spacing w:val="-2"/>
        </w:rPr>
        <w:t xml:space="preserve"> </w:t>
      </w:r>
      <w:r>
        <w:t>in</w:t>
      </w:r>
      <w:r>
        <w:rPr>
          <w:spacing w:val="-2"/>
        </w:rPr>
        <w:t xml:space="preserve"> </w:t>
      </w:r>
      <w:r>
        <w:t>this</w:t>
      </w:r>
      <w:r>
        <w:rPr>
          <w:spacing w:val="-2"/>
        </w:rPr>
        <w:t xml:space="preserve"> </w:t>
      </w:r>
      <w:r>
        <w:t>letter,</w:t>
      </w:r>
      <w:r>
        <w:rPr>
          <w:spacing w:val="-2"/>
        </w:rPr>
        <w:t xml:space="preserve"> </w:t>
      </w:r>
      <w:r>
        <w:t>the state</w:t>
      </w:r>
      <w:r>
        <w:rPr>
          <w:spacing w:val="-3"/>
        </w:rPr>
        <w:t xml:space="preserve"> </w:t>
      </w:r>
      <w:r>
        <w:t>will</w:t>
      </w:r>
      <w:r>
        <w:rPr>
          <w:spacing w:val="-2"/>
        </w:rPr>
        <w:t xml:space="preserve"> </w:t>
      </w:r>
      <w:r>
        <w:t>ensure</w:t>
      </w:r>
      <w:r>
        <w:rPr>
          <w:spacing w:val="-4"/>
        </w:rPr>
        <w:t xml:space="preserve"> </w:t>
      </w:r>
      <w:r>
        <w:t>that</w:t>
      </w:r>
      <w:r>
        <w:rPr>
          <w:spacing w:val="-2"/>
        </w:rPr>
        <w:t xml:space="preserve"> </w:t>
      </w:r>
      <w:r>
        <w:t>it</w:t>
      </w:r>
      <w:r>
        <w:rPr>
          <w:spacing w:val="-2"/>
        </w:rPr>
        <w:t xml:space="preserve"> </w:t>
      </w:r>
      <w:r>
        <w:t>will</w:t>
      </w:r>
      <w:r>
        <w:rPr>
          <w:spacing w:val="-2"/>
        </w:rPr>
        <w:t xml:space="preserve"> </w:t>
      </w:r>
      <w:r>
        <w:t>only</w:t>
      </w:r>
      <w:r>
        <w:rPr>
          <w:spacing w:val="-10"/>
        </w:rPr>
        <w:t xml:space="preserve"> </w:t>
      </w:r>
      <w:r>
        <w:t>update</w:t>
      </w:r>
      <w:r>
        <w:rPr>
          <w:spacing w:val="-2"/>
        </w:rPr>
        <w:t xml:space="preserve"> </w:t>
      </w:r>
      <w:r>
        <w:t>in-state contact information obtained from the NCOA database or USPS returned mail that is more recent than the information on file with the state.</w:t>
      </w:r>
    </w:p>
    <w:p w14:paraId="3D3212C0" w14:textId="77777777" w:rsidR="00017307" w:rsidRDefault="00017307">
      <w:pPr>
        <w:pStyle w:val="BodyText"/>
        <w:ind w:left="0"/>
      </w:pPr>
    </w:p>
    <w:p w14:paraId="3D3212C1" w14:textId="77777777" w:rsidR="00017307" w:rsidRDefault="00BC7EE4">
      <w:pPr>
        <w:pStyle w:val="BodyText"/>
        <w:ind w:right="96"/>
      </w:pPr>
      <w:r>
        <w:t>The</w:t>
      </w:r>
      <w:r>
        <w:rPr>
          <w:spacing w:val="-4"/>
        </w:rPr>
        <w:t xml:space="preserve"> </w:t>
      </w:r>
      <w:r>
        <w:t>authority</w:t>
      </w:r>
      <w:r>
        <w:rPr>
          <w:spacing w:val="-7"/>
        </w:rPr>
        <w:t xml:space="preserve"> </w:t>
      </w:r>
      <w:r>
        <w:t>provided</w:t>
      </w:r>
      <w:r>
        <w:rPr>
          <w:spacing w:val="-2"/>
        </w:rPr>
        <w:t xml:space="preserve"> </w:t>
      </w:r>
      <w:r>
        <w:t>in</w:t>
      </w:r>
      <w:r>
        <w:rPr>
          <w:spacing w:val="-2"/>
        </w:rPr>
        <w:t xml:space="preserve"> </w:t>
      </w:r>
      <w:r>
        <w:t>this</w:t>
      </w:r>
      <w:r>
        <w:rPr>
          <w:spacing w:val="-2"/>
        </w:rPr>
        <w:t xml:space="preserve"> </w:t>
      </w:r>
      <w:r>
        <w:t>letter</w:t>
      </w:r>
      <w:r>
        <w:rPr>
          <w:spacing w:val="-3"/>
        </w:rPr>
        <w:t xml:space="preserve"> </w:t>
      </w:r>
      <w:r>
        <w:t>is effective</w:t>
      </w:r>
      <w:r>
        <w:rPr>
          <w:spacing w:val="-3"/>
        </w:rPr>
        <w:t xml:space="preserve"> </w:t>
      </w:r>
      <w:r>
        <w:t>September</w:t>
      </w:r>
      <w:r>
        <w:rPr>
          <w:spacing w:val="-2"/>
        </w:rPr>
        <w:t xml:space="preserve"> </w:t>
      </w:r>
      <w:r>
        <w:t>23,</w:t>
      </w:r>
      <w:r>
        <w:rPr>
          <w:spacing w:val="-2"/>
        </w:rPr>
        <w:t xml:space="preserve"> </w:t>
      </w:r>
      <w:r>
        <w:t>2022</w:t>
      </w:r>
      <w:r>
        <w:rPr>
          <w:spacing w:val="-2"/>
        </w:rPr>
        <w:t xml:space="preserve"> </w:t>
      </w:r>
      <w:r>
        <w:t>and will</w:t>
      </w:r>
      <w:r>
        <w:rPr>
          <w:spacing w:val="-2"/>
        </w:rPr>
        <w:t xml:space="preserve"> </w:t>
      </w:r>
      <w:r>
        <w:t>remain</w:t>
      </w:r>
      <w:r>
        <w:rPr>
          <w:spacing w:val="-1"/>
        </w:rPr>
        <w:t xml:space="preserve"> </w:t>
      </w:r>
      <w:r>
        <w:t>effective</w:t>
      </w:r>
      <w:r>
        <w:rPr>
          <w:spacing w:val="-3"/>
        </w:rPr>
        <w:t xml:space="preserve"> </w:t>
      </w:r>
      <w:r>
        <w:t>until</w:t>
      </w:r>
      <w:r>
        <w:rPr>
          <w:spacing w:val="-2"/>
        </w:rPr>
        <w:t xml:space="preserve"> </w:t>
      </w:r>
      <w:r>
        <w:t>14 months after the end of the month in which the public health emergency for COVID-19, as declared by the Secretary of Health and Human Services under section 319 of the Public Health Service Act (42 U.S.C. § 247d), ends.</w:t>
      </w:r>
    </w:p>
    <w:p w14:paraId="3D3212C2" w14:textId="77777777" w:rsidR="00017307" w:rsidRDefault="00017307">
      <w:pPr>
        <w:pStyle w:val="BodyText"/>
        <w:spacing w:before="1"/>
        <w:ind w:left="0"/>
      </w:pPr>
    </w:p>
    <w:p w14:paraId="3D3212C3" w14:textId="77777777" w:rsidR="00017307" w:rsidRDefault="00BC7EE4">
      <w:pPr>
        <w:pStyle w:val="BodyText"/>
      </w:pPr>
      <w:r>
        <w:rPr>
          <w:spacing w:val="-2"/>
        </w:rPr>
        <w:t>The</w:t>
      </w:r>
      <w:r>
        <w:rPr>
          <w:spacing w:val="-13"/>
        </w:rPr>
        <w:t xml:space="preserve"> </w:t>
      </w:r>
      <w:r>
        <w:rPr>
          <w:spacing w:val="-2"/>
        </w:rPr>
        <w:t>authority</w:t>
      </w:r>
      <w:r>
        <w:rPr>
          <w:spacing w:val="-17"/>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8"/>
        </w:rPr>
        <w:t xml:space="preserve"> </w:t>
      </w:r>
      <w:r>
        <w:rPr>
          <w:spacing w:val="-2"/>
        </w:rPr>
        <w:t>receiving</w:t>
      </w:r>
      <w:r>
        <w:rPr>
          <w:spacing w:val="-11"/>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7"/>
        </w:rPr>
        <w:t xml:space="preserve"> </w:t>
      </w:r>
      <w:r>
        <w:rPr>
          <w:spacing w:val="-4"/>
        </w:rPr>
        <w:t>and</w:t>
      </w:r>
      <w:r>
        <w:rPr>
          <w:spacing w:val="-11"/>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1"/>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3D3212C4" w14:textId="77777777" w:rsidR="00017307" w:rsidRDefault="00017307">
      <w:pPr>
        <w:pStyle w:val="BodyText"/>
        <w:ind w:left="0"/>
      </w:pPr>
    </w:p>
    <w:p w14:paraId="3D3212C5" w14:textId="77777777" w:rsidR="00017307" w:rsidRDefault="00BC7EE4">
      <w:pPr>
        <w:pStyle w:val="BodyText"/>
        <w:ind w:right="127"/>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4"/>
        </w:rPr>
        <w:t xml:space="preserve"> </w:t>
      </w:r>
      <w:r>
        <w:t>work</w:t>
      </w:r>
      <w:r>
        <w:rPr>
          <w:spacing w:val="-12"/>
        </w:rPr>
        <w:t xml:space="preserve"> </w:t>
      </w:r>
      <w:r>
        <w:t>together</w:t>
      </w:r>
      <w:r>
        <w:rPr>
          <w:spacing w:val="-12"/>
        </w:rPr>
        <w:t xml:space="preserve"> </w:t>
      </w:r>
      <w:r>
        <w:t>as</w:t>
      </w:r>
      <w:r>
        <w:rPr>
          <w:spacing w:val="-1"/>
        </w:rPr>
        <w:t xml:space="preserve"> </w:t>
      </w:r>
      <w:r>
        <w:t>part</w:t>
      </w:r>
      <w:r>
        <w:rPr>
          <w:spacing w:val="-3"/>
        </w:rPr>
        <w:t xml:space="preserve"> </w:t>
      </w:r>
      <w:r>
        <w:t>of</w:t>
      </w:r>
      <w:r>
        <w:rPr>
          <w:spacing w:val="-4"/>
        </w:rPr>
        <w:t xml:space="preserve"> </w:t>
      </w:r>
      <w:r>
        <w:t>a</w:t>
      </w:r>
      <w:r>
        <w:rPr>
          <w:spacing w:val="-4"/>
        </w:rPr>
        <w:t xml:space="preserve"> </w:t>
      </w:r>
      <w:r>
        <w:t>transition</w:t>
      </w:r>
      <w:r>
        <w:rPr>
          <w:spacing w:val="-3"/>
        </w:rPr>
        <w:t xml:space="preserve"> </w:t>
      </w:r>
      <w:r>
        <w:t>to</w:t>
      </w:r>
      <w:r>
        <w:rPr>
          <w:spacing w:val="-3"/>
        </w:rPr>
        <w:t xml:space="preserve"> </w:t>
      </w:r>
      <w:r>
        <w:t>routine</w:t>
      </w:r>
      <w:r>
        <w:rPr>
          <w:spacing w:val="-4"/>
        </w:rPr>
        <w:t xml:space="preserve"> </w:t>
      </w:r>
      <w:r>
        <w:t>operations.</w:t>
      </w:r>
      <w:r>
        <w:rPr>
          <w:spacing w:val="40"/>
        </w:rPr>
        <w:t xml:space="preserve"> </w:t>
      </w:r>
      <w:r>
        <w:t>If</w:t>
      </w:r>
      <w:r>
        <w:rPr>
          <w:spacing w:val="-9"/>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2"/>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r>
        <w:rPr>
          <w:spacing w:val="-4"/>
        </w:rPr>
        <w:t>Weissfeld</w:t>
      </w:r>
      <w:r>
        <w:rPr>
          <w:spacing w:val="-11"/>
        </w:rPr>
        <w:t xml:space="preserve"> </w:t>
      </w:r>
      <w:r>
        <w:rPr>
          <w:spacing w:val="-4"/>
        </w:rPr>
        <w:t>in</w:t>
      </w:r>
      <w:r>
        <w:rPr>
          <w:spacing w:val="-12"/>
        </w:rPr>
        <w:t xml:space="preserve"> </w:t>
      </w:r>
      <w:r>
        <w:rPr>
          <w:spacing w:val="-4"/>
        </w:rPr>
        <w:t>the</w:t>
      </w:r>
      <w:r>
        <w:rPr>
          <w:spacing w:val="-11"/>
        </w:rPr>
        <w:t xml:space="preserve"> </w:t>
      </w:r>
      <w:r>
        <w:rPr>
          <w:spacing w:val="-4"/>
        </w:rPr>
        <w:t>Division</w:t>
      </w:r>
      <w:r>
        <w:rPr>
          <w:spacing w:val="-11"/>
        </w:rPr>
        <w:t xml:space="preserve"> </w:t>
      </w:r>
      <w:r>
        <w:rPr>
          <w:spacing w:val="-4"/>
        </w:rPr>
        <w:t>of</w:t>
      </w:r>
      <w:r>
        <w:rPr>
          <w:spacing w:val="-11"/>
        </w:rPr>
        <w:t xml:space="preserve"> </w:t>
      </w:r>
      <w:r>
        <w:rPr>
          <w:spacing w:val="-4"/>
        </w:rPr>
        <w:t>Enrollment</w:t>
      </w:r>
      <w:r>
        <w:rPr>
          <w:spacing w:val="-12"/>
        </w:rPr>
        <w:t xml:space="preserve"> </w:t>
      </w:r>
      <w:r>
        <w:rPr>
          <w:spacing w:val="-4"/>
        </w:rPr>
        <w:t>Policy</w:t>
      </w:r>
      <w:r>
        <w:rPr>
          <w:spacing w:val="-17"/>
        </w:rPr>
        <w:t xml:space="preserve"> </w:t>
      </w:r>
      <w:r>
        <w:rPr>
          <w:spacing w:val="-4"/>
        </w:rPr>
        <w:t xml:space="preserve">and </w:t>
      </w:r>
      <w:r>
        <w:rPr>
          <w:spacing w:val="-2"/>
        </w:rPr>
        <w:t xml:space="preserve">Operations, at </w:t>
      </w:r>
      <w:hyperlink r:id="rId5">
        <w:r>
          <w:rPr>
            <w:color w:val="0462C1"/>
            <w:spacing w:val="-2"/>
            <w:u w:val="single" w:color="0462C1"/>
          </w:rPr>
          <w:t>josef.weissfeld@CMS.hhs.gov</w:t>
        </w:r>
      </w:hyperlink>
      <w:r>
        <w:rPr>
          <w:spacing w:val="-2"/>
        </w:rPr>
        <w:t>.</w:t>
      </w:r>
    </w:p>
    <w:p w14:paraId="3D3212C6" w14:textId="77777777" w:rsidR="00017307" w:rsidRDefault="00017307">
      <w:pPr>
        <w:pStyle w:val="BodyText"/>
        <w:spacing w:before="2"/>
        <w:ind w:left="0"/>
        <w:rPr>
          <w:sz w:val="16"/>
        </w:rPr>
      </w:pPr>
    </w:p>
    <w:p w14:paraId="3D3212C7" w14:textId="77777777" w:rsidR="00017307" w:rsidRDefault="00BC7EE4">
      <w:pPr>
        <w:pStyle w:val="BodyText"/>
        <w:spacing w:before="90"/>
        <w:ind w:left="4461"/>
      </w:pPr>
      <w:r>
        <w:rPr>
          <w:spacing w:val="-2"/>
        </w:rPr>
        <w:t>Sincerely,</w:t>
      </w:r>
    </w:p>
    <w:p w14:paraId="3D3212C8" w14:textId="77777777" w:rsidR="00017307" w:rsidRDefault="00BC7EE4" w:rsidP="00BC7EE4">
      <w:pPr>
        <w:pStyle w:val="BodyText"/>
        <w:spacing w:before="5"/>
        <w:ind w:left="3600" w:firstLine="720"/>
        <w:rPr>
          <w:sz w:val="7"/>
        </w:rPr>
      </w:pPr>
      <w:r>
        <w:rPr>
          <w:noProof/>
        </w:rPr>
        <w:drawing>
          <wp:inline distT="0" distB="0" distL="0" distR="0" wp14:anchorId="3D3212CE" wp14:editId="6D06FC17">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3D3212C9" w14:textId="77777777" w:rsidR="00017307" w:rsidRDefault="00017307">
      <w:pPr>
        <w:pStyle w:val="BodyText"/>
        <w:spacing w:before="9"/>
        <w:ind w:left="0"/>
        <w:rPr>
          <w:sz w:val="26"/>
        </w:rPr>
      </w:pPr>
    </w:p>
    <w:p w14:paraId="3D3212CA" w14:textId="77777777" w:rsidR="00017307" w:rsidRDefault="00BC7EE4">
      <w:pPr>
        <w:pStyle w:val="BodyText"/>
        <w:spacing w:line="275" w:lineRule="exact"/>
        <w:ind w:left="4461"/>
      </w:pPr>
      <w:r>
        <w:t>Sarah</w:t>
      </w:r>
      <w:r>
        <w:rPr>
          <w:spacing w:val="-4"/>
        </w:rPr>
        <w:t xml:space="preserve"> </w:t>
      </w:r>
      <w:r>
        <w:t>deLone,</w:t>
      </w:r>
      <w:r>
        <w:rPr>
          <w:spacing w:val="-2"/>
        </w:rPr>
        <w:t xml:space="preserve"> Director,</w:t>
      </w:r>
    </w:p>
    <w:p w14:paraId="3D3212CB" w14:textId="77777777" w:rsidR="00017307" w:rsidRDefault="00BC7EE4">
      <w:pPr>
        <w:pStyle w:val="BodyText"/>
        <w:spacing w:line="275" w:lineRule="exact"/>
        <w:ind w:left="4461"/>
      </w:pPr>
      <w:r>
        <w:t>Children</w:t>
      </w:r>
      <w:r>
        <w:rPr>
          <w:spacing w:val="-2"/>
        </w:rPr>
        <w:t xml:space="preserve"> </w:t>
      </w:r>
      <w:r>
        <w:t>and</w:t>
      </w:r>
      <w:r>
        <w:rPr>
          <w:spacing w:val="-2"/>
        </w:rPr>
        <w:t xml:space="preserve"> </w:t>
      </w:r>
      <w:r>
        <w:t>Adults</w:t>
      </w:r>
      <w:r>
        <w:rPr>
          <w:spacing w:val="-2"/>
        </w:rPr>
        <w:t xml:space="preserve"> </w:t>
      </w:r>
      <w:r>
        <w:t>Health</w:t>
      </w:r>
      <w:r>
        <w:rPr>
          <w:spacing w:val="-2"/>
        </w:rPr>
        <w:t xml:space="preserve"> </w:t>
      </w:r>
      <w:r>
        <w:t>Programs</w:t>
      </w:r>
      <w:r>
        <w:rPr>
          <w:spacing w:val="-2"/>
        </w:rPr>
        <w:t xml:space="preserve"> Group</w:t>
      </w:r>
    </w:p>
    <w:sectPr w:rsidR="00017307">
      <w:pgSz w:w="12240" w:h="15840"/>
      <w:pgMar w:top="1360" w:right="9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17307"/>
    <w:rsid w:val="00017307"/>
    <w:rsid w:val="005B24ED"/>
    <w:rsid w:val="009110F8"/>
    <w:rsid w:val="00B72400"/>
    <w:rsid w:val="00BC7EE4"/>
    <w:rsid w:val="00EC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12A3"/>
  <w15:docId w15:val="{F587AE2A-6F72-44EB-A26A-6A545EC2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osef.weissfeld@CMS.hhs.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4742</Characters>
  <Application>Microsoft Office Word</Application>
  <DocSecurity>0</DocSecurity>
  <Lines>39</Lines>
  <Paragraphs>11</Paragraphs>
  <ScaleCrop>false</ScaleCrop>
  <Company>Commonwealth of Massachusetts</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6</cp:revision>
  <dcterms:created xsi:type="dcterms:W3CDTF">2023-09-12T13:03:00Z</dcterms:created>
  <dcterms:modified xsi:type="dcterms:W3CDTF">2023-09-12T14:15:00Z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2019</vt:lpwstr>
  </property>
  <property fmtid="{D5CDD505-2E9C-101B-9397-08002B2CF9AE}" pid="4" name="LastSaved">
    <vt:filetime>2023-09-12T00:00:00Z</vt:filetime>
  </property>
  <property fmtid="{D5CDD505-2E9C-101B-9397-08002B2CF9AE}" pid="5" name="Producer">
    <vt:lpwstr>Microsoft® Word 2019</vt:lpwstr>
  </property>
</Properties>
</file>