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64"/>
        <w:rPr>
          <w:sz w:val="20"/>
        </w:rPr>
      </w:pPr>
      <w:r>
        <w:rPr>
          <w:sz w:val="20"/>
        </w:rPr>
        <w:drawing>
          <wp:inline distT="0" distB="0" distL="0" distR="0">
            <wp:extent cx="907630" cy="106441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07630" cy="1064418"/>
                    </a:xfrm>
                    <a:prstGeom prst="rect">
                      <a:avLst/>
                    </a:prstGeom>
                  </pic:spPr>
                </pic:pic>
              </a:graphicData>
            </a:graphic>
          </wp:inline>
        </w:drawing>
      </w:r>
      <w:r>
        <w:rPr>
          <w:sz w:val="20"/>
        </w:rPr>
      </w:r>
    </w:p>
    <w:p>
      <w:pPr>
        <w:pStyle w:val="BodyText"/>
        <w:spacing w:before="11"/>
        <w:rPr>
          <w:sz w:val="26"/>
        </w:rPr>
      </w:pPr>
    </w:p>
    <w:p>
      <w:pPr>
        <w:spacing w:line="185" w:lineRule="exact" w:before="0"/>
        <w:ind w:left="97" w:right="30" w:firstLine="0"/>
        <w:jc w:val="center"/>
        <w:rPr>
          <w:rFonts w:ascii="Arial Rounded MT Bold"/>
          <w:sz w:val="16"/>
        </w:rPr>
      </w:pPr>
      <w:r>
        <w:rPr>
          <w:rFonts w:ascii="Arial Rounded MT Bold"/>
          <w:sz w:val="16"/>
        </w:rPr>
        <w:t>CHARLES</w:t>
      </w:r>
      <w:r>
        <w:rPr>
          <w:rFonts w:ascii="Arial Rounded MT Bold"/>
          <w:spacing w:val="-5"/>
          <w:sz w:val="16"/>
        </w:rPr>
        <w:t> </w:t>
      </w:r>
      <w:r>
        <w:rPr>
          <w:rFonts w:ascii="Arial Rounded MT Bold"/>
          <w:sz w:val="16"/>
        </w:rPr>
        <w:t>D.</w:t>
      </w:r>
      <w:r>
        <w:rPr>
          <w:rFonts w:ascii="Arial Rounded MT Bold"/>
          <w:spacing w:val="-7"/>
          <w:sz w:val="16"/>
        </w:rPr>
        <w:t> </w:t>
      </w:r>
      <w:r>
        <w:rPr>
          <w:rFonts w:ascii="Arial Rounded MT Bold"/>
          <w:spacing w:val="-2"/>
          <w:sz w:val="16"/>
        </w:rPr>
        <w:t>BAKER</w:t>
      </w:r>
    </w:p>
    <w:p>
      <w:pPr>
        <w:spacing w:before="0"/>
        <w:ind w:left="97" w:right="30" w:firstLine="0"/>
        <w:jc w:val="center"/>
        <w:rPr>
          <w:rFonts w:ascii="Arial Rounded MT Bold"/>
          <w:sz w:val="14"/>
        </w:rPr>
      </w:pPr>
      <w:r>
        <w:rPr>
          <w:rFonts w:ascii="Arial Rounded MT Bold"/>
          <w:spacing w:val="-2"/>
          <w:sz w:val="14"/>
        </w:rPr>
        <w:t>Governor</w:t>
      </w:r>
    </w:p>
    <w:p>
      <w:pPr>
        <w:spacing w:line="185" w:lineRule="exact" w:before="120"/>
        <w:ind w:left="97" w:right="30" w:firstLine="0"/>
        <w:jc w:val="center"/>
        <w:rPr>
          <w:rFonts w:ascii="Arial Rounded MT Bold"/>
          <w:sz w:val="16"/>
        </w:rPr>
      </w:pPr>
      <w:r>
        <w:rPr>
          <w:rFonts w:ascii="Arial Rounded MT Bold"/>
          <w:sz w:val="16"/>
        </w:rPr>
        <w:t>KARYN</w:t>
      </w:r>
      <w:r>
        <w:rPr>
          <w:rFonts w:ascii="Arial Rounded MT Bold"/>
          <w:spacing w:val="-6"/>
          <w:sz w:val="16"/>
        </w:rPr>
        <w:t> </w:t>
      </w:r>
      <w:r>
        <w:rPr>
          <w:rFonts w:ascii="Arial Rounded MT Bold"/>
          <w:sz w:val="16"/>
        </w:rPr>
        <w:t>E.</w:t>
      </w:r>
      <w:r>
        <w:rPr>
          <w:rFonts w:ascii="Arial Rounded MT Bold"/>
          <w:spacing w:val="-5"/>
          <w:sz w:val="16"/>
        </w:rPr>
        <w:t> </w:t>
      </w:r>
      <w:r>
        <w:rPr>
          <w:rFonts w:ascii="Arial Rounded MT Bold"/>
          <w:spacing w:val="-2"/>
          <w:sz w:val="16"/>
        </w:rPr>
        <w:t>POLITO</w:t>
      </w:r>
    </w:p>
    <w:p>
      <w:pPr>
        <w:spacing w:line="162" w:lineRule="exact" w:before="0"/>
        <w:ind w:left="97" w:right="28" w:firstLine="0"/>
        <w:jc w:val="center"/>
        <w:rPr>
          <w:rFonts w:ascii="Arial Rounded MT Bold"/>
          <w:sz w:val="14"/>
        </w:rPr>
      </w:pPr>
      <w:r>
        <w:rPr>
          <w:rFonts w:ascii="Arial Rounded MT Bold"/>
          <w:sz w:val="14"/>
        </w:rPr>
        <w:t>Lieutenant</w:t>
      </w:r>
      <w:r>
        <w:rPr>
          <w:rFonts w:ascii="Arial Rounded MT Bold"/>
          <w:spacing w:val="-4"/>
          <w:sz w:val="14"/>
        </w:rPr>
        <w:t> </w:t>
      </w:r>
      <w:r>
        <w:rPr>
          <w:rFonts w:ascii="Arial Rounded MT Bold"/>
          <w:spacing w:val="-2"/>
          <w:sz w:val="14"/>
        </w:rPr>
        <w:t>Governor</w:t>
      </w:r>
    </w:p>
    <w:p>
      <w:pPr>
        <w:pStyle w:val="Title"/>
      </w:pPr>
      <w:r>
        <w:rPr/>
        <w:br w:type="column"/>
      </w:r>
      <w:r>
        <w:rPr/>
        <w:t>The</w:t>
      </w:r>
      <w:r>
        <w:rPr>
          <w:spacing w:val="-10"/>
        </w:rPr>
        <w:t> </w:t>
      </w:r>
      <w:r>
        <w:rPr/>
        <w:t>Commonwealth</w:t>
      </w:r>
      <w:r>
        <w:rPr>
          <w:spacing w:val="-12"/>
        </w:rPr>
        <w:t> </w:t>
      </w:r>
      <w:r>
        <w:rPr/>
        <w:t>of</w:t>
      </w:r>
      <w:r>
        <w:rPr>
          <w:spacing w:val="-12"/>
        </w:rPr>
        <w:t> </w:t>
      </w:r>
      <w:r>
        <w:rPr>
          <w:spacing w:val="-2"/>
        </w:rPr>
        <w:t>Massachusetts</w:t>
      </w:r>
    </w:p>
    <w:p>
      <w:pPr>
        <w:spacing w:before="0"/>
        <w:ind w:left="116" w:right="47"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6"/>
          <w:sz w:val="28"/>
        </w:rPr>
        <w:t> </w:t>
      </w:r>
      <w:r>
        <w:rPr>
          <w:rFonts w:ascii="Arial"/>
          <w:sz w:val="28"/>
        </w:rPr>
        <w:t>and</w:t>
      </w:r>
      <w:r>
        <w:rPr>
          <w:rFonts w:ascii="Arial"/>
          <w:spacing w:val="-7"/>
          <w:sz w:val="28"/>
        </w:rPr>
        <w:t> </w:t>
      </w:r>
      <w:r>
        <w:rPr>
          <w:rFonts w:ascii="Arial"/>
          <w:sz w:val="28"/>
        </w:rPr>
        <w:t>Human</w:t>
      </w:r>
      <w:r>
        <w:rPr>
          <w:rFonts w:ascii="Arial"/>
          <w:spacing w:val="-6"/>
          <w:sz w:val="28"/>
        </w:rPr>
        <w:t> </w:t>
      </w:r>
      <w:r>
        <w:rPr>
          <w:rFonts w:ascii="Arial"/>
          <w:sz w:val="28"/>
        </w:rPr>
        <w:t>Services Department of Public Health</w:t>
      </w:r>
    </w:p>
    <w:p>
      <w:pPr>
        <w:spacing w:line="321" w:lineRule="exact" w:before="0"/>
        <w:ind w:left="172" w:right="104" w:firstLine="0"/>
        <w:jc w:val="center"/>
        <w:rPr>
          <w:rFonts w:ascii="Arial"/>
          <w:sz w:val="28"/>
        </w:rPr>
      </w:pPr>
      <w:r>
        <w:rPr>
          <w:rFonts w:ascii="Arial"/>
          <w:sz w:val="28"/>
        </w:rPr>
        <w:t>250</w:t>
      </w:r>
      <w:r>
        <w:rPr>
          <w:rFonts w:ascii="Arial"/>
          <w:spacing w:val="-12"/>
          <w:sz w:val="28"/>
        </w:rPr>
        <w:t> </w:t>
      </w:r>
      <w:r>
        <w:rPr>
          <w:rFonts w:ascii="Arial"/>
          <w:sz w:val="28"/>
        </w:rPr>
        <w:t>Washington</w:t>
      </w:r>
      <w:r>
        <w:rPr>
          <w:rFonts w:ascii="Arial"/>
          <w:spacing w:val="-10"/>
          <w:sz w:val="28"/>
        </w:rPr>
        <w:t> </w:t>
      </w:r>
      <w:r>
        <w:rPr>
          <w:rFonts w:ascii="Arial"/>
          <w:sz w:val="28"/>
        </w:rPr>
        <w:t>Street,</w:t>
      </w:r>
      <w:r>
        <w:rPr>
          <w:rFonts w:ascii="Arial"/>
          <w:spacing w:val="-11"/>
          <w:sz w:val="28"/>
        </w:rPr>
        <w:t> </w:t>
      </w:r>
      <w:r>
        <w:rPr>
          <w:rFonts w:ascii="Arial"/>
          <w:sz w:val="28"/>
        </w:rPr>
        <w:t>Boston,</w:t>
      </w:r>
      <w:r>
        <w:rPr>
          <w:rFonts w:ascii="Arial"/>
          <w:spacing w:val="-10"/>
          <w:sz w:val="28"/>
        </w:rPr>
        <w:t> </w:t>
      </w:r>
      <w:r>
        <w:rPr>
          <w:rFonts w:ascii="Arial"/>
          <w:sz w:val="28"/>
        </w:rPr>
        <w:t>MA</w:t>
      </w:r>
      <w:r>
        <w:rPr>
          <w:rFonts w:ascii="Arial"/>
          <w:spacing w:val="-12"/>
          <w:sz w:val="28"/>
        </w:rPr>
        <w:t> </w:t>
      </w:r>
      <w:r>
        <w:rPr>
          <w:rFonts w:ascii="Arial"/>
          <w:sz w:val="28"/>
        </w:rPr>
        <w:t>02108-</w:t>
      </w:r>
      <w:r>
        <w:rPr>
          <w:rFonts w:ascii="Arial"/>
          <w:spacing w:val="-4"/>
          <w:sz w:val="28"/>
        </w:rPr>
        <w:t>4619</w:t>
      </w:r>
    </w:p>
    <w:p>
      <w:pPr>
        <w:spacing w:line="240" w:lineRule="auto" w:before="0"/>
        <w:rPr>
          <w:rFonts w:ascii="Arial"/>
          <w:sz w:val="18"/>
        </w:rPr>
      </w:pPr>
      <w:r>
        <w:rPr/>
        <w:br w:type="column"/>
      </w:r>
      <w:r>
        <w:rPr>
          <w:rFonts w:ascii="Arial"/>
          <w:sz w:val="18"/>
        </w:rPr>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spacing w:line="185" w:lineRule="exact" w:before="124"/>
        <w:ind w:left="99" w:right="106" w:firstLine="0"/>
        <w:jc w:val="center"/>
        <w:rPr>
          <w:rFonts w:ascii="Arial Rounded MT Bold"/>
          <w:sz w:val="16"/>
        </w:rPr>
      </w:pPr>
      <w:r>
        <w:rPr>
          <w:rFonts w:ascii="Arial Rounded MT Bold"/>
          <w:spacing w:val="-2"/>
          <w:sz w:val="16"/>
        </w:rPr>
        <w:t>MARYLOU</w:t>
      </w:r>
      <w:r>
        <w:rPr>
          <w:rFonts w:ascii="Arial Rounded MT Bold"/>
          <w:spacing w:val="1"/>
          <w:sz w:val="16"/>
        </w:rPr>
        <w:t> </w:t>
      </w:r>
      <w:r>
        <w:rPr>
          <w:rFonts w:ascii="Arial Rounded MT Bold"/>
          <w:spacing w:val="-2"/>
          <w:sz w:val="16"/>
        </w:rPr>
        <w:t>SUDDERS</w:t>
      </w:r>
    </w:p>
    <w:p>
      <w:pPr>
        <w:spacing w:before="0"/>
        <w:ind w:left="588" w:right="592" w:firstLine="0"/>
        <w:jc w:val="center"/>
        <w:rPr>
          <w:rFonts w:ascii="Arial Rounded MT Bold"/>
          <w:sz w:val="14"/>
        </w:rPr>
      </w:pPr>
      <w:r>
        <w:rPr>
          <w:rFonts w:ascii="Arial Rounded MT Bold"/>
          <w:spacing w:val="-2"/>
          <w:sz w:val="14"/>
        </w:rPr>
        <w:t>Secretary</w:t>
      </w:r>
    </w:p>
    <w:p>
      <w:pPr>
        <w:spacing w:line="185" w:lineRule="exact" w:before="120"/>
        <w:ind w:left="99" w:right="106" w:firstLine="0"/>
        <w:jc w:val="center"/>
        <w:rPr>
          <w:rFonts w:ascii="Arial Rounded MT Bold"/>
          <w:sz w:val="16"/>
        </w:rPr>
      </w:pPr>
      <w:r>
        <w:rPr>
          <w:rFonts w:ascii="Arial Rounded MT Bold"/>
          <w:sz w:val="16"/>
        </w:rPr>
        <w:t>MARGRET</w:t>
      </w:r>
      <w:r>
        <w:rPr>
          <w:rFonts w:ascii="Arial Rounded MT Bold"/>
          <w:spacing w:val="-8"/>
          <w:sz w:val="16"/>
        </w:rPr>
        <w:t> </w:t>
      </w:r>
      <w:r>
        <w:rPr>
          <w:rFonts w:ascii="Arial Rounded MT Bold"/>
          <w:sz w:val="16"/>
        </w:rPr>
        <w:t>R.</w:t>
      </w:r>
      <w:r>
        <w:rPr>
          <w:rFonts w:ascii="Arial Rounded MT Bold"/>
          <w:spacing w:val="-5"/>
          <w:sz w:val="16"/>
        </w:rPr>
        <w:t> </w:t>
      </w:r>
      <w:r>
        <w:rPr>
          <w:rFonts w:ascii="Arial Rounded MT Bold"/>
          <w:spacing w:val="-2"/>
          <w:sz w:val="16"/>
        </w:rPr>
        <w:t>COOKE</w:t>
      </w:r>
    </w:p>
    <w:p>
      <w:pPr>
        <w:spacing w:line="162" w:lineRule="exact" w:before="0"/>
        <w:ind w:left="99" w:right="104" w:firstLine="0"/>
        <w:jc w:val="center"/>
        <w:rPr>
          <w:rFonts w:ascii="Arial Rounded MT Bold"/>
          <w:sz w:val="14"/>
        </w:rPr>
      </w:pPr>
      <w:r>
        <w:rPr>
          <w:rFonts w:ascii="Arial Rounded MT Bold"/>
          <w:spacing w:val="-2"/>
          <w:sz w:val="14"/>
        </w:rPr>
        <w:t>Commissioner</w:t>
      </w:r>
    </w:p>
    <w:p>
      <w:pPr>
        <w:spacing w:after="0" w:line="162" w:lineRule="exact"/>
        <w:jc w:val="center"/>
        <w:rPr>
          <w:rFonts w:ascii="Arial Rounded MT Bold"/>
          <w:sz w:val="14"/>
        </w:rPr>
        <w:sectPr>
          <w:type w:val="continuous"/>
          <w:pgSz w:w="12240" w:h="15840"/>
          <w:pgMar w:top="560" w:bottom="280" w:left="700" w:right="440"/>
          <w:cols w:num="3" w:equalWidth="0">
            <w:col w:w="1745" w:space="732"/>
            <w:col w:w="6269" w:space="477"/>
            <w:col w:w="1877"/>
          </w:cols>
        </w:sectPr>
      </w:pPr>
    </w:p>
    <w:p>
      <w:pPr>
        <w:pStyle w:val="BodyText"/>
        <w:rPr>
          <w:rFonts w:ascii="Arial Rounded MT Bold"/>
          <w:sz w:val="14"/>
        </w:rPr>
      </w:pPr>
    </w:p>
    <w:p>
      <w:pPr>
        <w:spacing w:before="0"/>
        <w:ind w:left="9577" w:right="0" w:firstLine="0"/>
        <w:jc w:val="left"/>
        <w:rPr>
          <w:rFonts w:ascii="Arial"/>
          <w:b/>
          <w:sz w:val="14"/>
        </w:rPr>
      </w:pPr>
      <w:r>
        <w:rPr>
          <w:rFonts w:ascii="Arial"/>
          <w:b/>
          <w:sz w:val="14"/>
        </w:rPr>
        <w:t>Tel:</w:t>
      </w:r>
      <w:r>
        <w:rPr>
          <w:rFonts w:ascii="Arial"/>
          <w:b/>
          <w:spacing w:val="-8"/>
          <w:sz w:val="14"/>
        </w:rPr>
        <w:t> </w:t>
      </w:r>
      <w:r>
        <w:rPr>
          <w:rFonts w:ascii="Arial"/>
          <w:b/>
          <w:sz w:val="14"/>
        </w:rPr>
        <w:t>617-624-</w:t>
      </w:r>
      <w:r>
        <w:rPr>
          <w:rFonts w:ascii="Arial"/>
          <w:b/>
          <w:spacing w:val="-4"/>
          <w:sz w:val="14"/>
        </w:rPr>
        <w:t>6000</w:t>
      </w:r>
    </w:p>
    <w:p>
      <w:pPr>
        <w:spacing w:before="0"/>
        <w:ind w:left="9504" w:right="0" w:firstLine="0"/>
        <w:jc w:val="left"/>
        <w:rPr>
          <w:rFonts w:ascii="Arial"/>
          <w:b/>
          <w:sz w:val="14"/>
        </w:rPr>
      </w:pPr>
      <w:hyperlink r:id="rId6">
        <w:r>
          <w:rPr>
            <w:rFonts w:ascii="Arial"/>
            <w:b/>
            <w:spacing w:val="-2"/>
            <w:sz w:val="14"/>
          </w:rPr>
          <w:t>www.mass.gov/dph</w:t>
        </w:r>
      </w:hyperlink>
    </w:p>
    <w:p>
      <w:pPr>
        <w:pStyle w:val="BodyText"/>
        <w:spacing w:before="4"/>
        <w:rPr>
          <w:rFonts w:ascii="Arial"/>
          <w:b/>
          <w:sz w:val="15"/>
        </w:rPr>
      </w:pPr>
    </w:p>
    <w:p>
      <w:pPr>
        <w:tabs>
          <w:tab w:pos="2540" w:val="left" w:leader="none"/>
        </w:tabs>
        <w:spacing w:before="1"/>
        <w:ind w:left="2540" w:right="1066" w:hanging="2161"/>
        <w:jc w:val="left"/>
        <w:rPr>
          <w:b/>
          <w:sz w:val="24"/>
        </w:rPr>
      </w:pPr>
      <w:r>
        <w:rPr>
          <w:b/>
          <w:spacing w:val="-4"/>
          <w:sz w:val="24"/>
        </w:rPr>
        <w:t>TO:</w:t>
      </w:r>
      <w:r>
        <w:rPr>
          <w:b/>
          <w:sz w:val="24"/>
        </w:rPr>
        <w:tab/>
        <w:t>BUREAU</w:t>
      </w:r>
      <w:r>
        <w:rPr>
          <w:b/>
          <w:spacing w:val="-7"/>
          <w:sz w:val="24"/>
        </w:rPr>
        <w:t> </w:t>
      </w:r>
      <w:r>
        <w:rPr>
          <w:b/>
          <w:sz w:val="24"/>
        </w:rPr>
        <w:t>OF</w:t>
      </w:r>
      <w:r>
        <w:rPr>
          <w:b/>
          <w:spacing w:val="-7"/>
          <w:sz w:val="24"/>
        </w:rPr>
        <w:t> </w:t>
      </w:r>
      <w:r>
        <w:rPr>
          <w:b/>
          <w:sz w:val="24"/>
        </w:rPr>
        <w:t>SUBSTANCE</w:t>
      </w:r>
      <w:r>
        <w:rPr>
          <w:b/>
          <w:spacing w:val="-7"/>
          <w:sz w:val="24"/>
        </w:rPr>
        <w:t> </w:t>
      </w:r>
      <w:r>
        <w:rPr>
          <w:b/>
          <w:sz w:val="24"/>
        </w:rPr>
        <w:t>ADDICTION</w:t>
      </w:r>
      <w:r>
        <w:rPr>
          <w:b/>
          <w:spacing w:val="-7"/>
          <w:sz w:val="24"/>
        </w:rPr>
        <w:t> </w:t>
      </w:r>
      <w:r>
        <w:rPr>
          <w:b/>
          <w:sz w:val="24"/>
        </w:rPr>
        <w:t>SERVICES</w:t>
      </w:r>
      <w:r>
        <w:rPr>
          <w:b/>
          <w:spacing w:val="-7"/>
          <w:sz w:val="24"/>
        </w:rPr>
        <w:t> </w:t>
      </w:r>
      <w:r>
        <w:rPr>
          <w:b/>
          <w:sz w:val="24"/>
        </w:rPr>
        <w:t>LICENSED</w:t>
      </w:r>
      <w:r>
        <w:rPr>
          <w:b/>
          <w:spacing w:val="-7"/>
          <w:sz w:val="24"/>
        </w:rPr>
        <w:t> </w:t>
      </w:r>
      <w:r>
        <w:rPr>
          <w:b/>
          <w:sz w:val="24"/>
        </w:rPr>
        <w:t>AND APPROVED PROVIDERS - STAKEHOLDERS</w:t>
      </w:r>
    </w:p>
    <w:p>
      <w:pPr>
        <w:pStyle w:val="BodyText"/>
        <w:rPr>
          <w:b/>
          <w:sz w:val="26"/>
        </w:rPr>
      </w:pPr>
    </w:p>
    <w:p>
      <w:pPr>
        <w:tabs>
          <w:tab w:pos="2540" w:val="left" w:leader="none"/>
        </w:tabs>
        <w:spacing w:before="1"/>
        <w:ind w:left="2540" w:right="1776" w:hanging="2161"/>
        <w:jc w:val="left"/>
        <w:rPr>
          <w:b/>
          <w:sz w:val="24"/>
        </w:rPr>
      </w:pPr>
      <w:r>
        <w:rPr>
          <w:b/>
          <w:spacing w:val="-2"/>
          <w:sz w:val="24"/>
        </w:rPr>
        <w:t>FROM:</w:t>
      </w:r>
      <w:r>
        <w:rPr>
          <w:b/>
          <w:sz w:val="24"/>
        </w:rPr>
        <w:tab/>
        <w:t>DEIRDRE</w:t>
      </w:r>
      <w:r>
        <w:rPr>
          <w:b/>
          <w:spacing w:val="-8"/>
          <w:sz w:val="24"/>
        </w:rPr>
        <w:t> </w:t>
      </w:r>
      <w:r>
        <w:rPr>
          <w:b/>
          <w:sz w:val="24"/>
        </w:rPr>
        <w:t>CALVERT,</w:t>
      </w:r>
      <w:r>
        <w:rPr>
          <w:b/>
          <w:spacing w:val="-8"/>
          <w:sz w:val="24"/>
        </w:rPr>
        <w:t> </w:t>
      </w:r>
      <w:r>
        <w:rPr>
          <w:b/>
          <w:sz w:val="24"/>
        </w:rPr>
        <w:t>DIRECTOR,</w:t>
      </w:r>
      <w:r>
        <w:rPr>
          <w:b/>
          <w:spacing w:val="-8"/>
          <w:sz w:val="24"/>
        </w:rPr>
        <w:t> </w:t>
      </w:r>
      <w:r>
        <w:rPr>
          <w:b/>
          <w:sz w:val="24"/>
        </w:rPr>
        <w:t>BUREAU</w:t>
      </w:r>
      <w:r>
        <w:rPr>
          <w:b/>
          <w:spacing w:val="-9"/>
          <w:sz w:val="24"/>
        </w:rPr>
        <w:t> </w:t>
      </w:r>
      <w:r>
        <w:rPr>
          <w:b/>
          <w:sz w:val="24"/>
        </w:rPr>
        <w:t>OF</w:t>
      </w:r>
      <w:r>
        <w:rPr>
          <w:b/>
          <w:spacing w:val="-6"/>
          <w:sz w:val="24"/>
        </w:rPr>
        <w:t> </w:t>
      </w:r>
      <w:r>
        <w:rPr>
          <w:b/>
          <w:sz w:val="24"/>
        </w:rPr>
        <w:t>SUBSTANCE ADDICTION SERVICES</w:t>
      </w:r>
    </w:p>
    <w:p>
      <w:pPr>
        <w:pStyle w:val="BodyText"/>
        <w:spacing w:before="1"/>
        <w:rPr>
          <w:b/>
          <w:sz w:val="26"/>
        </w:rPr>
      </w:pPr>
    </w:p>
    <w:p>
      <w:pPr>
        <w:tabs>
          <w:tab w:pos="2540" w:val="left" w:leader="none"/>
        </w:tabs>
        <w:spacing w:before="0"/>
        <w:ind w:left="2540" w:right="636" w:hanging="2161"/>
        <w:jc w:val="both"/>
        <w:rPr>
          <w:b/>
          <w:sz w:val="24"/>
        </w:rPr>
      </w:pPr>
      <w:r>
        <w:rPr>
          <w:b/>
          <w:spacing w:val="-2"/>
          <w:sz w:val="24"/>
        </w:rPr>
        <w:t>SUBJECT:</w:t>
      </w:r>
      <w:r>
        <w:rPr>
          <w:b/>
          <w:sz w:val="24"/>
        </w:rPr>
        <w:tab/>
        <w:t>UPDATES TO REGULATIONS 105 CMR 164.000 – LICENSURE OF SUBSTANCE USE DISORDER TREATMENT PROGRAMS </w:t>
      </w:r>
      <w:r>
        <w:rPr>
          <w:b/>
          <w:sz w:val="24"/>
        </w:rPr>
        <w:t>– EQUITABLE ACCESS TO INDIVIDUALIZED TREATMENT</w:t>
      </w:r>
    </w:p>
    <w:p>
      <w:pPr>
        <w:pStyle w:val="BodyText"/>
        <w:spacing w:before="1"/>
        <w:rPr>
          <w:b/>
          <w:sz w:val="26"/>
        </w:rPr>
      </w:pPr>
    </w:p>
    <w:p>
      <w:pPr>
        <w:tabs>
          <w:tab w:pos="2540" w:val="left" w:leader="none"/>
        </w:tabs>
        <w:spacing w:before="0"/>
        <w:ind w:left="380" w:right="0" w:firstLine="0"/>
        <w:jc w:val="left"/>
        <w:rPr>
          <w:b/>
          <w:sz w:val="24"/>
        </w:rPr>
      </w:pPr>
      <w:r>
        <w:rPr/>
        <w:pict>
          <v:rect style="position:absolute;margin-left:52.5pt;margin-top:14.743131pt;width:507.06pt;height:1.5pt;mso-position-horizontal-relative:page;mso-position-vertical-relative:paragraph;z-index:-15728640;mso-wrap-distance-left:0;mso-wrap-distance-right:0" id="docshape1" filled="true" fillcolor="#000000" stroked="false">
            <v:fill type="solid"/>
            <w10:wrap type="topAndBottom"/>
          </v:rect>
        </w:pict>
      </w:r>
      <w:r>
        <w:rPr>
          <w:b/>
          <w:spacing w:val="-2"/>
          <w:sz w:val="24"/>
        </w:rPr>
        <w:t>DATE:</w:t>
      </w:r>
      <w:r>
        <w:rPr>
          <w:b/>
          <w:sz w:val="24"/>
        </w:rPr>
        <w:tab/>
        <w:t>NOVEMBER</w:t>
      </w:r>
      <w:r>
        <w:rPr>
          <w:b/>
          <w:spacing w:val="-6"/>
          <w:sz w:val="24"/>
        </w:rPr>
        <w:t> </w:t>
      </w:r>
      <w:r>
        <w:rPr>
          <w:b/>
          <w:sz w:val="24"/>
        </w:rPr>
        <w:t>11,</w:t>
      </w:r>
      <w:r>
        <w:rPr>
          <w:b/>
          <w:spacing w:val="-5"/>
          <w:sz w:val="24"/>
        </w:rPr>
        <w:t> </w:t>
      </w:r>
      <w:r>
        <w:rPr>
          <w:b/>
          <w:spacing w:val="-4"/>
          <w:sz w:val="24"/>
        </w:rPr>
        <w:t>2022</w:t>
      </w:r>
    </w:p>
    <w:p>
      <w:pPr>
        <w:pStyle w:val="BodyText"/>
        <w:spacing w:before="4"/>
        <w:rPr>
          <w:b/>
          <w:sz w:val="17"/>
        </w:rPr>
      </w:pPr>
    </w:p>
    <w:p>
      <w:pPr>
        <w:pStyle w:val="BodyText"/>
        <w:spacing w:before="90"/>
        <w:ind w:left="380" w:right="697"/>
      </w:pPr>
      <w:r>
        <w:rPr/>
        <w:t>This document is intended to issue guidance to all providers licensed/approved by the Massachusetts Department of Public Health’s (DPH) Bureau of Substance Addiction Services (BSAS) regarding compliance with new requirements regarding equitable access to individualized treatment, as required by</w:t>
      </w:r>
      <w:r>
        <w:rPr>
          <w:spacing w:val="-4"/>
        </w:rPr>
        <w:t> </w:t>
      </w:r>
      <w:r>
        <w:rPr/>
        <w:t>BSAS’</w:t>
      </w:r>
      <w:r>
        <w:rPr>
          <w:spacing w:val="-3"/>
        </w:rPr>
        <w:t> </w:t>
      </w:r>
      <w:r>
        <w:rPr/>
        <w:t>regulation</w:t>
      </w:r>
      <w:r>
        <w:rPr>
          <w:spacing w:val="-4"/>
        </w:rPr>
        <w:t> </w:t>
      </w:r>
      <w:r>
        <w:rPr/>
        <w:t>for</w:t>
      </w:r>
      <w:r>
        <w:rPr>
          <w:spacing w:val="-3"/>
        </w:rPr>
        <w:t> </w:t>
      </w:r>
      <w:r>
        <w:rPr>
          <w:i/>
        </w:rPr>
        <w:t>Licensure</w:t>
      </w:r>
      <w:r>
        <w:rPr>
          <w:i/>
          <w:spacing w:val="-3"/>
        </w:rPr>
        <w:t> </w:t>
      </w:r>
      <w:r>
        <w:rPr>
          <w:i/>
        </w:rPr>
        <w:t>of</w:t>
      </w:r>
      <w:r>
        <w:rPr>
          <w:i/>
          <w:spacing w:val="-5"/>
        </w:rPr>
        <w:t> </w:t>
      </w:r>
      <w:r>
        <w:rPr>
          <w:i/>
        </w:rPr>
        <w:t>Substance</w:t>
      </w:r>
      <w:r>
        <w:rPr>
          <w:i/>
          <w:spacing w:val="-4"/>
        </w:rPr>
        <w:t> </w:t>
      </w:r>
      <w:r>
        <w:rPr>
          <w:i/>
        </w:rPr>
        <w:t>Use</w:t>
      </w:r>
      <w:r>
        <w:rPr>
          <w:i/>
          <w:spacing w:val="-3"/>
        </w:rPr>
        <w:t> </w:t>
      </w:r>
      <w:r>
        <w:rPr>
          <w:i/>
        </w:rPr>
        <w:t>Disorder</w:t>
      </w:r>
      <w:r>
        <w:rPr>
          <w:i/>
          <w:spacing w:val="-4"/>
        </w:rPr>
        <w:t> </w:t>
      </w:r>
      <w:r>
        <w:rPr>
          <w:i/>
        </w:rPr>
        <w:t>Treatment</w:t>
      </w:r>
      <w:r>
        <w:rPr>
          <w:i/>
          <w:spacing w:val="-3"/>
        </w:rPr>
        <w:t> </w:t>
      </w:r>
      <w:r>
        <w:rPr>
          <w:i/>
        </w:rPr>
        <w:t>Programs</w:t>
      </w:r>
      <w:r>
        <w:rPr/>
        <w:t>,</w:t>
      </w:r>
      <w:r>
        <w:rPr>
          <w:spacing w:val="-4"/>
        </w:rPr>
        <w:t> </w:t>
      </w:r>
      <w:r>
        <w:rPr/>
        <w:t>105</w:t>
      </w:r>
      <w:r>
        <w:rPr>
          <w:spacing w:val="-3"/>
        </w:rPr>
        <w:t> </w:t>
      </w:r>
      <w:r>
        <w:rPr/>
        <w:t>CMR</w:t>
      </w:r>
      <w:r>
        <w:rPr>
          <w:spacing w:val="-4"/>
        </w:rPr>
        <w:t> </w:t>
      </w:r>
      <w:r>
        <w:rPr>
          <w:spacing w:val="-2"/>
        </w:rPr>
        <w:t>164.000.</w:t>
      </w:r>
    </w:p>
    <w:p>
      <w:pPr>
        <w:pStyle w:val="BodyText"/>
      </w:pPr>
    </w:p>
    <w:p>
      <w:pPr>
        <w:pStyle w:val="BodyText"/>
        <w:ind w:left="380" w:right="704"/>
      </w:pPr>
      <w:r>
        <w:rPr/>
        <w:t>BSAS</w:t>
      </w:r>
      <w:r>
        <w:rPr>
          <w:spacing w:val="-4"/>
        </w:rPr>
        <w:t> </w:t>
      </w:r>
      <w:r>
        <w:rPr/>
        <w:t>recognizes</w:t>
      </w:r>
      <w:r>
        <w:rPr>
          <w:spacing w:val="-4"/>
        </w:rPr>
        <w:t> </w:t>
      </w:r>
      <w:r>
        <w:rPr/>
        <w:t>that</w:t>
      </w:r>
      <w:r>
        <w:rPr>
          <w:spacing w:val="-3"/>
        </w:rPr>
        <w:t> </w:t>
      </w:r>
      <w:r>
        <w:rPr/>
        <w:t>each</w:t>
      </w:r>
      <w:r>
        <w:rPr>
          <w:spacing w:val="-3"/>
        </w:rPr>
        <w:t> </w:t>
      </w:r>
      <w:r>
        <w:rPr/>
        <w:t>situation</w:t>
      </w:r>
      <w:r>
        <w:rPr>
          <w:spacing w:val="-5"/>
        </w:rPr>
        <w:t> </w:t>
      </w:r>
      <w:r>
        <w:rPr/>
        <w:t>has</w:t>
      </w:r>
      <w:r>
        <w:rPr>
          <w:spacing w:val="-3"/>
        </w:rPr>
        <w:t> </w:t>
      </w:r>
      <w:r>
        <w:rPr/>
        <w:t>its</w:t>
      </w:r>
      <w:r>
        <w:rPr>
          <w:spacing w:val="-3"/>
        </w:rPr>
        <w:t> </w:t>
      </w:r>
      <w:r>
        <w:rPr/>
        <w:t>unique</w:t>
      </w:r>
      <w:r>
        <w:rPr>
          <w:spacing w:val="-3"/>
        </w:rPr>
        <w:t> </w:t>
      </w:r>
      <w:r>
        <w:rPr/>
        <w:t>facts</w:t>
      </w:r>
      <w:r>
        <w:rPr>
          <w:spacing w:val="-3"/>
        </w:rPr>
        <w:t> </w:t>
      </w:r>
      <w:r>
        <w:rPr/>
        <w:t>and</w:t>
      </w:r>
      <w:r>
        <w:rPr>
          <w:spacing w:val="-3"/>
        </w:rPr>
        <w:t> </w:t>
      </w:r>
      <w:r>
        <w:rPr/>
        <w:t>circumstances</w:t>
      </w:r>
      <w:r>
        <w:rPr>
          <w:spacing w:val="-3"/>
        </w:rPr>
        <w:t> </w:t>
      </w:r>
      <w:r>
        <w:rPr/>
        <w:t>and</w:t>
      </w:r>
      <w:r>
        <w:rPr>
          <w:spacing w:val="-3"/>
        </w:rPr>
        <w:t> </w:t>
      </w:r>
      <w:r>
        <w:rPr/>
        <w:t>encourages</w:t>
      </w:r>
      <w:r>
        <w:rPr>
          <w:spacing w:val="-3"/>
        </w:rPr>
        <w:t> </w:t>
      </w:r>
      <w:r>
        <w:rPr/>
        <w:t>stakeholders with specific questions to contact your Regional License Inspector: </w:t>
      </w:r>
      <w:hyperlink r:id="rId7">
        <w:r>
          <w:rPr>
            <w:color w:val="0000FF"/>
            <w:u w:val="single" w:color="0000FF"/>
          </w:rPr>
          <w:t>https://www.mass.gov/service-</w:t>
        </w:r>
      </w:hyperlink>
      <w:r>
        <w:rPr>
          <w:color w:val="0000FF"/>
        </w:rPr>
        <w:t> </w:t>
      </w:r>
      <w:hyperlink r:id="rId7">
        <w:r>
          <w:rPr>
            <w:color w:val="0000FF"/>
            <w:spacing w:val="-2"/>
            <w:u w:val="single" w:color="0000FF"/>
          </w:rPr>
          <w:t>details/information-for-licensed-substance-use-disorder-treatment-programs</w:t>
        </w:r>
      </w:hyperlink>
    </w:p>
    <w:p>
      <w:pPr>
        <w:pStyle w:val="BodyText"/>
        <w:spacing w:before="2"/>
        <w:rPr>
          <w:sz w:val="16"/>
        </w:rPr>
      </w:pPr>
    </w:p>
    <w:p>
      <w:pPr>
        <w:pStyle w:val="BodyText"/>
        <w:spacing w:before="90"/>
        <w:ind w:left="380" w:right="909"/>
      </w:pPr>
      <w:r>
        <w:rPr/>
        <w:t>BSAS</w:t>
      </w:r>
      <w:r>
        <w:rPr>
          <w:spacing w:val="-4"/>
        </w:rPr>
        <w:t> </w:t>
      </w:r>
      <w:r>
        <w:rPr/>
        <w:t>encourages</w:t>
      </w:r>
      <w:r>
        <w:rPr>
          <w:spacing w:val="-3"/>
        </w:rPr>
        <w:t> </w:t>
      </w:r>
      <w:r>
        <w:rPr/>
        <w:t>all</w:t>
      </w:r>
      <w:r>
        <w:rPr>
          <w:spacing w:val="-3"/>
        </w:rPr>
        <w:t> </w:t>
      </w:r>
      <w:r>
        <w:rPr/>
        <w:t>providers</w:t>
      </w:r>
      <w:r>
        <w:rPr>
          <w:spacing w:val="-4"/>
        </w:rPr>
        <w:t> </w:t>
      </w:r>
      <w:r>
        <w:rPr/>
        <w:t>to</w:t>
      </w:r>
      <w:r>
        <w:rPr>
          <w:spacing w:val="-3"/>
        </w:rPr>
        <w:t> </w:t>
      </w:r>
      <w:r>
        <w:rPr/>
        <w:t>review</w:t>
      </w:r>
      <w:r>
        <w:rPr>
          <w:spacing w:val="-3"/>
        </w:rPr>
        <w:t> </w:t>
      </w:r>
      <w:r>
        <w:rPr/>
        <w:t>the</w:t>
      </w:r>
      <w:r>
        <w:rPr>
          <w:spacing w:val="-3"/>
        </w:rPr>
        <w:t> </w:t>
      </w:r>
      <w:r>
        <w:rPr/>
        <w:t>new</w:t>
      </w:r>
      <w:r>
        <w:rPr>
          <w:spacing w:val="-3"/>
        </w:rPr>
        <w:t> </w:t>
      </w:r>
      <w:r>
        <w:rPr/>
        <w:t>regulation</w:t>
      </w:r>
      <w:r>
        <w:rPr>
          <w:spacing w:val="-5"/>
        </w:rPr>
        <w:t> </w:t>
      </w:r>
      <w:r>
        <w:rPr/>
        <w:t>in</w:t>
      </w:r>
      <w:r>
        <w:rPr>
          <w:spacing w:val="-3"/>
        </w:rPr>
        <w:t> </w:t>
      </w:r>
      <w:r>
        <w:rPr/>
        <w:t>its</w:t>
      </w:r>
      <w:r>
        <w:rPr>
          <w:spacing w:val="-3"/>
        </w:rPr>
        <w:t> </w:t>
      </w:r>
      <w:r>
        <w:rPr/>
        <w:t>entirety,</w:t>
      </w:r>
      <w:r>
        <w:rPr>
          <w:spacing w:val="-3"/>
        </w:rPr>
        <w:t> </w:t>
      </w:r>
      <w:r>
        <w:rPr/>
        <w:t>which</w:t>
      </w:r>
      <w:r>
        <w:rPr>
          <w:spacing w:val="-3"/>
        </w:rPr>
        <w:t> </w:t>
      </w:r>
      <w:r>
        <w:rPr/>
        <w:t>may</w:t>
      </w:r>
      <w:r>
        <w:rPr>
          <w:spacing w:val="-3"/>
        </w:rPr>
        <w:t> </w:t>
      </w:r>
      <w:r>
        <w:rPr/>
        <w:t>be</w:t>
      </w:r>
      <w:r>
        <w:rPr>
          <w:spacing w:val="-3"/>
        </w:rPr>
        <w:t> </w:t>
      </w:r>
      <w:r>
        <w:rPr/>
        <w:t>found</w:t>
      </w:r>
      <w:r>
        <w:rPr>
          <w:spacing w:val="-3"/>
        </w:rPr>
        <w:t> </w:t>
      </w:r>
      <w:r>
        <w:rPr/>
        <w:t>at</w:t>
      </w:r>
      <w:r>
        <w:rPr>
          <w:spacing w:val="-3"/>
        </w:rPr>
        <w:t> </w:t>
      </w:r>
      <w:r>
        <w:rPr/>
        <w:t>the following link: </w:t>
      </w:r>
      <w:hyperlink r:id="rId8">
        <w:r>
          <w:rPr>
            <w:color w:val="0000FF"/>
            <w:u w:val="single" w:color="0000FF"/>
          </w:rPr>
          <w:t>https://www.mass.gov/regulations/105-CMR-16400-licensure-of-substance-abuse-</w:t>
        </w:r>
      </w:hyperlink>
      <w:r>
        <w:rPr>
          <w:color w:val="0000FF"/>
        </w:rPr>
        <w:t> </w:t>
      </w:r>
      <w:hyperlink r:id="rId8">
        <w:r>
          <w:rPr>
            <w:color w:val="0000FF"/>
            <w:spacing w:val="-2"/>
            <w:u w:val="single" w:color="0000FF"/>
          </w:rPr>
          <w:t>treatment-programs</w:t>
        </w:r>
      </w:hyperlink>
    </w:p>
    <w:p>
      <w:pPr>
        <w:pStyle w:val="BodyText"/>
        <w:spacing w:before="2"/>
        <w:rPr>
          <w:sz w:val="16"/>
        </w:rPr>
      </w:pPr>
    </w:p>
    <w:p>
      <w:pPr>
        <w:pStyle w:val="BodyText"/>
        <w:spacing w:before="90"/>
        <w:ind w:left="380" w:right="656"/>
        <w:jc w:val="both"/>
      </w:pPr>
      <w:r>
        <w:rPr/>
        <w:t>The</w:t>
      </w:r>
      <w:r>
        <w:rPr>
          <w:spacing w:val="-3"/>
        </w:rPr>
        <w:t> </w:t>
      </w:r>
      <w:r>
        <w:rPr/>
        <w:t>Department</w:t>
      </w:r>
      <w:r>
        <w:rPr>
          <w:spacing w:val="-3"/>
        </w:rPr>
        <w:t> </w:t>
      </w:r>
      <w:r>
        <w:rPr/>
        <w:t>has</w:t>
      </w:r>
      <w:r>
        <w:rPr>
          <w:spacing w:val="-3"/>
        </w:rPr>
        <w:t> </w:t>
      </w:r>
      <w:r>
        <w:rPr/>
        <w:t>revised</w:t>
      </w:r>
      <w:r>
        <w:rPr>
          <w:spacing w:val="-3"/>
        </w:rPr>
        <w:t> </w:t>
      </w:r>
      <w:r>
        <w:rPr/>
        <w:t>sections</w:t>
      </w:r>
      <w:r>
        <w:rPr>
          <w:spacing w:val="-5"/>
        </w:rPr>
        <w:t> </w:t>
      </w:r>
      <w:r>
        <w:rPr/>
        <w:t>of</w:t>
      </w:r>
      <w:r>
        <w:rPr>
          <w:spacing w:val="-3"/>
        </w:rPr>
        <w:t> </w:t>
      </w:r>
      <w:r>
        <w:rPr/>
        <w:t>105</w:t>
      </w:r>
      <w:r>
        <w:rPr>
          <w:spacing w:val="-3"/>
        </w:rPr>
        <w:t> </w:t>
      </w:r>
      <w:r>
        <w:rPr/>
        <w:t>CMR</w:t>
      </w:r>
      <w:r>
        <w:rPr>
          <w:spacing w:val="-3"/>
        </w:rPr>
        <w:t> </w:t>
      </w:r>
      <w:r>
        <w:rPr/>
        <w:t>164.000</w:t>
      </w:r>
      <w:r>
        <w:rPr>
          <w:spacing w:val="-3"/>
        </w:rPr>
        <w:t> </w:t>
      </w:r>
      <w:r>
        <w:rPr/>
        <w:t>with</w:t>
      </w:r>
      <w:r>
        <w:rPr>
          <w:spacing w:val="-3"/>
        </w:rPr>
        <w:t> </w:t>
      </w:r>
      <w:r>
        <w:rPr/>
        <w:t>the</w:t>
      </w:r>
      <w:r>
        <w:rPr>
          <w:spacing w:val="-3"/>
        </w:rPr>
        <w:t> </w:t>
      </w:r>
      <w:r>
        <w:rPr/>
        <w:t>purpose</w:t>
      </w:r>
      <w:r>
        <w:rPr>
          <w:spacing w:val="-3"/>
        </w:rPr>
        <w:t> </w:t>
      </w:r>
      <w:r>
        <w:rPr/>
        <w:t>of</w:t>
      </w:r>
      <w:r>
        <w:rPr>
          <w:spacing w:val="-3"/>
        </w:rPr>
        <w:t> </w:t>
      </w:r>
      <w:r>
        <w:rPr/>
        <w:t>ensuring</w:t>
      </w:r>
      <w:r>
        <w:rPr>
          <w:spacing w:val="-3"/>
        </w:rPr>
        <w:t> </w:t>
      </w:r>
      <w:r>
        <w:rPr/>
        <w:t>equitable</w:t>
      </w:r>
      <w:r>
        <w:rPr>
          <w:spacing w:val="-3"/>
        </w:rPr>
        <w:t> </w:t>
      </w:r>
      <w:r>
        <w:rPr/>
        <w:t>access to substance use disorder (SUD) treatment that is based on individualized</w:t>
      </w:r>
      <w:r>
        <w:rPr>
          <w:spacing w:val="-1"/>
        </w:rPr>
        <w:t> </w:t>
      </w:r>
      <w:r>
        <w:rPr/>
        <w:t>care needs. Revisions made in the following areas are intended to support providers in accommodating and serving individuals in a</w:t>
      </w:r>
    </w:p>
    <w:p>
      <w:pPr>
        <w:pStyle w:val="BodyText"/>
        <w:spacing w:before="1"/>
        <w:ind w:left="380"/>
        <w:jc w:val="both"/>
      </w:pPr>
      <w:r>
        <w:rPr/>
        <w:t>non-discriminatory </w:t>
      </w:r>
      <w:r>
        <w:rPr>
          <w:spacing w:val="-2"/>
        </w:rPr>
        <w:t>manner.</w:t>
      </w:r>
    </w:p>
    <w:p>
      <w:pPr>
        <w:pStyle w:val="BodyText"/>
        <w:spacing w:before="11"/>
        <w:rPr>
          <w:sz w:val="23"/>
        </w:rPr>
      </w:pPr>
    </w:p>
    <w:p>
      <w:pPr>
        <w:pStyle w:val="Heading1"/>
        <w:ind w:right="1066"/>
      </w:pPr>
      <w:r>
        <w:rPr>
          <w:u w:val="single"/>
        </w:rPr>
        <w:t>Access to MAT</w:t>
      </w:r>
      <w:r>
        <w:rPr/>
        <w:t>: Requiring licensed or approved providers to provide all FDA-approved medications</w:t>
      </w:r>
      <w:r>
        <w:rPr>
          <w:spacing w:val="-4"/>
        </w:rPr>
        <w:t> </w:t>
      </w:r>
      <w:r>
        <w:rPr/>
        <w:t>for</w:t>
      </w:r>
      <w:r>
        <w:rPr>
          <w:spacing w:val="-3"/>
        </w:rPr>
        <w:t> </w:t>
      </w:r>
      <w:r>
        <w:rPr/>
        <w:t>addiction</w:t>
      </w:r>
      <w:r>
        <w:rPr>
          <w:spacing w:val="-3"/>
        </w:rPr>
        <w:t> </w:t>
      </w:r>
      <w:r>
        <w:rPr/>
        <w:t>treatment</w:t>
      </w:r>
      <w:r>
        <w:rPr>
          <w:spacing w:val="-3"/>
        </w:rPr>
        <w:t> </w:t>
      </w:r>
      <w:r>
        <w:rPr/>
        <w:t>(MAT)</w:t>
      </w:r>
      <w:r>
        <w:rPr>
          <w:spacing w:val="-3"/>
        </w:rPr>
        <w:t> </w:t>
      </w:r>
      <w:r>
        <w:rPr/>
        <w:t>directly</w:t>
      </w:r>
      <w:r>
        <w:rPr>
          <w:spacing w:val="-3"/>
        </w:rPr>
        <w:t> </w:t>
      </w:r>
      <w:r>
        <w:rPr/>
        <w:t>or</w:t>
      </w:r>
      <w:r>
        <w:rPr>
          <w:spacing w:val="-3"/>
        </w:rPr>
        <w:t> </w:t>
      </w:r>
      <w:r>
        <w:rPr/>
        <w:t>by</w:t>
      </w:r>
      <w:r>
        <w:rPr>
          <w:spacing w:val="-3"/>
        </w:rPr>
        <w:t> </w:t>
      </w:r>
      <w:r>
        <w:rPr/>
        <w:t>contract</w:t>
      </w:r>
      <w:r>
        <w:rPr>
          <w:spacing w:val="-4"/>
        </w:rPr>
        <w:t> </w:t>
      </w:r>
      <w:r>
        <w:rPr/>
        <w:t>with</w:t>
      </w:r>
      <w:r>
        <w:rPr>
          <w:spacing w:val="-3"/>
        </w:rPr>
        <w:t> </w:t>
      </w:r>
      <w:r>
        <w:rPr/>
        <w:t>a</w:t>
      </w:r>
      <w:r>
        <w:rPr>
          <w:spacing w:val="-3"/>
        </w:rPr>
        <w:t> </w:t>
      </w:r>
      <w:r>
        <w:rPr/>
        <w:t>qualified</w:t>
      </w:r>
      <w:r>
        <w:rPr>
          <w:spacing w:val="-3"/>
        </w:rPr>
        <w:t> </w:t>
      </w:r>
      <w:r>
        <w:rPr/>
        <w:t>vendor.</w:t>
      </w:r>
    </w:p>
    <w:p>
      <w:pPr>
        <w:pStyle w:val="BodyText"/>
        <w:spacing w:before="8"/>
        <w:rPr>
          <w:b/>
          <w:sz w:val="20"/>
        </w:rPr>
      </w:pPr>
    </w:p>
    <w:p>
      <w:pPr>
        <w:pStyle w:val="ListParagraph"/>
        <w:numPr>
          <w:ilvl w:val="0"/>
          <w:numId w:val="1"/>
        </w:numPr>
        <w:tabs>
          <w:tab w:pos="1100" w:val="left" w:leader="none"/>
        </w:tabs>
        <w:spacing w:line="240" w:lineRule="auto" w:before="0" w:after="0"/>
        <w:ind w:left="1100" w:right="1110" w:hanging="360"/>
        <w:jc w:val="both"/>
        <w:rPr>
          <w:sz w:val="24"/>
        </w:rPr>
      </w:pPr>
      <w:r>
        <w:rPr>
          <w:sz w:val="24"/>
        </w:rPr>
        <w:t>Requirements</w:t>
      </w:r>
      <w:r>
        <w:rPr>
          <w:spacing w:val="-3"/>
          <w:sz w:val="24"/>
        </w:rPr>
        <w:t> </w:t>
      </w:r>
      <w:r>
        <w:rPr>
          <w:sz w:val="24"/>
        </w:rPr>
        <w:t>under</w:t>
      </w:r>
      <w:r>
        <w:rPr>
          <w:spacing w:val="-4"/>
          <w:sz w:val="24"/>
        </w:rPr>
        <w:t> </w:t>
      </w:r>
      <w:r>
        <w:rPr>
          <w:sz w:val="24"/>
        </w:rPr>
        <w:t>105</w:t>
      </w:r>
      <w:r>
        <w:rPr>
          <w:spacing w:val="-5"/>
          <w:sz w:val="24"/>
        </w:rPr>
        <w:t> </w:t>
      </w:r>
      <w:r>
        <w:rPr>
          <w:sz w:val="24"/>
        </w:rPr>
        <w:t>CMR</w:t>
      </w:r>
      <w:r>
        <w:rPr>
          <w:spacing w:val="-4"/>
          <w:sz w:val="24"/>
        </w:rPr>
        <w:t> </w:t>
      </w:r>
      <w:r>
        <w:rPr>
          <w:sz w:val="24"/>
        </w:rPr>
        <w:t>164.074,</w:t>
      </w:r>
      <w:r>
        <w:rPr>
          <w:spacing w:val="-4"/>
          <w:sz w:val="24"/>
        </w:rPr>
        <w:t> </w:t>
      </w:r>
      <w:r>
        <w:rPr>
          <w:sz w:val="24"/>
        </w:rPr>
        <w:t>164.574</w:t>
      </w:r>
      <w:r>
        <w:rPr>
          <w:spacing w:val="-4"/>
          <w:sz w:val="24"/>
        </w:rPr>
        <w:t> </w:t>
      </w:r>
      <w:r>
        <w:rPr>
          <w:sz w:val="24"/>
        </w:rPr>
        <w:t>and</w:t>
      </w:r>
      <w:r>
        <w:rPr>
          <w:spacing w:val="-4"/>
          <w:sz w:val="24"/>
        </w:rPr>
        <w:t> </w:t>
      </w:r>
      <w:r>
        <w:rPr>
          <w:sz w:val="24"/>
        </w:rPr>
        <w:t>164.612</w:t>
      </w:r>
      <w:r>
        <w:rPr>
          <w:spacing w:val="-4"/>
          <w:sz w:val="24"/>
        </w:rPr>
        <w:t> </w:t>
      </w:r>
      <w:r>
        <w:rPr>
          <w:sz w:val="24"/>
        </w:rPr>
        <w:t>mandate</w:t>
      </w:r>
      <w:r>
        <w:rPr>
          <w:spacing w:val="-4"/>
          <w:sz w:val="24"/>
        </w:rPr>
        <w:t> </w:t>
      </w:r>
      <w:r>
        <w:rPr>
          <w:sz w:val="24"/>
        </w:rPr>
        <w:t>that</w:t>
      </w:r>
      <w:r>
        <w:rPr>
          <w:spacing w:val="-4"/>
          <w:sz w:val="24"/>
        </w:rPr>
        <w:t> </w:t>
      </w:r>
      <w:r>
        <w:rPr>
          <w:sz w:val="24"/>
        </w:rPr>
        <w:t>providers</w:t>
      </w:r>
      <w:r>
        <w:rPr>
          <w:spacing w:val="-3"/>
          <w:sz w:val="24"/>
        </w:rPr>
        <w:t> </w:t>
      </w:r>
      <w:r>
        <w:rPr>
          <w:sz w:val="24"/>
        </w:rPr>
        <w:t>ensure access directly or through a written agreement to medications for the treatment of addiction, including all FDA-approved medications for opioid use disorder</w:t>
      </w:r>
    </w:p>
    <w:p>
      <w:pPr>
        <w:spacing w:after="0" w:line="240" w:lineRule="auto"/>
        <w:jc w:val="both"/>
        <w:rPr>
          <w:sz w:val="24"/>
        </w:rPr>
        <w:sectPr>
          <w:type w:val="continuous"/>
          <w:pgSz w:w="12240" w:h="15840"/>
          <w:pgMar w:top="560" w:bottom="280" w:left="700" w:right="440"/>
        </w:sectPr>
      </w:pPr>
    </w:p>
    <w:p>
      <w:pPr>
        <w:pStyle w:val="ListParagraph"/>
        <w:numPr>
          <w:ilvl w:val="0"/>
          <w:numId w:val="1"/>
        </w:numPr>
        <w:tabs>
          <w:tab w:pos="1099" w:val="left" w:leader="none"/>
          <w:tab w:pos="1100" w:val="left" w:leader="none"/>
        </w:tabs>
        <w:spacing w:line="240" w:lineRule="auto" w:before="80" w:after="0"/>
        <w:ind w:left="1100" w:right="658" w:hanging="360"/>
        <w:jc w:val="left"/>
        <w:rPr>
          <w:sz w:val="24"/>
        </w:rPr>
      </w:pPr>
      <w:r>
        <w:rPr>
          <w:sz w:val="24"/>
        </w:rPr>
        <w:t>All forms of MAT must be directly available to patients/residents in settings such as 24 hour Diversionary and outpatient withdrawal management, Opioid Treatment Programs (OTP), and Office Based Opioid Treatment (OBOT). If the service setting model does not allow for direct access</w:t>
      </w:r>
      <w:r>
        <w:rPr>
          <w:spacing w:val="-4"/>
          <w:sz w:val="24"/>
        </w:rPr>
        <w:t> </w:t>
      </w:r>
      <w:r>
        <w:rPr>
          <w:sz w:val="24"/>
        </w:rPr>
        <w:t>to</w:t>
      </w:r>
      <w:r>
        <w:rPr>
          <w:spacing w:val="-3"/>
          <w:sz w:val="24"/>
        </w:rPr>
        <w:t> </w:t>
      </w:r>
      <w:r>
        <w:rPr>
          <w:sz w:val="24"/>
        </w:rPr>
        <w:t>all</w:t>
      </w:r>
      <w:r>
        <w:rPr>
          <w:spacing w:val="-5"/>
          <w:sz w:val="24"/>
        </w:rPr>
        <w:t> </w:t>
      </w:r>
      <w:r>
        <w:rPr>
          <w:sz w:val="24"/>
        </w:rPr>
        <w:t>forms</w:t>
      </w:r>
      <w:r>
        <w:rPr>
          <w:spacing w:val="-3"/>
          <w:sz w:val="24"/>
        </w:rPr>
        <w:t> </w:t>
      </w:r>
      <w:r>
        <w:rPr>
          <w:sz w:val="24"/>
        </w:rPr>
        <w:t>of</w:t>
      </w:r>
      <w:r>
        <w:rPr>
          <w:spacing w:val="-3"/>
          <w:sz w:val="24"/>
        </w:rPr>
        <w:t> </w:t>
      </w:r>
      <w:r>
        <w:rPr>
          <w:sz w:val="24"/>
        </w:rPr>
        <w:t>MAT,</w:t>
      </w:r>
      <w:r>
        <w:rPr>
          <w:spacing w:val="-3"/>
          <w:sz w:val="24"/>
        </w:rPr>
        <w:t> </w:t>
      </w:r>
      <w:r>
        <w:rPr>
          <w:sz w:val="24"/>
        </w:rPr>
        <w:t>providers</w:t>
      </w:r>
      <w:r>
        <w:rPr>
          <w:spacing w:val="-3"/>
          <w:sz w:val="24"/>
        </w:rPr>
        <w:t> </w:t>
      </w:r>
      <w:r>
        <w:rPr>
          <w:sz w:val="24"/>
        </w:rPr>
        <w:t>must</w:t>
      </w:r>
      <w:r>
        <w:rPr>
          <w:spacing w:val="-3"/>
          <w:sz w:val="24"/>
        </w:rPr>
        <w:t> </w:t>
      </w:r>
      <w:r>
        <w:rPr>
          <w:sz w:val="24"/>
        </w:rPr>
        <w:t>enter</w:t>
      </w:r>
      <w:r>
        <w:rPr>
          <w:spacing w:val="-3"/>
          <w:sz w:val="24"/>
        </w:rPr>
        <w:t> </w:t>
      </w:r>
      <w:r>
        <w:rPr>
          <w:sz w:val="24"/>
        </w:rPr>
        <w:t>into</w:t>
      </w:r>
      <w:r>
        <w:rPr>
          <w:spacing w:val="-4"/>
          <w:sz w:val="24"/>
        </w:rPr>
        <w:t> </w:t>
      </w:r>
      <w:r>
        <w:rPr>
          <w:sz w:val="24"/>
        </w:rPr>
        <w:t>agreements</w:t>
      </w:r>
      <w:r>
        <w:rPr>
          <w:spacing w:val="-3"/>
          <w:sz w:val="24"/>
        </w:rPr>
        <w:t> </w:t>
      </w:r>
      <w:r>
        <w:rPr>
          <w:sz w:val="24"/>
        </w:rPr>
        <w:t>with</w:t>
      </w:r>
      <w:r>
        <w:rPr>
          <w:spacing w:val="-3"/>
          <w:sz w:val="24"/>
        </w:rPr>
        <w:t> </w:t>
      </w:r>
      <w:r>
        <w:rPr>
          <w:sz w:val="24"/>
        </w:rPr>
        <w:t>appropriate</w:t>
      </w:r>
      <w:r>
        <w:rPr>
          <w:spacing w:val="-3"/>
          <w:sz w:val="24"/>
        </w:rPr>
        <w:t> </w:t>
      </w:r>
      <w:r>
        <w:rPr>
          <w:sz w:val="24"/>
        </w:rPr>
        <w:t>providers</w:t>
      </w:r>
      <w:r>
        <w:rPr>
          <w:spacing w:val="-3"/>
          <w:sz w:val="24"/>
        </w:rPr>
        <w:t> </w:t>
      </w:r>
      <w:r>
        <w:rPr>
          <w:sz w:val="24"/>
        </w:rPr>
        <w:t>that offer this treatment. Agreements must include a mechanism for referrals that directly connect patients/residents to the medication service.</w:t>
      </w:r>
    </w:p>
    <w:p>
      <w:pPr>
        <w:pStyle w:val="BodyText"/>
        <w:spacing w:before="9"/>
        <w:rPr>
          <w:sz w:val="20"/>
        </w:rPr>
      </w:pPr>
    </w:p>
    <w:p>
      <w:pPr>
        <w:spacing w:before="0"/>
        <w:ind w:left="380" w:right="0" w:firstLine="0"/>
        <w:jc w:val="left"/>
        <w:rPr>
          <w:i/>
          <w:sz w:val="24"/>
        </w:rPr>
      </w:pPr>
      <w:r>
        <w:rPr>
          <w:i/>
          <w:sz w:val="24"/>
        </w:rPr>
        <w:t>Examples</w:t>
      </w:r>
      <w:r>
        <w:rPr>
          <w:i/>
          <w:spacing w:val="-8"/>
          <w:sz w:val="24"/>
        </w:rPr>
        <w:t> </w:t>
      </w:r>
      <w:r>
        <w:rPr>
          <w:i/>
          <w:sz w:val="24"/>
        </w:rPr>
        <w:t>of</w:t>
      </w:r>
      <w:r>
        <w:rPr>
          <w:i/>
          <w:spacing w:val="-8"/>
          <w:sz w:val="24"/>
        </w:rPr>
        <w:t> </w:t>
      </w:r>
      <w:r>
        <w:rPr>
          <w:i/>
          <w:sz w:val="24"/>
        </w:rPr>
        <w:t>this</w:t>
      </w:r>
      <w:r>
        <w:rPr>
          <w:i/>
          <w:spacing w:val="-7"/>
          <w:sz w:val="24"/>
        </w:rPr>
        <w:t> </w:t>
      </w:r>
      <w:r>
        <w:rPr>
          <w:i/>
          <w:sz w:val="24"/>
        </w:rPr>
        <w:t>requirement</w:t>
      </w:r>
      <w:r>
        <w:rPr>
          <w:i/>
          <w:spacing w:val="-7"/>
          <w:sz w:val="24"/>
        </w:rPr>
        <w:t> </w:t>
      </w:r>
      <w:r>
        <w:rPr>
          <w:i/>
          <w:spacing w:val="-2"/>
          <w:sz w:val="24"/>
        </w:rPr>
        <w:t>include:</w:t>
      </w:r>
    </w:p>
    <w:p>
      <w:pPr>
        <w:pStyle w:val="BodyText"/>
        <w:spacing w:before="10"/>
        <w:rPr>
          <w:i/>
          <w:sz w:val="20"/>
        </w:rPr>
      </w:pPr>
    </w:p>
    <w:p>
      <w:pPr>
        <w:pStyle w:val="ListParagraph"/>
        <w:numPr>
          <w:ilvl w:val="0"/>
          <w:numId w:val="2"/>
        </w:numPr>
        <w:tabs>
          <w:tab w:pos="1100" w:val="left" w:leader="none"/>
        </w:tabs>
        <w:spacing w:line="240" w:lineRule="auto" w:before="0" w:after="0"/>
        <w:ind w:left="1100" w:right="1039" w:hanging="360"/>
        <w:jc w:val="left"/>
        <w:rPr>
          <w:sz w:val="24"/>
        </w:rPr>
      </w:pPr>
      <w:r>
        <w:rPr>
          <w:sz w:val="24"/>
          <w:u w:val="single"/>
        </w:rPr>
        <w:t>Direct</w:t>
      </w:r>
      <w:r>
        <w:rPr>
          <w:spacing w:val="-3"/>
          <w:sz w:val="24"/>
          <w:u w:val="single"/>
        </w:rPr>
        <w:t> </w:t>
      </w:r>
      <w:r>
        <w:rPr>
          <w:sz w:val="24"/>
          <w:u w:val="single"/>
        </w:rPr>
        <w:t>access:</w:t>
      </w:r>
      <w:r>
        <w:rPr>
          <w:spacing w:val="-2"/>
          <w:sz w:val="24"/>
        </w:rPr>
        <w:t> </w:t>
      </w:r>
      <w:r>
        <w:rPr>
          <w:sz w:val="24"/>
        </w:rPr>
        <w:t>A</w:t>
      </w:r>
      <w:r>
        <w:rPr>
          <w:spacing w:val="-4"/>
          <w:sz w:val="24"/>
        </w:rPr>
        <w:t> </w:t>
      </w:r>
      <w:r>
        <w:rPr>
          <w:sz w:val="24"/>
        </w:rPr>
        <w:t>24-Hour</w:t>
      </w:r>
      <w:r>
        <w:rPr>
          <w:spacing w:val="-3"/>
          <w:sz w:val="24"/>
        </w:rPr>
        <w:t> </w:t>
      </w:r>
      <w:r>
        <w:rPr>
          <w:sz w:val="24"/>
        </w:rPr>
        <w:t>Withdrawal</w:t>
      </w:r>
      <w:r>
        <w:rPr>
          <w:spacing w:val="-3"/>
          <w:sz w:val="24"/>
        </w:rPr>
        <w:t> </w:t>
      </w:r>
      <w:r>
        <w:rPr>
          <w:sz w:val="24"/>
        </w:rPr>
        <w:t>Management</w:t>
      </w:r>
      <w:r>
        <w:rPr>
          <w:spacing w:val="-3"/>
          <w:sz w:val="24"/>
        </w:rPr>
        <w:t> </w:t>
      </w:r>
      <w:r>
        <w:rPr>
          <w:sz w:val="24"/>
        </w:rPr>
        <w:t>program</w:t>
      </w:r>
      <w:r>
        <w:rPr>
          <w:spacing w:val="-4"/>
          <w:sz w:val="24"/>
        </w:rPr>
        <w:t> </w:t>
      </w:r>
      <w:r>
        <w:rPr>
          <w:sz w:val="24"/>
        </w:rPr>
        <w:t>has</w:t>
      </w:r>
      <w:r>
        <w:rPr>
          <w:spacing w:val="-3"/>
          <w:sz w:val="24"/>
        </w:rPr>
        <w:t> </w:t>
      </w:r>
      <w:r>
        <w:rPr>
          <w:sz w:val="24"/>
        </w:rPr>
        <w:t>access</w:t>
      </w:r>
      <w:r>
        <w:rPr>
          <w:spacing w:val="-3"/>
          <w:sz w:val="24"/>
        </w:rPr>
        <w:t> </w:t>
      </w:r>
      <w:r>
        <w:rPr>
          <w:sz w:val="24"/>
        </w:rPr>
        <w:t>to</w:t>
      </w:r>
      <w:r>
        <w:rPr>
          <w:spacing w:val="-3"/>
          <w:sz w:val="24"/>
        </w:rPr>
        <w:t> </w:t>
      </w:r>
      <w:r>
        <w:rPr>
          <w:sz w:val="24"/>
        </w:rPr>
        <w:t>all</w:t>
      </w:r>
      <w:r>
        <w:rPr>
          <w:spacing w:val="-3"/>
          <w:sz w:val="24"/>
        </w:rPr>
        <w:t> </w:t>
      </w:r>
      <w:r>
        <w:rPr>
          <w:sz w:val="24"/>
        </w:rPr>
        <w:t>forms</w:t>
      </w:r>
      <w:r>
        <w:rPr>
          <w:spacing w:val="-3"/>
          <w:sz w:val="24"/>
        </w:rPr>
        <w:t> </w:t>
      </w:r>
      <w:r>
        <w:rPr>
          <w:sz w:val="24"/>
        </w:rPr>
        <w:t>of</w:t>
      </w:r>
      <w:r>
        <w:rPr>
          <w:spacing w:val="-3"/>
          <w:sz w:val="24"/>
        </w:rPr>
        <w:t> </w:t>
      </w:r>
      <w:r>
        <w:rPr>
          <w:sz w:val="24"/>
        </w:rPr>
        <w:t>MAT, which allows the provider to match the patient with the appropriate medication based on diagnosis, treatment history, and individualized needs.</w:t>
      </w:r>
    </w:p>
    <w:p>
      <w:pPr>
        <w:pStyle w:val="BodyText"/>
        <w:spacing w:before="10"/>
        <w:rPr>
          <w:sz w:val="20"/>
        </w:rPr>
      </w:pPr>
    </w:p>
    <w:p>
      <w:pPr>
        <w:pStyle w:val="ListParagraph"/>
        <w:numPr>
          <w:ilvl w:val="0"/>
          <w:numId w:val="2"/>
        </w:numPr>
        <w:tabs>
          <w:tab w:pos="1100" w:val="left" w:leader="none"/>
        </w:tabs>
        <w:spacing w:line="240" w:lineRule="auto" w:before="0" w:after="0"/>
        <w:ind w:left="1100" w:right="1133" w:hanging="360"/>
        <w:jc w:val="left"/>
        <w:rPr>
          <w:sz w:val="24"/>
        </w:rPr>
      </w:pPr>
      <w:r>
        <w:rPr>
          <w:sz w:val="24"/>
          <w:u w:val="single"/>
        </w:rPr>
        <w:t>Access through an agreement:</w:t>
      </w:r>
      <w:r>
        <w:rPr>
          <w:sz w:val="24"/>
        </w:rPr>
        <w:t> An OBOT program offering buprenorphine enters into an agreement</w:t>
      </w:r>
      <w:r>
        <w:rPr>
          <w:spacing w:val="-3"/>
          <w:sz w:val="24"/>
        </w:rPr>
        <w:t> </w:t>
      </w:r>
      <w:r>
        <w:rPr>
          <w:sz w:val="24"/>
        </w:rPr>
        <w:t>with</w:t>
      </w:r>
      <w:r>
        <w:rPr>
          <w:spacing w:val="-3"/>
          <w:sz w:val="24"/>
        </w:rPr>
        <w:t> </w:t>
      </w:r>
      <w:r>
        <w:rPr>
          <w:sz w:val="24"/>
        </w:rPr>
        <w:t>an</w:t>
      </w:r>
      <w:r>
        <w:rPr>
          <w:spacing w:val="-3"/>
          <w:sz w:val="24"/>
        </w:rPr>
        <w:t> </w:t>
      </w:r>
      <w:r>
        <w:rPr>
          <w:sz w:val="24"/>
        </w:rPr>
        <w:t>OTP</w:t>
      </w:r>
      <w:r>
        <w:rPr>
          <w:spacing w:val="-4"/>
          <w:sz w:val="24"/>
        </w:rPr>
        <w:t> </w:t>
      </w:r>
      <w:r>
        <w:rPr>
          <w:sz w:val="24"/>
        </w:rPr>
        <w:t>offering</w:t>
      </w:r>
      <w:r>
        <w:rPr>
          <w:spacing w:val="-3"/>
          <w:sz w:val="24"/>
        </w:rPr>
        <w:t> </w:t>
      </w:r>
      <w:r>
        <w:rPr>
          <w:sz w:val="24"/>
        </w:rPr>
        <w:t>methadone</w:t>
      </w:r>
      <w:r>
        <w:rPr>
          <w:spacing w:val="-2"/>
          <w:sz w:val="24"/>
        </w:rPr>
        <w:t> </w:t>
      </w:r>
      <w:r>
        <w:rPr>
          <w:sz w:val="24"/>
        </w:rPr>
        <w:t>to</w:t>
      </w:r>
      <w:r>
        <w:rPr>
          <w:spacing w:val="-4"/>
          <w:sz w:val="24"/>
        </w:rPr>
        <w:t> </w:t>
      </w:r>
      <w:r>
        <w:rPr>
          <w:sz w:val="24"/>
        </w:rPr>
        <w:t>serve</w:t>
      </w:r>
      <w:r>
        <w:rPr>
          <w:spacing w:val="-3"/>
          <w:sz w:val="24"/>
        </w:rPr>
        <w:t> </w:t>
      </w:r>
      <w:r>
        <w:rPr>
          <w:sz w:val="24"/>
        </w:rPr>
        <w:t>an</w:t>
      </w:r>
      <w:r>
        <w:rPr>
          <w:spacing w:val="-5"/>
          <w:sz w:val="24"/>
        </w:rPr>
        <w:t> </w:t>
      </w:r>
      <w:r>
        <w:rPr>
          <w:sz w:val="24"/>
        </w:rPr>
        <w:t>individual</w:t>
      </w:r>
      <w:r>
        <w:rPr>
          <w:spacing w:val="-4"/>
          <w:sz w:val="24"/>
        </w:rPr>
        <w:t> </w:t>
      </w:r>
      <w:r>
        <w:rPr>
          <w:sz w:val="24"/>
        </w:rPr>
        <w:t>for</w:t>
      </w:r>
      <w:r>
        <w:rPr>
          <w:spacing w:val="-3"/>
          <w:sz w:val="24"/>
        </w:rPr>
        <w:t> </w:t>
      </w:r>
      <w:r>
        <w:rPr>
          <w:sz w:val="24"/>
        </w:rPr>
        <w:t>whom</w:t>
      </w:r>
      <w:r>
        <w:rPr>
          <w:spacing w:val="-3"/>
          <w:sz w:val="24"/>
        </w:rPr>
        <w:t> </w:t>
      </w:r>
      <w:r>
        <w:rPr>
          <w:sz w:val="24"/>
        </w:rPr>
        <w:t>methadone</w:t>
      </w:r>
      <w:r>
        <w:rPr>
          <w:spacing w:val="-3"/>
          <w:sz w:val="24"/>
        </w:rPr>
        <w:t> </w:t>
      </w:r>
      <w:r>
        <w:rPr>
          <w:sz w:val="24"/>
        </w:rPr>
        <w:t>is</w:t>
      </w:r>
      <w:r>
        <w:rPr>
          <w:spacing w:val="-3"/>
          <w:sz w:val="24"/>
        </w:rPr>
        <w:t> </w:t>
      </w:r>
      <w:r>
        <w:rPr>
          <w:sz w:val="24"/>
        </w:rPr>
        <w:t>a more appropriate treatment. A direct referral from the sending OBOT shall ensure that the patient has been accepted for treatment by the receiving OTP.</w:t>
      </w:r>
    </w:p>
    <w:p>
      <w:pPr>
        <w:pStyle w:val="BodyText"/>
        <w:spacing w:before="10"/>
        <w:rPr>
          <w:sz w:val="20"/>
        </w:rPr>
      </w:pPr>
    </w:p>
    <w:p>
      <w:pPr>
        <w:pStyle w:val="Heading1"/>
        <w:spacing w:before="1"/>
      </w:pPr>
      <w:r>
        <w:rPr>
          <w:u w:val="single"/>
        </w:rPr>
        <w:t>Direct</w:t>
      </w:r>
      <w:r>
        <w:rPr>
          <w:spacing w:val="25"/>
          <w:u w:val="single"/>
        </w:rPr>
        <w:t> </w:t>
      </w:r>
      <w:r>
        <w:rPr>
          <w:u w:val="single"/>
        </w:rPr>
        <w:t>Connect</w:t>
      </w:r>
      <w:r>
        <w:rPr/>
        <w:t>:</w:t>
      </w:r>
      <w:r>
        <w:rPr>
          <w:spacing w:val="25"/>
        </w:rPr>
        <w:t> </w:t>
      </w:r>
      <w:r>
        <w:rPr/>
        <w:t>Requiring</w:t>
      </w:r>
      <w:r>
        <w:rPr>
          <w:spacing w:val="27"/>
        </w:rPr>
        <w:t> </w:t>
      </w:r>
      <w:r>
        <w:rPr/>
        <w:t>providers</w:t>
      </w:r>
      <w:r>
        <w:rPr>
          <w:spacing w:val="27"/>
        </w:rPr>
        <w:t> </w:t>
      </w:r>
      <w:r>
        <w:rPr/>
        <w:t>to</w:t>
      </w:r>
      <w:r>
        <w:rPr>
          <w:spacing w:val="27"/>
        </w:rPr>
        <w:t> </w:t>
      </w:r>
      <w:r>
        <w:rPr/>
        <w:t>directly</w:t>
      </w:r>
      <w:r>
        <w:rPr>
          <w:spacing w:val="26"/>
        </w:rPr>
        <w:t> </w:t>
      </w:r>
      <w:r>
        <w:rPr/>
        <w:t>connect</w:t>
      </w:r>
      <w:r>
        <w:rPr>
          <w:spacing w:val="26"/>
        </w:rPr>
        <w:t> </w:t>
      </w:r>
      <w:r>
        <w:rPr/>
        <w:t>patients</w:t>
      </w:r>
      <w:r>
        <w:rPr>
          <w:spacing w:val="27"/>
        </w:rPr>
        <w:t> </w:t>
      </w:r>
      <w:r>
        <w:rPr/>
        <w:t>with</w:t>
      </w:r>
      <w:r>
        <w:rPr>
          <w:spacing w:val="26"/>
        </w:rPr>
        <w:t> </w:t>
      </w:r>
      <w:r>
        <w:rPr/>
        <w:t>another</w:t>
      </w:r>
      <w:r>
        <w:rPr>
          <w:spacing w:val="26"/>
        </w:rPr>
        <w:t> </w:t>
      </w:r>
      <w:r>
        <w:rPr/>
        <w:t>care</w:t>
      </w:r>
      <w:r>
        <w:rPr>
          <w:spacing w:val="27"/>
        </w:rPr>
        <w:t> </w:t>
      </w:r>
      <w:r>
        <w:rPr/>
        <w:t>provider</w:t>
      </w:r>
      <w:r>
        <w:rPr>
          <w:spacing w:val="27"/>
        </w:rPr>
        <w:t> </w:t>
      </w:r>
      <w:r>
        <w:rPr/>
        <w:t>or other services, such as certified sober housing or group therapy, prior to discharge.</w:t>
      </w:r>
    </w:p>
    <w:p>
      <w:pPr>
        <w:pStyle w:val="BodyText"/>
        <w:spacing w:before="9"/>
        <w:rPr>
          <w:b/>
          <w:sz w:val="20"/>
        </w:rPr>
      </w:pPr>
    </w:p>
    <w:p>
      <w:pPr>
        <w:pStyle w:val="ListParagraph"/>
        <w:numPr>
          <w:ilvl w:val="1"/>
          <w:numId w:val="2"/>
        </w:numPr>
        <w:tabs>
          <w:tab w:pos="1100" w:val="left" w:leader="none"/>
        </w:tabs>
        <w:spacing w:line="240" w:lineRule="auto" w:before="0" w:after="0"/>
        <w:ind w:left="1100" w:right="635" w:hanging="360"/>
        <w:jc w:val="both"/>
        <w:rPr>
          <w:sz w:val="24"/>
        </w:rPr>
      </w:pPr>
      <w:r>
        <w:rPr>
          <w:sz w:val="24"/>
        </w:rPr>
        <w:t>Requirements under 105 CMR 164.076 and 164.576 mandate that providers directly connect the patient or resident to an appropriate provider to ensure a continuum of care for the patient or resident, including arrangements for further substance use disorder treatment and post-discharge counseling and other supportive services.</w:t>
      </w:r>
    </w:p>
    <w:p>
      <w:pPr>
        <w:pStyle w:val="BodyText"/>
        <w:spacing w:before="9"/>
        <w:rPr>
          <w:sz w:val="20"/>
        </w:rPr>
      </w:pPr>
    </w:p>
    <w:p>
      <w:pPr>
        <w:pStyle w:val="ListParagraph"/>
        <w:numPr>
          <w:ilvl w:val="1"/>
          <w:numId w:val="2"/>
        </w:numPr>
        <w:tabs>
          <w:tab w:pos="1100" w:val="left" w:leader="none"/>
        </w:tabs>
        <w:spacing w:line="240" w:lineRule="auto" w:before="1" w:after="0"/>
        <w:ind w:left="1100" w:right="637" w:hanging="360"/>
        <w:jc w:val="both"/>
        <w:rPr>
          <w:sz w:val="24"/>
        </w:rPr>
      </w:pPr>
      <w:r>
        <w:rPr>
          <w:sz w:val="24"/>
        </w:rPr>
        <w:t>Direct connection to continued SUD services or other services includes educating the individual about available treatment options, providing all necessary assistance for initiating a referral, and securing a “warm handoff” connection to the accepting provider.</w:t>
      </w:r>
    </w:p>
    <w:p>
      <w:pPr>
        <w:pStyle w:val="BodyText"/>
        <w:spacing w:before="9"/>
        <w:rPr>
          <w:sz w:val="20"/>
        </w:rPr>
      </w:pPr>
    </w:p>
    <w:p>
      <w:pPr>
        <w:pStyle w:val="ListParagraph"/>
        <w:numPr>
          <w:ilvl w:val="1"/>
          <w:numId w:val="2"/>
        </w:numPr>
        <w:tabs>
          <w:tab w:pos="1100" w:val="left" w:leader="none"/>
        </w:tabs>
        <w:spacing w:line="240" w:lineRule="auto" w:before="1" w:after="0"/>
        <w:ind w:left="1100" w:right="637" w:hanging="360"/>
        <w:jc w:val="both"/>
        <w:rPr>
          <w:sz w:val="24"/>
        </w:rPr>
      </w:pPr>
      <w:r>
        <w:rPr>
          <w:sz w:val="24"/>
        </w:rPr>
        <w:t>When an individual does not meet a provider’s eligibility requirements or the provider’s services are inappropriate for the individual’s needs, the provider must collaborate with care managers, case managers, health plans, and any others necessary to obtain an appropriate placement for the patient. See: 105 CMR 164.070(E); 105 CMR 164.570(D).</w:t>
      </w:r>
    </w:p>
    <w:p>
      <w:pPr>
        <w:pStyle w:val="BodyText"/>
        <w:spacing w:before="9"/>
        <w:rPr>
          <w:sz w:val="20"/>
        </w:rPr>
      </w:pPr>
    </w:p>
    <w:p>
      <w:pPr>
        <w:spacing w:before="0"/>
        <w:ind w:left="380" w:right="0" w:firstLine="0"/>
        <w:jc w:val="left"/>
        <w:rPr>
          <w:i/>
          <w:sz w:val="24"/>
        </w:rPr>
      </w:pPr>
      <w:r>
        <w:rPr>
          <w:i/>
          <w:sz w:val="24"/>
        </w:rPr>
        <w:t>Examples</w:t>
      </w:r>
      <w:r>
        <w:rPr>
          <w:i/>
          <w:spacing w:val="-8"/>
          <w:sz w:val="24"/>
        </w:rPr>
        <w:t> </w:t>
      </w:r>
      <w:r>
        <w:rPr>
          <w:i/>
          <w:sz w:val="24"/>
        </w:rPr>
        <w:t>of</w:t>
      </w:r>
      <w:r>
        <w:rPr>
          <w:i/>
          <w:spacing w:val="-7"/>
          <w:sz w:val="24"/>
        </w:rPr>
        <w:t> </w:t>
      </w:r>
      <w:r>
        <w:rPr>
          <w:i/>
          <w:sz w:val="24"/>
        </w:rPr>
        <w:t>this</w:t>
      </w:r>
      <w:r>
        <w:rPr>
          <w:i/>
          <w:spacing w:val="-7"/>
          <w:sz w:val="24"/>
        </w:rPr>
        <w:t> </w:t>
      </w:r>
      <w:r>
        <w:rPr>
          <w:i/>
          <w:sz w:val="24"/>
        </w:rPr>
        <w:t>requirement</w:t>
      </w:r>
      <w:r>
        <w:rPr>
          <w:i/>
          <w:spacing w:val="-7"/>
          <w:sz w:val="24"/>
        </w:rPr>
        <w:t> </w:t>
      </w:r>
      <w:r>
        <w:rPr>
          <w:i/>
          <w:spacing w:val="-2"/>
          <w:sz w:val="24"/>
        </w:rPr>
        <w:t>include:</w:t>
      </w:r>
    </w:p>
    <w:p>
      <w:pPr>
        <w:pStyle w:val="BodyText"/>
        <w:spacing w:before="10"/>
        <w:rPr>
          <w:i/>
          <w:sz w:val="20"/>
        </w:rPr>
      </w:pPr>
    </w:p>
    <w:p>
      <w:pPr>
        <w:pStyle w:val="ListParagraph"/>
        <w:numPr>
          <w:ilvl w:val="0"/>
          <w:numId w:val="3"/>
        </w:numPr>
        <w:tabs>
          <w:tab w:pos="1100" w:val="left" w:leader="none"/>
        </w:tabs>
        <w:spacing w:line="240" w:lineRule="auto" w:before="0" w:after="0"/>
        <w:ind w:left="1100" w:right="840" w:hanging="360"/>
        <w:jc w:val="left"/>
        <w:rPr>
          <w:sz w:val="24"/>
        </w:rPr>
      </w:pPr>
      <w:r>
        <w:rPr>
          <w:sz w:val="24"/>
        </w:rPr>
        <w:t>A patient inducted with methadone during inpatient treatment for withdrawal management wishes</w:t>
      </w:r>
      <w:r>
        <w:rPr>
          <w:spacing w:val="-3"/>
          <w:sz w:val="24"/>
        </w:rPr>
        <w:t> </w:t>
      </w:r>
      <w:r>
        <w:rPr>
          <w:sz w:val="24"/>
        </w:rPr>
        <w:t>to</w:t>
      </w:r>
      <w:r>
        <w:rPr>
          <w:spacing w:val="-3"/>
          <w:sz w:val="24"/>
        </w:rPr>
        <w:t> </w:t>
      </w:r>
      <w:r>
        <w:rPr>
          <w:sz w:val="24"/>
        </w:rPr>
        <w:t>continue</w:t>
      </w:r>
      <w:r>
        <w:rPr>
          <w:spacing w:val="-4"/>
          <w:sz w:val="24"/>
        </w:rPr>
        <w:t> </w:t>
      </w:r>
      <w:r>
        <w:rPr>
          <w:sz w:val="24"/>
        </w:rPr>
        <w:t>maintenance</w:t>
      </w:r>
      <w:r>
        <w:rPr>
          <w:spacing w:val="-3"/>
          <w:sz w:val="24"/>
        </w:rPr>
        <w:t> </w:t>
      </w:r>
      <w:r>
        <w:rPr>
          <w:sz w:val="24"/>
        </w:rPr>
        <w:t>treatment</w:t>
      </w:r>
      <w:r>
        <w:rPr>
          <w:spacing w:val="-4"/>
          <w:sz w:val="24"/>
        </w:rPr>
        <w:t> </w:t>
      </w:r>
      <w:r>
        <w:rPr>
          <w:sz w:val="24"/>
        </w:rPr>
        <w:t>in</w:t>
      </w:r>
      <w:r>
        <w:rPr>
          <w:spacing w:val="-3"/>
          <w:sz w:val="24"/>
        </w:rPr>
        <w:t> </w:t>
      </w:r>
      <w:r>
        <w:rPr>
          <w:sz w:val="24"/>
        </w:rPr>
        <w:t>a</w:t>
      </w:r>
      <w:r>
        <w:rPr>
          <w:spacing w:val="-3"/>
          <w:sz w:val="24"/>
        </w:rPr>
        <w:t> </w:t>
      </w:r>
      <w:r>
        <w:rPr>
          <w:sz w:val="24"/>
        </w:rPr>
        <w:t>community</w:t>
      </w:r>
      <w:r>
        <w:rPr>
          <w:spacing w:val="-2"/>
          <w:sz w:val="24"/>
        </w:rPr>
        <w:t> </w:t>
      </w:r>
      <w:r>
        <w:rPr>
          <w:sz w:val="24"/>
        </w:rPr>
        <w:t>setting.</w:t>
      </w:r>
      <w:r>
        <w:rPr>
          <w:spacing w:val="-3"/>
          <w:sz w:val="24"/>
        </w:rPr>
        <w:t> </w:t>
      </w:r>
      <w:r>
        <w:rPr>
          <w:sz w:val="24"/>
        </w:rPr>
        <w:t>This</w:t>
      </w:r>
      <w:r>
        <w:rPr>
          <w:spacing w:val="-3"/>
          <w:sz w:val="24"/>
        </w:rPr>
        <w:t> </w:t>
      </w:r>
      <w:r>
        <w:rPr>
          <w:sz w:val="24"/>
        </w:rPr>
        <w:t>patient</w:t>
      </w:r>
      <w:r>
        <w:rPr>
          <w:spacing w:val="-3"/>
          <w:sz w:val="24"/>
        </w:rPr>
        <w:t> </w:t>
      </w:r>
      <w:r>
        <w:rPr>
          <w:sz w:val="24"/>
        </w:rPr>
        <w:t>must</w:t>
      </w:r>
      <w:r>
        <w:rPr>
          <w:spacing w:val="-3"/>
          <w:sz w:val="24"/>
        </w:rPr>
        <w:t> </w:t>
      </w:r>
      <w:r>
        <w:rPr>
          <w:sz w:val="24"/>
        </w:rPr>
        <w:t>be</w:t>
      </w:r>
      <w:r>
        <w:rPr>
          <w:spacing w:val="-3"/>
          <w:sz w:val="24"/>
        </w:rPr>
        <w:t> </w:t>
      </w:r>
      <w:r>
        <w:rPr>
          <w:sz w:val="24"/>
        </w:rPr>
        <w:t>directly connected with an OTP provider. As part of the discharge planning process, the referring provider must verify that OTP services are in place, and that the patient has been accepted into the program.</w:t>
      </w:r>
    </w:p>
    <w:p>
      <w:pPr>
        <w:pStyle w:val="BodyText"/>
        <w:spacing w:before="10"/>
        <w:rPr>
          <w:sz w:val="20"/>
        </w:rPr>
      </w:pPr>
    </w:p>
    <w:p>
      <w:pPr>
        <w:pStyle w:val="ListParagraph"/>
        <w:numPr>
          <w:ilvl w:val="0"/>
          <w:numId w:val="3"/>
        </w:numPr>
        <w:tabs>
          <w:tab w:pos="1100" w:val="left" w:leader="none"/>
        </w:tabs>
        <w:spacing w:line="240" w:lineRule="auto" w:before="0" w:after="0"/>
        <w:ind w:left="1100" w:right="635" w:hanging="360"/>
        <w:jc w:val="both"/>
        <w:rPr>
          <w:sz w:val="24"/>
        </w:rPr>
      </w:pPr>
      <w:r>
        <w:rPr>
          <w:sz w:val="24"/>
        </w:rPr>
        <w:t>A</w:t>
      </w:r>
      <w:r>
        <w:rPr>
          <w:spacing w:val="-1"/>
          <w:sz w:val="24"/>
        </w:rPr>
        <w:t> </w:t>
      </w:r>
      <w:r>
        <w:rPr>
          <w:sz w:val="24"/>
        </w:rPr>
        <w:t>resident transitioning</w:t>
      </w:r>
      <w:r>
        <w:rPr>
          <w:spacing w:val="-1"/>
          <w:sz w:val="24"/>
        </w:rPr>
        <w:t> </w:t>
      </w:r>
      <w:r>
        <w:rPr>
          <w:sz w:val="24"/>
        </w:rPr>
        <w:t>out of a residential program seeks to</w:t>
      </w:r>
      <w:r>
        <w:rPr>
          <w:spacing w:val="-1"/>
          <w:sz w:val="24"/>
        </w:rPr>
        <w:t> </w:t>
      </w:r>
      <w:r>
        <w:rPr>
          <w:sz w:val="24"/>
        </w:rPr>
        <w:t>secure a placement in a</w:t>
      </w:r>
      <w:r>
        <w:rPr>
          <w:spacing w:val="-1"/>
          <w:sz w:val="24"/>
        </w:rPr>
        <w:t> </w:t>
      </w:r>
      <w:r>
        <w:rPr>
          <w:sz w:val="24"/>
        </w:rPr>
        <w:t>sober living program. The current provider must educate this resident about their options, such as a sober living home, and provide assistance with the referral process. The resident’s discharge from the residential setting should include detailed plans for the transition to the sober living home and ensure</w:t>
      </w:r>
      <w:r>
        <w:rPr>
          <w:spacing w:val="-2"/>
          <w:sz w:val="24"/>
        </w:rPr>
        <w:t> </w:t>
      </w:r>
      <w:r>
        <w:rPr>
          <w:sz w:val="24"/>
        </w:rPr>
        <w:t>that</w:t>
      </w:r>
      <w:r>
        <w:rPr>
          <w:spacing w:val="-1"/>
          <w:sz w:val="24"/>
        </w:rPr>
        <w:t> </w:t>
      </w:r>
      <w:r>
        <w:rPr>
          <w:sz w:val="24"/>
        </w:rPr>
        <w:t>discharge</w:t>
      </w:r>
      <w:r>
        <w:rPr>
          <w:spacing w:val="-1"/>
          <w:sz w:val="24"/>
        </w:rPr>
        <w:t> </w:t>
      </w:r>
      <w:r>
        <w:rPr>
          <w:sz w:val="24"/>
        </w:rPr>
        <w:t>doesn’t</w:t>
      </w:r>
      <w:r>
        <w:rPr>
          <w:spacing w:val="-2"/>
          <w:sz w:val="24"/>
        </w:rPr>
        <w:t> </w:t>
      </w:r>
      <w:r>
        <w:rPr>
          <w:sz w:val="24"/>
        </w:rPr>
        <w:t>create</w:t>
      </w:r>
      <w:r>
        <w:rPr>
          <w:spacing w:val="-1"/>
          <w:sz w:val="24"/>
        </w:rPr>
        <w:t> </w:t>
      </w:r>
      <w:r>
        <w:rPr>
          <w:sz w:val="24"/>
        </w:rPr>
        <w:t>an</w:t>
      </w:r>
      <w:r>
        <w:rPr>
          <w:spacing w:val="-1"/>
          <w:sz w:val="24"/>
        </w:rPr>
        <w:t> </w:t>
      </w:r>
      <w:r>
        <w:rPr>
          <w:sz w:val="24"/>
        </w:rPr>
        <w:t>unsafe</w:t>
      </w:r>
      <w:r>
        <w:rPr>
          <w:spacing w:val="-2"/>
          <w:sz w:val="24"/>
        </w:rPr>
        <w:t> </w:t>
      </w:r>
      <w:r>
        <w:rPr>
          <w:sz w:val="24"/>
        </w:rPr>
        <w:t>situation</w:t>
      </w:r>
      <w:r>
        <w:rPr>
          <w:spacing w:val="-1"/>
          <w:sz w:val="24"/>
        </w:rPr>
        <w:t> </w:t>
      </w:r>
      <w:r>
        <w:rPr>
          <w:sz w:val="24"/>
        </w:rPr>
        <w:t>for</w:t>
      </w:r>
      <w:r>
        <w:rPr>
          <w:spacing w:val="-2"/>
          <w:sz w:val="24"/>
        </w:rPr>
        <w:t> </w:t>
      </w:r>
      <w:r>
        <w:rPr>
          <w:sz w:val="24"/>
        </w:rPr>
        <w:t>the</w:t>
      </w:r>
      <w:r>
        <w:rPr>
          <w:spacing w:val="-1"/>
          <w:sz w:val="24"/>
        </w:rPr>
        <w:t> </w:t>
      </w:r>
      <w:r>
        <w:rPr>
          <w:sz w:val="24"/>
        </w:rPr>
        <w:t>individual.</w:t>
      </w:r>
      <w:r>
        <w:rPr>
          <w:spacing w:val="-2"/>
          <w:sz w:val="24"/>
        </w:rPr>
        <w:t> </w:t>
      </w:r>
      <w:r>
        <w:rPr>
          <w:sz w:val="24"/>
        </w:rPr>
        <w:t>If</w:t>
      </w:r>
      <w:r>
        <w:rPr>
          <w:spacing w:val="-1"/>
          <w:sz w:val="24"/>
        </w:rPr>
        <w:t> </w:t>
      </w:r>
      <w:r>
        <w:rPr>
          <w:sz w:val="24"/>
        </w:rPr>
        <w:t>a</w:t>
      </w:r>
      <w:r>
        <w:rPr>
          <w:spacing w:val="-2"/>
          <w:sz w:val="24"/>
        </w:rPr>
        <w:t> </w:t>
      </w:r>
      <w:r>
        <w:rPr>
          <w:sz w:val="24"/>
        </w:rPr>
        <w:t>resident</w:t>
      </w:r>
      <w:r>
        <w:rPr>
          <w:spacing w:val="-1"/>
          <w:sz w:val="24"/>
        </w:rPr>
        <w:t> </w:t>
      </w:r>
      <w:r>
        <w:rPr>
          <w:sz w:val="24"/>
        </w:rPr>
        <w:t>chooses</w:t>
      </w:r>
      <w:r>
        <w:rPr>
          <w:spacing w:val="-1"/>
          <w:sz w:val="24"/>
        </w:rPr>
        <w:t> </w:t>
      </w:r>
      <w:r>
        <w:rPr>
          <w:sz w:val="24"/>
        </w:rPr>
        <w:t>to</w:t>
      </w:r>
    </w:p>
    <w:p>
      <w:pPr>
        <w:spacing w:after="0" w:line="240" w:lineRule="auto"/>
        <w:jc w:val="both"/>
        <w:rPr>
          <w:sz w:val="24"/>
        </w:rPr>
        <w:sectPr>
          <w:pgSz w:w="12240" w:h="15840"/>
          <w:pgMar w:top="1360" w:bottom="280" w:left="700" w:right="440"/>
        </w:sectPr>
      </w:pPr>
    </w:p>
    <w:p>
      <w:pPr>
        <w:pStyle w:val="BodyText"/>
        <w:spacing w:before="60"/>
        <w:ind w:left="1100" w:right="697"/>
      </w:pPr>
      <w:r>
        <w:rPr/>
        <w:t>live in an uncertified sober living home, the residential program must document efforts made to refer the resident to a certified sober home.</w:t>
      </w:r>
    </w:p>
    <w:p>
      <w:pPr>
        <w:pStyle w:val="BodyText"/>
        <w:spacing w:before="10"/>
        <w:rPr>
          <w:sz w:val="20"/>
        </w:rPr>
      </w:pPr>
    </w:p>
    <w:p>
      <w:pPr>
        <w:pStyle w:val="Heading1"/>
      </w:pPr>
      <w:r>
        <w:rPr>
          <w:u w:val="single"/>
        </w:rPr>
        <w:t>Lower</w:t>
      </w:r>
      <w:r>
        <w:rPr>
          <w:spacing w:val="-5"/>
          <w:u w:val="single"/>
        </w:rPr>
        <w:t> </w:t>
      </w:r>
      <w:r>
        <w:rPr>
          <w:u w:val="single"/>
        </w:rPr>
        <w:t>Barriers</w:t>
      </w:r>
      <w:r>
        <w:rPr>
          <w:spacing w:val="-4"/>
          <w:u w:val="single"/>
        </w:rPr>
        <w:t> </w:t>
      </w:r>
      <w:r>
        <w:rPr>
          <w:u w:val="single"/>
        </w:rPr>
        <w:t>for</w:t>
      </w:r>
      <w:r>
        <w:rPr>
          <w:spacing w:val="-4"/>
          <w:u w:val="single"/>
        </w:rPr>
        <w:t> </w:t>
      </w:r>
      <w:r>
        <w:rPr>
          <w:u w:val="single"/>
        </w:rPr>
        <w:t>Admission</w:t>
      </w:r>
      <w:r>
        <w:rPr/>
        <w:t>:</w:t>
      </w:r>
      <w:r>
        <w:rPr>
          <w:spacing w:val="-4"/>
        </w:rPr>
        <w:t> </w:t>
      </w:r>
      <w:r>
        <w:rPr/>
        <w:t>Prohibiting</w:t>
      </w:r>
      <w:r>
        <w:rPr>
          <w:spacing w:val="-4"/>
        </w:rPr>
        <w:t> </w:t>
      </w:r>
      <w:r>
        <w:rPr/>
        <w:t>providers</w:t>
      </w:r>
      <w:r>
        <w:rPr>
          <w:spacing w:val="-4"/>
        </w:rPr>
        <w:t> </w:t>
      </w:r>
      <w:r>
        <w:rPr/>
        <w:t>from</w:t>
      </w:r>
      <w:r>
        <w:rPr>
          <w:spacing w:val="-4"/>
        </w:rPr>
        <w:t> </w:t>
      </w:r>
      <w:r>
        <w:rPr/>
        <w:t>automatically</w:t>
      </w:r>
      <w:r>
        <w:rPr>
          <w:spacing w:val="-5"/>
        </w:rPr>
        <w:t> </w:t>
      </w:r>
      <w:r>
        <w:rPr/>
        <w:t>denying</w:t>
      </w:r>
      <w:r>
        <w:rPr>
          <w:spacing w:val="-4"/>
        </w:rPr>
        <w:t> </w:t>
      </w:r>
      <w:r>
        <w:rPr/>
        <w:t>treatment</w:t>
      </w:r>
      <w:r>
        <w:rPr>
          <w:spacing w:val="-4"/>
        </w:rPr>
        <w:t> </w:t>
      </w:r>
      <w:r>
        <w:rPr/>
        <w:t>based upon the primary substance used by the patient, a mental health diagnosis, or any prescription medications required by the patient.</w:t>
      </w:r>
    </w:p>
    <w:p>
      <w:pPr>
        <w:pStyle w:val="ListParagraph"/>
        <w:numPr>
          <w:ilvl w:val="1"/>
          <w:numId w:val="3"/>
        </w:numPr>
        <w:tabs>
          <w:tab w:pos="1099" w:val="left" w:leader="none"/>
          <w:tab w:pos="1100" w:val="left" w:leader="none"/>
        </w:tabs>
        <w:spacing w:line="240" w:lineRule="auto" w:before="0" w:after="0"/>
        <w:ind w:left="1100" w:right="765" w:hanging="360"/>
        <w:jc w:val="left"/>
        <w:rPr>
          <w:sz w:val="24"/>
        </w:rPr>
      </w:pPr>
      <w:r>
        <w:rPr>
          <w:sz w:val="24"/>
        </w:rPr>
        <w:t>Requirements under 105 CMR 164.070 and 164.570 mandate that providers establish written admission</w:t>
      </w:r>
      <w:r>
        <w:rPr>
          <w:spacing w:val="-3"/>
          <w:sz w:val="24"/>
        </w:rPr>
        <w:t> </w:t>
      </w:r>
      <w:r>
        <w:rPr>
          <w:sz w:val="24"/>
        </w:rPr>
        <w:t>eligibility</w:t>
      </w:r>
      <w:r>
        <w:rPr>
          <w:spacing w:val="-4"/>
          <w:sz w:val="24"/>
        </w:rPr>
        <w:t> </w:t>
      </w:r>
      <w:r>
        <w:rPr>
          <w:sz w:val="24"/>
        </w:rPr>
        <w:t>criteria</w:t>
      </w:r>
      <w:r>
        <w:rPr>
          <w:spacing w:val="-4"/>
          <w:sz w:val="24"/>
        </w:rPr>
        <w:t> </w:t>
      </w:r>
      <w:r>
        <w:rPr>
          <w:sz w:val="24"/>
        </w:rPr>
        <w:t>and</w:t>
      </w:r>
      <w:r>
        <w:rPr>
          <w:spacing w:val="-3"/>
          <w:sz w:val="24"/>
        </w:rPr>
        <w:t> </w:t>
      </w:r>
      <w:r>
        <w:rPr>
          <w:sz w:val="24"/>
        </w:rPr>
        <w:t>procedures.</w:t>
      </w:r>
      <w:r>
        <w:rPr>
          <w:spacing w:val="-3"/>
          <w:sz w:val="24"/>
        </w:rPr>
        <w:t> </w:t>
      </w:r>
      <w:r>
        <w:rPr>
          <w:sz w:val="24"/>
        </w:rPr>
        <w:t>These</w:t>
      </w:r>
      <w:r>
        <w:rPr>
          <w:spacing w:val="-3"/>
          <w:sz w:val="24"/>
        </w:rPr>
        <w:t> </w:t>
      </w:r>
      <w:r>
        <w:rPr>
          <w:sz w:val="24"/>
        </w:rPr>
        <w:t>criteria</w:t>
      </w:r>
      <w:r>
        <w:rPr>
          <w:spacing w:val="-3"/>
          <w:sz w:val="24"/>
        </w:rPr>
        <w:t> </w:t>
      </w:r>
      <w:r>
        <w:rPr>
          <w:sz w:val="24"/>
        </w:rPr>
        <w:t>and</w:t>
      </w:r>
      <w:r>
        <w:rPr>
          <w:spacing w:val="-3"/>
          <w:sz w:val="24"/>
        </w:rPr>
        <w:t> </w:t>
      </w:r>
      <w:r>
        <w:rPr>
          <w:sz w:val="24"/>
        </w:rPr>
        <w:t>procedures</w:t>
      </w:r>
      <w:r>
        <w:rPr>
          <w:spacing w:val="-3"/>
          <w:sz w:val="24"/>
        </w:rPr>
        <w:t> </w:t>
      </w:r>
      <w:r>
        <w:rPr>
          <w:sz w:val="24"/>
        </w:rPr>
        <w:t>must</w:t>
      </w:r>
      <w:r>
        <w:rPr>
          <w:spacing w:val="-3"/>
          <w:sz w:val="24"/>
        </w:rPr>
        <w:t> </w:t>
      </w:r>
      <w:r>
        <w:rPr>
          <w:sz w:val="24"/>
        </w:rPr>
        <w:t>not</w:t>
      </w:r>
      <w:r>
        <w:rPr>
          <w:spacing w:val="-3"/>
          <w:sz w:val="24"/>
        </w:rPr>
        <w:t> </w:t>
      </w:r>
      <w:r>
        <w:rPr>
          <w:sz w:val="24"/>
        </w:rPr>
        <w:t>impose</w:t>
      </w:r>
      <w:r>
        <w:rPr>
          <w:spacing w:val="-3"/>
          <w:sz w:val="24"/>
        </w:rPr>
        <w:t> </w:t>
      </w:r>
      <w:r>
        <w:rPr>
          <w:sz w:val="24"/>
        </w:rPr>
        <w:t>any restrictions that act as a barrier to treatment access, such as discrimination against patients and residents with public health insurance.</w:t>
      </w:r>
    </w:p>
    <w:p>
      <w:pPr>
        <w:pStyle w:val="BodyText"/>
        <w:spacing w:before="9"/>
        <w:rPr>
          <w:sz w:val="20"/>
        </w:rPr>
      </w:pPr>
    </w:p>
    <w:p>
      <w:pPr>
        <w:pStyle w:val="ListParagraph"/>
        <w:numPr>
          <w:ilvl w:val="1"/>
          <w:numId w:val="3"/>
        </w:numPr>
        <w:tabs>
          <w:tab w:pos="1099" w:val="left" w:leader="none"/>
          <w:tab w:pos="1100" w:val="left" w:leader="none"/>
        </w:tabs>
        <w:spacing w:line="240" w:lineRule="auto" w:before="0" w:after="0"/>
        <w:ind w:left="1100" w:right="833" w:hanging="360"/>
        <w:jc w:val="left"/>
        <w:rPr>
          <w:sz w:val="24"/>
        </w:rPr>
      </w:pPr>
      <w:r>
        <w:rPr>
          <w:sz w:val="24"/>
        </w:rPr>
        <w:t>Providers are prohibited from creating eligibility criteria that establish a category of automatic exclusion that is defined by a history of criminal conviction, type of primary substance used, mental</w:t>
      </w:r>
      <w:r>
        <w:rPr>
          <w:spacing w:val="-3"/>
          <w:sz w:val="24"/>
        </w:rPr>
        <w:t> </w:t>
      </w:r>
      <w:r>
        <w:rPr>
          <w:sz w:val="24"/>
        </w:rPr>
        <w:t>health</w:t>
      </w:r>
      <w:r>
        <w:rPr>
          <w:spacing w:val="-5"/>
          <w:sz w:val="24"/>
        </w:rPr>
        <w:t> </w:t>
      </w:r>
      <w:r>
        <w:rPr>
          <w:sz w:val="24"/>
        </w:rPr>
        <w:t>diagnosis,</w:t>
      </w:r>
      <w:r>
        <w:rPr>
          <w:spacing w:val="-5"/>
          <w:sz w:val="24"/>
        </w:rPr>
        <w:t> </w:t>
      </w:r>
      <w:r>
        <w:rPr>
          <w:sz w:val="24"/>
        </w:rPr>
        <w:t>or</w:t>
      </w:r>
      <w:r>
        <w:rPr>
          <w:spacing w:val="-4"/>
          <w:sz w:val="24"/>
        </w:rPr>
        <w:t> </w:t>
      </w:r>
      <w:r>
        <w:rPr>
          <w:sz w:val="24"/>
        </w:rPr>
        <w:t>prescribed</w:t>
      </w:r>
      <w:r>
        <w:rPr>
          <w:spacing w:val="-4"/>
          <w:sz w:val="24"/>
        </w:rPr>
        <w:t> </w:t>
      </w:r>
      <w:r>
        <w:rPr>
          <w:sz w:val="24"/>
        </w:rPr>
        <w:t>medication</w:t>
      </w:r>
      <w:r>
        <w:rPr>
          <w:spacing w:val="-3"/>
          <w:sz w:val="24"/>
        </w:rPr>
        <w:t> </w:t>
      </w:r>
      <w:r>
        <w:rPr>
          <w:sz w:val="24"/>
        </w:rPr>
        <w:t>including</w:t>
      </w:r>
      <w:r>
        <w:rPr>
          <w:spacing w:val="-5"/>
          <w:sz w:val="24"/>
        </w:rPr>
        <w:t> </w:t>
      </w:r>
      <w:r>
        <w:rPr>
          <w:sz w:val="24"/>
        </w:rPr>
        <w:t>FDA-approved</w:t>
      </w:r>
      <w:r>
        <w:rPr>
          <w:spacing w:val="-4"/>
          <w:sz w:val="24"/>
        </w:rPr>
        <w:t> </w:t>
      </w:r>
      <w:r>
        <w:rPr>
          <w:sz w:val="24"/>
        </w:rPr>
        <w:t>medications</w:t>
      </w:r>
      <w:r>
        <w:rPr>
          <w:spacing w:val="-4"/>
          <w:sz w:val="24"/>
        </w:rPr>
        <w:t> </w:t>
      </w:r>
      <w:r>
        <w:rPr>
          <w:sz w:val="24"/>
        </w:rPr>
        <w:t>for</w:t>
      </w:r>
      <w:r>
        <w:rPr>
          <w:spacing w:val="-4"/>
          <w:sz w:val="24"/>
        </w:rPr>
        <w:t> </w:t>
      </w:r>
      <w:r>
        <w:rPr>
          <w:sz w:val="24"/>
        </w:rPr>
        <w:t>the treatment of addiction.</w:t>
      </w:r>
    </w:p>
    <w:p>
      <w:pPr>
        <w:pStyle w:val="BodyText"/>
        <w:spacing w:before="9"/>
        <w:rPr>
          <w:sz w:val="20"/>
        </w:rPr>
      </w:pPr>
    </w:p>
    <w:p>
      <w:pPr>
        <w:pStyle w:val="ListParagraph"/>
        <w:numPr>
          <w:ilvl w:val="1"/>
          <w:numId w:val="3"/>
        </w:numPr>
        <w:tabs>
          <w:tab w:pos="1099" w:val="left" w:leader="none"/>
          <w:tab w:pos="1100" w:val="left" w:leader="none"/>
        </w:tabs>
        <w:spacing w:line="240" w:lineRule="auto" w:before="0" w:after="0"/>
        <w:ind w:left="1100" w:right="1293" w:hanging="360"/>
        <w:jc w:val="left"/>
        <w:rPr>
          <w:sz w:val="24"/>
        </w:rPr>
      </w:pPr>
      <w:r>
        <w:rPr>
          <w:sz w:val="24"/>
        </w:rPr>
        <w:t>Providers</w:t>
      </w:r>
      <w:r>
        <w:rPr>
          <w:spacing w:val="-4"/>
          <w:sz w:val="24"/>
        </w:rPr>
        <w:t> </w:t>
      </w:r>
      <w:r>
        <w:rPr>
          <w:sz w:val="24"/>
        </w:rPr>
        <w:t>are</w:t>
      </w:r>
      <w:r>
        <w:rPr>
          <w:spacing w:val="-4"/>
          <w:sz w:val="24"/>
        </w:rPr>
        <w:t> </w:t>
      </w:r>
      <w:r>
        <w:rPr>
          <w:sz w:val="24"/>
        </w:rPr>
        <w:t>further</w:t>
      </w:r>
      <w:r>
        <w:rPr>
          <w:spacing w:val="-3"/>
          <w:sz w:val="24"/>
        </w:rPr>
        <w:t> </w:t>
      </w:r>
      <w:r>
        <w:rPr>
          <w:sz w:val="24"/>
        </w:rPr>
        <w:t>prohibited</w:t>
      </w:r>
      <w:r>
        <w:rPr>
          <w:spacing w:val="-4"/>
          <w:sz w:val="24"/>
        </w:rPr>
        <w:t> </w:t>
      </w:r>
      <w:r>
        <w:rPr>
          <w:sz w:val="24"/>
        </w:rPr>
        <w:t>from</w:t>
      </w:r>
      <w:r>
        <w:rPr>
          <w:spacing w:val="-4"/>
          <w:sz w:val="24"/>
        </w:rPr>
        <w:t> </w:t>
      </w:r>
      <w:r>
        <w:rPr>
          <w:sz w:val="24"/>
        </w:rPr>
        <w:t>establishing</w:t>
      </w:r>
      <w:r>
        <w:rPr>
          <w:spacing w:val="-3"/>
          <w:sz w:val="24"/>
        </w:rPr>
        <w:t> </w:t>
      </w:r>
      <w:r>
        <w:rPr>
          <w:sz w:val="24"/>
        </w:rPr>
        <w:t>admission</w:t>
      </w:r>
      <w:r>
        <w:rPr>
          <w:spacing w:val="-3"/>
          <w:sz w:val="24"/>
        </w:rPr>
        <w:t> </w:t>
      </w:r>
      <w:r>
        <w:rPr>
          <w:sz w:val="24"/>
        </w:rPr>
        <w:t>criteria</w:t>
      </w:r>
      <w:r>
        <w:rPr>
          <w:spacing w:val="-3"/>
          <w:sz w:val="24"/>
        </w:rPr>
        <w:t> </w:t>
      </w:r>
      <w:r>
        <w:rPr>
          <w:sz w:val="24"/>
        </w:rPr>
        <w:t>that</w:t>
      </w:r>
      <w:r>
        <w:rPr>
          <w:spacing w:val="-3"/>
          <w:sz w:val="24"/>
        </w:rPr>
        <w:t> </w:t>
      </w:r>
      <w:r>
        <w:rPr>
          <w:sz w:val="24"/>
        </w:rPr>
        <w:t>create</w:t>
      </w:r>
      <w:r>
        <w:rPr>
          <w:spacing w:val="-4"/>
          <w:sz w:val="24"/>
        </w:rPr>
        <w:t> </w:t>
      </w:r>
      <w:r>
        <w:rPr>
          <w:sz w:val="24"/>
        </w:rPr>
        <w:t>a</w:t>
      </w:r>
      <w:r>
        <w:rPr>
          <w:spacing w:val="-3"/>
          <w:sz w:val="24"/>
        </w:rPr>
        <w:t> </w:t>
      </w:r>
      <w:r>
        <w:rPr>
          <w:sz w:val="24"/>
        </w:rPr>
        <w:t>barrier</w:t>
      </w:r>
      <w:r>
        <w:rPr>
          <w:spacing w:val="-3"/>
          <w:sz w:val="24"/>
        </w:rPr>
        <w:t> </w:t>
      </w:r>
      <w:r>
        <w:rPr>
          <w:sz w:val="24"/>
        </w:rPr>
        <w:t>to access, such as requirements for a certain number of medication refills, prohibition of any prescribed medication, or the lack of an official identification documentation.</w:t>
      </w:r>
    </w:p>
    <w:p>
      <w:pPr>
        <w:pStyle w:val="BodyText"/>
        <w:spacing w:before="10"/>
        <w:rPr>
          <w:sz w:val="20"/>
        </w:rPr>
      </w:pPr>
    </w:p>
    <w:p>
      <w:pPr>
        <w:spacing w:before="0"/>
        <w:ind w:left="380" w:right="0" w:firstLine="0"/>
        <w:jc w:val="left"/>
        <w:rPr>
          <w:i/>
          <w:sz w:val="24"/>
        </w:rPr>
      </w:pPr>
      <w:r>
        <w:rPr>
          <w:i/>
          <w:sz w:val="24"/>
        </w:rPr>
        <w:t>Examples</w:t>
      </w:r>
      <w:r>
        <w:rPr>
          <w:i/>
          <w:spacing w:val="-8"/>
          <w:sz w:val="24"/>
        </w:rPr>
        <w:t> </w:t>
      </w:r>
      <w:r>
        <w:rPr>
          <w:i/>
          <w:sz w:val="24"/>
        </w:rPr>
        <w:t>of</w:t>
      </w:r>
      <w:r>
        <w:rPr>
          <w:i/>
          <w:spacing w:val="-7"/>
          <w:sz w:val="24"/>
        </w:rPr>
        <w:t> </w:t>
      </w:r>
      <w:r>
        <w:rPr>
          <w:i/>
          <w:sz w:val="24"/>
        </w:rPr>
        <w:t>this</w:t>
      </w:r>
      <w:r>
        <w:rPr>
          <w:i/>
          <w:spacing w:val="-7"/>
          <w:sz w:val="24"/>
        </w:rPr>
        <w:t> </w:t>
      </w:r>
      <w:r>
        <w:rPr>
          <w:i/>
          <w:sz w:val="24"/>
        </w:rPr>
        <w:t>requirement</w:t>
      </w:r>
      <w:r>
        <w:rPr>
          <w:i/>
          <w:spacing w:val="-7"/>
          <w:sz w:val="24"/>
        </w:rPr>
        <w:t> </w:t>
      </w:r>
      <w:r>
        <w:rPr>
          <w:i/>
          <w:spacing w:val="-2"/>
          <w:sz w:val="24"/>
        </w:rPr>
        <w:t>include:</w:t>
      </w:r>
    </w:p>
    <w:p>
      <w:pPr>
        <w:pStyle w:val="BodyText"/>
        <w:spacing w:before="10"/>
        <w:rPr>
          <w:i/>
          <w:sz w:val="20"/>
        </w:rPr>
      </w:pPr>
    </w:p>
    <w:p>
      <w:pPr>
        <w:pStyle w:val="ListParagraph"/>
        <w:numPr>
          <w:ilvl w:val="0"/>
          <w:numId w:val="4"/>
        </w:numPr>
        <w:tabs>
          <w:tab w:pos="1100" w:val="left" w:leader="none"/>
        </w:tabs>
        <w:spacing w:line="240" w:lineRule="auto" w:before="0" w:after="0"/>
        <w:ind w:left="1100" w:right="678" w:hanging="360"/>
        <w:jc w:val="left"/>
        <w:rPr>
          <w:sz w:val="24"/>
        </w:rPr>
      </w:pPr>
      <w:r>
        <w:rPr>
          <w:sz w:val="24"/>
        </w:rPr>
        <w:t>An</w:t>
      </w:r>
      <w:r>
        <w:rPr>
          <w:spacing w:val="-3"/>
          <w:sz w:val="24"/>
        </w:rPr>
        <w:t> </w:t>
      </w:r>
      <w:r>
        <w:rPr>
          <w:sz w:val="24"/>
        </w:rPr>
        <w:t>individual</w:t>
      </w:r>
      <w:r>
        <w:rPr>
          <w:spacing w:val="-2"/>
          <w:sz w:val="24"/>
        </w:rPr>
        <w:t> </w:t>
      </w:r>
      <w:r>
        <w:rPr>
          <w:sz w:val="24"/>
        </w:rPr>
        <w:t>seeking</w:t>
      </w:r>
      <w:r>
        <w:rPr>
          <w:spacing w:val="-3"/>
          <w:sz w:val="24"/>
        </w:rPr>
        <w:t> </w:t>
      </w:r>
      <w:r>
        <w:rPr>
          <w:sz w:val="24"/>
        </w:rPr>
        <w:t>admission</w:t>
      </w:r>
      <w:r>
        <w:rPr>
          <w:spacing w:val="-3"/>
          <w:sz w:val="24"/>
        </w:rPr>
        <w:t> </w:t>
      </w:r>
      <w:r>
        <w:rPr>
          <w:sz w:val="24"/>
        </w:rPr>
        <w:t>to</w:t>
      </w:r>
      <w:r>
        <w:rPr>
          <w:spacing w:val="-5"/>
          <w:sz w:val="24"/>
        </w:rPr>
        <w:t> </w:t>
      </w:r>
      <w:r>
        <w:rPr>
          <w:sz w:val="24"/>
        </w:rPr>
        <w:t>a</w:t>
      </w:r>
      <w:r>
        <w:rPr>
          <w:spacing w:val="-3"/>
          <w:sz w:val="24"/>
        </w:rPr>
        <w:t> </w:t>
      </w:r>
      <w:r>
        <w:rPr>
          <w:sz w:val="24"/>
        </w:rPr>
        <w:t>residential</w:t>
      </w:r>
      <w:r>
        <w:rPr>
          <w:spacing w:val="-3"/>
          <w:sz w:val="24"/>
        </w:rPr>
        <w:t> </w:t>
      </w:r>
      <w:r>
        <w:rPr>
          <w:sz w:val="24"/>
        </w:rPr>
        <w:t>setting</w:t>
      </w:r>
      <w:r>
        <w:rPr>
          <w:spacing w:val="-3"/>
          <w:sz w:val="24"/>
        </w:rPr>
        <w:t> </w:t>
      </w:r>
      <w:r>
        <w:rPr>
          <w:sz w:val="24"/>
        </w:rPr>
        <w:t>cannot</w:t>
      </w:r>
      <w:r>
        <w:rPr>
          <w:spacing w:val="-3"/>
          <w:sz w:val="24"/>
        </w:rPr>
        <w:t> </w:t>
      </w:r>
      <w:r>
        <w:rPr>
          <w:sz w:val="24"/>
        </w:rPr>
        <w:t>be</w:t>
      </w:r>
      <w:r>
        <w:rPr>
          <w:spacing w:val="-3"/>
          <w:sz w:val="24"/>
        </w:rPr>
        <w:t> </w:t>
      </w:r>
      <w:r>
        <w:rPr>
          <w:sz w:val="24"/>
        </w:rPr>
        <w:t>required</w:t>
      </w:r>
      <w:r>
        <w:rPr>
          <w:spacing w:val="-3"/>
          <w:sz w:val="24"/>
        </w:rPr>
        <w:t> </w:t>
      </w:r>
      <w:r>
        <w:rPr>
          <w:sz w:val="24"/>
        </w:rPr>
        <w:t>to</w:t>
      </w:r>
      <w:r>
        <w:rPr>
          <w:spacing w:val="-3"/>
          <w:sz w:val="24"/>
        </w:rPr>
        <w:t> </w:t>
      </w:r>
      <w:r>
        <w:rPr>
          <w:sz w:val="24"/>
        </w:rPr>
        <w:t>have</w:t>
      </w:r>
      <w:r>
        <w:rPr>
          <w:spacing w:val="-3"/>
          <w:sz w:val="24"/>
        </w:rPr>
        <w:t> </w:t>
      </w:r>
      <w:r>
        <w:rPr>
          <w:sz w:val="24"/>
        </w:rPr>
        <w:t>three</w:t>
      </w:r>
      <w:r>
        <w:rPr>
          <w:spacing w:val="-4"/>
          <w:sz w:val="24"/>
        </w:rPr>
        <w:t> </w:t>
      </w:r>
      <w:r>
        <w:rPr>
          <w:sz w:val="24"/>
        </w:rPr>
        <w:t>months’ worth of their prescribed medication prior to admission. Providers will work with individuals as needed to assist with the process of refilling medication after or during the admission process. Individuals may need to be connected with new practitioners to continue any medication treatment. The provider must directly connect that individual to any needed services while receiving treatment in the residential setting.</w:t>
      </w:r>
    </w:p>
    <w:p>
      <w:pPr>
        <w:pStyle w:val="BodyText"/>
        <w:spacing w:before="11"/>
        <w:rPr>
          <w:sz w:val="20"/>
        </w:rPr>
      </w:pPr>
    </w:p>
    <w:p>
      <w:pPr>
        <w:pStyle w:val="ListParagraph"/>
        <w:numPr>
          <w:ilvl w:val="0"/>
          <w:numId w:val="4"/>
        </w:numPr>
        <w:tabs>
          <w:tab w:pos="1100" w:val="left" w:leader="none"/>
        </w:tabs>
        <w:spacing w:line="240" w:lineRule="auto" w:before="0" w:after="0"/>
        <w:ind w:left="1100" w:right="938" w:hanging="360"/>
        <w:jc w:val="left"/>
        <w:rPr>
          <w:sz w:val="24"/>
        </w:rPr>
      </w:pPr>
      <w:r>
        <w:rPr>
          <w:sz w:val="24"/>
        </w:rPr>
        <w:t>An</w:t>
      </w:r>
      <w:r>
        <w:rPr>
          <w:spacing w:val="-3"/>
          <w:sz w:val="24"/>
        </w:rPr>
        <w:t> </w:t>
      </w:r>
      <w:r>
        <w:rPr>
          <w:sz w:val="24"/>
        </w:rPr>
        <w:t>individual</w:t>
      </w:r>
      <w:r>
        <w:rPr>
          <w:spacing w:val="-2"/>
          <w:sz w:val="24"/>
        </w:rPr>
        <w:t> </w:t>
      </w:r>
      <w:r>
        <w:rPr>
          <w:sz w:val="24"/>
        </w:rPr>
        <w:t>presenting</w:t>
      </w:r>
      <w:r>
        <w:rPr>
          <w:spacing w:val="-3"/>
          <w:sz w:val="24"/>
        </w:rPr>
        <w:t> </w:t>
      </w:r>
      <w:r>
        <w:rPr>
          <w:sz w:val="24"/>
        </w:rPr>
        <w:t>for</w:t>
      </w:r>
      <w:r>
        <w:rPr>
          <w:spacing w:val="-3"/>
          <w:sz w:val="24"/>
        </w:rPr>
        <w:t> </w:t>
      </w:r>
      <w:r>
        <w:rPr>
          <w:sz w:val="24"/>
        </w:rPr>
        <w:t>admission</w:t>
      </w:r>
      <w:r>
        <w:rPr>
          <w:spacing w:val="-3"/>
          <w:sz w:val="24"/>
        </w:rPr>
        <w:t> </w:t>
      </w:r>
      <w:r>
        <w:rPr>
          <w:sz w:val="24"/>
        </w:rPr>
        <w:t>does</w:t>
      </w:r>
      <w:r>
        <w:rPr>
          <w:spacing w:val="-3"/>
          <w:sz w:val="24"/>
        </w:rPr>
        <w:t> </w:t>
      </w:r>
      <w:r>
        <w:rPr>
          <w:sz w:val="24"/>
        </w:rPr>
        <w:t>not</w:t>
      </w:r>
      <w:r>
        <w:rPr>
          <w:spacing w:val="-4"/>
          <w:sz w:val="24"/>
        </w:rPr>
        <w:t> </w:t>
      </w:r>
      <w:r>
        <w:rPr>
          <w:sz w:val="24"/>
        </w:rPr>
        <w:t>possess</w:t>
      </w:r>
      <w:r>
        <w:rPr>
          <w:spacing w:val="-3"/>
          <w:sz w:val="24"/>
        </w:rPr>
        <w:t> </w:t>
      </w:r>
      <w:r>
        <w:rPr>
          <w:sz w:val="24"/>
        </w:rPr>
        <w:t>a</w:t>
      </w:r>
      <w:r>
        <w:rPr>
          <w:spacing w:val="-3"/>
          <w:sz w:val="24"/>
        </w:rPr>
        <w:t> </w:t>
      </w:r>
      <w:r>
        <w:rPr>
          <w:sz w:val="24"/>
        </w:rPr>
        <w:t>state-issued</w:t>
      </w:r>
      <w:r>
        <w:rPr>
          <w:spacing w:val="-4"/>
          <w:sz w:val="24"/>
        </w:rPr>
        <w:t> </w:t>
      </w:r>
      <w:r>
        <w:rPr>
          <w:sz w:val="24"/>
        </w:rPr>
        <w:t>identification</w:t>
      </w:r>
      <w:r>
        <w:rPr>
          <w:spacing w:val="-4"/>
          <w:sz w:val="24"/>
        </w:rPr>
        <w:t> </w:t>
      </w:r>
      <w:r>
        <w:rPr>
          <w:sz w:val="24"/>
        </w:rPr>
        <w:t>card.</w:t>
      </w:r>
      <w:r>
        <w:rPr>
          <w:spacing w:val="-3"/>
          <w:sz w:val="24"/>
        </w:rPr>
        <w:t> </w:t>
      </w:r>
      <w:r>
        <w:rPr>
          <w:sz w:val="24"/>
        </w:rPr>
        <w:t>The provider must work with the individual to ensure access to treatment while also assisting the individual to secure official identification.</w:t>
      </w:r>
    </w:p>
    <w:p>
      <w:pPr>
        <w:pStyle w:val="BodyText"/>
        <w:rPr>
          <w:sz w:val="26"/>
        </w:rPr>
      </w:pPr>
    </w:p>
    <w:p>
      <w:pPr>
        <w:spacing w:before="217"/>
        <w:ind w:left="380" w:right="0" w:firstLine="0"/>
        <w:jc w:val="left"/>
        <w:rPr>
          <w:b/>
          <w:sz w:val="24"/>
        </w:rPr>
      </w:pPr>
      <w:r>
        <w:rPr>
          <w:b/>
          <w:spacing w:val="-2"/>
          <w:sz w:val="24"/>
          <w:u w:val="single"/>
        </w:rPr>
        <w:t>Resources</w:t>
      </w:r>
    </w:p>
    <w:p>
      <w:pPr>
        <w:pStyle w:val="BodyText"/>
        <w:spacing w:before="1"/>
        <w:rPr>
          <w:b/>
          <w:sz w:val="16"/>
        </w:rPr>
      </w:pPr>
    </w:p>
    <w:p>
      <w:pPr>
        <w:pStyle w:val="BodyText"/>
        <w:spacing w:before="90"/>
        <w:ind w:left="380"/>
      </w:pPr>
      <w:hyperlink r:id="rId9">
        <w:r>
          <w:rPr>
            <w:color w:val="0000FF"/>
            <w:u w:val="single" w:color="0000FF"/>
          </w:rPr>
          <w:t>Practical</w:t>
        </w:r>
        <w:r>
          <w:rPr>
            <w:color w:val="0000FF"/>
            <w:spacing w:val="-11"/>
            <w:u w:val="single" w:color="0000FF"/>
          </w:rPr>
          <w:t> </w:t>
        </w:r>
        <w:r>
          <w:rPr>
            <w:color w:val="0000FF"/>
            <w:u w:val="single" w:color="0000FF"/>
          </w:rPr>
          <w:t>Guidance:</w:t>
        </w:r>
        <w:r>
          <w:rPr>
            <w:color w:val="0000FF"/>
            <w:spacing w:val="-11"/>
            <w:u w:val="single" w:color="0000FF"/>
          </w:rPr>
          <w:t> </w:t>
        </w:r>
        <w:r>
          <w:rPr>
            <w:color w:val="0000FF"/>
            <w:u w:val="single" w:color="0000FF"/>
          </w:rPr>
          <w:t>Integrating</w:t>
        </w:r>
        <w:r>
          <w:rPr>
            <w:color w:val="0000FF"/>
            <w:spacing w:val="-10"/>
            <w:u w:val="single" w:color="0000FF"/>
          </w:rPr>
          <w:t> </w:t>
        </w:r>
        <w:r>
          <w:rPr>
            <w:color w:val="0000FF"/>
            <w:u w:val="single" w:color="0000FF"/>
          </w:rPr>
          <w:t>Medication</w:t>
        </w:r>
        <w:r>
          <w:rPr>
            <w:color w:val="0000FF"/>
            <w:spacing w:val="-11"/>
            <w:u w:val="single" w:color="0000FF"/>
          </w:rPr>
          <w:t> </w:t>
        </w:r>
        <w:r>
          <w:rPr>
            <w:color w:val="0000FF"/>
            <w:u w:val="single" w:color="0000FF"/>
          </w:rPr>
          <w:t>in</w:t>
        </w:r>
        <w:r>
          <w:rPr>
            <w:color w:val="0000FF"/>
            <w:spacing w:val="-11"/>
            <w:u w:val="single" w:color="0000FF"/>
          </w:rPr>
          <w:t> </w:t>
        </w:r>
        <w:r>
          <w:rPr>
            <w:color w:val="0000FF"/>
            <w:u w:val="single" w:color="0000FF"/>
          </w:rPr>
          <w:t>Behavioral</w:t>
        </w:r>
        <w:r>
          <w:rPr>
            <w:color w:val="0000FF"/>
            <w:spacing w:val="-10"/>
            <w:u w:val="single" w:color="0000FF"/>
          </w:rPr>
          <w:t> </w:t>
        </w:r>
        <w:r>
          <w:rPr>
            <w:color w:val="0000FF"/>
            <w:spacing w:val="-2"/>
            <w:u w:val="single" w:color="0000FF"/>
          </w:rPr>
          <w:t>Treatment</w:t>
        </w:r>
      </w:hyperlink>
    </w:p>
    <w:p>
      <w:pPr>
        <w:pStyle w:val="BodyText"/>
        <w:spacing w:before="2"/>
        <w:rPr>
          <w:sz w:val="16"/>
        </w:rPr>
      </w:pPr>
    </w:p>
    <w:p>
      <w:pPr>
        <w:pStyle w:val="BodyText"/>
        <w:spacing w:before="90"/>
        <w:ind w:left="380"/>
      </w:pPr>
      <w:hyperlink r:id="rId10">
        <w:r>
          <w:rPr>
            <w:color w:val="0000FF"/>
            <w:u w:val="single" w:color="0000FF"/>
          </w:rPr>
          <w:t>Practice</w:t>
        </w:r>
        <w:r>
          <w:rPr>
            <w:color w:val="0000FF"/>
            <w:spacing w:val="-8"/>
            <w:u w:val="single" w:color="0000FF"/>
          </w:rPr>
          <w:t> </w:t>
        </w:r>
        <w:r>
          <w:rPr>
            <w:color w:val="0000FF"/>
            <w:u w:val="single" w:color="0000FF"/>
          </w:rPr>
          <w:t>Guidance:</w:t>
        </w:r>
        <w:r>
          <w:rPr>
            <w:color w:val="0000FF"/>
            <w:spacing w:val="-8"/>
            <w:u w:val="single" w:color="0000FF"/>
          </w:rPr>
          <w:t> </w:t>
        </w:r>
        <w:r>
          <w:rPr>
            <w:color w:val="0000FF"/>
            <w:u w:val="single" w:color="0000FF"/>
          </w:rPr>
          <w:t>Ensuring</w:t>
        </w:r>
        <w:r>
          <w:rPr>
            <w:color w:val="0000FF"/>
            <w:spacing w:val="-7"/>
            <w:u w:val="single" w:color="0000FF"/>
          </w:rPr>
          <w:t> </w:t>
        </w:r>
        <w:r>
          <w:rPr>
            <w:color w:val="0000FF"/>
            <w:u w:val="single" w:color="0000FF"/>
          </w:rPr>
          <w:t>Effective</w:t>
        </w:r>
        <w:r>
          <w:rPr>
            <w:color w:val="0000FF"/>
            <w:spacing w:val="-8"/>
            <w:u w:val="single" w:color="0000FF"/>
          </w:rPr>
          <w:t> </w:t>
        </w:r>
        <w:r>
          <w:rPr>
            <w:color w:val="0000FF"/>
            <w:u w:val="single" w:color="0000FF"/>
          </w:rPr>
          <w:t>Treatment</w:t>
        </w:r>
        <w:r>
          <w:rPr>
            <w:color w:val="0000FF"/>
            <w:spacing w:val="-7"/>
            <w:u w:val="single" w:color="0000FF"/>
          </w:rPr>
          <w:t> </w:t>
        </w:r>
        <w:r>
          <w:rPr>
            <w:color w:val="0000FF"/>
            <w:u w:val="single" w:color="0000FF"/>
          </w:rPr>
          <w:t>for</w:t>
        </w:r>
        <w:r>
          <w:rPr>
            <w:color w:val="0000FF"/>
            <w:spacing w:val="-8"/>
            <w:u w:val="single" w:color="0000FF"/>
          </w:rPr>
          <w:t> </w:t>
        </w:r>
        <w:r>
          <w:rPr>
            <w:color w:val="0000FF"/>
            <w:u w:val="single" w:color="0000FF"/>
          </w:rPr>
          <w:t>Persons</w:t>
        </w:r>
        <w:r>
          <w:rPr>
            <w:color w:val="0000FF"/>
            <w:spacing w:val="-7"/>
            <w:u w:val="single" w:color="0000FF"/>
          </w:rPr>
          <w:t> </w:t>
        </w:r>
        <w:r>
          <w:rPr>
            <w:color w:val="0000FF"/>
            <w:u w:val="single" w:color="0000FF"/>
          </w:rPr>
          <w:t>with</w:t>
        </w:r>
        <w:r>
          <w:rPr>
            <w:color w:val="0000FF"/>
            <w:spacing w:val="-7"/>
            <w:u w:val="single" w:color="0000FF"/>
          </w:rPr>
          <w:t> </w:t>
        </w:r>
        <w:r>
          <w:rPr>
            <w:color w:val="0000FF"/>
            <w:u w:val="single" w:color="0000FF"/>
          </w:rPr>
          <w:t>Co-Occurring</w:t>
        </w:r>
        <w:r>
          <w:rPr>
            <w:color w:val="0000FF"/>
            <w:spacing w:val="-7"/>
            <w:u w:val="single" w:color="0000FF"/>
          </w:rPr>
          <w:t> </w:t>
        </w:r>
        <w:r>
          <w:rPr>
            <w:color w:val="0000FF"/>
            <w:spacing w:val="-2"/>
            <w:u w:val="single" w:color="0000FF"/>
          </w:rPr>
          <w:t>Disorders</w:t>
        </w:r>
      </w:hyperlink>
    </w:p>
    <w:p>
      <w:pPr>
        <w:pStyle w:val="BodyText"/>
        <w:spacing w:before="2"/>
        <w:rPr>
          <w:sz w:val="16"/>
        </w:rPr>
      </w:pPr>
    </w:p>
    <w:p>
      <w:pPr>
        <w:pStyle w:val="BodyText"/>
        <w:spacing w:line="448" w:lineRule="auto" w:before="90"/>
        <w:ind w:left="380" w:right="4189"/>
      </w:pPr>
      <w:hyperlink r:id="rId11">
        <w:r>
          <w:rPr>
            <w:color w:val="0000FF"/>
            <w:u w:val="single" w:color="0000FF"/>
          </w:rPr>
          <w:t>Practice</w:t>
        </w:r>
        <w:r>
          <w:rPr>
            <w:color w:val="0000FF"/>
            <w:spacing w:val="-8"/>
            <w:u w:val="single" w:color="0000FF"/>
          </w:rPr>
          <w:t> </w:t>
        </w:r>
        <w:r>
          <w:rPr>
            <w:color w:val="0000FF"/>
            <w:u w:val="single" w:color="0000FF"/>
          </w:rPr>
          <w:t>Guidance:</w:t>
        </w:r>
        <w:r>
          <w:rPr>
            <w:color w:val="0000FF"/>
            <w:spacing w:val="-8"/>
            <w:u w:val="single" w:color="0000FF"/>
          </w:rPr>
          <w:t> </w:t>
        </w:r>
        <w:r>
          <w:rPr>
            <w:color w:val="0000FF"/>
            <w:u w:val="single" w:color="0000FF"/>
          </w:rPr>
          <w:t>Making</w:t>
        </w:r>
        <w:r>
          <w:rPr>
            <w:color w:val="0000FF"/>
            <w:spacing w:val="-8"/>
            <w:u w:val="single" w:color="0000FF"/>
          </w:rPr>
          <w:t> </w:t>
        </w:r>
        <w:r>
          <w:rPr>
            <w:color w:val="0000FF"/>
            <w:u w:val="single" w:color="0000FF"/>
          </w:rPr>
          <w:t>Treatment</w:t>
        </w:r>
        <w:r>
          <w:rPr>
            <w:color w:val="0000FF"/>
            <w:spacing w:val="-8"/>
            <w:u w:val="single" w:color="0000FF"/>
          </w:rPr>
          <w:t> </w:t>
        </w:r>
        <w:r>
          <w:rPr>
            <w:color w:val="0000FF"/>
            <w:u w:val="single" w:color="0000FF"/>
          </w:rPr>
          <w:t>Culturally</w:t>
        </w:r>
        <w:r>
          <w:rPr>
            <w:color w:val="0000FF"/>
            <w:spacing w:val="-9"/>
            <w:u w:val="single" w:color="0000FF"/>
          </w:rPr>
          <w:t> </w:t>
        </w:r>
        <w:r>
          <w:rPr>
            <w:color w:val="0000FF"/>
            <w:u w:val="single" w:color="0000FF"/>
          </w:rPr>
          <w:t>Competent</w:t>
        </w:r>
      </w:hyperlink>
      <w:r>
        <w:rPr>
          <w:color w:val="0000FF"/>
        </w:rPr>
        <w:t> </w:t>
      </w:r>
      <w:hyperlink r:id="rId12">
        <w:r>
          <w:rPr>
            <w:color w:val="0000FF"/>
            <w:u w:val="single" w:color="0000FF"/>
          </w:rPr>
          <w:t>Practice Guidance: Responding to Relapse</w:t>
        </w:r>
      </w:hyperlink>
    </w:p>
    <w:sectPr>
      <w:pgSz w:w="12240" w:h="15840"/>
      <w:pgMar w:top="1380" w:bottom="280" w:left="7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Arial Rounded MT Bold">
    <w:altName w:val="Arial Rounded MT Bold"/>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0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100" w:hanging="360"/>
      </w:pPr>
      <w:rPr>
        <w:rFonts w:hint="default" w:ascii="Symbol" w:hAnsi="Symbol" w:eastAsia="Symbol" w:cs="Symbol"/>
        <w:b w:val="0"/>
        <w:bCs w:val="0"/>
        <w:i w:val="0"/>
        <w:iCs w:val="0"/>
        <w:w w:val="100"/>
        <w:sz w:val="24"/>
        <w:szCs w:val="24"/>
        <w:lang w:val="en-US" w:eastAsia="en-US" w:bidi="ar-SA"/>
      </w:rPr>
    </w:lvl>
    <w:lvl w:ilvl="2">
      <w:start w:val="0"/>
      <w:numFmt w:val="bullet"/>
      <w:lvlText w:val="•"/>
      <w:lvlJc w:val="left"/>
      <w:pPr>
        <w:ind w:left="3100" w:hanging="360"/>
      </w:pPr>
      <w:rPr>
        <w:rFonts w:hint="default"/>
        <w:lang w:val="en-US" w:eastAsia="en-US" w:bidi="ar-SA"/>
      </w:rPr>
    </w:lvl>
    <w:lvl w:ilvl="3">
      <w:start w:val="0"/>
      <w:numFmt w:val="bullet"/>
      <w:lvlText w:val="•"/>
      <w:lvlJc w:val="left"/>
      <w:pPr>
        <w:ind w:left="410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6100" w:hanging="360"/>
      </w:pPr>
      <w:rPr>
        <w:rFonts w:hint="default"/>
        <w:lang w:val="en-US" w:eastAsia="en-US" w:bidi="ar-SA"/>
      </w:rPr>
    </w:lvl>
    <w:lvl w:ilvl="6">
      <w:start w:val="0"/>
      <w:numFmt w:val="bullet"/>
      <w:lvlText w:val="•"/>
      <w:lvlJc w:val="left"/>
      <w:pPr>
        <w:ind w:left="7100" w:hanging="360"/>
      </w:pPr>
      <w:rPr>
        <w:rFonts w:hint="default"/>
        <w:lang w:val="en-US" w:eastAsia="en-US" w:bidi="ar-SA"/>
      </w:rPr>
    </w:lvl>
    <w:lvl w:ilvl="7">
      <w:start w:val="0"/>
      <w:numFmt w:val="bullet"/>
      <w:lvlText w:val="•"/>
      <w:lvlJc w:val="left"/>
      <w:pPr>
        <w:ind w:left="8100" w:hanging="360"/>
      </w:pPr>
      <w:rPr>
        <w:rFonts w:hint="default"/>
        <w:lang w:val="en-US" w:eastAsia="en-US" w:bidi="ar-SA"/>
      </w:rPr>
    </w:lvl>
    <w:lvl w:ilvl="8">
      <w:start w:val="0"/>
      <w:numFmt w:val="bullet"/>
      <w:lvlText w:val="•"/>
      <w:lvlJc w:val="left"/>
      <w:pPr>
        <w:ind w:left="9100" w:hanging="360"/>
      </w:pPr>
      <w:rPr>
        <w:rFonts w:hint="default"/>
        <w:lang w:val="en-US" w:eastAsia="en-US" w:bidi="ar-SA"/>
      </w:rPr>
    </w:lvl>
  </w:abstractNum>
  <w:abstractNum w:abstractNumId="3">
    <w:multiLevelType w:val="hybridMultilevel"/>
    <w:lvl w:ilvl="0">
      <w:start w:val="1"/>
      <w:numFmt w:val="decimal"/>
      <w:lvlText w:val="%1."/>
      <w:lvlJc w:val="left"/>
      <w:pPr>
        <w:ind w:left="110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100" w:hanging="360"/>
      </w:pPr>
      <w:rPr>
        <w:rFonts w:hint="default"/>
        <w:lang w:val="en-US" w:eastAsia="en-US" w:bidi="ar-SA"/>
      </w:rPr>
    </w:lvl>
    <w:lvl w:ilvl="2">
      <w:start w:val="0"/>
      <w:numFmt w:val="bullet"/>
      <w:lvlText w:val="•"/>
      <w:lvlJc w:val="left"/>
      <w:pPr>
        <w:ind w:left="3100" w:hanging="360"/>
      </w:pPr>
      <w:rPr>
        <w:rFonts w:hint="default"/>
        <w:lang w:val="en-US" w:eastAsia="en-US" w:bidi="ar-SA"/>
      </w:rPr>
    </w:lvl>
    <w:lvl w:ilvl="3">
      <w:start w:val="0"/>
      <w:numFmt w:val="bullet"/>
      <w:lvlText w:val="•"/>
      <w:lvlJc w:val="left"/>
      <w:pPr>
        <w:ind w:left="410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6100" w:hanging="360"/>
      </w:pPr>
      <w:rPr>
        <w:rFonts w:hint="default"/>
        <w:lang w:val="en-US" w:eastAsia="en-US" w:bidi="ar-SA"/>
      </w:rPr>
    </w:lvl>
    <w:lvl w:ilvl="6">
      <w:start w:val="0"/>
      <w:numFmt w:val="bullet"/>
      <w:lvlText w:val="•"/>
      <w:lvlJc w:val="left"/>
      <w:pPr>
        <w:ind w:left="7100" w:hanging="360"/>
      </w:pPr>
      <w:rPr>
        <w:rFonts w:hint="default"/>
        <w:lang w:val="en-US" w:eastAsia="en-US" w:bidi="ar-SA"/>
      </w:rPr>
    </w:lvl>
    <w:lvl w:ilvl="7">
      <w:start w:val="0"/>
      <w:numFmt w:val="bullet"/>
      <w:lvlText w:val="•"/>
      <w:lvlJc w:val="left"/>
      <w:pPr>
        <w:ind w:left="8100" w:hanging="360"/>
      </w:pPr>
      <w:rPr>
        <w:rFonts w:hint="default"/>
        <w:lang w:val="en-US" w:eastAsia="en-US" w:bidi="ar-SA"/>
      </w:rPr>
    </w:lvl>
    <w:lvl w:ilvl="8">
      <w:start w:val="0"/>
      <w:numFmt w:val="bullet"/>
      <w:lvlText w:val="•"/>
      <w:lvlJc w:val="left"/>
      <w:pPr>
        <w:ind w:left="9100" w:hanging="360"/>
      </w:pPr>
      <w:rPr>
        <w:rFonts w:hint="default"/>
        <w:lang w:val="en-US" w:eastAsia="en-US" w:bidi="ar-SA"/>
      </w:rPr>
    </w:lvl>
  </w:abstractNum>
  <w:abstractNum w:abstractNumId="2">
    <w:multiLevelType w:val="hybridMultilevel"/>
    <w:lvl w:ilvl="0">
      <w:start w:val="1"/>
      <w:numFmt w:val="decimal"/>
      <w:lvlText w:val="%1."/>
      <w:lvlJc w:val="left"/>
      <w:pPr>
        <w:ind w:left="110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100" w:hanging="360"/>
      </w:pPr>
      <w:rPr>
        <w:rFonts w:hint="default" w:ascii="Symbol" w:hAnsi="Symbol" w:eastAsia="Symbol" w:cs="Symbol"/>
        <w:b w:val="0"/>
        <w:bCs w:val="0"/>
        <w:i w:val="0"/>
        <w:iCs w:val="0"/>
        <w:w w:val="100"/>
        <w:sz w:val="24"/>
        <w:szCs w:val="24"/>
        <w:lang w:val="en-US" w:eastAsia="en-US" w:bidi="ar-SA"/>
      </w:rPr>
    </w:lvl>
    <w:lvl w:ilvl="2">
      <w:start w:val="0"/>
      <w:numFmt w:val="bullet"/>
      <w:lvlText w:val="•"/>
      <w:lvlJc w:val="left"/>
      <w:pPr>
        <w:ind w:left="3100" w:hanging="360"/>
      </w:pPr>
      <w:rPr>
        <w:rFonts w:hint="default"/>
        <w:lang w:val="en-US" w:eastAsia="en-US" w:bidi="ar-SA"/>
      </w:rPr>
    </w:lvl>
    <w:lvl w:ilvl="3">
      <w:start w:val="0"/>
      <w:numFmt w:val="bullet"/>
      <w:lvlText w:val="•"/>
      <w:lvlJc w:val="left"/>
      <w:pPr>
        <w:ind w:left="410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6100" w:hanging="360"/>
      </w:pPr>
      <w:rPr>
        <w:rFonts w:hint="default"/>
        <w:lang w:val="en-US" w:eastAsia="en-US" w:bidi="ar-SA"/>
      </w:rPr>
    </w:lvl>
    <w:lvl w:ilvl="6">
      <w:start w:val="0"/>
      <w:numFmt w:val="bullet"/>
      <w:lvlText w:val="•"/>
      <w:lvlJc w:val="left"/>
      <w:pPr>
        <w:ind w:left="7100" w:hanging="360"/>
      </w:pPr>
      <w:rPr>
        <w:rFonts w:hint="default"/>
        <w:lang w:val="en-US" w:eastAsia="en-US" w:bidi="ar-SA"/>
      </w:rPr>
    </w:lvl>
    <w:lvl w:ilvl="7">
      <w:start w:val="0"/>
      <w:numFmt w:val="bullet"/>
      <w:lvlText w:val="•"/>
      <w:lvlJc w:val="left"/>
      <w:pPr>
        <w:ind w:left="8100" w:hanging="360"/>
      </w:pPr>
      <w:rPr>
        <w:rFonts w:hint="default"/>
        <w:lang w:val="en-US" w:eastAsia="en-US" w:bidi="ar-SA"/>
      </w:rPr>
    </w:lvl>
    <w:lvl w:ilvl="8">
      <w:start w:val="0"/>
      <w:numFmt w:val="bullet"/>
      <w:lvlText w:val="•"/>
      <w:lvlJc w:val="left"/>
      <w:pPr>
        <w:ind w:left="9100" w:hanging="360"/>
      </w:pPr>
      <w:rPr>
        <w:rFonts w:hint="default"/>
        <w:lang w:val="en-US" w:eastAsia="en-US" w:bidi="ar-SA"/>
      </w:rPr>
    </w:lvl>
  </w:abstractNum>
  <w:abstractNum w:abstractNumId="0">
    <w:multiLevelType w:val="hybridMultilevel"/>
    <w:lvl w:ilvl="0">
      <w:start w:val="0"/>
      <w:numFmt w:val="bullet"/>
      <w:lvlText w:val=""/>
      <w:lvlJc w:val="left"/>
      <w:pPr>
        <w:ind w:left="110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2100" w:hanging="360"/>
      </w:pPr>
      <w:rPr>
        <w:rFonts w:hint="default"/>
        <w:lang w:val="en-US" w:eastAsia="en-US" w:bidi="ar-SA"/>
      </w:rPr>
    </w:lvl>
    <w:lvl w:ilvl="2">
      <w:start w:val="0"/>
      <w:numFmt w:val="bullet"/>
      <w:lvlText w:val="•"/>
      <w:lvlJc w:val="left"/>
      <w:pPr>
        <w:ind w:left="3100" w:hanging="360"/>
      </w:pPr>
      <w:rPr>
        <w:rFonts w:hint="default"/>
        <w:lang w:val="en-US" w:eastAsia="en-US" w:bidi="ar-SA"/>
      </w:rPr>
    </w:lvl>
    <w:lvl w:ilvl="3">
      <w:start w:val="0"/>
      <w:numFmt w:val="bullet"/>
      <w:lvlText w:val="•"/>
      <w:lvlJc w:val="left"/>
      <w:pPr>
        <w:ind w:left="410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6100" w:hanging="360"/>
      </w:pPr>
      <w:rPr>
        <w:rFonts w:hint="default"/>
        <w:lang w:val="en-US" w:eastAsia="en-US" w:bidi="ar-SA"/>
      </w:rPr>
    </w:lvl>
    <w:lvl w:ilvl="6">
      <w:start w:val="0"/>
      <w:numFmt w:val="bullet"/>
      <w:lvlText w:val="•"/>
      <w:lvlJc w:val="left"/>
      <w:pPr>
        <w:ind w:left="7100" w:hanging="360"/>
      </w:pPr>
      <w:rPr>
        <w:rFonts w:hint="default"/>
        <w:lang w:val="en-US" w:eastAsia="en-US" w:bidi="ar-SA"/>
      </w:rPr>
    </w:lvl>
    <w:lvl w:ilvl="7">
      <w:start w:val="0"/>
      <w:numFmt w:val="bullet"/>
      <w:lvlText w:val="•"/>
      <w:lvlJc w:val="left"/>
      <w:pPr>
        <w:ind w:left="8100" w:hanging="360"/>
      </w:pPr>
      <w:rPr>
        <w:rFonts w:hint="default"/>
        <w:lang w:val="en-US" w:eastAsia="en-US" w:bidi="ar-SA"/>
      </w:rPr>
    </w:lvl>
    <w:lvl w:ilvl="8">
      <w:start w:val="0"/>
      <w:numFmt w:val="bullet"/>
      <w:lvlText w:val="•"/>
      <w:lvlJc w:val="left"/>
      <w:pPr>
        <w:ind w:left="9100" w:hanging="360"/>
      </w:pPr>
      <w:rPr>
        <w:rFonts w:hint="default"/>
        <w:lang w:val="en-US"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80" w:right="182"/>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50"/>
      <w:ind w:left="116" w:right="49"/>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1100" w:right="63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hyperlink" Target="https://www.mass.gov/service-details/information-for-licensed-substance-use-disorder-treatment-programs" TargetMode="External"/><Relationship Id="rId8" Type="http://schemas.openxmlformats.org/officeDocument/2006/relationships/hyperlink" Target="https://www.mass.gov/regulations/105-CMR-16400-licensure-of-substance-abuse-treatment-programs" TargetMode="External"/><Relationship Id="rId9" Type="http://schemas.openxmlformats.org/officeDocument/2006/relationships/hyperlink" Target="https://www.mass.gov/files/documents/2016/07/ps/care-principles-guidance-mat.pdf" TargetMode="External"/><Relationship Id="rId10" Type="http://schemas.openxmlformats.org/officeDocument/2006/relationships/hyperlink" Target="https://www.mass.gov/files/documents/2016/07/ug/effective-treatment-for-persons-with-co-cccurringdisorders-feb15.pdf" TargetMode="External"/><Relationship Id="rId11" Type="http://schemas.openxmlformats.org/officeDocument/2006/relationships/hyperlink" Target="https://www.mass.gov/files/documents/2016/07/vl/care-principles-guidance-culturally-competent.pdf" TargetMode="External"/><Relationship Id="rId12" Type="http://schemas.openxmlformats.org/officeDocument/2006/relationships/hyperlink" Target="https://www.mass.gov/files/documents/2016/07/ua/care-principles-guidance-responding-to-relapses.pdf"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2022-11-01T15:08:20Z</dcterms:created>
  <dcterms:modified xsi:type="dcterms:W3CDTF">2022-11-01T15:08:20Z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for Microsoft 365</vt:lpwstr>
  </property>
  <property fmtid="{D5CDD505-2E9C-101B-9397-08002B2CF9AE}" pid="4" name="LastSaved">
    <vt:filetime>2022-11-01T00:00:00Z</vt:filetime>
  </property>
  <property fmtid="{D5CDD505-2E9C-101B-9397-08002B2CF9AE}" pid="5" name="Producer">
    <vt:lpwstr>Microsoft® Word for Microsoft 365</vt:lpwstr>
  </property>
</Properties>
</file>