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760BF2" w:rsidP="006D3D1A">
            <w:pPr>
              <w:pStyle w:val="NormalWeb"/>
              <w:spacing w:line="276" w:lineRule="auto"/>
              <w:rPr>
                <w:rFonts w:ascii="Arial" w:hAnsi="Arial" w:cs="Arial"/>
                <w:b/>
                <w:sz w:val="22"/>
                <w:szCs w:val="22"/>
              </w:rPr>
            </w:pPr>
            <w:r>
              <w:rPr>
                <w:rFonts w:ascii="Arial" w:hAnsi="Arial" w:cs="Arial"/>
                <w:b/>
                <w:sz w:val="22"/>
                <w:szCs w:val="22"/>
              </w:rPr>
              <w:t>Spectrum Bright Futures (Spectrum Health Systems, Inc.</w:t>
            </w:r>
            <w:r w:rsidR="00365602">
              <w:rPr>
                <w:rFonts w:ascii="Arial" w:hAnsi="Arial" w:cs="Arial"/>
                <w:b/>
                <w:sz w:val="22"/>
                <w:szCs w:val="22"/>
              </w:rPr>
              <w:t>)</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bookmarkStart w:id="0" w:name="_GoBack"/>
            <w:bookmarkEnd w:id="0"/>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760BF2" w:rsidP="006D3D1A">
            <w:pPr>
              <w:pStyle w:val="NormalWeb"/>
              <w:spacing w:line="276" w:lineRule="auto"/>
              <w:rPr>
                <w:rFonts w:ascii="Arial" w:hAnsi="Arial" w:cs="Arial"/>
                <w:b/>
                <w:sz w:val="20"/>
                <w:szCs w:val="20"/>
              </w:rPr>
            </w:pPr>
            <w:r>
              <w:rPr>
                <w:rFonts w:ascii="Arial" w:hAnsi="Arial" w:cs="Arial"/>
                <w:b/>
                <w:sz w:val="20"/>
                <w:szCs w:val="20"/>
              </w:rPr>
              <w:t>August 19</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550CBD"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550CBD"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F34FAB" w:rsidRDefault="0046144E" w:rsidP="000F5515">
      <w:pPr>
        <w:pStyle w:val="NormalWeb"/>
        <w:spacing w:line="276" w:lineRule="auto"/>
        <w:jc w:val="both"/>
        <w:rPr>
          <w:rFonts w:asciiTheme="minorHAnsi" w:hAnsiTheme="minorHAnsi"/>
          <w:color w:val="000000"/>
          <w:sz w:val="22"/>
          <w:szCs w:val="22"/>
        </w:rPr>
      </w:pPr>
      <w:r w:rsidRPr="00467F80">
        <w:rPr>
          <w:rFonts w:asciiTheme="minorHAnsi" w:hAnsiTheme="minorHAnsi" w:cstheme="minorHAnsi"/>
          <w:b/>
          <w:sz w:val="22"/>
          <w:szCs w:val="22"/>
        </w:rPr>
        <w:t>DESCRIPTION OF FACILITY CHARACTERISTICS:</w:t>
      </w:r>
      <w:r>
        <w:rPr>
          <w:b/>
        </w:rPr>
        <w:t xml:space="preserve">  </w:t>
      </w:r>
      <w:r w:rsidR="000F5515" w:rsidRPr="002D117C">
        <w:rPr>
          <w:rFonts w:asciiTheme="minorHAnsi" w:hAnsiTheme="minorHAnsi"/>
          <w:color w:val="000000"/>
          <w:sz w:val="22"/>
          <w:szCs w:val="22"/>
        </w:rPr>
        <w:t xml:space="preserve">The </w:t>
      </w:r>
      <w:r w:rsidR="00760BF2">
        <w:rPr>
          <w:rFonts w:asciiTheme="minorHAnsi" w:hAnsiTheme="minorHAnsi"/>
          <w:color w:val="000000"/>
          <w:sz w:val="22"/>
          <w:szCs w:val="22"/>
        </w:rPr>
        <w:t>Bright Futures</w:t>
      </w:r>
      <w:r w:rsidR="00765FB3">
        <w:rPr>
          <w:rFonts w:asciiTheme="minorHAnsi" w:hAnsiTheme="minorHAnsi"/>
          <w:color w:val="000000"/>
          <w:sz w:val="22"/>
          <w:szCs w:val="22"/>
        </w:rPr>
        <w:t xml:space="preserve"> program is located in a reside</w:t>
      </w:r>
      <w:r w:rsidR="00F34FAB">
        <w:rPr>
          <w:rFonts w:asciiTheme="minorHAnsi" w:hAnsiTheme="minorHAnsi"/>
          <w:color w:val="000000"/>
          <w:sz w:val="22"/>
          <w:szCs w:val="22"/>
        </w:rPr>
        <w:t xml:space="preserve">ntial neighborhood in </w:t>
      </w:r>
      <w:r w:rsidR="00760BF2">
        <w:rPr>
          <w:rFonts w:asciiTheme="minorHAnsi" w:hAnsiTheme="minorHAnsi"/>
          <w:color w:val="000000"/>
          <w:sz w:val="22"/>
          <w:szCs w:val="22"/>
        </w:rPr>
        <w:t>Methuen</w:t>
      </w:r>
      <w:r w:rsidR="00F34FAB">
        <w:rPr>
          <w:rFonts w:asciiTheme="minorHAnsi" w:hAnsiTheme="minorHAnsi"/>
          <w:color w:val="000000"/>
          <w:sz w:val="22"/>
          <w:szCs w:val="22"/>
        </w:rPr>
        <w:t xml:space="preserve">, MA.  </w:t>
      </w:r>
      <w:r w:rsidR="00760BF2">
        <w:rPr>
          <w:rFonts w:asciiTheme="minorHAnsi" w:hAnsiTheme="minorHAnsi"/>
          <w:color w:val="000000"/>
          <w:sz w:val="22"/>
          <w:szCs w:val="22"/>
        </w:rPr>
        <w:t xml:space="preserve">Bright Futures </w:t>
      </w:r>
      <w:r w:rsidR="00F34FAB">
        <w:rPr>
          <w:rFonts w:asciiTheme="minorHAnsi" w:hAnsiTheme="minorHAnsi"/>
          <w:color w:val="000000"/>
          <w:sz w:val="22"/>
          <w:szCs w:val="22"/>
        </w:rPr>
        <w:t>is a</w:t>
      </w:r>
      <w:r w:rsidR="00760BF2">
        <w:rPr>
          <w:rFonts w:asciiTheme="minorHAnsi" w:hAnsiTheme="minorHAnsi"/>
          <w:color w:val="000000"/>
          <w:sz w:val="22"/>
          <w:szCs w:val="22"/>
        </w:rPr>
        <w:t xml:space="preserve"> two</w:t>
      </w:r>
      <w:r w:rsidR="001A4D7A">
        <w:rPr>
          <w:rFonts w:asciiTheme="minorHAnsi" w:hAnsiTheme="minorHAnsi"/>
          <w:color w:val="000000"/>
          <w:sz w:val="22"/>
          <w:szCs w:val="22"/>
        </w:rPr>
        <w:t>-story, wood frame,</w:t>
      </w:r>
      <w:r w:rsidR="00F34FAB">
        <w:rPr>
          <w:rFonts w:asciiTheme="minorHAnsi" w:hAnsiTheme="minorHAnsi"/>
          <w:color w:val="000000"/>
          <w:sz w:val="22"/>
          <w:szCs w:val="22"/>
        </w:rPr>
        <w:t xml:space="preserve"> </w:t>
      </w:r>
      <w:r w:rsidR="00760BF2">
        <w:rPr>
          <w:rFonts w:asciiTheme="minorHAnsi" w:hAnsiTheme="minorHAnsi"/>
          <w:color w:val="000000"/>
          <w:sz w:val="22"/>
          <w:szCs w:val="22"/>
        </w:rPr>
        <w:t>12</w:t>
      </w:r>
      <w:r w:rsidR="00F34FAB">
        <w:rPr>
          <w:rFonts w:asciiTheme="minorHAnsi" w:hAnsiTheme="minorHAnsi"/>
          <w:color w:val="000000"/>
          <w:sz w:val="22"/>
          <w:szCs w:val="22"/>
        </w:rPr>
        <w:t xml:space="preserve">-bed </w:t>
      </w:r>
      <w:r w:rsidR="00760BF2">
        <w:rPr>
          <w:rFonts w:asciiTheme="minorHAnsi" w:hAnsiTheme="minorHAnsi"/>
          <w:color w:val="000000"/>
          <w:sz w:val="22"/>
          <w:szCs w:val="22"/>
        </w:rPr>
        <w:t>staff secure short-term substance abuse treatment program for adolescent males</w:t>
      </w:r>
      <w:r w:rsidR="00742DD2">
        <w:rPr>
          <w:rFonts w:asciiTheme="minorHAnsi" w:hAnsiTheme="minorHAnsi"/>
          <w:color w:val="000000"/>
          <w:sz w:val="22"/>
          <w:szCs w:val="22"/>
        </w:rPr>
        <w:t>, ages 16 to 20 years,</w:t>
      </w:r>
      <w:r w:rsidR="00760BF2">
        <w:rPr>
          <w:rFonts w:asciiTheme="minorHAnsi" w:hAnsiTheme="minorHAnsi"/>
          <w:color w:val="000000"/>
          <w:sz w:val="22"/>
          <w:szCs w:val="22"/>
        </w:rPr>
        <w:t xml:space="preserve"> committed to the Massachusetts Department of Youth Services (DYS).</w:t>
      </w:r>
      <w:r w:rsidR="00742DD2">
        <w:rPr>
          <w:rFonts w:asciiTheme="minorHAnsi" w:hAnsiTheme="minorHAnsi"/>
          <w:color w:val="000000"/>
          <w:sz w:val="22"/>
          <w:szCs w:val="22"/>
        </w:rPr>
        <w:t xml:space="preserve">  Bright Futures functions as a therapeutic community that uses Dialectical Behavior Therapy (DBT)</w:t>
      </w:r>
      <w:r w:rsidR="003E6B26">
        <w:rPr>
          <w:rFonts w:asciiTheme="minorHAnsi" w:hAnsiTheme="minorHAnsi"/>
          <w:color w:val="000000"/>
          <w:sz w:val="22"/>
          <w:szCs w:val="22"/>
        </w:rPr>
        <w:t>, Cognitive Behavioral Therapy (CBT), family support and recovery-based interventions for substance abuse treatment.  The program relies on the client to work toward achieving personal goals along with the overall goals of the program.  The program attempts to help the client improve behavior and develop more positive interactional styles to help them be successful in their communities.  This goal is achieved through three components of treatment; Milieu, Clinical and educational supports.</w:t>
      </w:r>
    </w:p>
    <w:p w:rsidR="0046144E" w:rsidRDefault="00186E28"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facility is staff secure.  Doors are locked from the exterior side to prevent unauthorized access.  </w:t>
      </w:r>
      <w:r w:rsidR="000F5515">
        <w:rPr>
          <w:rFonts w:asciiTheme="minorHAnsi" w:hAnsiTheme="minorHAnsi"/>
          <w:color w:val="000000"/>
          <w:sz w:val="22"/>
          <w:szCs w:val="22"/>
        </w:rPr>
        <w:t xml:space="preserve">There is no perimeter fence.  </w:t>
      </w:r>
      <w:r>
        <w:rPr>
          <w:rFonts w:asciiTheme="minorHAnsi" w:hAnsiTheme="minorHAnsi"/>
          <w:color w:val="000000"/>
          <w:sz w:val="22"/>
          <w:szCs w:val="22"/>
        </w:rPr>
        <w:t xml:space="preserve">Youth sleeping rooms are located on the second floor.  There are single and multi-occupancy bedrooms.  </w:t>
      </w:r>
      <w:r w:rsidR="00742DD2">
        <w:rPr>
          <w:rFonts w:asciiTheme="minorHAnsi" w:hAnsiTheme="minorHAnsi"/>
          <w:color w:val="000000"/>
          <w:sz w:val="22"/>
          <w:szCs w:val="22"/>
        </w:rPr>
        <w:t>There are single and multiple user bathrooms and showers.  Multi-user showers are appropriately partitioned for safety and privacy.</w:t>
      </w:r>
      <w:r w:rsidR="003E6B26">
        <w:rPr>
          <w:rFonts w:asciiTheme="minorHAnsi" w:hAnsiTheme="minorHAnsi"/>
          <w:color w:val="000000"/>
          <w:sz w:val="22"/>
          <w:szCs w:val="22"/>
        </w:rPr>
        <w:t xml:space="preserve">  Classrooms are located in the basement.</w:t>
      </w:r>
    </w:p>
    <w:p w:rsidR="00401A8A" w:rsidRDefault="00A2128B"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The program is</w:t>
      </w:r>
      <w:r w:rsidR="00401A8A">
        <w:rPr>
          <w:rFonts w:asciiTheme="minorHAnsi" w:hAnsiTheme="minorHAnsi"/>
          <w:color w:val="000000"/>
          <w:sz w:val="22"/>
          <w:szCs w:val="22"/>
        </w:rPr>
        <w:t xml:space="preserve"> short-term with</w:t>
      </w:r>
      <w:r w:rsidR="00467F80">
        <w:rPr>
          <w:rFonts w:asciiTheme="minorHAnsi" w:hAnsiTheme="minorHAnsi"/>
          <w:color w:val="000000"/>
          <w:sz w:val="22"/>
          <w:szCs w:val="22"/>
        </w:rPr>
        <w:t xml:space="preserve"> </w:t>
      </w:r>
      <w:r>
        <w:rPr>
          <w:rFonts w:asciiTheme="minorHAnsi" w:hAnsiTheme="minorHAnsi"/>
          <w:color w:val="000000"/>
          <w:sz w:val="22"/>
          <w:szCs w:val="22"/>
        </w:rPr>
        <w:t xml:space="preserve">an average length of stay of </w:t>
      </w:r>
      <w:r w:rsidR="00013614">
        <w:rPr>
          <w:rFonts w:asciiTheme="minorHAnsi" w:hAnsiTheme="minorHAnsi"/>
          <w:color w:val="000000"/>
          <w:sz w:val="22"/>
          <w:szCs w:val="22"/>
        </w:rPr>
        <w:t>90-120</w:t>
      </w:r>
      <w:r>
        <w:rPr>
          <w:rFonts w:asciiTheme="minorHAnsi" w:hAnsiTheme="minorHAnsi"/>
          <w:color w:val="000000"/>
          <w:sz w:val="22"/>
          <w:szCs w:val="22"/>
        </w:rPr>
        <w:t xml:space="preserve"> days</w:t>
      </w:r>
      <w:r w:rsidR="00401A8A">
        <w:rPr>
          <w:rFonts w:asciiTheme="minorHAnsi" w:hAnsiTheme="minorHAnsi"/>
          <w:color w:val="000000"/>
          <w:sz w:val="22"/>
          <w:szCs w:val="22"/>
        </w:rPr>
        <w:t>.</w:t>
      </w:r>
      <w:r w:rsidR="007145BB">
        <w:rPr>
          <w:rFonts w:asciiTheme="minorHAnsi" w:hAnsiTheme="minorHAnsi"/>
          <w:color w:val="000000"/>
          <w:sz w:val="22"/>
          <w:szCs w:val="22"/>
        </w:rPr>
        <w:t xml:space="preserve">  There were 12 youth in the program on the date of the audit.</w:t>
      </w:r>
    </w:p>
    <w:p w:rsidR="00646D3D" w:rsidRDefault="00646D3D"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abuse are conducted by the </w:t>
      </w:r>
      <w:r w:rsidR="00013614">
        <w:rPr>
          <w:rFonts w:asciiTheme="minorHAnsi" w:hAnsiTheme="minorHAnsi"/>
          <w:color w:val="000000"/>
          <w:sz w:val="22"/>
          <w:szCs w:val="22"/>
        </w:rPr>
        <w:t>Massachusetts Division of Youth Services (DYS)</w:t>
      </w:r>
      <w:r>
        <w:rPr>
          <w:rFonts w:asciiTheme="minorHAnsi" w:hAnsiTheme="minorHAnsi"/>
          <w:color w:val="000000"/>
          <w:sz w:val="22"/>
          <w:szCs w:val="22"/>
        </w:rPr>
        <w:t>.  Criminal investigations of sexual abuse, assault and harassment</w:t>
      </w:r>
      <w:r w:rsidR="00013614">
        <w:rPr>
          <w:rFonts w:asciiTheme="minorHAnsi" w:hAnsiTheme="minorHAnsi"/>
          <w:color w:val="000000"/>
          <w:sz w:val="22"/>
          <w:szCs w:val="22"/>
        </w:rPr>
        <w:t xml:space="preserve"> are conducted by the Massachusetts State Police</w:t>
      </w:r>
      <w:r>
        <w:rPr>
          <w:rFonts w:asciiTheme="minorHAnsi" w:hAnsiTheme="minorHAnsi"/>
          <w:color w:val="000000"/>
          <w:sz w:val="22"/>
          <w:szCs w:val="22"/>
        </w:rPr>
        <w:t xml:space="preserve">.  Forensic examinations and evidence </w:t>
      </w:r>
      <w:r w:rsidR="00013614">
        <w:rPr>
          <w:rFonts w:asciiTheme="minorHAnsi" w:hAnsiTheme="minorHAnsi"/>
          <w:color w:val="000000"/>
          <w:sz w:val="22"/>
          <w:szCs w:val="22"/>
        </w:rPr>
        <w:t>collection are performed at local healthcare facilities through a state-wide Memorandum of Understanding with the Massachusetts Department of Public Health</w:t>
      </w:r>
      <w:r w:rsidR="00665ED8">
        <w:rPr>
          <w:rFonts w:asciiTheme="minorHAnsi" w:hAnsiTheme="minorHAnsi"/>
          <w:color w:val="000000"/>
          <w:sz w:val="22"/>
          <w:szCs w:val="22"/>
        </w:rPr>
        <w:t>.</w:t>
      </w:r>
    </w:p>
    <w:p w:rsidR="00F821C8" w:rsidRPr="00665ED8" w:rsidRDefault="00B71258" w:rsidP="00665ED8">
      <w:pPr>
        <w:pStyle w:val="NormalWeb"/>
        <w:spacing w:line="276" w:lineRule="auto"/>
        <w:jc w:val="both"/>
      </w:pPr>
      <w:r>
        <w:rPr>
          <w:rFonts w:asciiTheme="minorHAnsi" w:hAnsiTheme="minorHAnsi"/>
          <w:color w:val="000000"/>
          <w:sz w:val="22"/>
          <w:szCs w:val="22"/>
        </w:rPr>
        <w:t>There were no incidents of sexual abuse or assault during the year prior to this audit</w:t>
      </w:r>
      <w:r w:rsidR="00665ED8">
        <w:rPr>
          <w:rFonts w:asciiTheme="minorHAnsi" w:hAnsiTheme="minorHAnsi"/>
          <w:color w:val="000000"/>
          <w:sz w:val="22"/>
          <w:szCs w:val="22"/>
        </w:rPr>
        <w:t>.  There were no</w:t>
      </w:r>
      <w:r w:rsidR="008D0AD3">
        <w:rPr>
          <w:rFonts w:asciiTheme="minorHAnsi" w:hAnsiTheme="minorHAnsi"/>
          <w:color w:val="000000"/>
          <w:sz w:val="22"/>
          <w:szCs w:val="22"/>
        </w:rPr>
        <w:t xml:space="preserve"> instance</w:t>
      </w:r>
      <w:r w:rsidR="00665ED8">
        <w:rPr>
          <w:rFonts w:asciiTheme="minorHAnsi" w:hAnsiTheme="minorHAnsi"/>
          <w:color w:val="000000"/>
          <w:sz w:val="22"/>
          <w:szCs w:val="22"/>
        </w:rPr>
        <w:t>s</w:t>
      </w:r>
      <w:r w:rsidR="008D0AD3">
        <w:rPr>
          <w:rFonts w:asciiTheme="minorHAnsi" w:hAnsiTheme="minorHAnsi"/>
          <w:color w:val="000000"/>
          <w:sz w:val="22"/>
          <w:szCs w:val="22"/>
        </w:rPr>
        <w:t xml:space="preserve"> of behavior that would fall under the PREA Standards’ definition of sexual harassment.  </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3E6B26">
        <w:t>August 13</w:t>
      </w:r>
      <w:r w:rsidR="00D0103D">
        <w:t xml:space="preserve">, 2014. </w:t>
      </w:r>
      <w:r w:rsidR="003C1ECB">
        <w:t xml:space="preserve"> </w:t>
      </w:r>
      <w:r w:rsidR="00D0103D">
        <w:t>A</w:t>
      </w:r>
      <w:r w:rsidR="000B5FB1">
        <w:t>n entrance meeting was held with t</w:t>
      </w:r>
      <w:r w:rsidR="0076351A">
        <w:t>he Program Director (who also serves as the PREA Compliance Manager)</w:t>
      </w:r>
      <w:r w:rsidR="000B5FB1">
        <w:t xml:space="preserve">, </w:t>
      </w:r>
      <w:r w:rsidR="0076351A">
        <w:t>Clinical Supervisor</w:t>
      </w:r>
      <w:r w:rsidR="00665ED8">
        <w:t xml:space="preserve"> 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t xml:space="preserve"> took 30 minutes</w:t>
      </w:r>
      <w:r w:rsidR="0046144E">
        <w:t xml:space="preserve">.  </w:t>
      </w:r>
      <w:r w:rsidR="00BD2A7E">
        <w:t xml:space="preserve">  All area</w:t>
      </w:r>
      <w:r w:rsidR="00EF7CDC">
        <w:t>s were wel</w:t>
      </w:r>
      <w:r w:rsidR="00BD2A7E">
        <w:t xml:space="preserve">l maintained.  The facility has </w:t>
      </w:r>
      <w:r w:rsidR="003E6B26">
        <w:t>a</w:t>
      </w:r>
      <w:r>
        <w:t xml:space="preserve"> </w:t>
      </w:r>
      <w:r w:rsidR="00BD2A7E">
        <w:t>video surveilla</w:t>
      </w:r>
      <w:r>
        <w:t>nce system</w:t>
      </w:r>
      <w:r w:rsidR="003E6B26">
        <w:t xml:space="preserve"> which provides 90 % coverage of all program areas</w:t>
      </w:r>
      <w:r w:rsidR="00BD2A7E">
        <w:t>.</w:t>
      </w:r>
      <w:r>
        <w:t xml:space="preserve"> </w:t>
      </w:r>
      <w:r w:rsidR="00A109D7">
        <w:t xml:space="preserve"> </w:t>
      </w:r>
      <w:r w:rsidR="003E6B26">
        <w:t xml:space="preserve">There is a camera view of all doors in the facility.  There are no cameras in the bedrooms or bathrooms. </w:t>
      </w:r>
      <w:r w:rsidR="00A109D7">
        <w:t xml:space="preserve"> </w:t>
      </w:r>
      <w:r w:rsidR="00EF7CDC">
        <w:t>Robust staffing (</w:t>
      </w:r>
      <w:r w:rsidR="003E6B26">
        <w:t>4</w:t>
      </w:r>
      <w:r w:rsidR="00A109D7">
        <w:t xml:space="preserve"> </w:t>
      </w:r>
      <w:r w:rsidR="006A6F98">
        <w:t>:</w:t>
      </w:r>
      <w:r w:rsidR="00A109D7">
        <w:t xml:space="preserve"> </w:t>
      </w:r>
      <w:r w:rsidR="006A6F98">
        <w:t>1</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7145BB">
        <w:t>blind spots</w:t>
      </w:r>
      <w:r w:rsidR="000B3374">
        <w:t xml:space="preserve">.  Bathrooms </w:t>
      </w:r>
      <w:r w:rsidR="007145BB">
        <w:t xml:space="preserve">and bedrooms </w:t>
      </w:r>
      <w:r w:rsidR="00554877">
        <w:t>a</w:t>
      </w:r>
      <w:r w:rsidR="007145BB">
        <w:t>re heavily supervised when in</w:t>
      </w:r>
      <w:r w:rsidR="00554877">
        <w:t xml:space="preserve"> use.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 xml:space="preserve">Youth were observed in school, </w:t>
      </w:r>
      <w:r w:rsidR="007145BB">
        <w:t xml:space="preserve">working in the kitchen, </w:t>
      </w:r>
      <w:r>
        <w:t xml:space="preserve">during movement, </w:t>
      </w:r>
      <w:r w:rsidR="00776CC1">
        <w:t xml:space="preserve">and </w:t>
      </w:r>
      <w:r>
        <w:t>at meals</w:t>
      </w:r>
      <w:r w:rsidR="009E33AA">
        <w:t>.  Observations of staff supervision practices were consistent with the agencies policies.</w:t>
      </w:r>
      <w:r w:rsidR="007145BB">
        <w:t xml:space="preserve">  Interactions between staff and youth were boundary appropriate, respectful and professional.</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r w:rsidR="008077B3">
        <w:t xml:space="preserve">Information in JJEMS is available to all programs (vendor providers and DYS operated programs).  This system allows for a very high level of fidelity regarding treatment plans and service needs throughout the DYS continuum of care. </w:t>
      </w:r>
    </w:p>
    <w:p w:rsidR="008D0AD3"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1E6FB6" w:rsidRDefault="005360F0" w:rsidP="00A102C2">
      <w:pPr>
        <w:jc w:val="both"/>
      </w:pPr>
      <w:r>
        <w:t>This</w:t>
      </w:r>
      <w:r w:rsidR="001E6FB6">
        <w:t xml:space="preserve"> auditor interviewed the following staff titles:</w:t>
      </w:r>
    </w:p>
    <w:p w:rsidR="001E6FB6" w:rsidRDefault="00776CC1" w:rsidP="001E6FB6">
      <w:pPr>
        <w:pStyle w:val="ListParagraph"/>
        <w:numPr>
          <w:ilvl w:val="0"/>
          <w:numId w:val="1"/>
        </w:numPr>
        <w:jc w:val="both"/>
      </w:pPr>
      <w:r>
        <w:t>Program Director</w:t>
      </w:r>
    </w:p>
    <w:p w:rsidR="001E6FB6" w:rsidRDefault="00776CC1" w:rsidP="001E6FB6">
      <w:pPr>
        <w:pStyle w:val="ListParagraph"/>
        <w:numPr>
          <w:ilvl w:val="0"/>
          <w:numId w:val="1"/>
        </w:numPr>
        <w:jc w:val="both"/>
      </w:pPr>
      <w:r>
        <w:t>Clinical Supervisor</w:t>
      </w:r>
      <w:r w:rsidR="00B14463">
        <w:t xml:space="preserve"> </w:t>
      </w:r>
    </w:p>
    <w:p w:rsidR="0041340A" w:rsidRDefault="00776CC1" w:rsidP="00A25830">
      <w:pPr>
        <w:pStyle w:val="ListParagraph"/>
        <w:numPr>
          <w:ilvl w:val="0"/>
          <w:numId w:val="1"/>
        </w:numPr>
        <w:jc w:val="both"/>
      </w:pPr>
      <w:r>
        <w:t>DYS</w:t>
      </w:r>
      <w:r w:rsidR="00674F05">
        <w:t xml:space="preserve"> PREA Coordinator</w:t>
      </w:r>
      <w:r w:rsidR="00B14463">
        <w:t xml:space="preserve"> </w:t>
      </w:r>
    </w:p>
    <w:p w:rsidR="0041340A" w:rsidRDefault="008077B3" w:rsidP="001E6FB6">
      <w:pPr>
        <w:pStyle w:val="ListParagraph"/>
        <w:numPr>
          <w:ilvl w:val="0"/>
          <w:numId w:val="1"/>
        </w:numPr>
        <w:jc w:val="both"/>
      </w:pPr>
      <w:r>
        <w:lastRenderedPageBreak/>
        <w:t>Assistant Program Director</w:t>
      </w:r>
    </w:p>
    <w:p w:rsidR="001E6FB6" w:rsidRDefault="007145BB" w:rsidP="008077B3">
      <w:pPr>
        <w:pStyle w:val="ListParagraph"/>
        <w:numPr>
          <w:ilvl w:val="0"/>
          <w:numId w:val="1"/>
        </w:numPr>
        <w:jc w:val="both"/>
      </w:pPr>
      <w:r>
        <w:t>Assistant Supervisor</w:t>
      </w:r>
    </w:p>
    <w:p w:rsidR="00A25830" w:rsidRDefault="007145BB" w:rsidP="008077B3">
      <w:pPr>
        <w:pStyle w:val="ListParagraph"/>
        <w:numPr>
          <w:ilvl w:val="0"/>
          <w:numId w:val="1"/>
        </w:numPr>
        <w:jc w:val="both"/>
      </w:pPr>
      <w:r>
        <w:t>Recovery Specialist</w:t>
      </w:r>
    </w:p>
    <w:p w:rsidR="00A25830" w:rsidRDefault="007145BB" w:rsidP="008077B3">
      <w:pPr>
        <w:pStyle w:val="ListParagraph"/>
        <w:numPr>
          <w:ilvl w:val="0"/>
          <w:numId w:val="1"/>
        </w:numPr>
        <w:jc w:val="both"/>
      </w:pPr>
      <w:r>
        <w:t>Food Services Coordinator</w:t>
      </w:r>
    </w:p>
    <w:p w:rsidR="00524879" w:rsidRDefault="007F0305" w:rsidP="007145BB">
      <w:pPr>
        <w:pStyle w:val="ListParagraph"/>
        <w:numPr>
          <w:ilvl w:val="0"/>
          <w:numId w:val="1"/>
        </w:numPr>
        <w:jc w:val="both"/>
      </w:pPr>
      <w:r>
        <w:t>Shift Supervisor</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7145BB" w:rsidP="00674F05">
      <w:pPr>
        <w:jc w:val="both"/>
      </w:pPr>
      <w:r>
        <w:t xml:space="preserve">All staff at the program are fully trained and able to function as direct-care staff.  </w:t>
      </w:r>
      <w:r w:rsidR="0041340A">
        <w:t>Experience level</w:t>
      </w:r>
      <w:r w:rsidR="00A25830">
        <w:t xml:space="preserve">s ranged from </w:t>
      </w:r>
      <w:r>
        <w:t xml:space="preserve">over </w:t>
      </w:r>
      <w:r w:rsidR="00A25830">
        <w:t>two years</w:t>
      </w:r>
      <w:r>
        <w:t xml:space="preserve"> to 12</w:t>
      </w:r>
      <w:r w:rsidR="0041340A">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Program Director</w:t>
      </w:r>
      <w:r w:rsidR="000701E2">
        <w:t>,</w:t>
      </w:r>
      <w:r>
        <w:t xml:space="preserve"> and had no fear regarding retaliation for rep</w:t>
      </w:r>
      <w:r w:rsidR="00B71258">
        <w:t>orting abuse.  All</w:t>
      </w:r>
      <w:r>
        <w:t xml:space="preserve"> staff have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7145BB" w:rsidP="00674F05">
      <w:pPr>
        <w:jc w:val="both"/>
      </w:pPr>
      <w:r>
        <w:t>A total of 10</w:t>
      </w:r>
      <w:r w:rsidR="00524879">
        <w:t xml:space="preserve"> youth</w:t>
      </w:r>
      <w:r w:rsidR="0093129B">
        <w:t xml:space="preserve"> at the program were interviewed. </w:t>
      </w:r>
      <w:r w:rsidR="00C635E8">
        <w:t xml:space="preserve">  There were no youth currently at the facility </w:t>
      </w:r>
      <w:r w:rsidR="007F28FD">
        <w:t>that</w:t>
      </w:r>
      <w:r w:rsidR="00C635E8">
        <w:t xml:space="preserve"> had made a</w:t>
      </w:r>
      <w:r w:rsidR="000701E2">
        <w:t>n allegation of abuse.  There were no</w:t>
      </w:r>
      <w:r w:rsidR="00C635E8">
        <w:t xml:space="preserve"> youth at the program who identified </w:t>
      </w:r>
      <w:r w:rsidR="000701E2">
        <w:t>as LGBTI (although 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nt they made would be properly addressed.  None of the youth reported ever having fear for th</w:t>
      </w:r>
      <w:r w:rsidR="00380744">
        <w:t xml:space="preserve">eir safety while at </w:t>
      </w:r>
      <w:r w:rsidR="00FF3258">
        <w:t>the facility</w:t>
      </w:r>
      <w:r w:rsidR="00380744">
        <w:t xml:space="preserve"> (or any program in the DYS continuum of care)</w:t>
      </w:r>
      <w:r w:rsidR="0093129B">
        <w:t>.  All said the</w:t>
      </w:r>
      <w:r w:rsidR="000701E2">
        <w:t>y felt very safe at the facility</w:t>
      </w:r>
      <w:r w:rsidR="0093129B">
        <w:t>.</w:t>
      </w:r>
      <w:r w:rsidR="00512972">
        <w:t xml:space="preserve"> </w:t>
      </w:r>
    </w:p>
    <w:p w:rsidR="00C00EEA" w:rsidRDefault="00C00EEA" w:rsidP="00674F05">
      <w:pPr>
        <w:jc w:val="both"/>
      </w:pPr>
      <w:r>
        <w:t>Interviews with youth and staff confirmed that the PREA education program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A25830" w:rsidP="00674F05">
      <w:pPr>
        <w:jc w:val="both"/>
      </w:pPr>
      <w:r>
        <w:t xml:space="preserve">The </w:t>
      </w:r>
      <w:r w:rsidR="00996F8E">
        <w:t>Spectrum Bright Futures</w:t>
      </w:r>
      <w:r w:rsidR="009768A5">
        <w:t xml:space="preserve"> program is an outstanding juvenile justice</w:t>
      </w:r>
      <w:r w:rsidR="00996F8E">
        <w:t xml:space="preserve"> substance abuse</w:t>
      </w:r>
      <w:r w:rsidR="009768A5">
        <w:t xml:space="preserve"> facility.  The scope of this audit (PREA compliance) does not afford the opportunity to go into all the positive aspects of the progr</w:t>
      </w:r>
      <w:r w:rsidR="00380744">
        <w:t>am</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lastRenderedPageBreak/>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outh Services</w:t>
      </w:r>
      <w:r w:rsidR="00996F8E">
        <w:t>, Spectrum Bright Futures or Spectrum Health Systems, Inc</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r>
      <w:r w:rsidR="00996F8E">
        <w:rPr>
          <w:u w:val="single"/>
        </w:rPr>
        <w:t>September 26</w:t>
      </w:r>
      <w:r w:rsidR="00365602" w:rsidRPr="00365602">
        <w:rPr>
          <w:u w:val="single"/>
        </w:rPr>
        <w:t>, 2014</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ubXq3nSHT1Wfy48EkjUmqSyhdE=" w:salt="7SPDwwoiqa7gZvgNMJmUz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701E2"/>
    <w:rsid w:val="000B3374"/>
    <w:rsid w:val="000B5FB1"/>
    <w:rsid w:val="000F5515"/>
    <w:rsid w:val="001008D8"/>
    <w:rsid w:val="00185889"/>
    <w:rsid w:val="00186E28"/>
    <w:rsid w:val="00197697"/>
    <w:rsid w:val="001A4D7A"/>
    <w:rsid w:val="001C2F57"/>
    <w:rsid w:val="001E6FB6"/>
    <w:rsid w:val="00290A0E"/>
    <w:rsid w:val="002D117C"/>
    <w:rsid w:val="00300188"/>
    <w:rsid w:val="00340792"/>
    <w:rsid w:val="00365602"/>
    <w:rsid w:val="00367607"/>
    <w:rsid w:val="00380744"/>
    <w:rsid w:val="003C1ECB"/>
    <w:rsid w:val="003D08C9"/>
    <w:rsid w:val="003E6B26"/>
    <w:rsid w:val="00401A8A"/>
    <w:rsid w:val="0041340A"/>
    <w:rsid w:val="0046144E"/>
    <w:rsid w:val="00467F80"/>
    <w:rsid w:val="004F0DD3"/>
    <w:rsid w:val="004F15AD"/>
    <w:rsid w:val="004F69D6"/>
    <w:rsid w:val="00500F30"/>
    <w:rsid w:val="00512972"/>
    <w:rsid w:val="00524879"/>
    <w:rsid w:val="005360F0"/>
    <w:rsid w:val="00550CBD"/>
    <w:rsid w:val="00554877"/>
    <w:rsid w:val="005B747B"/>
    <w:rsid w:val="005E7E1B"/>
    <w:rsid w:val="00617620"/>
    <w:rsid w:val="00646D3D"/>
    <w:rsid w:val="00665ED8"/>
    <w:rsid w:val="0067232E"/>
    <w:rsid w:val="00674F05"/>
    <w:rsid w:val="00687440"/>
    <w:rsid w:val="006A6F98"/>
    <w:rsid w:val="006D3D1A"/>
    <w:rsid w:val="006F1FD5"/>
    <w:rsid w:val="007145BB"/>
    <w:rsid w:val="00742DD2"/>
    <w:rsid w:val="007510F4"/>
    <w:rsid w:val="00760BF2"/>
    <w:rsid w:val="0076351A"/>
    <w:rsid w:val="00765FB3"/>
    <w:rsid w:val="007726EE"/>
    <w:rsid w:val="00776CC1"/>
    <w:rsid w:val="007F0305"/>
    <w:rsid w:val="007F28FD"/>
    <w:rsid w:val="008077B3"/>
    <w:rsid w:val="00841EEF"/>
    <w:rsid w:val="00857736"/>
    <w:rsid w:val="008D0AD3"/>
    <w:rsid w:val="0093129B"/>
    <w:rsid w:val="009468EA"/>
    <w:rsid w:val="009768A5"/>
    <w:rsid w:val="00996F8E"/>
    <w:rsid w:val="009A1F70"/>
    <w:rsid w:val="009D3B9A"/>
    <w:rsid w:val="009D3EF4"/>
    <w:rsid w:val="009E33AA"/>
    <w:rsid w:val="00A038FC"/>
    <w:rsid w:val="00A102C2"/>
    <w:rsid w:val="00A109D7"/>
    <w:rsid w:val="00A2128B"/>
    <w:rsid w:val="00A25830"/>
    <w:rsid w:val="00B14463"/>
    <w:rsid w:val="00B61576"/>
    <w:rsid w:val="00B63EBB"/>
    <w:rsid w:val="00B71258"/>
    <w:rsid w:val="00BA72F8"/>
    <w:rsid w:val="00BC0BF5"/>
    <w:rsid w:val="00BC33E8"/>
    <w:rsid w:val="00BD2A7E"/>
    <w:rsid w:val="00C00EEA"/>
    <w:rsid w:val="00C635E8"/>
    <w:rsid w:val="00C93150"/>
    <w:rsid w:val="00C978D3"/>
    <w:rsid w:val="00C97C20"/>
    <w:rsid w:val="00CC2E27"/>
    <w:rsid w:val="00D0103D"/>
    <w:rsid w:val="00D20267"/>
    <w:rsid w:val="00D5561B"/>
    <w:rsid w:val="00D67974"/>
    <w:rsid w:val="00D72583"/>
    <w:rsid w:val="00D8210A"/>
    <w:rsid w:val="00E02139"/>
    <w:rsid w:val="00E07072"/>
    <w:rsid w:val="00E26BAB"/>
    <w:rsid w:val="00EC58C3"/>
    <w:rsid w:val="00EF7CDC"/>
    <w:rsid w:val="00F34FAB"/>
    <w:rsid w:val="00F66D4A"/>
    <w:rsid w:val="00F76D61"/>
    <w:rsid w:val="00F821C8"/>
    <w:rsid w:val="00FD7290"/>
    <w:rsid w:val="00FF3258"/>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7DF707AF</Template>
  <TotalTime>73</TotalTime>
  <Pages>4</Pages>
  <Words>1300</Words>
  <Characters>7414</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2014-09-26T14:30:00Z</dcterms:created>
  <dc:creator>Kurt Pfisterer</dc:creator>
  <lastModifiedBy>EOHHS</lastModifiedBy>
  <lastPrinted>2014-09-26T15:41:00Z</lastPrinted>
  <dcterms:modified xsi:type="dcterms:W3CDTF">2015-04-22T17:01:00Z</dcterms:modified>
  <revision>4</revision>
</coreProperties>
</file>