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6B" w:rsidRDefault="0086106B" w:rsidP="00D37CB9">
      <w:pPr>
        <w:jc w:val="center"/>
        <w:rPr>
          <w:b/>
          <w:sz w:val="32"/>
        </w:rPr>
      </w:pPr>
    </w:p>
    <w:p w:rsidR="0086106B" w:rsidRPr="00D37CB9" w:rsidRDefault="0086106B" w:rsidP="00D37CB9">
      <w:pPr>
        <w:jc w:val="center"/>
        <w:rPr>
          <w:b/>
          <w:sz w:val="44"/>
          <w:szCs w:val="44"/>
        </w:rPr>
      </w:pPr>
      <w:r>
        <w:rPr>
          <w:b/>
          <w:sz w:val="44"/>
          <w:szCs w:val="44"/>
        </w:rPr>
        <w:t xml:space="preserve">Maternal </w:t>
      </w:r>
      <w:r w:rsidRPr="00D37CB9">
        <w:rPr>
          <w:b/>
          <w:sz w:val="44"/>
          <w:szCs w:val="44"/>
        </w:rPr>
        <w:t>Mortality and Morbidity Review</w:t>
      </w:r>
    </w:p>
    <w:p w:rsidR="0086106B" w:rsidRPr="00D37CB9" w:rsidRDefault="0086106B" w:rsidP="00D37CB9">
      <w:pPr>
        <w:jc w:val="center"/>
        <w:rPr>
          <w:b/>
          <w:sz w:val="44"/>
          <w:szCs w:val="44"/>
        </w:rPr>
      </w:pPr>
      <w:r w:rsidRPr="00D37CB9">
        <w:rPr>
          <w:b/>
          <w:sz w:val="44"/>
          <w:szCs w:val="44"/>
        </w:rPr>
        <w:t xml:space="preserve">in </w:t>
      </w:r>
      <w:smartTag w:uri="urn:schemas-microsoft-com:office:smarttags" w:element="State">
        <w:smartTag w:uri="urn:schemas-microsoft-com:office:smarttags" w:element="place">
          <w:r w:rsidRPr="00D37CB9">
            <w:rPr>
              <w:b/>
              <w:sz w:val="44"/>
              <w:szCs w:val="44"/>
            </w:rPr>
            <w:t>Massachusetts</w:t>
          </w:r>
        </w:smartTag>
      </w:smartTag>
    </w:p>
    <w:p w:rsidR="0086106B" w:rsidRDefault="0086106B" w:rsidP="00D37CB9">
      <w:pPr>
        <w:jc w:val="center"/>
        <w:rPr>
          <w:b/>
          <w:sz w:val="32"/>
        </w:rPr>
      </w:pPr>
    </w:p>
    <w:p w:rsidR="0086106B" w:rsidRPr="00D37CB9" w:rsidRDefault="0086106B" w:rsidP="00D37CB9">
      <w:pPr>
        <w:jc w:val="center"/>
        <w:rPr>
          <w:b/>
          <w:sz w:val="36"/>
          <w:szCs w:val="36"/>
        </w:rPr>
      </w:pPr>
      <w:r w:rsidRPr="00D37CB9">
        <w:rPr>
          <w:b/>
          <w:sz w:val="36"/>
          <w:szCs w:val="36"/>
        </w:rPr>
        <w:t>A Bulletin for Health Care Professionals</w:t>
      </w:r>
    </w:p>
    <w:p w:rsidR="0086106B" w:rsidRDefault="0086106B" w:rsidP="00D37CB9">
      <w:pPr>
        <w:jc w:val="center"/>
        <w:rPr>
          <w:b/>
          <w:sz w:val="32"/>
        </w:rPr>
      </w:pPr>
    </w:p>
    <w:p w:rsidR="0086106B" w:rsidRDefault="0086106B" w:rsidP="00D37CB9">
      <w:pPr>
        <w:jc w:val="center"/>
        <w:rPr>
          <w:b/>
          <w:sz w:val="32"/>
        </w:rPr>
      </w:pPr>
    </w:p>
    <w:p w:rsidR="0086106B" w:rsidRDefault="0086106B" w:rsidP="00D37CB9">
      <w:pPr>
        <w:jc w:val="center"/>
        <w:rPr>
          <w:b/>
          <w:sz w:val="32"/>
        </w:rPr>
      </w:pPr>
      <w:r>
        <w:rPr>
          <w:b/>
          <w:sz w:val="32"/>
        </w:rPr>
        <w:t>Pregnancy-Associated Mortality</w:t>
      </w:r>
    </w:p>
    <w:p w:rsidR="0086106B" w:rsidRDefault="0086106B" w:rsidP="00D37CB9">
      <w:pPr>
        <w:jc w:val="center"/>
        <w:rPr>
          <w:b/>
          <w:sz w:val="32"/>
        </w:rPr>
      </w:pPr>
      <w:r>
        <w:rPr>
          <w:b/>
          <w:sz w:val="32"/>
        </w:rPr>
        <w:t>2000-2007</w:t>
      </w:r>
    </w:p>
    <w:p w:rsidR="0086106B" w:rsidRDefault="0086106B" w:rsidP="00C305F9"/>
    <w:p w:rsidR="0086106B" w:rsidRDefault="0086106B" w:rsidP="00F24B2A">
      <w:pPr>
        <w:spacing w:after="200" w:line="276" w:lineRule="auto"/>
        <w:jc w:val="center"/>
      </w:pPr>
    </w:p>
    <w:p w:rsidR="0086106B" w:rsidRDefault="00841CC7" w:rsidP="00F24B2A">
      <w:pPr>
        <w:spacing w:after="200" w:line="276" w:lineRule="auto"/>
        <w:jc w:val="center"/>
      </w:pPr>
      <w:r>
        <w:rPr>
          <w:noProof/>
        </w:rPr>
        <w:drawing>
          <wp:inline distT="0" distB="0" distL="0" distR="0">
            <wp:extent cx="1881505" cy="1905000"/>
            <wp:effectExtent l="0" t="0" r="4445" b="0"/>
            <wp:docPr id="10" name="Picture 19" descr="Massachusetts Department of Public Health Logo" title="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1505" cy="1905000"/>
                    </a:xfrm>
                    <a:prstGeom prst="rect">
                      <a:avLst/>
                    </a:prstGeom>
                    <a:noFill/>
                  </pic:spPr>
                </pic:pic>
              </a:graphicData>
            </a:graphic>
          </wp:inline>
        </w:drawing>
      </w:r>
    </w:p>
    <w:p w:rsidR="0086106B" w:rsidRDefault="0086106B" w:rsidP="00347A4D">
      <w:pPr>
        <w:pStyle w:val="NoSpacing"/>
        <w:spacing w:before="2520"/>
        <w:jc w:val="center"/>
      </w:pPr>
      <w:r>
        <w:t>Massachusetts Department of Public Health</w:t>
      </w:r>
    </w:p>
    <w:p w:rsidR="0086106B" w:rsidRDefault="0086106B" w:rsidP="00F24B2A">
      <w:pPr>
        <w:pStyle w:val="NoSpacing"/>
        <w:jc w:val="center"/>
      </w:pPr>
      <w:r>
        <w:t>Bureau of Family Health and Nutrition</w:t>
      </w:r>
    </w:p>
    <w:p w:rsidR="0086106B" w:rsidRDefault="0086106B" w:rsidP="00F24B2A">
      <w:pPr>
        <w:pStyle w:val="NoSpacing"/>
        <w:jc w:val="center"/>
      </w:pPr>
    </w:p>
    <w:p w:rsidR="0086106B" w:rsidRPr="00F24B2A" w:rsidRDefault="0086106B" w:rsidP="00F24B2A">
      <w:pPr>
        <w:pStyle w:val="NoSpacing"/>
        <w:jc w:val="center"/>
        <w:rPr>
          <w:b/>
          <w:sz w:val="48"/>
        </w:rPr>
      </w:pPr>
      <w:r>
        <w:t>July 2014</w:t>
      </w:r>
      <w:r>
        <w:br w:type="page"/>
      </w:r>
      <w:r>
        <w:rPr>
          <w:b/>
          <w:sz w:val="48"/>
        </w:rPr>
        <w:lastRenderedPageBreak/>
        <w:t>Pregnancy-A</w:t>
      </w:r>
      <w:r w:rsidRPr="00F24B2A">
        <w:rPr>
          <w:b/>
          <w:sz w:val="48"/>
        </w:rPr>
        <w:t>ssociated Mortality</w:t>
      </w:r>
    </w:p>
    <w:p w:rsidR="00347A4D" w:rsidRDefault="0086106B" w:rsidP="00F24B2A">
      <w:pPr>
        <w:jc w:val="center"/>
        <w:rPr>
          <w:b/>
          <w:sz w:val="48"/>
        </w:rPr>
      </w:pPr>
      <w:r w:rsidRPr="00F24B2A">
        <w:rPr>
          <w:b/>
          <w:sz w:val="48"/>
        </w:rPr>
        <w:t>2000-2007</w:t>
      </w:r>
    </w:p>
    <w:p w:rsidR="0086106B" w:rsidRDefault="0086106B" w:rsidP="0076186F">
      <w:pPr>
        <w:spacing w:before="1920"/>
        <w:jc w:val="center"/>
      </w:pPr>
      <w:r>
        <w:t>Deval L. Patrick, Governor</w:t>
      </w:r>
    </w:p>
    <w:p w:rsidR="0086106B" w:rsidRDefault="0086106B" w:rsidP="00F24B2A">
      <w:pPr>
        <w:jc w:val="center"/>
      </w:pPr>
      <w:r>
        <w:t>John W. Polanowicz, Secretary of Health and Human Services</w:t>
      </w:r>
    </w:p>
    <w:p w:rsidR="0086106B" w:rsidRDefault="0086106B" w:rsidP="00F24B2A">
      <w:pPr>
        <w:jc w:val="center"/>
      </w:pPr>
      <w:r>
        <w:t>Cheryl Bartlett, Commissioner of Public Health</w:t>
      </w:r>
    </w:p>
    <w:p w:rsidR="00347A4D" w:rsidRDefault="00347A4D" w:rsidP="00F24B2A">
      <w:pPr>
        <w:jc w:val="center"/>
      </w:pPr>
    </w:p>
    <w:p w:rsidR="0086106B" w:rsidRDefault="0086106B" w:rsidP="0076186F">
      <w:pPr>
        <w:spacing w:before="1920"/>
        <w:jc w:val="center"/>
      </w:pPr>
      <w:r>
        <w:t>Ron Benham, Director, Bureau of Family Health and Nutrition</w:t>
      </w:r>
    </w:p>
    <w:p w:rsidR="0086106B" w:rsidRDefault="0086106B" w:rsidP="00F24B2A">
      <w:pPr>
        <w:jc w:val="center"/>
      </w:pPr>
      <w:r>
        <w:t>Hafsatou Diop, Director, Office of Data Translation</w:t>
      </w:r>
    </w:p>
    <w:p w:rsidR="00347A4D" w:rsidRDefault="0086106B" w:rsidP="00F24B2A">
      <w:pPr>
        <w:jc w:val="center"/>
      </w:pPr>
      <w:r>
        <w:t>Karin Downs, Director, Maternal and Child Health</w:t>
      </w:r>
    </w:p>
    <w:p w:rsidR="00347A4D" w:rsidRDefault="00347A4D" w:rsidP="00F24B2A">
      <w:pPr>
        <w:jc w:val="center"/>
      </w:pPr>
    </w:p>
    <w:p w:rsidR="0086106B" w:rsidRDefault="0086106B" w:rsidP="0076186F">
      <w:pPr>
        <w:spacing w:before="2640"/>
        <w:jc w:val="center"/>
      </w:pPr>
      <w:r>
        <w:t>Massachusetts Department of Public Health</w:t>
      </w:r>
    </w:p>
    <w:p w:rsidR="0086106B" w:rsidRDefault="0086106B" w:rsidP="00F24B2A">
      <w:pPr>
        <w:jc w:val="center"/>
      </w:pPr>
    </w:p>
    <w:p w:rsidR="0086106B" w:rsidRDefault="0086106B" w:rsidP="00F24B2A">
      <w:pPr>
        <w:jc w:val="center"/>
      </w:pPr>
      <w:r>
        <w:t>July 2014</w:t>
      </w:r>
      <w:r>
        <w:br w:type="page"/>
      </w:r>
    </w:p>
    <w:sdt>
      <w:sdtPr>
        <w:rPr>
          <w:rFonts w:ascii="Times New Roman" w:eastAsia="Times New Roman" w:hAnsi="Times New Roman"/>
          <w:b w:val="0"/>
          <w:bCs w:val="0"/>
          <w:color w:val="auto"/>
          <w:sz w:val="24"/>
          <w:szCs w:val="24"/>
          <w:lang w:eastAsia="en-US"/>
        </w:rPr>
        <w:id w:val="331887899"/>
        <w:docPartObj>
          <w:docPartGallery w:val="Table of Contents"/>
          <w:docPartUnique/>
        </w:docPartObj>
      </w:sdtPr>
      <w:sdtEndPr>
        <w:rPr>
          <w:noProof/>
        </w:rPr>
      </w:sdtEndPr>
      <w:sdtContent>
        <w:p w:rsidR="00150269" w:rsidRDefault="00150269">
          <w:pPr>
            <w:pStyle w:val="TOCHeading"/>
          </w:pPr>
          <w:r>
            <w:t>Table of Contents</w:t>
          </w:r>
        </w:p>
        <w:p w:rsidR="00BA29BC" w:rsidRDefault="00150269">
          <w:pPr>
            <w:pStyle w:val="TOC1"/>
            <w:tabs>
              <w:tab w:val="right" w:leader="dot" w:pos="98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2250598" w:history="1">
            <w:r w:rsidR="00BA29BC" w:rsidRPr="009C4D68">
              <w:rPr>
                <w:rStyle w:val="Hyperlink"/>
                <w:noProof/>
              </w:rPr>
              <w:t>Acknowledgments</w:t>
            </w:r>
            <w:r w:rsidR="00BA29BC">
              <w:rPr>
                <w:noProof/>
                <w:webHidden/>
              </w:rPr>
              <w:tab/>
            </w:r>
            <w:r w:rsidR="00BA29BC">
              <w:rPr>
                <w:noProof/>
                <w:webHidden/>
              </w:rPr>
              <w:fldChar w:fldCharType="begin"/>
            </w:r>
            <w:r w:rsidR="00BA29BC">
              <w:rPr>
                <w:noProof/>
                <w:webHidden/>
              </w:rPr>
              <w:instrText xml:space="preserve"> PAGEREF _Toc402250598 \h </w:instrText>
            </w:r>
            <w:r w:rsidR="00BA29BC">
              <w:rPr>
                <w:noProof/>
                <w:webHidden/>
              </w:rPr>
            </w:r>
            <w:r w:rsidR="00BA29BC">
              <w:rPr>
                <w:noProof/>
                <w:webHidden/>
              </w:rPr>
              <w:fldChar w:fldCharType="separate"/>
            </w:r>
            <w:r w:rsidR="005F570E">
              <w:rPr>
                <w:noProof/>
                <w:webHidden/>
              </w:rPr>
              <w:t>2</w:t>
            </w:r>
            <w:r w:rsidR="00BA29BC">
              <w:rPr>
                <w:noProof/>
                <w:webHidden/>
              </w:rPr>
              <w:fldChar w:fldCharType="end"/>
            </w:r>
          </w:hyperlink>
        </w:p>
        <w:p w:rsidR="00BA29BC" w:rsidRDefault="005F570E">
          <w:pPr>
            <w:pStyle w:val="TOC1"/>
            <w:tabs>
              <w:tab w:val="right" w:leader="dot" w:pos="9890"/>
            </w:tabs>
            <w:rPr>
              <w:rFonts w:asciiTheme="minorHAnsi" w:eastAsiaTheme="minorEastAsia" w:hAnsiTheme="minorHAnsi" w:cstheme="minorBidi"/>
              <w:noProof/>
              <w:sz w:val="22"/>
              <w:szCs w:val="22"/>
            </w:rPr>
          </w:pPr>
          <w:hyperlink w:anchor="_Toc402250599" w:history="1">
            <w:r w:rsidR="00BA29BC" w:rsidRPr="009C4D68">
              <w:rPr>
                <w:rStyle w:val="Hyperlink"/>
                <w:noProof/>
              </w:rPr>
              <w:t>List of Figures</w:t>
            </w:r>
            <w:r w:rsidR="00BA29BC">
              <w:rPr>
                <w:noProof/>
                <w:webHidden/>
              </w:rPr>
              <w:tab/>
            </w:r>
            <w:r w:rsidR="00BA29BC">
              <w:rPr>
                <w:noProof/>
                <w:webHidden/>
              </w:rPr>
              <w:fldChar w:fldCharType="begin"/>
            </w:r>
            <w:r w:rsidR="00BA29BC">
              <w:rPr>
                <w:noProof/>
                <w:webHidden/>
              </w:rPr>
              <w:instrText xml:space="preserve"> PAGEREF _Toc402250599 \h </w:instrText>
            </w:r>
            <w:r w:rsidR="00BA29BC">
              <w:rPr>
                <w:noProof/>
                <w:webHidden/>
              </w:rPr>
            </w:r>
            <w:r w:rsidR="00BA29BC">
              <w:rPr>
                <w:noProof/>
                <w:webHidden/>
              </w:rPr>
              <w:fldChar w:fldCharType="separate"/>
            </w:r>
            <w:r>
              <w:rPr>
                <w:noProof/>
                <w:webHidden/>
              </w:rPr>
              <w:t>2</w:t>
            </w:r>
            <w:r w:rsidR="00BA29BC">
              <w:rPr>
                <w:noProof/>
                <w:webHidden/>
              </w:rPr>
              <w:fldChar w:fldCharType="end"/>
            </w:r>
          </w:hyperlink>
        </w:p>
        <w:p w:rsidR="00BA29BC" w:rsidRDefault="005F570E">
          <w:pPr>
            <w:pStyle w:val="TOC1"/>
            <w:tabs>
              <w:tab w:val="right" w:leader="dot" w:pos="9890"/>
            </w:tabs>
            <w:rPr>
              <w:rFonts w:asciiTheme="minorHAnsi" w:eastAsiaTheme="minorEastAsia" w:hAnsiTheme="minorHAnsi" w:cstheme="minorBidi"/>
              <w:noProof/>
              <w:sz w:val="22"/>
              <w:szCs w:val="22"/>
            </w:rPr>
          </w:pPr>
          <w:hyperlink w:anchor="_Toc402250600" w:history="1">
            <w:r w:rsidR="00BA29BC" w:rsidRPr="009C4D68">
              <w:rPr>
                <w:rStyle w:val="Hyperlink"/>
                <w:noProof/>
              </w:rPr>
              <w:t>List of Tables</w:t>
            </w:r>
            <w:r w:rsidR="00BA29BC">
              <w:rPr>
                <w:noProof/>
                <w:webHidden/>
              </w:rPr>
              <w:tab/>
            </w:r>
            <w:r w:rsidR="00BA29BC">
              <w:rPr>
                <w:noProof/>
                <w:webHidden/>
              </w:rPr>
              <w:fldChar w:fldCharType="begin"/>
            </w:r>
            <w:r w:rsidR="00BA29BC">
              <w:rPr>
                <w:noProof/>
                <w:webHidden/>
              </w:rPr>
              <w:instrText xml:space="preserve"> PAGEREF _Toc402250600 \h </w:instrText>
            </w:r>
            <w:r w:rsidR="00BA29BC">
              <w:rPr>
                <w:noProof/>
                <w:webHidden/>
              </w:rPr>
            </w:r>
            <w:r w:rsidR="00BA29BC">
              <w:rPr>
                <w:noProof/>
                <w:webHidden/>
              </w:rPr>
              <w:fldChar w:fldCharType="separate"/>
            </w:r>
            <w:r>
              <w:rPr>
                <w:noProof/>
                <w:webHidden/>
              </w:rPr>
              <w:t>2</w:t>
            </w:r>
            <w:r w:rsidR="00BA29BC">
              <w:rPr>
                <w:noProof/>
                <w:webHidden/>
              </w:rPr>
              <w:fldChar w:fldCharType="end"/>
            </w:r>
          </w:hyperlink>
        </w:p>
        <w:p w:rsidR="00BA29BC" w:rsidRDefault="005F570E">
          <w:pPr>
            <w:pStyle w:val="TOC1"/>
            <w:tabs>
              <w:tab w:val="right" w:leader="dot" w:pos="9890"/>
            </w:tabs>
            <w:rPr>
              <w:rFonts w:asciiTheme="minorHAnsi" w:eastAsiaTheme="minorEastAsia" w:hAnsiTheme="minorHAnsi" w:cstheme="minorBidi"/>
              <w:noProof/>
              <w:sz w:val="22"/>
              <w:szCs w:val="22"/>
            </w:rPr>
          </w:pPr>
          <w:hyperlink w:anchor="_Toc402250601" w:history="1">
            <w:r w:rsidR="00BA29BC" w:rsidRPr="009C4D68">
              <w:rPr>
                <w:rStyle w:val="Hyperlink"/>
                <w:noProof/>
              </w:rPr>
              <w:t>Summary of Findings</w:t>
            </w:r>
            <w:r w:rsidR="00BA29BC">
              <w:rPr>
                <w:noProof/>
                <w:webHidden/>
              </w:rPr>
              <w:tab/>
            </w:r>
            <w:r w:rsidR="00BA29BC">
              <w:rPr>
                <w:noProof/>
                <w:webHidden/>
              </w:rPr>
              <w:fldChar w:fldCharType="begin"/>
            </w:r>
            <w:r w:rsidR="00BA29BC">
              <w:rPr>
                <w:noProof/>
                <w:webHidden/>
              </w:rPr>
              <w:instrText xml:space="preserve"> PAGEREF _Toc402250601 \h </w:instrText>
            </w:r>
            <w:r w:rsidR="00BA29BC">
              <w:rPr>
                <w:noProof/>
                <w:webHidden/>
              </w:rPr>
            </w:r>
            <w:r w:rsidR="00BA29BC">
              <w:rPr>
                <w:noProof/>
                <w:webHidden/>
              </w:rPr>
              <w:fldChar w:fldCharType="separate"/>
            </w:r>
            <w:r>
              <w:rPr>
                <w:noProof/>
                <w:webHidden/>
              </w:rPr>
              <w:t>2</w:t>
            </w:r>
            <w:r w:rsidR="00BA29BC">
              <w:rPr>
                <w:noProof/>
                <w:webHidden/>
              </w:rPr>
              <w:fldChar w:fldCharType="end"/>
            </w:r>
          </w:hyperlink>
        </w:p>
        <w:p w:rsidR="00BA29BC" w:rsidRDefault="005F570E">
          <w:pPr>
            <w:pStyle w:val="TOC1"/>
            <w:tabs>
              <w:tab w:val="right" w:leader="dot" w:pos="9890"/>
            </w:tabs>
            <w:rPr>
              <w:rFonts w:asciiTheme="minorHAnsi" w:eastAsiaTheme="minorEastAsia" w:hAnsiTheme="minorHAnsi" w:cstheme="minorBidi"/>
              <w:noProof/>
              <w:sz w:val="22"/>
              <w:szCs w:val="22"/>
            </w:rPr>
          </w:pPr>
          <w:hyperlink w:anchor="_Toc402250602" w:history="1">
            <w:r w:rsidR="00BA29BC" w:rsidRPr="009C4D68">
              <w:rPr>
                <w:rStyle w:val="Hyperlink"/>
                <w:noProof/>
              </w:rPr>
              <w:t>I. Purpose</w:t>
            </w:r>
            <w:r w:rsidR="00BA29BC">
              <w:rPr>
                <w:noProof/>
                <w:webHidden/>
              </w:rPr>
              <w:tab/>
            </w:r>
            <w:r w:rsidR="00BA29BC">
              <w:rPr>
                <w:noProof/>
                <w:webHidden/>
              </w:rPr>
              <w:fldChar w:fldCharType="begin"/>
            </w:r>
            <w:r w:rsidR="00BA29BC">
              <w:rPr>
                <w:noProof/>
                <w:webHidden/>
              </w:rPr>
              <w:instrText xml:space="preserve"> PAGEREF _Toc402250602 \h </w:instrText>
            </w:r>
            <w:r w:rsidR="00BA29BC">
              <w:rPr>
                <w:noProof/>
                <w:webHidden/>
              </w:rPr>
            </w:r>
            <w:r w:rsidR="00BA29BC">
              <w:rPr>
                <w:noProof/>
                <w:webHidden/>
              </w:rPr>
              <w:fldChar w:fldCharType="separate"/>
            </w:r>
            <w:r>
              <w:rPr>
                <w:noProof/>
                <w:webHidden/>
              </w:rPr>
              <w:t>2</w:t>
            </w:r>
            <w:r w:rsidR="00BA29BC">
              <w:rPr>
                <w:noProof/>
                <w:webHidden/>
              </w:rPr>
              <w:fldChar w:fldCharType="end"/>
            </w:r>
          </w:hyperlink>
        </w:p>
        <w:p w:rsidR="00BA29BC" w:rsidRDefault="005F570E">
          <w:pPr>
            <w:pStyle w:val="TOC1"/>
            <w:tabs>
              <w:tab w:val="right" w:leader="dot" w:pos="9890"/>
            </w:tabs>
            <w:rPr>
              <w:rFonts w:asciiTheme="minorHAnsi" w:eastAsiaTheme="minorEastAsia" w:hAnsiTheme="minorHAnsi" w:cstheme="minorBidi"/>
              <w:noProof/>
              <w:sz w:val="22"/>
              <w:szCs w:val="22"/>
            </w:rPr>
          </w:pPr>
          <w:hyperlink w:anchor="_Toc402250603" w:history="1">
            <w:r w:rsidR="00BA29BC" w:rsidRPr="009C4D68">
              <w:rPr>
                <w:rStyle w:val="Hyperlink"/>
                <w:noProof/>
              </w:rPr>
              <w:t>II. Background</w:t>
            </w:r>
            <w:r w:rsidR="00BA29BC">
              <w:rPr>
                <w:noProof/>
                <w:webHidden/>
              </w:rPr>
              <w:tab/>
            </w:r>
            <w:r w:rsidR="00BA29BC">
              <w:rPr>
                <w:noProof/>
                <w:webHidden/>
              </w:rPr>
              <w:fldChar w:fldCharType="begin"/>
            </w:r>
            <w:r w:rsidR="00BA29BC">
              <w:rPr>
                <w:noProof/>
                <w:webHidden/>
              </w:rPr>
              <w:instrText xml:space="preserve"> PAGEREF _Toc402250603 \h </w:instrText>
            </w:r>
            <w:r w:rsidR="00BA29BC">
              <w:rPr>
                <w:noProof/>
                <w:webHidden/>
              </w:rPr>
            </w:r>
            <w:r w:rsidR="00BA29BC">
              <w:rPr>
                <w:noProof/>
                <w:webHidden/>
              </w:rPr>
              <w:fldChar w:fldCharType="separate"/>
            </w:r>
            <w:r>
              <w:rPr>
                <w:noProof/>
                <w:webHidden/>
              </w:rPr>
              <w:t>2</w:t>
            </w:r>
            <w:r w:rsidR="00BA29BC">
              <w:rPr>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04" w:history="1">
            <w:r w:rsidR="00BA29BC" w:rsidRPr="00BA29BC">
              <w:rPr>
                <w:rStyle w:val="Hyperlink"/>
                <w:rFonts w:ascii="Times New Roman" w:hAnsi="Times New Roman"/>
                <w:noProof/>
              </w:rPr>
              <w:t>Definition of Maternal Death Used in this Study</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_Toc402250604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1"/>
            <w:tabs>
              <w:tab w:val="right" w:leader="dot" w:pos="9890"/>
            </w:tabs>
            <w:rPr>
              <w:rFonts w:eastAsiaTheme="minorEastAsia"/>
              <w:noProof/>
              <w:sz w:val="22"/>
              <w:szCs w:val="22"/>
            </w:rPr>
          </w:pPr>
          <w:hyperlink w:anchor="_Toc402250605" w:history="1">
            <w:r w:rsidR="00BA29BC" w:rsidRPr="00BA29BC">
              <w:rPr>
                <w:rStyle w:val="Hyperlink"/>
                <w:noProof/>
              </w:rPr>
              <w:t>III. Methods</w:t>
            </w:r>
            <w:r w:rsidR="00BA29BC" w:rsidRPr="00BA29BC">
              <w:rPr>
                <w:noProof/>
                <w:webHidden/>
              </w:rPr>
              <w:tab/>
            </w:r>
            <w:r w:rsidR="00BA29BC" w:rsidRPr="00BA29BC">
              <w:rPr>
                <w:noProof/>
                <w:webHidden/>
              </w:rPr>
              <w:fldChar w:fldCharType="begin"/>
            </w:r>
            <w:r w:rsidR="00BA29BC" w:rsidRPr="00BA29BC">
              <w:rPr>
                <w:noProof/>
                <w:webHidden/>
              </w:rPr>
              <w:instrText xml:space="preserve"> PAGEREF _Toc402250605 \h </w:instrText>
            </w:r>
            <w:r w:rsidR="00BA29BC" w:rsidRPr="00BA29BC">
              <w:rPr>
                <w:noProof/>
                <w:webHidden/>
              </w:rPr>
            </w:r>
            <w:r w:rsidR="00BA29BC" w:rsidRPr="00BA29BC">
              <w:rPr>
                <w:noProof/>
                <w:webHidden/>
              </w:rPr>
              <w:fldChar w:fldCharType="separate"/>
            </w:r>
            <w:r>
              <w:rPr>
                <w:noProof/>
                <w:webHidden/>
              </w:rPr>
              <w:t>2</w:t>
            </w:r>
            <w:r w:rsidR="00BA29BC" w:rsidRPr="00BA29BC">
              <w:rPr>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06" w:history="1">
            <w:r w:rsidR="00BA29BC" w:rsidRPr="00BA29BC">
              <w:rPr>
                <w:rStyle w:val="Hyperlink"/>
                <w:rFonts w:ascii="Times New Roman" w:hAnsi="Times New Roman"/>
                <w:noProof/>
              </w:rPr>
              <w:t>Case Finding</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_Toc402250606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07" w:history="1">
            <w:r w:rsidR="00BA29BC" w:rsidRPr="00BA29BC">
              <w:rPr>
                <w:rStyle w:val="Hyperlink"/>
                <w:rFonts w:ascii="Times New Roman" w:hAnsi="Times New Roman"/>
                <w:noProof/>
              </w:rPr>
              <w:t>Case review</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_Toc402250607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08" w:history="1">
            <w:r w:rsidR="00BA29BC" w:rsidRPr="00BA29BC">
              <w:rPr>
                <w:rStyle w:val="Hyperlink"/>
                <w:rFonts w:ascii="Times New Roman" w:hAnsi="Times New Roman"/>
                <w:noProof/>
              </w:rPr>
              <w:t>Limitations</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_Toc402250608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1"/>
            <w:tabs>
              <w:tab w:val="right" w:leader="dot" w:pos="9890"/>
            </w:tabs>
            <w:rPr>
              <w:rFonts w:eastAsiaTheme="minorEastAsia"/>
              <w:noProof/>
              <w:sz w:val="22"/>
              <w:szCs w:val="22"/>
            </w:rPr>
          </w:pPr>
          <w:hyperlink w:anchor="_Toc402250609" w:history="1">
            <w:r w:rsidR="00BA29BC" w:rsidRPr="00BA29BC">
              <w:rPr>
                <w:rStyle w:val="Hyperlink"/>
                <w:noProof/>
              </w:rPr>
              <w:t>IV. Results - Mortality Ratios, Causes, and Timing of Deaths</w:t>
            </w:r>
            <w:r w:rsidR="00BA29BC" w:rsidRPr="00BA29BC">
              <w:rPr>
                <w:noProof/>
                <w:webHidden/>
              </w:rPr>
              <w:tab/>
            </w:r>
            <w:r w:rsidR="00BA29BC" w:rsidRPr="00BA29BC">
              <w:rPr>
                <w:noProof/>
                <w:webHidden/>
              </w:rPr>
              <w:fldChar w:fldCharType="begin"/>
            </w:r>
            <w:r w:rsidR="00BA29BC" w:rsidRPr="00BA29BC">
              <w:rPr>
                <w:noProof/>
                <w:webHidden/>
              </w:rPr>
              <w:instrText xml:space="preserve"> PAGEREF _Toc402250609 \h </w:instrText>
            </w:r>
            <w:r w:rsidR="00BA29BC" w:rsidRPr="00BA29BC">
              <w:rPr>
                <w:noProof/>
                <w:webHidden/>
              </w:rPr>
            </w:r>
            <w:r w:rsidR="00BA29BC" w:rsidRPr="00BA29BC">
              <w:rPr>
                <w:noProof/>
                <w:webHidden/>
              </w:rPr>
              <w:fldChar w:fldCharType="separate"/>
            </w:r>
            <w:r>
              <w:rPr>
                <w:noProof/>
                <w:webHidden/>
              </w:rPr>
              <w:t>2</w:t>
            </w:r>
            <w:r w:rsidR="00BA29BC" w:rsidRPr="00BA29BC">
              <w:rPr>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10" w:history="1">
            <w:r w:rsidR="00BA29BC" w:rsidRPr="00BA29BC">
              <w:rPr>
                <w:rStyle w:val="Hyperlink"/>
                <w:rFonts w:ascii="Times New Roman" w:hAnsi="Times New Roman"/>
                <w:noProof/>
              </w:rPr>
              <w:t>Pregnancy-Associated Mortality Ratio and Pregnancy-Related Mortality Ratio</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_Toc402250610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11" w:history="1">
            <w:r w:rsidR="00BA29BC" w:rsidRPr="00BA29BC">
              <w:rPr>
                <w:rStyle w:val="Hyperlink"/>
                <w:rFonts w:ascii="Times New Roman" w:hAnsi="Times New Roman"/>
                <w:noProof/>
              </w:rPr>
              <w:t>Pregnancy-Associated Mortality Ratios by Select Maternal Characteristics</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_Toc402250611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12" w:history="1">
            <w:r w:rsidR="00BA29BC" w:rsidRPr="00BA29BC">
              <w:rPr>
                <w:rStyle w:val="Hyperlink"/>
                <w:rFonts w:ascii="Times New Roman" w:hAnsi="Times New Roman"/>
                <w:noProof/>
              </w:rPr>
              <w:t>Timing of Medical Causes of Death</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_Toc402250612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13" w:history="1">
            <w:r w:rsidR="00BA29BC" w:rsidRPr="00BA29BC">
              <w:rPr>
                <w:rStyle w:val="Hyperlink"/>
                <w:rFonts w:ascii="Times New Roman" w:hAnsi="Times New Roman"/>
                <w:noProof/>
              </w:rPr>
              <w:t>Timing of Injury Causes of Death</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_Toc402250613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2"/>
            <w:tabs>
              <w:tab w:val="right" w:leader="dot" w:pos="9890"/>
            </w:tabs>
            <w:rPr>
              <w:rFonts w:ascii="Times New Roman" w:hAnsi="Times New Roman" w:cs="Times New Roman"/>
              <w:noProof/>
              <w:lang w:eastAsia="en-US"/>
            </w:rPr>
          </w:pPr>
          <w:hyperlink w:anchor="_Toc402250614" w:history="1">
            <w:r w:rsidR="00BA29BC" w:rsidRPr="00BA29BC">
              <w:rPr>
                <w:rStyle w:val="Hyperlink"/>
                <w:rFonts w:ascii="Times New Roman" w:hAnsi="Times New Roman"/>
                <w:noProof/>
              </w:rPr>
              <w:t>Distribution of Causes of Death</w:t>
            </w:r>
            <w:r w:rsidR="00BA29BC" w:rsidRPr="00BA29BC">
              <w:rPr>
                <w:rFonts w:ascii="Times New Roman" w:hAnsi="Times New Roman" w:cs="Times New Roman"/>
                <w:noProof/>
                <w:webHidden/>
              </w:rPr>
              <w:tab/>
            </w:r>
            <w:r w:rsidR="00BA29BC" w:rsidRPr="00BA29BC">
              <w:rPr>
                <w:rFonts w:ascii="Times New Roman" w:hAnsi="Times New Roman" w:cs="Times New Roman"/>
                <w:noProof/>
                <w:webHidden/>
              </w:rPr>
              <w:fldChar w:fldCharType="begin"/>
            </w:r>
            <w:r w:rsidR="00BA29BC" w:rsidRPr="00BA29BC">
              <w:rPr>
                <w:rFonts w:ascii="Times New Roman" w:hAnsi="Times New Roman" w:cs="Times New Roman"/>
                <w:noProof/>
                <w:webHidden/>
              </w:rPr>
              <w:instrText xml:space="preserve"> PAGEREF _Toc402250614 \h </w:instrText>
            </w:r>
            <w:r w:rsidR="00BA29BC" w:rsidRPr="00BA29BC">
              <w:rPr>
                <w:rFonts w:ascii="Times New Roman" w:hAnsi="Times New Roman" w:cs="Times New Roman"/>
                <w:noProof/>
                <w:webHidden/>
              </w:rPr>
            </w:r>
            <w:r w:rsidR="00BA29BC" w:rsidRPr="00BA29BC">
              <w:rPr>
                <w:rFonts w:ascii="Times New Roman" w:hAnsi="Times New Roman" w:cs="Times New Roman"/>
                <w:noProof/>
                <w:webHidden/>
              </w:rPr>
              <w:fldChar w:fldCharType="separate"/>
            </w:r>
            <w:r>
              <w:rPr>
                <w:rFonts w:ascii="Times New Roman" w:hAnsi="Times New Roman" w:cs="Times New Roman"/>
                <w:noProof/>
                <w:webHidden/>
              </w:rPr>
              <w:t>2</w:t>
            </w:r>
            <w:r w:rsidR="00BA29BC" w:rsidRPr="00BA29BC">
              <w:rPr>
                <w:rFonts w:ascii="Times New Roman" w:hAnsi="Times New Roman" w:cs="Times New Roman"/>
                <w:noProof/>
                <w:webHidden/>
              </w:rPr>
              <w:fldChar w:fldCharType="end"/>
            </w:r>
          </w:hyperlink>
        </w:p>
        <w:p w:rsidR="00BA29BC" w:rsidRPr="00BA29BC" w:rsidRDefault="005F570E">
          <w:pPr>
            <w:pStyle w:val="TOC1"/>
            <w:tabs>
              <w:tab w:val="right" w:leader="dot" w:pos="9890"/>
            </w:tabs>
            <w:rPr>
              <w:rFonts w:eastAsiaTheme="minorEastAsia"/>
              <w:noProof/>
              <w:sz w:val="22"/>
              <w:szCs w:val="22"/>
            </w:rPr>
          </w:pPr>
          <w:hyperlink w:anchor="_Toc402250615" w:history="1">
            <w:r w:rsidR="00BA29BC" w:rsidRPr="00BA29BC">
              <w:rPr>
                <w:rStyle w:val="Hyperlink"/>
                <w:noProof/>
              </w:rPr>
              <w:t>V. Recommendations</w:t>
            </w:r>
            <w:r w:rsidR="00BA29BC" w:rsidRPr="00BA29BC">
              <w:rPr>
                <w:noProof/>
                <w:webHidden/>
              </w:rPr>
              <w:tab/>
            </w:r>
            <w:r w:rsidR="00BA29BC" w:rsidRPr="00BA29BC">
              <w:rPr>
                <w:noProof/>
                <w:webHidden/>
              </w:rPr>
              <w:fldChar w:fldCharType="begin"/>
            </w:r>
            <w:r w:rsidR="00BA29BC" w:rsidRPr="00BA29BC">
              <w:rPr>
                <w:noProof/>
                <w:webHidden/>
              </w:rPr>
              <w:instrText xml:space="preserve"> PAGEREF _Toc402250615 \h </w:instrText>
            </w:r>
            <w:r w:rsidR="00BA29BC" w:rsidRPr="00BA29BC">
              <w:rPr>
                <w:noProof/>
                <w:webHidden/>
              </w:rPr>
            </w:r>
            <w:r w:rsidR="00BA29BC" w:rsidRPr="00BA29BC">
              <w:rPr>
                <w:noProof/>
                <w:webHidden/>
              </w:rPr>
              <w:fldChar w:fldCharType="separate"/>
            </w:r>
            <w:r>
              <w:rPr>
                <w:noProof/>
                <w:webHidden/>
              </w:rPr>
              <w:t>2</w:t>
            </w:r>
            <w:r w:rsidR="00BA29BC" w:rsidRPr="00BA29BC">
              <w:rPr>
                <w:noProof/>
                <w:webHidden/>
              </w:rPr>
              <w:fldChar w:fldCharType="end"/>
            </w:r>
          </w:hyperlink>
        </w:p>
        <w:p w:rsidR="00BA29BC" w:rsidRPr="00BA29BC" w:rsidRDefault="005F570E">
          <w:pPr>
            <w:pStyle w:val="TOC1"/>
            <w:tabs>
              <w:tab w:val="right" w:leader="dot" w:pos="9890"/>
            </w:tabs>
            <w:rPr>
              <w:rFonts w:eastAsiaTheme="minorEastAsia"/>
              <w:noProof/>
              <w:sz w:val="22"/>
              <w:szCs w:val="22"/>
            </w:rPr>
          </w:pPr>
          <w:hyperlink w:anchor="_Toc402250616" w:history="1">
            <w:r w:rsidR="00BA29BC" w:rsidRPr="00BA29BC">
              <w:rPr>
                <w:rStyle w:val="Hyperlink"/>
                <w:noProof/>
              </w:rPr>
              <w:t>Appendix A: Committee Members and DPH and Office of Chief Medical Examiner Staff</w:t>
            </w:r>
            <w:r w:rsidR="00BA29BC" w:rsidRPr="00BA29BC">
              <w:rPr>
                <w:noProof/>
                <w:webHidden/>
              </w:rPr>
              <w:tab/>
            </w:r>
            <w:r w:rsidR="00BA29BC" w:rsidRPr="00BA29BC">
              <w:rPr>
                <w:noProof/>
                <w:webHidden/>
              </w:rPr>
              <w:fldChar w:fldCharType="begin"/>
            </w:r>
            <w:r w:rsidR="00BA29BC" w:rsidRPr="00BA29BC">
              <w:rPr>
                <w:noProof/>
                <w:webHidden/>
              </w:rPr>
              <w:instrText xml:space="preserve"> PAGEREF _Toc402250616 \h </w:instrText>
            </w:r>
            <w:r w:rsidR="00BA29BC" w:rsidRPr="00BA29BC">
              <w:rPr>
                <w:noProof/>
                <w:webHidden/>
              </w:rPr>
            </w:r>
            <w:r w:rsidR="00BA29BC" w:rsidRPr="00BA29BC">
              <w:rPr>
                <w:noProof/>
                <w:webHidden/>
              </w:rPr>
              <w:fldChar w:fldCharType="separate"/>
            </w:r>
            <w:r>
              <w:rPr>
                <w:noProof/>
                <w:webHidden/>
              </w:rPr>
              <w:t>2</w:t>
            </w:r>
            <w:r w:rsidR="00BA29BC" w:rsidRPr="00BA29BC">
              <w:rPr>
                <w:noProof/>
                <w:webHidden/>
              </w:rPr>
              <w:fldChar w:fldCharType="end"/>
            </w:r>
          </w:hyperlink>
        </w:p>
        <w:p w:rsidR="00BA29BC" w:rsidRPr="00BA29BC" w:rsidRDefault="005F570E">
          <w:pPr>
            <w:pStyle w:val="TOC1"/>
            <w:tabs>
              <w:tab w:val="right" w:leader="dot" w:pos="9890"/>
            </w:tabs>
            <w:rPr>
              <w:rFonts w:eastAsiaTheme="minorEastAsia"/>
              <w:noProof/>
              <w:sz w:val="22"/>
              <w:szCs w:val="22"/>
            </w:rPr>
          </w:pPr>
          <w:hyperlink w:anchor="_Toc402250617" w:history="1">
            <w:r w:rsidR="00BA29BC" w:rsidRPr="00BA29BC">
              <w:rPr>
                <w:rStyle w:val="Hyperlink"/>
                <w:noProof/>
              </w:rPr>
              <w:t>Appendix B:  Maternal Health Impact Pyramid Guiding Recommendations</w:t>
            </w:r>
            <w:r w:rsidR="00BA29BC" w:rsidRPr="00BA29BC">
              <w:rPr>
                <w:noProof/>
                <w:webHidden/>
              </w:rPr>
              <w:tab/>
            </w:r>
            <w:r w:rsidR="00BA29BC" w:rsidRPr="00BA29BC">
              <w:rPr>
                <w:noProof/>
                <w:webHidden/>
              </w:rPr>
              <w:fldChar w:fldCharType="begin"/>
            </w:r>
            <w:r w:rsidR="00BA29BC" w:rsidRPr="00BA29BC">
              <w:rPr>
                <w:noProof/>
                <w:webHidden/>
              </w:rPr>
              <w:instrText xml:space="preserve"> PAGEREF _Toc402250617 \h </w:instrText>
            </w:r>
            <w:r w:rsidR="00BA29BC" w:rsidRPr="00BA29BC">
              <w:rPr>
                <w:noProof/>
                <w:webHidden/>
              </w:rPr>
            </w:r>
            <w:r w:rsidR="00BA29BC" w:rsidRPr="00BA29BC">
              <w:rPr>
                <w:noProof/>
                <w:webHidden/>
              </w:rPr>
              <w:fldChar w:fldCharType="separate"/>
            </w:r>
            <w:r>
              <w:rPr>
                <w:noProof/>
                <w:webHidden/>
              </w:rPr>
              <w:t>2</w:t>
            </w:r>
            <w:r w:rsidR="00BA29BC" w:rsidRPr="00BA29BC">
              <w:rPr>
                <w:noProof/>
                <w:webHidden/>
              </w:rPr>
              <w:fldChar w:fldCharType="end"/>
            </w:r>
          </w:hyperlink>
        </w:p>
        <w:p w:rsidR="00BA29BC" w:rsidRDefault="005F570E">
          <w:pPr>
            <w:pStyle w:val="TOC1"/>
            <w:tabs>
              <w:tab w:val="right" w:leader="dot" w:pos="9890"/>
            </w:tabs>
            <w:rPr>
              <w:rFonts w:asciiTheme="minorHAnsi" w:eastAsiaTheme="minorEastAsia" w:hAnsiTheme="minorHAnsi" w:cstheme="minorBidi"/>
              <w:noProof/>
              <w:sz w:val="22"/>
              <w:szCs w:val="22"/>
            </w:rPr>
          </w:pPr>
          <w:hyperlink w:anchor="_Toc402250618" w:history="1">
            <w:r w:rsidR="00BA29BC">
              <w:rPr>
                <w:noProof/>
                <w:webHidden/>
              </w:rPr>
              <w:tab/>
            </w:r>
            <w:r w:rsidR="00BA29BC">
              <w:rPr>
                <w:noProof/>
                <w:webHidden/>
              </w:rPr>
              <w:fldChar w:fldCharType="begin"/>
            </w:r>
            <w:r w:rsidR="00BA29BC">
              <w:rPr>
                <w:noProof/>
                <w:webHidden/>
              </w:rPr>
              <w:instrText xml:space="preserve"> PAGEREF _Toc402250618 \h </w:instrText>
            </w:r>
            <w:r w:rsidR="00BA29BC">
              <w:rPr>
                <w:noProof/>
                <w:webHidden/>
              </w:rPr>
            </w:r>
            <w:r w:rsidR="00BA29BC">
              <w:rPr>
                <w:noProof/>
                <w:webHidden/>
              </w:rPr>
              <w:fldChar w:fldCharType="separate"/>
            </w:r>
            <w:r>
              <w:rPr>
                <w:noProof/>
                <w:webHidden/>
              </w:rPr>
              <w:t>2</w:t>
            </w:r>
            <w:r w:rsidR="00BA29BC">
              <w:rPr>
                <w:noProof/>
                <w:webHidden/>
              </w:rPr>
              <w:fldChar w:fldCharType="end"/>
            </w:r>
          </w:hyperlink>
        </w:p>
        <w:p w:rsidR="00150269" w:rsidRDefault="00150269">
          <w:r>
            <w:rPr>
              <w:b/>
              <w:bCs/>
              <w:noProof/>
            </w:rPr>
            <w:fldChar w:fldCharType="end"/>
          </w:r>
        </w:p>
      </w:sdtContent>
    </w:sdt>
    <w:p w:rsidR="00150269" w:rsidRDefault="00150269" w:rsidP="00525EA8">
      <w:pPr>
        <w:pStyle w:val="Heading1"/>
      </w:pPr>
    </w:p>
    <w:p w:rsidR="00150269" w:rsidRDefault="00150269" w:rsidP="00525EA8">
      <w:pPr>
        <w:pStyle w:val="Heading1"/>
      </w:pPr>
    </w:p>
    <w:p w:rsidR="00D811F7" w:rsidRDefault="00D811F7" w:rsidP="00525EA8">
      <w:pPr>
        <w:pStyle w:val="Heading1"/>
      </w:pPr>
      <w:r>
        <w:br w:type="page"/>
      </w:r>
    </w:p>
    <w:p w:rsidR="0086106B" w:rsidRPr="00043B42" w:rsidRDefault="0086106B" w:rsidP="00525EA8">
      <w:pPr>
        <w:pStyle w:val="Heading1"/>
      </w:pPr>
      <w:bookmarkStart w:id="0" w:name="_Toc402250598"/>
      <w:r w:rsidRPr="00043B42">
        <w:lastRenderedPageBreak/>
        <w:t>Acknowledgments</w:t>
      </w:r>
      <w:bookmarkEnd w:id="0"/>
    </w:p>
    <w:p w:rsidR="0086106B" w:rsidRPr="00043B42" w:rsidRDefault="0086106B" w:rsidP="0096332A">
      <w:r w:rsidRPr="00043B42">
        <w:t> </w:t>
      </w:r>
    </w:p>
    <w:p w:rsidR="00150269" w:rsidRDefault="0086106B" w:rsidP="00150269">
      <w:pPr>
        <w:widowControl w:val="0"/>
      </w:pPr>
      <w:r w:rsidRPr="00043B42">
        <w:t>This report was prepared by  Hafsatou Diop , Karin Downs, Ruth Karacek, Xiaohui Cui and Angela Nannini of the Bureau of Family Health and Nutrition, Massachusetts Department of Public Health (MDPH).</w:t>
      </w:r>
    </w:p>
    <w:p w:rsidR="00150269" w:rsidRDefault="00150269" w:rsidP="00150269">
      <w:pPr>
        <w:widowControl w:val="0"/>
      </w:pPr>
    </w:p>
    <w:p w:rsidR="00150269" w:rsidRDefault="0086106B" w:rsidP="00150269">
      <w:pPr>
        <w:widowControl w:val="0"/>
      </w:pPr>
      <w:r w:rsidRPr="00043B42">
        <w:t xml:space="preserve">We wish to thank the Massachusetts </w:t>
      </w:r>
      <w:r>
        <w:t xml:space="preserve">Maternal </w:t>
      </w:r>
      <w:r w:rsidRPr="00043B42">
        <w:t>Mor</w:t>
      </w:r>
      <w:r>
        <w:t>tality</w:t>
      </w:r>
      <w:r w:rsidRPr="00043B42">
        <w:t xml:space="preserve"> and Mor</w:t>
      </w:r>
      <w:r>
        <w:t>b</w:t>
      </w:r>
      <w:r w:rsidRPr="00043B42">
        <w:t>i</w:t>
      </w:r>
      <w:r>
        <w:t>di</w:t>
      </w:r>
      <w:r w:rsidRPr="00043B42">
        <w:t>ty Review Committee for reviewing cases and making recommendations to improve the health of mothers in Massachusetts.</w:t>
      </w:r>
    </w:p>
    <w:p w:rsidR="0086106B" w:rsidRPr="00043B42" w:rsidRDefault="00150269" w:rsidP="00150269">
      <w:pPr>
        <w:widowControl w:val="0"/>
      </w:pPr>
      <w:r w:rsidRPr="00043B42">
        <w:t xml:space="preserve"> </w:t>
      </w:r>
    </w:p>
    <w:p w:rsidR="00150269" w:rsidRDefault="0086106B" w:rsidP="0096332A">
      <w:r w:rsidRPr="00043B42">
        <w:t>A special thanks to Staff from the Office of the State Medical Examiner, the MDPH Division of Health Care Quality, and MDPH Privacy and Data Access Office.</w:t>
      </w:r>
    </w:p>
    <w:p w:rsidR="00150269" w:rsidRDefault="00150269" w:rsidP="0096332A"/>
    <w:p w:rsidR="00150269" w:rsidRDefault="0086106B" w:rsidP="0096332A">
      <w:r w:rsidRPr="00043B42">
        <w:t>In addition thanks to the MDPH technical reviewers and Commissioner’s Office for their comprehensive review of this publication.</w:t>
      </w:r>
    </w:p>
    <w:p w:rsidR="00150269" w:rsidRDefault="00150269" w:rsidP="0096332A">
      <w:pPr>
        <w:rPr>
          <w:b/>
        </w:rPr>
      </w:pPr>
    </w:p>
    <w:p w:rsidR="0086106B" w:rsidRPr="00043B42" w:rsidRDefault="0086106B" w:rsidP="0096332A">
      <w:pPr>
        <w:rPr>
          <w:b/>
        </w:rPr>
      </w:pPr>
      <w:r w:rsidRPr="00043B42">
        <w:rPr>
          <w:b/>
        </w:rPr>
        <w:t>Suggested Citation:</w:t>
      </w:r>
    </w:p>
    <w:p w:rsidR="0086106B" w:rsidRPr="00043B42" w:rsidRDefault="0086106B" w:rsidP="0096332A">
      <w:pPr>
        <w:widowControl w:val="0"/>
        <w:rPr>
          <w:bCs/>
        </w:rPr>
      </w:pPr>
      <w:r>
        <w:t xml:space="preserve">Maternal </w:t>
      </w:r>
      <w:r w:rsidRPr="00043B42">
        <w:rPr>
          <w:bCs/>
        </w:rPr>
        <w:t xml:space="preserve">Mortality and Morbidity Review in </w:t>
      </w:r>
      <w:smartTag w:uri="urn:schemas-microsoft-com:office:smarttags" w:element="State">
        <w:smartTag w:uri="urn:schemas-microsoft-com:office:smarttags" w:element="place">
          <w:r w:rsidRPr="00043B42">
            <w:rPr>
              <w:bCs/>
            </w:rPr>
            <w:t>Massachusetts</w:t>
          </w:r>
        </w:smartTag>
      </w:smartTag>
      <w:r w:rsidRPr="00043B42">
        <w:rPr>
          <w:bCs/>
        </w:rPr>
        <w:t xml:space="preserve">: </w:t>
      </w:r>
      <w:r w:rsidRPr="00043B42">
        <w:t>A Bulletin for Health Care Professionals</w:t>
      </w:r>
      <w:r>
        <w:rPr>
          <w:bCs/>
        </w:rPr>
        <w:t xml:space="preserve">, </w:t>
      </w:r>
      <w:r w:rsidRPr="00043B42">
        <w:rPr>
          <w:bCs/>
        </w:rPr>
        <w:t>Pregnancy-Associated Mortality.</w:t>
      </w:r>
      <w:r>
        <w:rPr>
          <w:bCs/>
        </w:rPr>
        <w:t xml:space="preserve"> </w:t>
      </w:r>
      <w:r w:rsidRPr="00043B42">
        <w:rPr>
          <w:bCs/>
        </w:rPr>
        <w:t>2000-2007</w:t>
      </w:r>
      <w:r>
        <w:rPr>
          <w:bCs/>
        </w:rPr>
        <w:t>.</w:t>
      </w:r>
      <w:r w:rsidRPr="00043B42">
        <w:rPr>
          <w:bCs/>
        </w:rPr>
        <w:t xml:space="preserve"> </w:t>
      </w:r>
      <w:smartTag w:uri="urn:schemas-microsoft-com:office:smarttags" w:element="City">
        <w:smartTag w:uri="urn:schemas-microsoft-com:office:smarttags" w:element="place">
          <w:r w:rsidRPr="00043B42">
            <w:t>Boston</w:t>
          </w:r>
        </w:smartTag>
        <w:r w:rsidRPr="00043B42">
          <w:t xml:space="preserve">, </w:t>
        </w:r>
        <w:smartTag w:uri="urn:schemas-microsoft-com:office:smarttags" w:element="State">
          <w:r w:rsidRPr="00043B42">
            <w:t>MA</w:t>
          </w:r>
        </w:smartTag>
      </w:smartTag>
      <w:r>
        <w:t xml:space="preserve">: Bureau of Family Health and Nutrition. </w:t>
      </w:r>
      <w:r w:rsidRPr="00BE0BCA">
        <w:t xml:space="preserve">Massachusetts Department of Public Health. </w:t>
      </w:r>
      <w:r w:rsidRPr="00043B42">
        <w:t>February 2014.</w:t>
      </w:r>
    </w:p>
    <w:p w:rsidR="0086106B" w:rsidRPr="00043B42" w:rsidRDefault="0086106B" w:rsidP="0096332A">
      <w:r w:rsidRPr="00043B42">
        <w:t> </w:t>
      </w:r>
    </w:p>
    <w:p w:rsidR="0086106B" w:rsidRPr="00043B42" w:rsidRDefault="0086106B" w:rsidP="0096332A">
      <w:pPr>
        <w:widowControl w:val="0"/>
        <w:rPr>
          <w:b/>
        </w:rPr>
      </w:pPr>
      <w:r w:rsidRPr="00043B42">
        <w:rPr>
          <w:b/>
        </w:rPr>
        <w:t>For more information, please contact:</w:t>
      </w:r>
    </w:p>
    <w:p w:rsidR="0086106B" w:rsidRPr="00043B42" w:rsidRDefault="0086106B" w:rsidP="0096332A">
      <w:r w:rsidRPr="00043B42">
        <w:t> </w:t>
      </w:r>
    </w:p>
    <w:p w:rsidR="0086106B" w:rsidRPr="00043B42" w:rsidRDefault="0086106B" w:rsidP="0096332A">
      <w:pPr>
        <w:widowControl w:val="0"/>
      </w:pPr>
      <w:smartTag w:uri="urn:schemas-microsoft-com:office:smarttags" w:element="City">
        <w:smartTag w:uri="urn:schemas-microsoft-com:office:smarttags" w:element="place">
          <w:smartTag w:uri="urn:schemas-microsoft-com:office:smarttags" w:element="City">
            <w:r w:rsidRPr="00043B42">
              <w:t>Hafsatou Diop</w:t>
            </w:r>
          </w:smartTag>
          <w:r>
            <w:t xml:space="preserve">, </w:t>
          </w:r>
          <w:smartTag w:uri="urn:schemas-microsoft-com:office:smarttags" w:element="State">
            <w:r>
              <w:t>MD</w:t>
            </w:r>
          </w:smartTag>
        </w:smartTag>
      </w:smartTag>
      <w:r>
        <w:t>, MPH</w:t>
      </w:r>
    </w:p>
    <w:p w:rsidR="0086106B" w:rsidRDefault="0086106B" w:rsidP="0096332A">
      <w:pPr>
        <w:widowControl w:val="0"/>
      </w:pPr>
      <w:r>
        <w:t xml:space="preserve">Director, </w:t>
      </w:r>
      <w:r w:rsidRPr="00043B42">
        <w:t>Office of Data Translation</w:t>
      </w:r>
    </w:p>
    <w:p w:rsidR="0086106B" w:rsidRDefault="0086106B" w:rsidP="0096332A">
      <w:pPr>
        <w:widowControl w:val="0"/>
      </w:pPr>
      <w:r w:rsidRPr="00D8673E">
        <w:t>PRAMS Director, State MCH Epidemiologist</w:t>
      </w:r>
    </w:p>
    <w:p w:rsidR="0086106B" w:rsidRDefault="0086106B" w:rsidP="0096332A">
      <w:pPr>
        <w:widowControl w:val="0"/>
      </w:pPr>
      <w:r>
        <w:t>Bureau of Family Health and Nutrition</w:t>
      </w:r>
    </w:p>
    <w:p w:rsidR="0086106B" w:rsidRPr="00043B42" w:rsidRDefault="0086106B" w:rsidP="0096332A">
      <w:pPr>
        <w:widowControl w:val="0"/>
      </w:pPr>
      <w:r>
        <w:t>Massachusetts Department of Public Health</w:t>
      </w:r>
    </w:p>
    <w:p w:rsidR="0086106B" w:rsidRPr="00043B42" w:rsidRDefault="0086106B" w:rsidP="0096332A">
      <w:pPr>
        <w:widowControl w:val="0"/>
      </w:pPr>
      <w:smartTag w:uri="urn:schemas-microsoft-com:office:smarttags" w:element="address">
        <w:smartTag w:uri="urn:schemas-microsoft-com:office:smarttags" w:element="Street">
          <w:r w:rsidRPr="00043B42">
            <w:t>250 Washington Street</w:t>
          </w:r>
        </w:smartTag>
      </w:smartTag>
      <w:r w:rsidRPr="00043B42">
        <w:t>, 4</w:t>
      </w:r>
      <w:r w:rsidRPr="00043B42">
        <w:rPr>
          <w:sz w:val="16"/>
          <w:szCs w:val="16"/>
          <w:vertAlign w:val="superscript"/>
        </w:rPr>
        <w:t>th</w:t>
      </w:r>
      <w:r w:rsidRPr="00043B42">
        <w:t xml:space="preserve"> Floor</w:t>
      </w:r>
    </w:p>
    <w:p w:rsidR="0086106B" w:rsidRPr="00043B42" w:rsidRDefault="0086106B" w:rsidP="0096332A">
      <w:pPr>
        <w:widowControl w:val="0"/>
      </w:pPr>
      <w:smartTag w:uri="urn:schemas-microsoft-com:office:smarttags" w:element="City">
        <w:smartTag w:uri="urn:schemas-microsoft-com:office:smarttags" w:element="place">
          <w:r w:rsidRPr="00043B42">
            <w:t>Boston</w:t>
          </w:r>
        </w:smartTag>
        <w:r w:rsidRPr="00043B42">
          <w:t xml:space="preserve">, </w:t>
        </w:r>
        <w:smartTag w:uri="urn:schemas-microsoft-com:office:smarttags" w:element="State">
          <w:r w:rsidRPr="00043B42">
            <w:t>MA</w:t>
          </w:r>
        </w:smartTag>
        <w:r w:rsidRPr="00043B42">
          <w:t xml:space="preserve"> </w:t>
        </w:r>
        <w:smartTag w:uri="urn:schemas-microsoft-com:office:smarttags" w:element="PostalCode">
          <w:r w:rsidRPr="00043B42">
            <w:t>02108</w:t>
          </w:r>
        </w:smartTag>
      </w:smartTag>
    </w:p>
    <w:p w:rsidR="0086106B" w:rsidRPr="00043B42" w:rsidRDefault="0086106B" w:rsidP="0096332A">
      <w:pPr>
        <w:widowControl w:val="0"/>
      </w:pPr>
      <w:r w:rsidRPr="00043B42">
        <w:t>Telephone: 617-624-5</w:t>
      </w:r>
      <w:r>
        <w:t>764</w:t>
      </w:r>
    </w:p>
    <w:p w:rsidR="0086106B" w:rsidRPr="00043B42" w:rsidRDefault="0086106B" w:rsidP="0096332A">
      <w:pPr>
        <w:widowControl w:val="0"/>
      </w:pPr>
      <w:r w:rsidRPr="00043B42">
        <w:t>TTY: 617-624-5992</w:t>
      </w:r>
    </w:p>
    <w:p w:rsidR="0086106B" w:rsidRPr="00043B42" w:rsidRDefault="0086106B" w:rsidP="0096332A">
      <w:pPr>
        <w:widowControl w:val="0"/>
      </w:pPr>
      <w:r w:rsidRPr="00043B42">
        <w:t xml:space="preserve">Email:  </w:t>
      </w:r>
      <w:hyperlink r:id="rId9" w:history="1">
        <w:r w:rsidRPr="00043B42">
          <w:rPr>
            <w:rStyle w:val="Hyperlink"/>
          </w:rPr>
          <w:t>Hafsattou.diop@state.ma.us</w:t>
        </w:r>
      </w:hyperlink>
    </w:p>
    <w:p w:rsidR="0086106B" w:rsidRPr="00043B42" w:rsidRDefault="0086106B" w:rsidP="0096332A">
      <w:pPr>
        <w:widowControl w:val="0"/>
      </w:pPr>
    </w:p>
    <w:p w:rsidR="0086106B" w:rsidRPr="00043B42" w:rsidRDefault="0086106B" w:rsidP="0096332A">
      <w:r w:rsidRPr="00043B42">
        <w:t>This publication can be downloaded from the following website:</w:t>
      </w:r>
    </w:p>
    <w:p w:rsidR="0086106B" w:rsidRDefault="0086106B" w:rsidP="0096332A">
      <w:pPr>
        <w:widowControl w:val="0"/>
      </w:pPr>
    </w:p>
    <w:p w:rsidR="00A86F07" w:rsidRDefault="005F570E" w:rsidP="0096332A">
      <w:pPr>
        <w:widowControl w:val="0"/>
      </w:pPr>
      <w:hyperlink r:id="rId10" w:history="1">
        <w:r w:rsidR="00A86F07" w:rsidRPr="00A86F07">
          <w:rPr>
            <w:rStyle w:val="Hyperlink"/>
          </w:rPr>
          <w:t>Maternal Mortality and Morbidity Program</w:t>
        </w:r>
      </w:hyperlink>
    </w:p>
    <w:p w:rsidR="00A86F07" w:rsidRPr="00043B42" w:rsidRDefault="00A86F07" w:rsidP="0096332A">
      <w:pPr>
        <w:widowControl w:val="0"/>
      </w:pPr>
    </w:p>
    <w:p w:rsidR="0086106B" w:rsidRPr="00043B42" w:rsidRDefault="0086106B" w:rsidP="0096332A">
      <w:pPr>
        <w:widowControl w:val="0"/>
      </w:pPr>
      <w:r w:rsidRPr="00043B42">
        <w:t>*See Appendix A for an alphabetical list of Maternal Mortality and Morbidity Review Committee Members and MDPH and Office of Chief Medical Examiner Staff</w:t>
      </w:r>
      <w:r>
        <w:t>.</w:t>
      </w:r>
    </w:p>
    <w:p w:rsidR="0086106B" w:rsidRDefault="0086106B" w:rsidP="00C305F9">
      <w:pPr>
        <w:spacing w:after="200" w:line="276" w:lineRule="auto"/>
      </w:pPr>
      <w:r>
        <w:br w:type="page"/>
      </w:r>
    </w:p>
    <w:tbl>
      <w:tblPr>
        <w:tblW w:w="5000" w:type="pct"/>
        <w:tblInd w:w="479" w:type="dxa"/>
        <w:tblLayout w:type="fixed"/>
        <w:tblCellMar>
          <w:left w:w="0" w:type="dxa"/>
          <w:right w:w="0" w:type="dxa"/>
        </w:tblCellMar>
        <w:tblLook w:val="00A0" w:firstRow="1" w:lastRow="0" w:firstColumn="1" w:lastColumn="0" w:noHBand="0" w:noVBand="0"/>
        <w:tblCaption w:val="List of Figures"/>
      </w:tblPr>
      <w:tblGrid>
        <w:gridCol w:w="8556"/>
        <w:gridCol w:w="1460"/>
      </w:tblGrid>
      <w:tr w:rsidR="0086106B" w:rsidTr="00D811F7">
        <w:trPr>
          <w:trHeight w:val="742"/>
          <w:tblHeader/>
        </w:trPr>
        <w:tc>
          <w:tcPr>
            <w:tcW w:w="8248" w:type="dxa"/>
            <w:tcMar>
              <w:top w:w="58" w:type="dxa"/>
              <w:left w:w="58" w:type="dxa"/>
              <w:bottom w:w="58" w:type="dxa"/>
              <w:right w:w="58" w:type="dxa"/>
            </w:tcMar>
          </w:tcPr>
          <w:p w:rsidR="0086106B" w:rsidRPr="00C82101" w:rsidRDefault="00177E6D" w:rsidP="00525EA8">
            <w:pPr>
              <w:pStyle w:val="Heading1"/>
              <w:rPr>
                <w:color w:val="FF6600"/>
                <w:kern w:val="28"/>
              </w:rPr>
            </w:pPr>
            <w:bookmarkStart w:id="1" w:name="_Toc402250599"/>
            <w:r>
              <w:lastRenderedPageBreak/>
              <w:t>List of Figures</w:t>
            </w:r>
            <w:bookmarkEnd w:id="1"/>
          </w:p>
          <w:p w:rsidR="0086106B" w:rsidRPr="00C82101" w:rsidRDefault="0086106B" w:rsidP="008F5C21">
            <w:pPr>
              <w:widowControl w:val="0"/>
              <w:rPr>
                <w:b/>
                <w:bCs/>
                <w:color w:val="000000"/>
                <w:kern w:val="28"/>
                <w:sz w:val="32"/>
                <w:szCs w:val="32"/>
              </w:rPr>
            </w:pPr>
            <w:r w:rsidRPr="00C82101">
              <w:rPr>
                <w:b/>
                <w:bCs/>
                <w:sz w:val="32"/>
                <w:szCs w:val="32"/>
              </w:rPr>
              <w:t> </w:t>
            </w:r>
          </w:p>
        </w:tc>
        <w:tc>
          <w:tcPr>
            <w:tcW w:w="1408" w:type="dxa"/>
            <w:tcMar>
              <w:top w:w="58" w:type="dxa"/>
              <w:left w:w="58" w:type="dxa"/>
              <w:bottom w:w="58" w:type="dxa"/>
              <w:right w:w="58" w:type="dxa"/>
            </w:tcMar>
          </w:tcPr>
          <w:p w:rsidR="0086106B" w:rsidRPr="00C82101" w:rsidRDefault="0086106B" w:rsidP="008F5C21">
            <w:pPr>
              <w:widowControl w:val="0"/>
              <w:jc w:val="right"/>
              <w:rPr>
                <w:b/>
                <w:bCs/>
                <w:color w:val="000000"/>
                <w:kern w:val="28"/>
                <w:sz w:val="32"/>
                <w:szCs w:val="32"/>
              </w:rPr>
            </w:pPr>
          </w:p>
        </w:tc>
      </w:tr>
      <w:tr w:rsidR="0086106B" w:rsidRPr="00C82101" w:rsidTr="00D811F7">
        <w:trPr>
          <w:trHeight w:val="550"/>
        </w:trPr>
        <w:tc>
          <w:tcPr>
            <w:tcW w:w="8248" w:type="dxa"/>
            <w:tcMar>
              <w:top w:w="58" w:type="dxa"/>
              <w:left w:w="58" w:type="dxa"/>
              <w:bottom w:w="58" w:type="dxa"/>
              <w:right w:w="58" w:type="dxa"/>
            </w:tcMar>
          </w:tcPr>
          <w:p w:rsidR="0086106B" w:rsidRPr="00C82101" w:rsidRDefault="005F570E" w:rsidP="00150269">
            <w:pPr>
              <w:widowControl w:val="0"/>
              <w:ind w:left="1144" w:hanging="1144"/>
              <w:rPr>
                <w:color w:val="000000"/>
                <w:kern w:val="28"/>
                <w:sz w:val="28"/>
                <w:szCs w:val="28"/>
              </w:rPr>
            </w:pPr>
            <w:hyperlink w:anchor="Figure1" w:history="1">
              <w:r w:rsidR="0086106B" w:rsidRPr="00633CD1">
                <w:rPr>
                  <w:rStyle w:val="Hyperlink"/>
                  <w:sz w:val="28"/>
                  <w:szCs w:val="28"/>
                </w:rPr>
                <w:t xml:space="preserve">Figure 1. </w:t>
              </w:r>
              <w:r w:rsidR="0086106B" w:rsidRPr="00633CD1">
                <w:rPr>
                  <w:rStyle w:val="Hyperlink"/>
                  <w:sz w:val="28"/>
                  <w:szCs w:val="28"/>
                </w:rPr>
                <w:tab/>
                <w:t xml:space="preserve">Pregnancy- Associated Mortality Ratio, Massachusetts, </w:t>
              </w:r>
              <w:r w:rsidR="00B10581" w:rsidRPr="00633CD1">
                <w:rPr>
                  <w:rStyle w:val="Hyperlink"/>
                  <w:sz w:val="28"/>
                  <w:szCs w:val="28"/>
                </w:rPr>
                <w:br/>
              </w:r>
              <w:r w:rsidR="0086106B" w:rsidRPr="00633CD1">
                <w:rPr>
                  <w:rStyle w:val="Hyperlink"/>
                  <w:sz w:val="28"/>
                  <w:szCs w:val="28"/>
                </w:rPr>
                <w:t>2000- 2007</w:t>
              </w:r>
            </w:hyperlink>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sidRPr="00C82101">
              <w:rPr>
                <w:sz w:val="28"/>
                <w:szCs w:val="28"/>
              </w:rPr>
              <w:t>1</w:t>
            </w:r>
            <w:r>
              <w:rPr>
                <w:sz w:val="28"/>
                <w:szCs w:val="28"/>
              </w:rPr>
              <w:t>0</w:t>
            </w:r>
          </w:p>
        </w:tc>
      </w:tr>
      <w:tr w:rsidR="0086106B" w:rsidRPr="00C82101" w:rsidTr="00D811F7">
        <w:trPr>
          <w:trHeight w:val="733"/>
        </w:trPr>
        <w:tc>
          <w:tcPr>
            <w:tcW w:w="8248" w:type="dxa"/>
            <w:tcMar>
              <w:top w:w="58" w:type="dxa"/>
              <w:left w:w="58" w:type="dxa"/>
              <w:bottom w:w="58" w:type="dxa"/>
              <w:right w:w="58" w:type="dxa"/>
            </w:tcMar>
          </w:tcPr>
          <w:p w:rsidR="0086106B" w:rsidRPr="00C82101" w:rsidRDefault="005F570E" w:rsidP="008F5C21">
            <w:pPr>
              <w:widowControl w:val="0"/>
              <w:ind w:left="1144" w:hanging="1144"/>
              <w:rPr>
                <w:color w:val="000000"/>
                <w:kern w:val="28"/>
                <w:sz w:val="28"/>
                <w:szCs w:val="28"/>
              </w:rPr>
            </w:pPr>
            <w:hyperlink w:anchor="Figure2" w:history="1">
              <w:r w:rsidR="0086106B" w:rsidRPr="00633CD1">
                <w:rPr>
                  <w:rStyle w:val="Hyperlink"/>
                  <w:sz w:val="28"/>
                  <w:szCs w:val="28"/>
                </w:rPr>
                <w:t xml:space="preserve">Figure 2. </w:t>
              </w:r>
              <w:r w:rsidR="0086106B" w:rsidRPr="00633CD1">
                <w:rPr>
                  <w:rStyle w:val="Hyperlink"/>
                  <w:sz w:val="28"/>
                  <w:szCs w:val="28"/>
                </w:rPr>
                <w:tab/>
                <w:t xml:space="preserve">Pregnancy-Related Mortality Ratio, Massachusetts, </w:t>
              </w:r>
              <w:r w:rsidR="00B10581" w:rsidRPr="00633CD1">
                <w:rPr>
                  <w:rStyle w:val="Hyperlink"/>
                  <w:sz w:val="28"/>
                  <w:szCs w:val="28"/>
                </w:rPr>
                <w:br/>
              </w:r>
              <w:r w:rsidR="0086106B" w:rsidRPr="00633CD1">
                <w:rPr>
                  <w:rStyle w:val="Hyperlink"/>
                  <w:sz w:val="28"/>
                  <w:szCs w:val="28"/>
                </w:rPr>
                <w:t>2000- 2007</w:t>
              </w:r>
            </w:hyperlink>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sidRPr="00C82101">
              <w:rPr>
                <w:sz w:val="28"/>
                <w:szCs w:val="28"/>
              </w:rPr>
              <w:t>1</w:t>
            </w:r>
            <w:r>
              <w:rPr>
                <w:sz w:val="28"/>
                <w:szCs w:val="28"/>
              </w:rPr>
              <w:t>1</w:t>
            </w:r>
          </w:p>
        </w:tc>
      </w:tr>
      <w:tr w:rsidR="0086106B" w:rsidRPr="00C82101" w:rsidTr="00D811F7">
        <w:trPr>
          <w:trHeight w:val="555"/>
        </w:trPr>
        <w:tc>
          <w:tcPr>
            <w:tcW w:w="8248" w:type="dxa"/>
            <w:tcMar>
              <w:top w:w="58" w:type="dxa"/>
              <w:left w:w="58" w:type="dxa"/>
              <w:bottom w:w="58" w:type="dxa"/>
              <w:right w:w="58" w:type="dxa"/>
            </w:tcMar>
          </w:tcPr>
          <w:p w:rsidR="0086106B" w:rsidRPr="00C82101" w:rsidRDefault="005F570E" w:rsidP="00CD0B84">
            <w:pPr>
              <w:widowControl w:val="0"/>
              <w:ind w:left="1144" w:hanging="1144"/>
              <w:rPr>
                <w:color w:val="000000"/>
                <w:kern w:val="28"/>
                <w:sz w:val="28"/>
                <w:szCs w:val="28"/>
              </w:rPr>
            </w:pPr>
            <w:hyperlink w:anchor="Figure3" w:history="1">
              <w:r w:rsidR="0086106B" w:rsidRPr="00633CD1">
                <w:rPr>
                  <w:rStyle w:val="Hyperlink"/>
                  <w:sz w:val="28"/>
                  <w:szCs w:val="28"/>
                </w:rPr>
                <w:t xml:space="preserve">Figure 3. </w:t>
              </w:r>
              <w:r w:rsidR="0086106B" w:rsidRPr="00633CD1">
                <w:rPr>
                  <w:rStyle w:val="Hyperlink"/>
                  <w:sz w:val="28"/>
                  <w:szCs w:val="28"/>
                </w:rPr>
                <w:tab/>
                <w:t>Timing of Pregnancy-Associated Deaths,  Massachusetts, 2000- 2007</w:t>
              </w:r>
            </w:hyperlink>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sidRPr="00C82101">
              <w:rPr>
                <w:sz w:val="28"/>
                <w:szCs w:val="28"/>
              </w:rPr>
              <w:t>1</w:t>
            </w:r>
            <w:r>
              <w:rPr>
                <w:sz w:val="28"/>
                <w:szCs w:val="28"/>
              </w:rPr>
              <w:t>4</w:t>
            </w:r>
          </w:p>
        </w:tc>
      </w:tr>
      <w:tr w:rsidR="0086106B" w:rsidRPr="00C82101" w:rsidTr="00D811F7">
        <w:trPr>
          <w:trHeight w:val="667"/>
        </w:trPr>
        <w:tc>
          <w:tcPr>
            <w:tcW w:w="8248" w:type="dxa"/>
            <w:tcMar>
              <w:top w:w="58" w:type="dxa"/>
              <w:left w:w="58" w:type="dxa"/>
              <w:bottom w:w="58" w:type="dxa"/>
              <w:right w:w="58" w:type="dxa"/>
            </w:tcMar>
          </w:tcPr>
          <w:p w:rsidR="0086106B" w:rsidRPr="00C82101" w:rsidRDefault="005F570E" w:rsidP="008F5C21">
            <w:pPr>
              <w:widowControl w:val="0"/>
              <w:ind w:left="1144" w:hanging="1144"/>
              <w:rPr>
                <w:color w:val="000000"/>
                <w:kern w:val="28"/>
                <w:sz w:val="28"/>
                <w:szCs w:val="28"/>
              </w:rPr>
            </w:pPr>
            <w:hyperlink w:anchor="Figure4" w:history="1">
              <w:r w:rsidR="0086106B" w:rsidRPr="00633CD1">
                <w:rPr>
                  <w:rStyle w:val="Hyperlink"/>
                  <w:sz w:val="28"/>
                  <w:szCs w:val="28"/>
                </w:rPr>
                <w:t xml:space="preserve">Figure 4. </w:t>
              </w:r>
              <w:r w:rsidR="0086106B" w:rsidRPr="00633CD1">
                <w:rPr>
                  <w:rStyle w:val="Hyperlink"/>
                  <w:sz w:val="28"/>
                  <w:szCs w:val="28"/>
                </w:rPr>
                <w:tab/>
                <w:t>Timing of Pregnancy-Associated Deaths, Medical Causes, Massachusetts, 2000 - 2007</w:t>
              </w:r>
            </w:hyperlink>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Pr>
                <w:sz w:val="28"/>
                <w:szCs w:val="28"/>
              </w:rPr>
              <w:t>15</w:t>
            </w:r>
          </w:p>
        </w:tc>
      </w:tr>
      <w:tr w:rsidR="0086106B" w:rsidRPr="00C82101" w:rsidTr="00D811F7">
        <w:trPr>
          <w:trHeight w:val="667"/>
        </w:trPr>
        <w:tc>
          <w:tcPr>
            <w:tcW w:w="8248" w:type="dxa"/>
            <w:tcMar>
              <w:top w:w="58" w:type="dxa"/>
              <w:left w:w="58" w:type="dxa"/>
              <w:bottom w:w="58" w:type="dxa"/>
              <w:right w:w="58" w:type="dxa"/>
            </w:tcMar>
          </w:tcPr>
          <w:p w:rsidR="0086106B" w:rsidRPr="00C82101" w:rsidRDefault="005F570E" w:rsidP="008F5C21">
            <w:pPr>
              <w:widowControl w:val="0"/>
              <w:ind w:left="1144" w:hanging="1144"/>
              <w:rPr>
                <w:color w:val="000000"/>
                <w:kern w:val="28"/>
                <w:sz w:val="28"/>
                <w:szCs w:val="28"/>
              </w:rPr>
            </w:pPr>
            <w:hyperlink w:anchor="Figure5" w:history="1">
              <w:r w:rsidR="0086106B" w:rsidRPr="00633CD1">
                <w:rPr>
                  <w:rStyle w:val="Hyperlink"/>
                  <w:sz w:val="28"/>
                  <w:szCs w:val="28"/>
                </w:rPr>
                <w:t xml:space="preserve">Figure 5. </w:t>
              </w:r>
              <w:r w:rsidR="0086106B" w:rsidRPr="00633CD1">
                <w:rPr>
                  <w:rStyle w:val="Hyperlink"/>
                  <w:sz w:val="28"/>
                  <w:szCs w:val="28"/>
                </w:rPr>
                <w:tab/>
                <w:t>Timing of Pregnancy-Associated Deaths, Injury Causes, Massachusetts, 2000 - 2007</w:t>
              </w:r>
            </w:hyperlink>
          </w:p>
        </w:tc>
        <w:tc>
          <w:tcPr>
            <w:tcW w:w="1408" w:type="dxa"/>
            <w:tcMar>
              <w:top w:w="58" w:type="dxa"/>
              <w:left w:w="58" w:type="dxa"/>
              <w:bottom w:w="58" w:type="dxa"/>
              <w:right w:w="58" w:type="dxa"/>
            </w:tcMar>
          </w:tcPr>
          <w:p w:rsidR="0086106B" w:rsidRPr="00E812E1" w:rsidRDefault="00E812E1" w:rsidP="00B10581">
            <w:pPr>
              <w:widowControl w:val="0"/>
              <w:jc w:val="right"/>
              <w:rPr>
                <w:color w:val="000000"/>
                <w:kern w:val="28"/>
                <w:sz w:val="28"/>
                <w:szCs w:val="28"/>
              </w:rPr>
            </w:pPr>
            <w:r>
              <w:rPr>
                <w:sz w:val="28"/>
                <w:szCs w:val="28"/>
              </w:rPr>
              <w:t>16</w:t>
            </w:r>
          </w:p>
        </w:tc>
      </w:tr>
      <w:tr w:rsidR="0086106B" w:rsidRPr="00C82101" w:rsidTr="00D811F7">
        <w:trPr>
          <w:trHeight w:val="707"/>
        </w:trPr>
        <w:tc>
          <w:tcPr>
            <w:tcW w:w="8248" w:type="dxa"/>
            <w:tcMar>
              <w:top w:w="58" w:type="dxa"/>
              <w:left w:w="58" w:type="dxa"/>
              <w:bottom w:w="58" w:type="dxa"/>
              <w:right w:w="58" w:type="dxa"/>
            </w:tcMar>
          </w:tcPr>
          <w:p w:rsidR="0086106B" w:rsidRPr="00C82101" w:rsidRDefault="005F570E" w:rsidP="008F5C21">
            <w:pPr>
              <w:widowControl w:val="0"/>
              <w:ind w:left="1144" w:hanging="1144"/>
              <w:rPr>
                <w:color w:val="000000"/>
                <w:kern w:val="28"/>
                <w:sz w:val="28"/>
                <w:szCs w:val="28"/>
              </w:rPr>
            </w:pPr>
            <w:hyperlink w:anchor="Figure6" w:history="1">
              <w:r w:rsidR="0086106B" w:rsidRPr="00633CD1">
                <w:rPr>
                  <w:rStyle w:val="Hyperlink"/>
                  <w:sz w:val="28"/>
                  <w:szCs w:val="28"/>
                </w:rPr>
                <w:t>Figure 6.  Distribution of Pregnancy-Related Deaths Caused by Medical Conditions, Massachusetts, 2000 - 2007</w:t>
              </w:r>
            </w:hyperlink>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Pr>
                <w:sz w:val="28"/>
                <w:szCs w:val="28"/>
              </w:rPr>
              <w:t>17</w:t>
            </w:r>
          </w:p>
        </w:tc>
      </w:tr>
      <w:tr w:rsidR="0086106B" w:rsidRPr="00C82101" w:rsidTr="00D811F7">
        <w:trPr>
          <w:trHeight w:val="779"/>
        </w:trPr>
        <w:tc>
          <w:tcPr>
            <w:tcW w:w="8248" w:type="dxa"/>
            <w:tcMar>
              <w:top w:w="58" w:type="dxa"/>
              <w:left w:w="58" w:type="dxa"/>
              <w:bottom w:w="58" w:type="dxa"/>
              <w:right w:w="58" w:type="dxa"/>
            </w:tcMar>
          </w:tcPr>
          <w:p w:rsidR="0086106B" w:rsidRPr="00C82101" w:rsidRDefault="005F570E" w:rsidP="008F5C21">
            <w:pPr>
              <w:widowControl w:val="0"/>
              <w:ind w:left="1144" w:hanging="1144"/>
              <w:rPr>
                <w:color w:val="000000"/>
                <w:kern w:val="28"/>
                <w:sz w:val="28"/>
                <w:szCs w:val="28"/>
              </w:rPr>
            </w:pPr>
            <w:hyperlink w:anchor="Figure7" w:history="1">
              <w:r w:rsidR="0086106B" w:rsidRPr="00633CD1">
                <w:rPr>
                  <w:rStyle w:val="Hyperlink"/>
                  <w:sz w:val="28"/>
                  <w:szCs w:val="28"/>
                </w:rPr>
                <w:t>Figure 7.  Pregnancy-Associated Deaths, Medical Causes but not Pregnancy-Related, Massachusetts, 2000- 2007</w:t>
              </w:r>
              <w:r w:rsidR="0086106B" w:rsidRPr="00633CD1">
                <w:rPr>
                  <w:rStyle w:val="Hyperlink"/>
                  <w:sz w:val="28"/>
                  <w:szCs w:val="28"/>
                </w:rPr>
                <w:tab/>
              </w:r>
            </w:hyperlink>
            <w:r w:rsidR="0086106B" w:rsidRPr="00C82101">
              <w:rPr>
                <w:sz w:val="28"/>
                <w:szCs w:val="28"/>
              </w:rPr>
              <w:t xml:space="preserve"> </w:t>
            </w:r>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Pr>
                <w:sz w:val="28"/>
                <w:szCs w:val="28"/>
              </w:rPr>
              <w:t>18</w:t>
            </w:r>
          </w:p>
        </w:tc>
      </w:tr>
      <w:tr w:rsidR="0086106B" w:rsidRPr="00C82101" w:rsidTr="00D811F7">
        <w:trPr>
          <w:trHeight w:val="667"/>
        </w:trPr>
        <w:tc>
          <w:tcPr>
            <w:tcW w:w="8248" w:type="dxa"/>
            <w:tcMar>
              <w:top w:w="58" w:type="dxa"/>
              <w:left w:w="58" w:type="dxa"/>
              <w:bottom w:w="58" w:type="dxa"/>
              <w:right w:w="58" w:type="dxa"/>
            </w:tcMar>
          </w:tcPr>
          <w:p w:rsidR="0086106B" w:rsidRPr="00C82101" w:rsidRDefault="005F570E" w:rsidP="00115FB9">
            <w:pPr>
              <w:widowControl w:val="0"/>
              <w:ind w:left="1144" w:hanging="1144"/>
              <w:rPr>
                <w:color w:val="000000"/>
                <w:kern w:val="28"/>
                <w:sz w:val="28"/>
                <w:szCs w:val="28"/>
              </w:rPr>
            </w:pPr>
            <w:hyperlink w:anchor="Figure8" w:history="1">
              <w:r w:rsidR="0086106B" w:rsidRPr="00633CD1">
                <w:rPr>
                  <w:rStyle w:val="Hyperlink"/>
                  <w:sz w:val="28"/>
                  <w:szCs w:val="28"/>
                </w:rPr>
                <w:t xml:space="preserve">Figure 8.  Distribution of Injury Deaths, Massachusetts, </w:t>
              </w:r>
              <w:r w:rsidR="00B10581" w:rsidRPr="00633CD1">
                <w:rPr>
                  <w:rStyle w:val="Hyperlink"/>
                  <w:sz w:val="28"/>
                  <w:szCs w:val="28"/>
                </w:rPr>
                <w:br/>
              </w:r>
              <w:r w:rsidR="0086106B" w:rsidRPr="00633CD1">
                <w:rPr>
                  <w:rStyle w:val="Hyperlink"/>
                  <w:sz w:val="28"/>
                  <w:szCs w:val="28"/>
                </w:rPr>
                <w:t>2000- 2007</w:t>
              </w:r>
            </w:hyperlink>
            <w:r w:rsidR="0086106B" w:rsidRPr="00C82101">
              <w:rPr>
                <w:sz w:val="28"/>
                <w:szCs w:val="28"/>
              </w:rPr>
              <w:tab/>
              <w:t xml:space="preserve"> </w:t>
            </w:r>
          </w:p>
        </w:tc>
        <w:tc>
          <w:tcPr>
            <w:tcW w:w="1408" w:type="dxa"/>
            <w:tcMar>
              <w:top w:w="58" w:type="dxa"/>
              <w:left w:w="58" w:type="dxa"/>
              <w:bottom w:w="58" w:type="dxa"/>
              <w:right w:w="58" w:type="dxa"/>
            </w:tcMar>
          </w:tcPr>
          <w:p w:rsidR="0086106B" w:rsidRPr="00C82101" w:rsidRDefault="0086106B" w:rsidP="00B10581">
            <w:pPr>
              <w:widowControl w:val="0"/>
              <w:jc w:val="right"/>
              <w:rPr>
                <w:color w:val="000000"/>
                <w:kern w:val="28"/>
                <w:sz w:val="28"/>
                <w:szCs w:val="28"/>
              </w:rPr>
            </w:pPr>
            <w:r>
              <w:rPr>
                <w:sz w:val="28"/>
                <w:szCs w:val="28"/>
              </w:rPr>
              <w:t>19</w:t>
            </w:r>
          </w:p>
        </w:tc>
      </w:tr>
    </w:tbl>
    <w:tbl>
      <w:tblPr>
        <w:tblpPr w:leftFromText="180" w:rightFromText="180" w:vertAnchor="text" w:horzAnchor="margin" w:tblpXSpec="center" w:tblpY="598"/>
        <w:tblW w:w="5483" w:type="pct"/>
        <w:tblCellMar>
          <w:left w:w="0" w:type="dxa"/>
          <w:right w:w="0" w:type="dxa"/>
        </w:tblCellMar>
        <w:tblLook w:val="00A0" w:firstRow="1" w:lastRow="0" w:firstColumn="1" w:lastColumn="0" w:noHBand="0" w:noVBand="0"/>
        <w:tblCaption w:val="List of Figures"/>
      </w:tblPr>
      <w:tblGrid>
        <w:gridCol w:w="9396"/>
        <w:gridCol w:w="1027"/>
        <w:gridCol w:w="561"/>
      </w:tblGrid>
      <w:tr w:rsidR="00D811F7" w:rsidRPr="00C82101" w:rsidTr="005B2811">
        <w:trPr>
          <w:gridAfter w:val="1"/>
          <w:wAfter w:w="541" w:type="dxa"/>
          <w:trHeight w:val="797"/>
        </w:trPr>
        <w:tc>
          <w:tcPr>
            <w:tcW w:w="9057" w:type="dxa"/>
            <w:tcMar>
              <w:top w:w="58" w:type="dxa"/>
              <w:left w:w="58" w:type="dxa"/>
              <w:bottom w:w="58" w:type="dxa"/>
              <w:right w:w="58" w:type="dxa"/>
            </w:tcMar>
          </w:tcPr>
          <w:p w:rsidR="00D811F7" w:rsidRPr="004F138F" w:rsidRDefault="00177E6D" w:rsidP="00E20FB6">
            <w:pPr>
              <w:pStyle w:val="Heading1"/>
              <w:ind w:left="900"/>
            </w:pPr>
            <w:bookmarkStart w:id="2" w:name="_Toc402250600"/>
            <w:r>
              <w:t xml:space="preserve">List of </w:t>
            </w:r>
            <w:r w:rsidR="00E20FB6">
              <w:t>T</w:t>
            </w:r>
            <w:r>
              <w:t>ables</w:t>
            </w:r>
            <w:bookmarkEnd w:id="2"/>
          </w:p>
        </w:tc>
        <w:tc>
          <w:tcPr>
            <w:tcW w:w="990" w:type="dxa"/>
            <w:tcMar>
              <w:top w:w="58" w:type="dxa"/>
              <w:left w:w="58" w:type="dxa"/>
              <w:bottom w:w="58" w:type="dxa"/>
              <w:right w:w="58" w:type="dxa"/>
            </w:tcMar>
          </w:tcPr>
          <w:p w:rsidR="00D811F7" w:rsidRPr="00C82101" w:rsidRDefault="00D811F7" w:rsidP="005B2811">
            <w:pPr>
              <w:widowControl w:val="0"/>
              <w:ind w:left="900"/>
              <w:rPr>
                <w:color w:val="000000"/>
                <w:kern w:val="28"/>
              </w:rPr>
            </w:pPr>
          </w:p>
        </w:tc>
      </w:tr>
      <w:tr w:rsidR="00D811F7" w:rsidRPr="00C82101" w:rsidTr="00E84104">
        <w:trPr>
          <w:trHeight w:val="1022"/>
        </w:trPr>
        <w:tc>
          <w:tcPr>
            <w:tcW w:w="9057" w:type="dxa"/>
            <w:tcMar>
              <w:top w:w="58" w:type="dxa"/>
              <w:left w:w="58" w:type="dxa"/>
              <w:bottom w:w="58" w:type="dxa"/>
              <w:right w:w="58" w:type="dxa"/>
            </w:tcMar>
          </w:tcPr>
          <w:p w:rsidR="00D811F7" w:rsidRPr="00B10581" w:rsidRDefault="005F570E" w:rsidP="005B2811">
            <w:pPr>
              <w:ind w:left="900"/>
              <w:rPr>
                <w:sz w:val="28"/>
                <w:szCs w:val="28"/>
              </w:rPr>
            </w:pPr>
            <w:hyperlink w:anchor="Table1" w:history="1">
              <w:r w:rsidR="00D811F7" w:rsidRPr="00633CD1">
                <w:rPr>
                  <w:rStyle w:val="Hyperlink"/>
                  <w:sz w:val="28"/>
                  <w:szCs w:val="28"/>
                </w:rPr>
                <w:t xml:space="preserve">Table 1.  Pregnancy-Associated Mortality Ratios by Race, Payer at Delivery, and Education Level of Mothers, Massachusetts, 2000- 2007 </w:t>
              </w:r>
            </w:hyperlink>
            <w:r w:rsidR="00D811F7" w:rsidRPr="00B10581">
              <w:rPr>
                <w:sz w:val="28"/>
                <w:szCs w:val="28"/>
              </w:rPr>
              <w:t xml:space="preserve"> </w:t>
            </w:r>
          </w:p>
        </w:tc>
        <w:tc>
          <w:tcPr>
            <w:tcW w:w="1531" w:type="dxa"/>
            <w:gridSpan w:val="2"/>
            <w:tcMar>
              <w:top w:w="58" w:type="dxa"/>
              <w:left w:w="58" w:type="dxa"/>
              <w:bottom w:w="58" w:type="dxa"/>
              <w:right w:w="58" w:type="dxa"/>
            </w:tcMar>
          </w:tcPr>
          <w:p w:rsidR="00D811F7" w:rsidRPr="00B10581" w:rsidRDefault="00D811F7" w:rsidP="005B2811">
            <w:pPr>
              <w:ind w:left="900"/>
              <w:jc w:val="right"/>
              <w:rPr>
                <w:sz w:val="28"/>
                <w:szCs w:val="28"/>
              </w:rPr>
            </w:pPr>
            <w:r w:rsidRPr="00B10581">
              <w:rPr>
                <w:sz w:val="28"/>
                <w:szCs w:val="28"/>
              </w:rPr>
              <w:t>13</w:t>
            </w:r>
          </w:p>
        </w:tc>
      </w:tr>
      <w:tr w:rsidR="00D811F7" w:rsidRPr="00C82101" w:rsidTr="005B2811">
        <w:trPr>
          <w:trHeight w:val="943"/>
        </w:trPr>
        <w:tc>
          <w:tcPr>
            <w:tcW w:w="9057" w:type="dxa"/>
            <w:tcMar>
              <w:top w:w="58" w:type="dxa"/>
              <w:left w:w="58" w:type="dxa"/>
              <w:bottom w:w="58" w:type="dxa"/>
              <w:right w:w="58" w:type="dxa"/>
            </w:tcMar>
          </w:tcPr>
          <w:p w:rsidR="00D811F7" w:rsidRPr="00B10581" w:rsidRDefault="005F570E" w:rsidP="005B2811">
            <w:pPr>
              <w:ind w:left="900"/>
              <w:rPr>
                <w:color w:val="000000"/>
                <w:kern w:val="28"/>
                <w:sz w:val="28"/>
                <w:szCs w:val="28"/>
              </w:rPr>
            </w:pPr>
            <w:hyperlink w:anchor="Table2" w:history="1">
              <w:r w:rsidR="00D811F7" w:rsidRPr="00633CD1">
                <w:rPr>
                  <w:rStyle w:val="Hyperlink"/>
                  <w:sz w:val="28"/>
                  <w:szCs w:val="28"/>
                </w:rPr>
                <w:t xml:space="preserve">Table 2.  Preventable Pregnancy-Associated Deaths, Medical Causes, Massachusetts, 2000- 2007 </w:t>
              </w:r>
            </w:hyperlink>
            <w:r w:rsidR="00D811F7" w:rsidRPr="00B10581">
              <w:rPr>
                <w:sz w:val="28"/>
                <w:szCs w:val="28"/>
              </w:rPr>
              <w:t xml:space="preserve"> </w:t>
            </w:r>
          </w:p>
        </w:tc>
        <w:tc>
          <w:tcPr>
            <w:tcW w:w="1531" w:type="dxa"/>
            <w:gridSpan w:val="2"/>
            <w:tcMar>
              <w:top w:w="58" w:type="dxa"/>
              <w:left w:w="58" w:type="dxa"/>
              <w:bottom w:w="58" w:type="dxa"/>
              <w:right w:w="58" w:type="dxa"/>
            </w:tcMar>
          </w:tcPr>
          <w:p w:rsidR="00D811F7" w:rsidRPr="00B10581" w:rsidRDefault="00D811F7" w:rsidP="005B2811">
            <w:pPr>
              <w:ind w:left="900"/>
              <w:jc w:val="right"/>
              <w:rPr>
                <w:color w:val="000000"/>
                <w:kern w:val="28"/>
                <w:sz w:val="28"/>
                <w:szCs w:val="28"/>
              </w:rPr>
            </w:pPr>
            <w:r w:rsidRPr="00B10581">
              <w:rPr>
                <w:sz w:val="28"/>
                <w:szCs w:val="28"/>
              </w:rPr>
              <w:t>20</w:t>
            </w:r>
          </w:p>
        </w:tc>
      </w:tr>
    </w:tbl>
    <w:p w:rsidR="0086106B" w:rsidRDefault="0086106B" w:rsidP="00C305F9"/>
    <w:p w:rsidR="00B10581" w:rsidRDefault="00B10581" w:rsidP="005B2811">
      <w:pPr>
        <w:ind w:right="-450"/>
      </w:pPr>
      <w:r>
        <w:br w:type="page"/>
      </w:r>
    </w:p>
    <w:p w:rsidR="0086106B" w:rsidRPr="00C82101" w:rsidRDefault="0086106B" w:rsidP="00525EA8">
      <w:pPr>
        <w:pStyle w:val="Heading1"/>
      </w:pPr>
      <w:bookmarkStart w:id="3" w:name="_Toc402250601"/>
      <w:r w:rsidRPr="00C82101">
        <w:lastRenderedPageBreak/>
        <w:t>Summary of Findings</w:t>
      </w:r>
      <w:bookmarkEnd w:id="3"/>
    </w:p>
    <w:p w:rsidR="0086106B" w:rsidRPr="00964F30" w:rsidRDefault="0086106B" w:rsidP="001F06AE">
      <w:pPr>
        <w:rPr>
          <w:b/>
        </w:rPr>
      </w:pPr>
    </w:p>
    <w:p w:rsidR="0086106B" w:rsidRPr="00964F30" w:rsidRDefault="0086106B" w:rsidP="001F06AE">
      <w:r w:rsidRPr="00964F30">
        <w:t xml:space="preserve">Although pregnancy-associated death remains an infrequent event in </w:t>
      </w:r>
      <w:smartTag w:uri="urn:schemas-microsoft-com:office:smarttags" w:element="State">
        <w:smartTag w:uri="urn:schemas-microsoft-com:office:smarttags" w:element="place">
          <w:r w:rsidRPr="00964F30">
            <w:t>Massachusetts</w:t>
          </w:r>
        </w:smartTag>
      </w:smartTag>
      <w:r w:rsidRPr="00964F30">
        <w:t xml:space="preserve">, disparities by race/ethnicity, age, insurance type, and cause of death remain. The following highlights some key findings contained in this report: </w:t>
      </w:r>
    </w:p>
    <w:p w:rsidR="0086106B" w:rsidRPr="00964F30" w:rsidRDefault="0086106B" w:rsidP="001F06AE"/>
    <w:p w:rsidR="0086106B" w:rsidRPr="00964F30" w:rsidRDefault="0086106B" w:rsidP="001F06AE">
      <w:pPr>
        <w:numPr>
          <w:ilvl w:val="0"/>
          <w:numId w:val="7"/>
        </w:numPr>
      </w:pPr>
      <w:r w:rsidRPr="00964F30">
        <w:t>The overall pregnancy-associated mortality ratio (PAMR) was 26.1 per 100,000 live births and did not change significantly over the eight-year period.</w:t>
      </w:r>
    </w:p>
    <w:p w:rsidR="0086106B" w:rsidRPr="00964F30" w:rsidRDefault="0086106B" w:rsidP="001F06AE"/>
    <w:p w:rsidR="0086106B" w:rsidRPr="00964F30" w:rsidRDefault="0086106B" w:rsidP="001F06AE">
      <w:pPr>
        <w:numPr>
          <w:ilvl w:val="0"/>
          <w:numId w:val="7"/>
        </w:numPr>
      </w:pPr>
      <w:r w:rsidRPr="00964F30">
        <w:t>The pregnancy-relate</w:t>
      </w:r>
      <w:r>
        <w:t>d mortality ratio (PRMR) was 7.9</w:t>
      </w:r>
      <w:r w:rsidRPr="00964F30">
        <w:t xml:space="preserve"> per 100,000 live births and did not change significantly over the eight-year period. </w:t>
      </w:r>
    </w:p>
    <w:p w:rsidR="0086106B" w:rsidRPr="00964F30" w:rsidRDefault="0086106B" w:rsidP="001F06AE"/>
    <w:p w:rsidR="0086106B" w:rsidRPr="00964F30" w:rsidRDefault="0086106B" w:rsidP="001F06AE">
      <w:pPr>
        <w:numPr>
          <w:ilvl w:val="0"/>
          <w:numId w:val="7"/>
        </w:numPr>
      </w:pPr>
      <w:r w:rsidRPr="00964F30">
        <w:t xml:space="preserve">Black non-Hispanic women had a higher PAMR than women in other racial ethnic groups and their risk of dying was 1.9 </w:t>
      </w:r>
      <w:r>
        <w:t xml:space="preserve">times </w:t>
      </w:r>
      <w:r w:rsidRPr="00964F30">
        <w:t xml:space="preserve">higher compared to white non-Hispanic women. </w:t>
      </w:r>
    </w:p>
    <w:p w:rsidR="0086106B" w:rsidRPr="00964F30" w:rsidRDefault="0086106B" w:rsidP="001F06AE"/>
    <w:p w:rsidR="0086106B" w:rsidRPr="00964F30" w:rsidRDefault="0086106B" w:rsidP="001F06AE">
      <w:pPr>
        <w:numPr>
          <w:ilvl w:val="0"/>
          <w:numId w:val="7"/>
        </w:numPr>
      </w:pPr>
      <w:r w:rsidRPr="00964F30">
        <w:t>Younger (&lt;30) and older (≥35) women were more likely to die compared to women aged 30-34 years.</w:t>
      </w:r>
    </w:p>
    <w:p w:rsidR="0086106B" w:rsidRPr="00964F30" w:rsidRDefault="0086106B" w:rsidP="001F06AE"/>
    <w:p w:rsidR="0086106B" w:rsidRPr="00964F30" w:rsidRDefault="0086106B" w:rsidP="001F06AE">
      <w:pPr>
        <w:numPr>
          <w:ilvl w:val="0"/>
          <w:numId w:val="7"/>
        </w:numPr>
      </w:pPr>
      <w:r w:rsidRPr="00964F30">
        <w:t xml:space="preserve">Compared to women who had private insurance, those who had public insurance were 2.7 times </w:t>
      </w:r>
      <w:r>
        <w:t>as</w:t>
      </w:r>
      <w:r w:rsidRPr="00964F30">
        <w:t xml:space="preserve"> likely to die during pregnancy or within one year postpartum. </w:t>
      </w:r>
    </w:p>
    <w:p w:rsidR="0086106B" w:rsidRPr="00964F30" w:rsidRDefault="0086106B" w:rsidP="001F06AE"/>
    <w:p w:rsidR="0086106B" w:rsidRPr="00964F30" w:rsidRDefault="0086106B" w:rsidP="001F06AE">
      <w:pPr>
        <w:numPr>
          <w:ilvl w:val="0"/>
          <w:numId w:val="7"/>
        </w:numPr>
      </w:pPr>
      <w:r w:rsidRPr="00964F30">
        <w:t xml:space="preserve">Women with a high school education or less were more likely to die from any pregnancy-associated cause. </w:t>
      </w:r>
    </w:p>
    <w:p w:rsidR="0086106B" w:rsidRPr="00964F30" w:rsidRDefault="0086106B" w:rsidP="001F06AE"/>
    <w:p w:rsidR="0086106B" w:rsidRPr="00964F30" w:rsidRDefault="0086106B" w:rsidP="001F06AE">
      <w:pPr>
        <w:numPr>
          <w:ilvl w:val="0"/>
          <w:numId w:val="7"/>
        </w:numPr>
      </w:pPr>
      <w:r w:rsidRPr="00964F30">
        <w:t>The mortality ratios for medical and injury deaths were 17.4/100,000 and 7.9/100,000 live births, respectively.</w:t>
      </w:r>
    </w:p>
    <w:p w:rsidR="0086106B" w:rsidRPr="00964F30" w:rsidRDefault="0086106B" w:rsidP="001F06AE"/>
    <w:p w:rsidR="0086106B" w:rsidRPr="00964F30" w:rsidRDefault="0086106B" w:rsidP="001F06AE">
      <w:pPr>
        <w:numPr>
          <w:ilvl w:val="0"/>
          <w:numId w:val="7"/>
        </w:numPr>
      </w:pPr>
      <w:r w:rsidRPr="00964F30">
        <w:t xml:space="preserve">Complications of pregnancy, labor or delivery were the leading causes of pregnancy-related deaths. </w:t>
      </w:r>
    </w:p>
    <w:p w:rsidR="0086106B" w:rsidRPr="00964F30" w:rsidRDefault="0086106B" w:rsidP="001F06AE"/>
    <w:p w:rsidR="0086106B" w:rsidRDefault="0086106B" w:rsidP="00150269">
      <w:pPr>
        <w:numPr>
          <w:ilvl w:val="0"/>
          <w:numId w:val="7"/>
        </w:numPr>
        <w:rPr>
          <w:b/>
          <w:sz w:val="32"/>
        </w:rPr>
      </w:pPr>
      <w:r w:rsidRPr="00964F30">
        <w:t>Cardiovascular diseases and cancer were the leading cause of pregnancy-associated but not pregnancy-related deaths.</w:t>
      </w:r>
      <w:r w:rsidR="00150269">
        <w:rPr>
          <w:b/>
          <w:sz w:val="32"/>
        </w:rPr>
        <w:t xml:space="preserve"> </w:t>
      </w:r>
      <w:r>
        <w:rPr>
          <w:b/>
          <w:sz w:val="32"/>
        </w:rPr>
        <w:br w:type="page"/>
      </w:r>
    </w:p>
    <w:p w:rsidR="0086106B" w:rsidRPr="00E84104" w:rsidRDefault="002B374F" w:rsidP="002B374F">
      <w:pPr>
        <w:pStyle w:val="Heading1"/>
      </w:pPr>
      <w:bookmarkStart w:id="4" w:name="_Toc402250602"/>
      <w:r w:rsidRPr="00E84104">
        <w:rPr>
          <w:bCs w:val="0"/>
        </w:rPr>
        <w:lastRenderedPageBreak/>
        <w:t>I.</w:t>
      </w:r>
      <w:r w:rsidRPr="00E84104">
        <w:t xml:space="preserve"> </w:t>
      </w:r>
      <w:r w:rsidR="0086106B" w:rsidRPr="00E84104">
        <w:t>Purpose</w:t>
      </w:r>
      <w:bookmarkEnd w:id="4"/>
    </w:p>
    <w:p w:rsidR="0086106B" w:rsidRDefault="0086106B"/>
    <w:p w:rsidR="0086106B" w:rsidRDefault="0086106B">
      <w:r>
        <w:t xml:space="preserve">The purpose of this report is to present data on maternal deaths and pregnancy-associated mortality from 2000 through 2007 in </w:t>
      </w:r>
      <w:smartTag w:uri="urn:schemas-microsoft-com:office:smarttags" w:element="State">
        <w:smartTag w:uri="urn:schemas-microsoft-com:office:smarttags" w:element="place">
          <w:r>
            <w:t>Massachusetts</w:t>
          </w:r>
        </w:smartTag>
      </w:smartTag>
      <w:r>
        <w:t>. This report also suggests strategies for improving maternal health outcomes. This report covers both medical and injury-related deaths of women who died while pregnant or within one year postpartum.</w:t>
      </w:r>
    </w:p>
    <w:p w:rsidR="0086106B" w:rsidRDefault="0086106B"/>
    <w:p w:rsidR="0086106B" w:rsidRDefault="002B374F" w:rsidP="00525EA8">
      <w:pPr>
        <w:pStyle w:val="Heading1"/>
      </w:pPr>
      <w:bookmarkStart w:id="5" w:name="_Toc402250603"/>
      <w:r>
        <w:t xml:space="preserve">II. </w:t>
      </w:r>
      <w:r w:rsidR="0086106B">
        <w:t>Background</w:t>
      </w:r>
      <w:bookmarkEnd w:id="5"/>
    </w:p>
    <w:p w:rsidR="0086106B" w:rsidRDefault="0086106B"/>
    <w:p w:rsidR="0086106B" w:rsidRPr="00400FCE" w:rsidRDefault="0086106B">
      <w:r w:rsidRPr="00400FCE">
        <w:t>Maternal death, a sentinel event, has dramatically decreased in Massachusetts over the last century. There is a long history of reviewing matern</w:t>
      </w:r>
      <w:r>
        <w:t xml:space="preserve">al deaths in </w:t>
      </w:r>
      <w:smartTag w:uri="urn:schemas-microsoft-com:office:smarttags" w:element="State">
        <w:smartTag w:uri="urn:schemas-microsoft-com:office:smarttags" w:element="place">
          <w:r>
            <w:t>Massachusetts</w:t>
          </w:r>
        </w:smartTag>
      </w:smartTag>
      <w:r>
        <w:t xml:space="preserve"> which began </w:t>
      </w:r>
      <w:r w:rsidRPr="00400FCE">
        <w:t>a</w:t>
      </w:r>
      <w:r>
        <w:t>s</w:t>
      </w:r>
      <w:r w:rsidRPr="00400FCE">
        <w:t xml:space="preserve"> </w:t>
      </w:r>
      <w:r>
        <w:t xml:space="preserve">a </w:t>
      </w:r>
      <w:r w:rsidRPr="00400FCE">
        <w:t xml:space="preserve">systematic effort </w:t>
      </w:r>
      <w:r>
        <w:t xml:space="preserve">in </w:t>
      </w:r>
      <w:r w:rsidRPr="00400FCE">
        <w:t xml:space="preserve">1941 when the Committee on Maternal Welfare of the Massachusetts Medical Society initiated case reviews of maternal deaths with the goal of improving maternal health.  Since 1997, </w:t>
      </w:r>
      <w:r>
        <w:t xml:space="preserve">the </w:t>
      </w:r>
      <w:r w:rsidRPr="00400FCE">
        <w:t xml:space="preserve">Massachusetts Department of Public Health (MDPH) </w:t>
      </w:r>
      <w:r>
        <w:t xml:space="preserve">has </w:t>
      </w:r>
      <w:r w:rsidRPr="00400FCE">
        <w:t xml:space="preserve">convened the Maternal Mortality and Morbidity Review Committee (MMMRC) to review maternal deaths, study the incidence of pregnancy complications, and make recommendations to improve maternal outcomes and </w:t>
      </w:r>
      <w:r>
        <w:t>eliminate preventable maternal death</w:t>
      </w:r>
      <w:r w:rsidRPr="00400FCE">
        <w:t xml:space="preserve">.  Understanding the causes of these deaths provides insight into the factors that contributed to both maternal morbidity and mortality, which </w:t>
      </w:r>
      <w:r>
        <w:t>can</w:t>
      </w:r>
      <w:r w:rsidRPr="00400FCE">
        <w:t xml:space="preserve"> </w:t>
      </w:r>
      <w:r>
        <w:t xml:space="preserve">inform </w:t>
      </w:r>
      <w:r w:rsidRPr="00400FCE">
        <w:t xml:space="preserve">strategies to reduce the incidence of these </w:t>
      </w:r>
      <w:r>
        <w:t>tragic events</w:t>
      </w:r>
      <w:r w:rsidRPr="00400FCE">
        <w:t xml:space="preserve">. </w:t>
      </w:r>
    </w:p>
    <w:p w:rsidR="0086106B" w:rsidRPr="00400FCE" w:rsidRDefault="0086106B"/>
    <w:p w:rsidR="00150269" w:rsidRDefault="0086106B" w:rsidP="00150269">
      <w:r w:rsidRPr="00400FCE">
        <w:t xml:space="preserve">The work of the MMMRC, protected under M.G.L. c. 111, section 24A and 24B, assures the confidentiality of all records and proceedings. </w:t>
      </w:r>
      <w:r w:rsidRPr="00400FCE">
        <w:rPr>
          <w:color w:val="000000"/>
        </w:rPr>
        <w:t xml:space="preserve">The committee consists of obstetricians, certified nurse midwives, maternal fetal medicine specialists, neonatologists, pathologists, </w:t>
      </w:r>
      <w:r>
        <w:rPr>
          <w:color w:val="000000"/>
        </w:rPr>
        <w:t xml:space="preserve">critical care specialist </w:t>
      </w:r>
      <w:r w:rsidRPr="00400FCE">
        <w:rPr>
          <w:color w:val="000000"/>
        </w:rPr>
        <w:t>and the state medical examiner or his designee (See Appendix A)</w:t>
      </w:r>
      <w:r w:rsidRPr="00400FCE">
        <w:t xml:space="preserve">. </w:t>
      </w:r>
      <w:r>
        <w:t xml:space="preserve">Since 1997, the MMMRC has reviewed and summarized maternal deaths from 1990 to the most current available data. Two previous reports were published in 2000 and 2002, respectively; one of which presented the ratios, causes, and timing of medical causes of death from 1995 through 1998 and the other summarized the injury deaths from 1990 to 1999. This report will present findings from reviews of deaths occurring from 2000-2007. </w:t>
      </w:r>
      <w:r w:rsidRPr="00400FCE">
        <w:t xml:space="preserve">Over time, definitions of maternal death have evolved and case </w:t>
      </w:r>
      <w:r>
        <w:t>ascertainment</w:t>
      </w:r>
      <w:r w:rsidRPr="00400FCE">
        <w:t xml:space="preserve"> methods have improved, but the goal of promoting maternal health has remained unchanged.</w:t>
      </w:r>
    </w:p>
    <w:p w:rsidR="00150269" w:rsidRDefault="00150269" w:rsidP="00150269"/>
    <w:p w:rsidR="0086106B" w:rsidRPr="001A4349" w:rsidRDefault="0086106B" w:rsidP="002B374F">
      <w:pPr>
        <w:pStyle w:val="Heading2"/>
      </w:pPr>
      <w:bookmarkStart w:id="6" w:name="_Toc402250604"/>
      <w:r w:rsidRPr="001A4349">
        <w:t>Definition of Maternal Death Used in this Study</w:t>
      </w:r>
      <w:bookmarkEnd w:id="6"/>
    </w:p>
    <w:p w:rsidR="0086106B" w:rsidRDefault="0086106B"/>
    <w:p w:rsidR="00E84104" w:rsidRDefault="0086106B" w:rsidP="00633CD1">
      <w:r>
        <w:t xml:space="preserve">For the purpose of this report, the MMMRC used the definition of maternal mortality recommended by the Maternal Mortality Study Group, a national group jointly chaired by the Division of Reproductive Health at the Centers for Diseases Control and Prevention (CDC) and the </w:t>
      </w:r>
      <w:smartTag w:uri="urn:schemas-microsoft-com:office:smarttags" w:element="PlaceName">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smartTag>
      <w:r>
        <w:t xml:space="preserve"> of Obstetricians and Gynecologists (ACOG).  The Maternal Mortality Study Group uses the term “pregnancy-associated” instead of “maternal” to reflect the inclusion of deaths occurring during pregnancy. As such, the definition of a pregnancy-associated death is the death of a woman while pregnant or within one year of termination of pregnancy, irrespective of the cause.</w:t>
      </w:r>
      <w:r w:rsidR="00633CD1">
        <w:t xml:space="preserve"> </w:t>
      </w:r>
    </w:p>
    <w:p w:rsidR="00633CD1" w:rsidRDefault="00633CD1"/>
    <w:p w:rsidR="00633CD1" w:rsidRDefault="00633CD1">
      <w:r>
        <w:br w:type="page"/>
      </w:r>
    </w:p>
    <w:p w:rsidR="0086106B" w:rsidRDefault="0086106B">
      <w:r>
        <w:lastRenderedPageBreak/>
        <w:t>Pregnancy-associated deaths are divided into three categories:</w:t>
      </w:r>
    </w:p>
    <w:p w:rsidR="0086106B" w:rsidRDefault="0086106B">
      <w:r>
        <w:tab/>
      </w:r>
    </w:p>
    <w:p w:rsidR="0086106B" w:rsidRDefault="0086106B">
      <w:pPr>
        <w:ind w:left="720"/>
      </w:pPr>
      <w:r w:rsidRPr="00B47623">
        <w:rPr>
          <w:i/>
        </w:rPr>
        <w:t>1. Pregnancy-related.</w:t>
      </w:r>
      <w:r>
        <w:t xml:space="preserve"> The death of a woman while pregnant or within one year of termination of pregnancy, from any cause related to or aggravated by her pregnancy or its management, but not from accidental or incidental causes. For example, included under this definition is the death of a woman from postpartum hemorrhage or amniotic fluid embolism. </w:t>
      </w:r>
    </w:p>
    <w:p w:rsidR="0086106B" w:rsidRDefault="0086106B">
      <w:pPr>
        <w:ind w:left="720"/>
      </w:pPr>
    </w:p>
    <w:p w:rsidR="0086106B" w:rsidRDefault="0086106B" w:rsidP="002D5D72">
      <w:pPr>
        <w:ind w:left="720"/>
      </w:pPr>
      <w:r w:rsidRPr="00B47623">
        <w:rPr>
          <w:i/>
        </w:rPr>
        <w:t>2. Pregnancy-associated-but-not-pregnancy-related</w:t>
      </w:r>
      <w:r>
        <w:t>. The death of a woman while pregnant or within one year of termination of pregnancy due to a cause unrelated to pregnancy.</w:t>
      </w:r>
      <w:r w:rsidRPr="002D5D72">
        <w:t xml:space="preserve"> </w:t>
      </w:r>
      <w:r>
        <w:t>For example, the death of a woman from a motor vehicle collision.</w:t>
      </w:r>
    </w:p>
    <w:p w:rsidR="0086106B" w:rsidRDefault="0086106B" w:rsidP="002D5D72">
      <w:pPr>
        <w:ind w:left="720"/>
      </w:pPr>
    </w:p>
    <w:p w:rsidR="0086106B" w:rsidRDefault="0086106B">
      <w:pPr>
        <w:pStyle w:val="BodyTextIndent"/>
      </w:pPr>
      <w:r w:rsidRPr="00B47623">
        <w:rPr>
          <w:i/>
        </w:rPr>
        <w:t xml:space="preserve">3. </w:t>
      </w:r>
      <w:r>
        <w:rPr>
          <w:i/>
        </w:rPr>
        <w:t>Pregnancy-associated but u</w:t>
      </w:r>
      <w:r w:rsidRPr="00B47623">
        <w:rPr>
          <w:i/>
        </w:rPr>
        <w:t>ndetermined if pregnancy-related.</w:t>
      </w:r>
      <w:r>
        <w:t xml:space="preserve"> The death of a woman while pregnant or within one year of termination of pregnancy from a cause that cannot be determined or conclusively categorized as either pregnancy-related or not pregnancy related. </w:t>
      </w:r>
      <w:r w:rsidRPr="001445A4">
        <w:t xml:space="preserve">For example, a woman </w:t>
      </w:r>
      <w:r>
        <w:t xml:space="preserve">dies </w:t>
      </w:r>
      <w:r w:rsidRPr="001445A4">
        <w:t xml:space="preserve">at six months postpartum from a self-inflicted cause with </w:t>
      </w:r>
      <w:r>
        <w:t xml:space="preserve">an </w:t>
      </w:r>
      <w:r w:rsidRPr="001445A4">
        <w:t>unknown mental health history.</w:t>
      </w:r>
    </w:p>
    <w:p w:rsidR="0086106B" w:rsidRDefault="0086106B"/>
    <w:p w:rsidR="0086106B" w:rsidRPr="0039524E" w:rsidRDefault="0086106B">
      <w:r>
        <w:t>The MMMRC further categorizes these deaths into deaths caused by a medical condition and deaths caused by injury.</w:t>
      </w:r>
    </w:p>
    <w:p w:rsidR="0086106B" w:rsidRDefault="0086106B"/>
    <w:p w:rsidR="0086106B" w:rsidRDefault="002B374F" w:rsidP="00525EA8">
      <w:pPr>
        <w:pStyle w:val="Heading1"/>
      </w:pPr>
      <w:bookmarkStart w:id="7" w:name="_Toc402250605"/>
      <w:r>
        <w:t xml:space="preserve">III. </w:t>
      </w:r>
      <w:r w:rsidR="0086106B">
        <w:t>Methods</w:t>
      </w:r>
      <w:bookmarkEnd w:id="7"/>
    </w:p>
    <w:p w:rsidR="0086106B" w:rsidRDefault="0086106B">
      <w:pPr>
        <w:rPr>
          <w:b/>
          <w:sz w:val="28"/>
        </w:rPr>
      </w:pPr>
    </w:p>
    <w:p w:rsidR="0086106B" w:rsidRPr="002B374F" w:rsidRDefault="0086106B" w:rsidP="002B374F">
      <w:pPr>
        <w:pStyle w:val="Heading2"/>
      </w:pPr>
      <w:bookmarkStart w:id="8" w:name="_Toc402250606"/>
      <w:r w:rsidRPr="002B374F">
        <w:t>Case Finding</w:t>
      </w:r>
      <w:bookmarkEnd w:id="8"/>
    </w:p>
    <w:p w:rsidR="0086106B" w:rsidRDefault="0086106B"/>
    <w:p w:rsidR="00150269" w:rsidRDefault="0086106B">
      <w:r>
        <w:t xml:space="preserve">The MDPH used multiple methods for identifying pregnancy-associated deaths in Massachusetts from 2000 through 2007. Massachusetts hospitals are mandated by state law to report to the MDPH’s Division of Health Care Quality the death of any woman during pregnancy or within </w:t>
      </w:r>
      <w:r w:rsidRPr="00B94A9A">
        <w:t>9</w:t>
      </w:r>
      <w:r w:rsidRPr="00E80CA0">
        <w:t>0 days</w:t>
      </w:r>
      <w:r>
        <w:t xml:space="preserve"> of delivery or termination, regardless of the cause of her death, if this death occurs in a hospital setting.  First, all mandatory reports of maternal death  provided by  hospitals to the MDPH Division of Health Care Quality are also provided to the MMMRC. Second, MDPH conducted a manual and automated review of death certificates to determine whether there is an indication on the death certificate that a woman was pregnant at the time of her death. Third, MDPH employed an enhanced surveillance method linking birth certificates and fetal death certificates to death certificates of reproductive-age women. This generated a list of all women in Massachusetts who died within one year of being pregnant or giving birth. This method captured most pregnancy-associated deaths but may have missed a pregnant woman who died before 20 weeks gestation or carried a fetus weighing less than 350 grams. Fourth, the MDPH also linked maternal death data with the Pregnancy to Early Life Longitudinal (PELL) data system. The PELL data system linked the birth certificates and the fetal death records to their corresponding hospital discharge data yielding even more information on women who died while pregnant or within a year of experiencing a live birth or fetal death. Finally, a small number of maternal deaths are identified through newspaper articles, an annual report of women who died as a result of domestic violence, or informal reports from MMMRC members or members of the obstetric health care community.</w:t>
      </w:r>
    </w:p>
    <w:p w:rsidR="0086106B" w:rsidRDefault="00150269">
      <w:r>
        <w:t xml:space="preserve"> </w:t>
      </w:r>
    </w:p>
    <w:p w:rsidR="0086106B" w:rsidRPr="00E84104" w:rsidRDefault="0086106B" w:rsidP="00E84104">
      <w:pPr>
        <w:pStyle w:val="Heading2"/>
        <w:rPr>
          <w:rStyle w:val="BookTitle"/>
          <w:b/>
          <w:bCs/>
          <w:smallCaps w:val="0"/>
          <w:spacing w:val="0"/>
        </w:rPr>
      </w:pPr>
      <w:bookmarkStart w:id="9" w:name="_Toc402250607"/>
      <w:r w:rsidRPr="00E84104">
        <w:rPr>
          <w:rStyle w:val="BookTitle"/>
          <w:b/>
          <w:bCs/>
          <w:smallCaps w:val="0"/>
          <w:spacing w:val="0"/>
        </w:rPr>
        <w:lastRenderedPageBreak/>
        <w:t>Case review</w:t>
      </w:r>
      <w:bookmarkEnd w:id="9"/>
    </w:p>
    <w:p w:rsidR="0086106B" w:rsidRDefault="0086106B">
      <w:pPr>
        <w:rPr>
          <w:b/>
        </w:rPr>
      </w:pPr>
    </w:p>
    <w:p w:rsidR="0086106B" w:rsidRDefault="0086106B">
      <w:r>
        <w:t>For each identified pregnancy-associated death, MDPH staff requested and obtained copies of all available hospital medical records related to both the pregnancy and death. A primary and secondary reviewer from the MMMRC analyzed all available documents and summarized each case for the entire Committee without identifying patients, clinicians, or institutions. In addition, Committee members with expertise in oncology, neurology, internal medicine, anesthesiology, pathology, substance use disorders, infectious disease, and injury prevention were often asked to review specific cases in their field of expertise. After a case was presented by a primary and secondary MMMRC reviewer, the entire committee discussed the appropriateness of care and deliberated until consensus on the following questions was reached:</w:t>
      </w:r>
    </w:p>
    <w:p w:rsidR="0086106B" w:rsidRDefault="0086106B">
      <w:pPr>
        <w:numPr>
          <w:ilvl w:val="0"/>
          <w:numId w:val="2"/>
        </w:numPr>
      </w:pPr>
      <w:r>
        <w:t xml:space="preserve">Was the death </w:t>
      </w:r>
      <w:r w:rsidRPr="009504B5">
        <w:t>pregnancy-related?</w:t>
      </w:r>
    </w:p>
    <w:p w:rsidR="0086106B" w:rsidRDefault="0086106B">
      <w:pPr>
        <w:numPr>
          <w:ilvl w:val="0"/>
          <w:numId w:val="2"/>
        </w:numPr>
      </w:pPr>
      <w:r>
        <w:t>Was the death preventable?</w:t>
      </w:r>
    </w:p>
    <w:p w:rsidR="0086106B" w:rsidRDefault="0086106B" w:rsidP="009504B5">
      <w:pPr>
        <w:numPr>
          <w:ilvl w:val="0"/>
          <w:numId w:val="2"/>
        </w:numPr>
      </w:pPr>
      <w:r>
        <w:t>What public health and/or clinical strategies might prevent future deaths?</w:t>
      </w:r>
    </w:p>
    <w:p w:rsidR="0086106B" w:rsidRPr="009504B5" w:rsidRDefault="0086106B" w:rsidP="009504B5"/>
    <w:p w:rsidR="0086106B" w:rsidRDefault="0086106B" w:rsidP="009504B5">
      <w:r w:rsidRPr="001D33DB">
        <w:rPr>
          <w:i/>
        </w:rPr>
        <w:t xml:space="preserve">A </w:t>
      </w:r>
      <w:r>
        <w:rPr>
          <w:i/>
        </w:rPr>
        <w:t>‘</w:t>
      </w:r>
      <w:r w:rsidRPr="001D33DB">
        <w:rPr>
          <w:i/>
        </w:rPr>
        <w:t>preventable medical-related death</w:t>
      </w:r>
      <w:r>
        <w:rPr>
          <w:i/>
        </w:rPr>
        <w:t>’</w:t>
      </w:r>
      <w:r w:rsidRPr="001D33DB">
        <w:rPr>
          <w:i/>
        </w:rPr>
        <w:t xml:space="preserve"> is broadly defined as a death that may have been averted by one or more changes in the health care system related to clinical care, facility infrastructure, public health infrastructure and/or patient factors.</w:t>
      </w:r>
      <w:r w:rsidRPr="009504B5">
        <w:rPr>
          <w:i/>
        </w:rPr>
        <w:t xml:space="preserve"> Similarly a ‘preventable injury-related death</w:t>
      </w:r>
      <w:r>
        <w:rPr>
          <w:i/>
        </w:rPr>
        <w:t>’</w:t>
      </w:r>
      <w:r w:rsidRPr="009504B5">
        <w:rPr>
          <w:i/>
        </w:rPr>
        <w:t xml:space="preserve"> can be broadly defined as a death</w:t>
      </w:r>
      <w:r>
        <w:rPr>
          <w:i/>
        </w:rPr>
        <w:t xml:space="preserve"> that may have been averted by one or more changes in either the health care system or the public services system (transportation as well as social services).</w:t>
      </w:r>
    </w:p>
    <w:p w:rsidR="0086106B" w:rsidRDefault="0086106B">
      <w:pPr>
        <w:rPr>
          <w:i/>
        </w:rPr>
      </w:pPr>
    </w:p>
    <w:p w:rsidR="0086106B" w:rsidRPr="001D33DB" w:rsidRDefault="0086106B" w:rsidP="002B374F">
      <w:pPr>
        <w:pStyle w:val="Heading2"/>
      </w:pPr>
      <w:bookmarkStart w:id="10" w:name="_Toc402250608"/>
      <w:r w:rsidRPr="001D33DB">
        <w:t>Limitations</w:t>
      </w:r>
      <w:bookmarkEnd w:id="10"/>
    </w:p>
    <w:p w:rsidR="0086106B" w:rsidRDefault="0086106B">
      <w:r>
        <w:t>Records that may have provided additional information but were not available to the reviewers included ambulatory care records not part of the hospital medical records; hospital records for births or fetal deaths occurring outside of Massachusetts; and information about deaths or births occurring in non-hospital settings. Other limitations included lack of records from a transferring community hospital.</w:t>
      </w:r>
    </w:p>
    <w:p w:rsidR="0076186F" w:rsidRDefault="00E84104" w:rsidP="00525EA8">
      <w:pPr>
        <w:pStyle w:val="Heading1"/>
      </w:pPr>
      <w:r>
        <w:br/>
      </w:r>
      <w:r w:rsidR="0076186F">
        <w:br w:type="page"/>
      </w:r>
    </w:p>
    <w:p w:rsidR="0086106B" w:rsidRDefault="002B374F" w:rsidP="00525EA8">
      <w:pPr>
        <w:pStyle w:val="Heading1"/>
      </w:pPr>
      <w:bookmarkStart w:id="11" w:name="_Toc402250609"/>
      <w:r>
        <w:lastRenderedPageBreak/>
        <w:t xml:space="preserve">IV. </w:t>
      </w:r>
      <w:r w:rsidR="0086106B">
        <w:t>Results - Mortality Ratios, Causes, and Timing of Deaths</w:t>
      </w:r>
      <w:bookmarkEnd w:id="11"/>
    </w:p>
    <w:p w:rsidR="0086106B" w:rsidRDefault="0086106B">
      <w:pPr>
        <w:rPr>
          <w:b/>
          <w:sz w:val="28"/>
        </w:rPr>
      </w:pPr>
    </w:p>
    <w:p w:rsidR="0086106B" w:rsidRPr="005C5E6C" w:rsidRDefault="0086106B" w:rsidP="002B374F">
      <w:pPr>
        <w:pStyle w:val="Heading2"/>
      </w:pPr>
      <w:bookmarkStart w:id="12" w:name="_Toc402250610"/>
      <w:r w:rsidRPr="005C5E6C">
        <w:t>Pregnancy-Associated Mortality Ratio</w:t>
      </w:r>
      <w:r>
        <w:t xml:space="preserve"> </w:t>
      </w:r>
      <w:r w:rsidRPr="005C5E6C">
        <w:t xml:space="preserve">and </w:t>
      </w:r>
      <w:r>
        <w:t xml:space="preserve">Pregnancy-Related </w:t>
      </w:r>
      <w:r w:rsidRPr="005C5E6C">
        <w:t>Mortality Ratio</w:t>
      </w:r>
      <w:bookmarkEnd w:id="12"/>
    </w:p>
    <w:p w:rsidR="0086106B" w:rsidRDefault="0086106B"/>
    <w:p w:rsidR="0086106B" w:rsidRDefault="0086106B" w:rsidP="00F850E7">
      <w:r>
        <w:t xml:space="preserve">From 2000 through 2007, MDPH identified 168 maternal deaths that met the definition of a pregnancy-associated death. Of the 168 deaths, 112 (67%) were caused by medical conditions. Of the remaining deaths, 51 (30%), were caused by intentional or unintentional injuries and five were due to unknown or undetermined causes. </w:t>
      </w:r>
    </w:p>
    <w:p w:rsidR="0086106B" w:rsidRDefault="0086106B" w:rsidP="00F850E7"/>
    <w:p w:rsidR="0086106B" w:rsidRPr="002E4486" w:rsidRDefault="0086106B" w:rsidP="00150269">
      <w:r>
        <w:t>PAMR was defined as the total number of pregnancy-associated deaths over the total number of live births. The PAMR over the eight-year period was 26.1 per 100,000 live births. Trend test using Joinpoint</w:t>
      </w:r>
      <w:r>
        <w:rPr>
          <w:rStyle w:val="FootnoteReference"/>
        </w:rPr>
        <w:footnoteReference w:id="1"/>
      </w:r>
      <w:r>
        <w:t xml:space="preserve"> showed the PAMR decreased during 2000 to 2003, while it increased from 2003 to 2007. The Annual Percent Change (APC) for PAMR was -5.86 in 2000-2003 and 3.07 in 2003-2007, respectively, but neither of them was significant (Figure 1).</w:t>
      </w:r>
      <w:r w:rsidR="00150269" w:rsidRPr="002E4486">
        <w:t xml:space="preserve"> </w:t>
      </w:r>
    </w:p>
    <w:p w:rsidR="002A38C9" w:rsidRDefault="002A38C9" w:rsidP="00157ACC">
      <w:bookmarkStart w:id="13" w:name="Figure1"/>
      <w:r>
        <w:rPr>
          <w:noProof/>
        </w:rPr>
        <w:drawing>
          <wp:inline distT="0" distB="0" distL="0" distR="0" wp14:anchorId="64AAFE27" wp14:editId="0EE51635">
            <wp:extent cx="6057900" cy="4333875"/>
            <wp:effectExtent l="0" t="0" r="0" b="0"/>
            <wp:docPr id="2" name="Picture 2" title="Figure 1 titled Pregnancy-Associated Mortality Ratio and Pregnancy-Related Mortality Ratio from 2000 t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4333875"/>
                    </a:xfrm>
                    <a:prstGeom prst="rect">
                      <a:avLst/>
                    </a:prstGeom>
                    <a:noFill/>
                    <a:ln>
                      <a:noFill/>
                    </a:ln>
                  </pic:spPr>
                </pic:pic>
              </a:graphicData>
            </a:graphic>
          </wp:inline>
        </w:drawing>
      </w:r>
      <w:bookmarkStart w:id="14" w:name="_GoBack"/>
      <w:bookmarkEnd w:id="13"/>
      <w:bookmarkEnd w:id="14"/>
    </w:p>
    <w:p w:rsidR="002A38C9" w:rsidRPr="00AF3AE2" w:rsidRDefault="002A38C9" w:rsidP="002A38C9">
      <w:pPr>
        <w:pStyle w:val="Heading7"/>
        <w:keepNext/>
        <w:rPr>
          <w:rFonts w:ascii="Calibri" w:hAnsi="Calibri" w:cs="Arial"/>
          <w:sz w:val="20"/>
          <w:szCs w:val="20"/>
        </w:rPr>
      </w:pPr>
    </w:p>
    <w:p w:rsidR="0086106B" w:rsidRDefault="0086106B" w:rsidP="00157ACC">
      <w:r>
        <w:br w:type="page"/>
      </w:r>
      <w:r>
        <w:lastRenderedPageBreak/>
        <w:t xml:space="preserve">PRMR was defined as the total number of pregnancy-related deaths over the total number of live births. The overall PRMR over the eight-year period was 7.9 per 100,000 live births. The PRMR decreased during 2000 through 2007 with an insignificant APC of -0.33 (Figure 2). </w:t>
      </w:r>
    </w:p>
    <w:p w:rsidR="0086106B" w:rsidRDefault="0086106B" w:rsidP="00157ACC"/>
    <w:p w:rsidR="0086106B" w:rsidRDefault="002A38C9">
      <w:bookmarkStart w:id="15" w:name="Figure2"/>
      <w:r>
        <w:rPr>
          <w:noProof/>
        </w:rPr>
        <w:drawing>
          <wp:inline distT="0" distB="0" distL="0" distR="0" wp14:anchorId="0591A249" wp14:editId="3F0B7262">
            <wp:extent cx="6019800" cy="4095750"/>
            <wp:effectExtent l="0" t="0" r="0" b="0"/>
            <wp:docPr id="3" name="Picture 3" title="Figure 2 titled Pregnancy-related mortality ratio, Massachusetts from 2000 t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800" cy="4095750"/>
                    </a:xfrm>
                    <a:prstGeom prst="rect">
                      <a:avLst/>
                    </a:prstGeom>
                    <a:noFill/>
                    <a:ln>
                      <a:noFill/>
                    </a:ln>
                  </pic:spPr>
                </pic:pic>
              </a:graphicData>
            </a:graphic>
          </wp:inline>
        </w:drawing>
      </w:r>
      <w:bookmarkEnd w:id="15"/>
    </w:p>
    <w:p w:rsidR="0086106B" w:rsidRDefault="0086106B"/>
    <w:p w:rsidR="0086106B" w:rsidRDefault="0086106B">
      <w:r>
        <w:t>From 2000 to 2007, the mortality ratios for medical and injury deaths were 17.4/100,000 and 7.9/100,000 live births, respectively. These ratios cannot be compared to other publications due to differences in definitions and case finding methodologies.</w:t>
      </w:r>
    </w:p>
    <w:p w:rsidR="0086106B" w:rsidRDefault="0086106B"/>
    <w:p w:rsidR="0086106B" w:rsidRDefault="0086106B"/>
    <w:p w:rsidR="0086106B" w:rsidRPr="00BA67DE" w:rsidRDefault="0086106B" w:rsidP="002B374F">
      <w:pPr>
        <w:pStyle w:val="Heading2"/>
      </w:pPr>
      <w:r>
        <w:rPr>
          <w:sz w:val="32"/>
        </w:rPr>
        <w:br w:type="page"/>
      </w:r>
      <w:bookmarkStart w:id="16" w:name="_Toc402250611"/>
      <w:r w:rsidRPr="005C5E6C">
        <w:lastRenderedPageBreak/>
        <w:t xml:space="preserve">Pregnancy-Associated </w:t>
      </w:r>
      <w:r>
        <w:t xml:space="preserve">Mortality Ratios by Select Maternal </w:t>
      </w:r>
      <w:r w:rsidRPr="005C5E6C">
        <w:t>Characteristics</w:t>
      </w:r>
      <w:bookmarkEnd w:id="16"/>
      <w:r>
        <w:t xml:space="preserve"> </w:t>
      </w:r>
    </w:p>
    <w:p w:rsidR="0086106B" w:rsidRDefault="0086106B">
      <w:pPr>
        <w:rPr>
          <w:sz w:val="32"/>
        </w:rPr>
      </w:pPr>
    </w:p>
    <w:p w:rsidR="00150269" w:rsidRDefault="0086106B" w:rsidP="00150269">
      <w:pPr>
        <w:numPr>
          <w:ilvl w:val="0"/>
          <w:numId w:val="4"/>
        </w:numPr>
      </w:pPr>
      <w:r>
        <w:rPr>
          <w:b/>
        </w:rPr>
        <w:t>Race/Ethnicity</w:t>
      </w:r>
      <w:r>
        <w:t>: Overall, black non-Hispanic women were 1.9 times as likely to die during pregnancy or within one year postpartum compared to white non-Hispanic women.</w:t>
      </w:r>
    </w:p>
    <w:p w:rsidR="0086106B" w:rsidRDefault="0086106B" w:rsidP="00150269">
      <w:pPr>
        <w:ind w:left="720"/>
      </w:pPr>
      <w:r>
        <w:t xml:space="preserve"> </w:t>
      </w:r>
    </w:p>
    <w:p w:rsidR="0086106B" w:rsidRDefault="0086106B">
      <w:pPr>
        <w:numPr>
          <w:ilvl w:val="0"/>
          <w:numId w:val="4"/>
        </w:numPr>
      </w:pPr>
      <w:r>
        <w:rPr>
          <w:b/>
        </w:rPr>
        <w:t>Age</w:t>
      </w:r>
      <w:r>
        <w:t>: Younger (&lt;30) and older (≥35) women were more likely to die compared to women aged 30-34 years.</w:t>
      </w:r>
    </w:p>
    <w:p w:rsidR="0086106B" w:rsidRDefault="0086106B">
      <w:pPr>
        <w:numPr>
          <w:ilvl w:val="1"/>
          <w:numId w:val="4"/>
        </w:numPr>
      </w:pPr>
      <w:r>
        <w:t>Women older than 35 were 2.5 times as likely to die of medical causes than women aged 30-34.</w:t>
      </w:r>
    </w:p>
    <w:p w:rsidR="0086106B" w:rsidRDefault="0086106B">
      <w:pPr>
        <w:numPr>
          <w:ilvl w:val="1"/>
          <w:numId w:val="4"/>
        </w:numPr>
      </w:pPr>
      <w:r>
        <w:t>Women younger than 30 years were 3 times as likely to die of injury than women aged 30-34.</w:t>
      </w:r>
    </w:p>
    <w:p w:rsidR="0086106B" w:rsidRDefault="0086106B" w:rsidP="00D02628">
      <w:pPr>
        <w:ind w:left="1440"/>
      </w:pPr>
    </w:p>
    <w:p w:rsidR="0086106B" w:rsidRDefault="0086106B">
      <w:pPr>
        <w:numPr>
          <w:ilvl w:val="0"/>
          <w:numId w:val="4"/>
        </w:numPr>
      </w:pPr>
      <w:r>
        <w:rPr>
          <w:b/>
        </w:rPr>
        <w:t>Health Insurance at Delivery</w:t>
      </w:r>
      <w:r>
        <w:t xml:space="preserve">: Compared to women who had private insurance, those who had public insurance were 2.7 times as likely to die during pregnancy or within one year postpartum. </w:t>
      </w:r>
    </w:p>
    <w:p w:rsidR="0086106B" w:rsidRDefault="0086106B" w:rsidP="00D02628">
      <w:pPr>
        <w:ind w:left="720"/>
      </w:pPr>
    </w:p>
    <w:p w:rsidR="0086106B" w:rsidRDefault="0086106B">
      <w:pPr>
        <w:numPr>
          <w:ilvl w:val="0"/>
          <w:numId w:val="4"/>
        </w:numPr>
      </w:pPr>
      <w:r>
        <w:rPr>
          <w:b/>
        </w:rPr>
        <w:t>Education of Mother</w:t>
      </w:r>
      <w:r>
        <w:t>: Women with a high school education or less were more likely to die from any pregnancy-associated cause. Compared to women who attained more than 12 years of education, the relative risk for those who completed only 12 years of education was 2.3.  Those who completed fewer than 12 years of education were 1.7 times as likely to die as women who attained more than 12 years of education.</w:t>
      </w:r>
    </w:p>
    <w:p w:rsidR="0086106B" w:rsidRDefault="0086106B"/>
    <w:p w:rsidR="0086106B" w:rsidRDefault="0086106B" w:rsidP="008C6B3A">
      <w:pPr>
        <w:ind w:left="360"/>
        <w:rPr>
          <w:b/>
          <w:sz w:val="22"/>
        </w:rPr>
      </w:pPr>
      <w:r>
        <w:rPr>
          <w:sz w:val="22"/>
        </w:rPr>
        <w:t>Additional characteristics are presented in Table 1 below</w:t>
      </w:r>
      <w:r w:rsidRPr="004E317C">
        <w:rPr>
          <w:sz w:val="22"/>
        </w:rPr>
        <w:t xml:space="preserve">. </w:t>
      </w:r>
      <w:r>
        <w:rPr>
          <w:sz w:val="22"/>
        </w:rPr>
        <w:br w:type="page"/>
      </w:r>
      <w:bookmarkStart w:id="17" w:name="Table1"/>
      <w:bookmarkEnd w:id="17"/>
      <w:r>
        <w:rPr>
          <w:b/>
          <w:sz w:val="22"/>
        </w:rPr>
        <w:lastRenderedPageBreak/>
        <w:t>Table 1. Pregnancy-Associated Mortality Ratios by Race, Age, Payer at Delivery, and Education Level of Mothers, Massachusetts, 2000-2007</w:t>
      </w:r>
    </w:p>
    <w:p w:rsidR="0086106B" w:rsidRDefault="0086106B" w:rsidP="00775EF2">
      <w:pPr>
        <w:rPr>
          <w:sz w:val="22"/>
        </w:rPr>
      </w:pPr>
    </w:p>
    <w:tbl>
      <w:tblPr>
        <w:tblW w:w="9288" w:type="dxa"/>
        <w:tblLook w:val="0000" w:firstRow="0" w:lastRow="0" w:firstColumn="0" w:lastColumn="0" w:noHBand="0" w:noVBand="0"/>
      </w:tblPr>
      <w:tblGrid>
        <w:gridCol w:w="2948"/>
        <w:gridCol w:w="1440"/>
        <w:gridCol w:w="1389"/>
        <w:gridCol w:w="1205"/>
        <w:gridCol w:w="2306"/>
      </w:tblGrid>
      <w:tr w:rsidR="0086106B" w:rsidTr="009D187E">
        <w:trPr>
          <w:trHeight w:val="255"/>
        </w:trPr>
        <w:tc>
          <w:tcPr>
            <w:tcW w:w="2948" w:type="dxa"/>
            <w:tcBorders>
              <w:top w:val="single" w:sz="4" w:space="0" w:color="auto"/>
              <w:bottom w:val="single" w:sz="4" w:space="0" w:color="auto"/>
            </w:tcBorders>
          </w:tcPr>
          <w:p w:rsidR="0086106B" w:rsidRPr="00F53232" w:rsidRDefault="0086106B">
            <w:pPr>
              <w:jc w:val="center"/>
              <w:rPr>
                <w:b/>
              </w:rPr>
            </w:pPr>
            <w:r w:rsidRPr="00F53232">
              <w:rPr>
                <w:sz w:val="22"/>
              </w:rPr>
              <w:br w:type="page"/>
            </w:r>
          </w:p>
        </w:tc>
        <w:tc>
          <w:tcPr>
            <w:tcW w:w="1440" w:type="dxa"/>
            <w:tcBorders>
              <w:top w:val="single" w:sz="4" w:space="0" w:color="auto"/>
              <w:bottom w:val="single" w:sz="4" w:space="0" w:color="auto"/>
            </w:tcBorders>
          </w:tcPr>
          <w:p w:rsidR="0086106B" w:rsidRPr="00F53232" w:rsidRDefault="0086106B">
            <w:pPr>
              <w:jc w:val="center"/>
              <w:rPr>
                <w:b/>
              </w:rPr>
            </w:pPr>
            <w:r w:rsidRPr="00F53232">
              <w:rPr>
                <w:b/>
                <w:sz w:val="22"/>
              </w:rPr>
              <w:t>Frequency</w:t>
            </w:r>
          </w:p>
        </w:tc>
        <w:tc>
          <w:tcPr>
            <w:tcW w:w="1389" w:type="dxa"/>
            <w:tcBorders>
              <w:top w:val="single" w:sz="4" w:space="0" w:color="auto"/>
              <w:bottom w:val="single" w:sz="4" w:space="0" w:color="auto"/>
            </w:tcBorders>
          </w:tcPr>
          <w:p w:rsidR="0086106B" w:rsidRPr="00F53232" w:rsidRDefault="0086106B">
            <w:pPr>
              <w:jc w:val="center"/>
              <w:rPr>
                <w:b/>
              </w:rPr>
            </w:pPr>
            <w:r w:rsidRPr="00F53232">
              <w:rPr>
                <w:b/>
                <w:sz w:val="22"/>
              </w:rPr>
              <w:t>Percent (%)</w:t>
            </w:r>
          </w:p>
        </w:tc>
        <w:tc>
          <w:tcPr>
            <w:tcW w:w="1205" w:type="dxa"/>
            <w:tcBorders>
              <w:top w:val="single" w:sz="4" w:space="0" w:color="auto"/>
              <w:bottom w:val="single" w:sz="4" w:space="0" w:color="auto"/>
            </w:tcBorders>
            <w:noWrap/>
          </w:tcPr>
          <w:p w:rsidR="0086106B" w:rsidRPr="00F53232" w:rsidRDefault="0086106B">
            <w:pPr>
              <w:jc w:val="center"/>
              <w:rPr>
                <w:b/>
              </w:rPr>
            </w:pPr>
            <w:r w:rsidRPr="00F53232">
              <w:rPr>
                <w:b/>
                <w:sz w:val="22"/>
              </w:rPr>
              <w:t>PAMR</w:t>
            </w:r>
            <w:r w:rsidRPr="00F53232">
              <w:rPr>
                <w:b/>
                <w:sz w:val="22"/>
                <w:vertAlign w:val="superscript"/>
              </w:rPr>
              <w:t>*</w:t>
            </w:r>
          </w:p>
        </w:tc>
        <w:tc>
          <w:tcPr>
            <w:tcW w:w="2306" w:type="dxa"/>
            <w:tcBorders>
              <w:top w:val="single" w:sz="4" w:space="0" w:color="auto"/>
              <w:bottom w:val="single" w:sz="4" w:space="0" w:color="auto"/>
            </w:tcBorders>
            <w:noWrap/>
          </w:tcPr>
          <w:p w:rsidR="0086106B" w:rsidRPr="00F53232" w:rsidRDefault="0086106B">
            <w:pPr>
              <w:jc w:val="center"/>
              <w:rPr>
                <w:b/>
              </w:rPr>
            </w:pPr>
            <w:r>
              <w:rPr>
                <w:b/>
                <w:sz w:val="22"/>
              </w:rPr>
              <w:t>Risk Ratio (</w:t>
            </w:r>
            <w:r w:rsidRPr="00F53232">
              <w:rPr>
                <w:b/>
                <w:sz w:val="22"/>
              </w:rPr>
              <w:t>95% C</w:t>
            </w:r>
            <w:r>
              <w:rPr>
                <w:b/>
                <w:sz w:val="22"/>
              </w:rPr>
              <w:t>onfidence Interval)</w:t>
            </w:r>
          </w:p>
        </w:tc>
      </w:tr>
      <w:tr w:rsidR="0086106B" w:rsidTr="009D187E">
        <w:trPr>
          <w:trHeight w:val="300"/>
        </w:trPr>
        <w:tc>
          <w:tcPr>
            <w:tcW w:w="2948" w:type="dxa"/>
            <w:tcBorders>
              <w:top w:val="single" w:sz="4" w:space="0" w:color="auto"/>
            </w:tcBorders>
          </w:tcPr>
          <w:p w:rsidR="0086106B" w:rsidRPr="00F53232" w:rsidRDefault="0086106B">
            <w:pPr>
              <w:rPr>
                <w:b/>
              </w:rPr>
            </w:pPr>
            <w:r w:rsidRPr="00F53232">
              <w:rPr>
                <w:b/>
                <w:sz w:val="22"/>
              </w:rPr>
              <w:t>Race/Ethnicity</w:t>
            </w:r>
          </w:p>
        </w:tc>
        <w:tc>
          <w:tcPr>
            <w:tcW w:w="1440" w:type="dxa"/>
            <w:tcBorders>
              <w:top w:val="single" w:sz="4" w:space="0" w:color="auto"/>
            </w:tcBorders>
          </w:tcPr>
          <w:p w:rsidR="0086106B" w:rsidRPr="00F53232" w:rsidRDefault="0086106B">
            <w:pPr>
              <w:jc w:val="center"/>
              <w:rPr>
                <w:b/>
              </w:rPr>
            </w:pPr>
          </w:p>
        </w:tc>
        <w:tc>
          <w:tcPr>
            <w:tcW w:w="1389" w:type="dxa"/>
            <w:tcBorders>
              <w:top w:val="single" w:sz="4" w:space="0" w:color="auto"/>
            </w:tcBorders>
          </w:tcPr>
          <w:p w:rsidR="0086106B" w:rsidRPr="00F53232" w:rsidRDefault="0086106B">
            <w:pPr>
              <w:jc w:val="center"/>
              <w:rPr>
                <w:b/>
              </w:rPr>
            </w:pPr>
          </w:p>
        </w:tc>
        <w:tc>
          <w:tcPr>
            <w:tcW w:w="1205" w:type="dxa"/>
            <w:tcBorders>
              <w:top w:val="single" w:sz="4" w:space="0" w:color="auto"/>
            </w:tcBorders>
            <w:noWrap/>
          </w:tcPr>
          <w:p w:rsidR="0086106B" w:rsidRPr="00F53232" w:rsidRDefault="0086106B">
            <w:pPr>
              <w:jc w:val="center"/>
            </w:pPr>
          </w:p>
        </w:tc>
        <w:tc>
          <w:tcPr>
            <w:tcW w:w="2306" w:type="dxa"/>
            <w:tcBorders>
              <w:top w:val="single" w:sz="4" w:space="0" w:color="auto"/>
            </w:tcBorders>
            <w:noWrap/>
          </w:tcPr>
          <w:p w:rsidR="0086106B" w:rsidRPr="00F53232" w:rsidRDefault="0086106B">
            <w:pPr>
              <w:jc w:val="center"/>
            </w:pPr>
          </w:p>
        </w:tc>
      </w:tr>
      <w:tr w:rsidR="0086106B" w:rsidTr="009D187E">
        <w:trPr>
          <w:trHeight w:val="300"/>
        </w:trPr>
        <w:tc>
          <w:tcPr>
            <w:tcW w:w="2948" w:type="dxa"/>
          </w:tcPr>
          <w:p w:rsidR="0086106B" w:rsidRPr="00F53232" w:rsidRDefault="0086106B">
            <w:pPr>
              <w:jc w:val="center"/>
            </w:pPr>
            <w:r w:rsidRPr="00F53232">
              <w:rPr>
                <w:sz w:val="22"/>
              </w:rPr>
              <w:t>Non-Hispanic white</w:t>
            </w:r>
          </w:p>
        </w:tc>
        <w:tc>
          <w:tcPr>
            <w:tcW w:w="1440" w:type="dxa"/>
          </w:tcPr>
          <w:p w:rsidR="0086106B" w:rsidRPr="00F53232" w:rsidRDefault="0086106B">
            <w:pPr>
              <w:jc w:val="center"/>
            </w:pPr>
            <w:r w:rsidRPr="00F53232">
              <w:rPr>
                <w:sz w:val="22"/>
              </w:rPr>
              <w:t>112</w:t>
            </w:r>
          </w:p>
        </w:tc>
        <w:tc>
          <w:tcPr>
            <w:tcW w:w="1389" w:type="dxa"/>
          </w:tcPr>
          <w:p w:rsidR="0086106B" w:rsidRPr="00F53232" w:rsidRDefault="0086106B">
            <w:pPr>
              <w:jc w:val="center"/>
            </w:pPr>
            <w:r w:rsidRPr="00F53232">
              <w:rPr>
                <w:sz w:val="22"/>
              </w:rPr>
              <w:t>64.3</w:t>
            </w:r>
          </w:p>
        </w:tc>
        <w:tc>
          <w:tcPr>
            <w:tcW w:w="1205" w:type="dxa"/>
            <w:noWrap/>
          </w:tcPr>
          <w:p w:rsidR="0086106B" w:rsidRPr="00F53232" w:rsidRDefault="0086106B">
            <w:pPr>
              <w:jc w:val="center"/>
            </w:pPr>
            <w:r w:rsidRPr="00F53232">
              <w:rPr>
                <w:sz w:val="22"/>
              </w:rPr>
              <w:t>24.5</w:t>
            </w:r>
          </w:p>
        </w:tc>
        <w:tc>
          <w:tcPr>
            <w:tcW w:w="2306" w:type="dxa"/>
            <w:noWrap/>
          </w:tcPr>
          <w:p w:rsidR="0086106B" w:rsidRPr="00F53232" w:rsidRDefault="0086106B">
            <w:pPr>
              <w:jc w:val="center"/>
            </w:pPr>
            <w:r w:rsidRPr="00F53232">
              <w:rPr>
                <w:sz w:val="22"/>
              </w:rPr>
              <w:t>1.0</w:t>
            </w:r>
          </w:p>
        </w:tc>
      </w:tr>
      <w:tr w:rsidR="0086106B" w:rsidTr="009D187E">
        <w:trPr>
          <w:trHeight w:val="300"/>
        </w:trPr>
        <w:tc>
          <w:tcPr>
            <w:tcW w:w="2948" w:type="dxa"/>
          </w:tcPr>
          <w:p w:rsidR="0086106B" w:rsidRPr="00F53232" w:rsidRDefault="0086106B">
            <w:pPr>
              <w:jc w:val="center"/>
            </w:pPr>
            <w:r w:rsidRPr="00F53232">
              <w:rPr>
                <w:sz w:val="22"/>
              </w:rPr>
              <w:t>Non-Hispanic black</w:t>
            </w:r>
          </w:p>
        </w:tc>
        <w:tc>
          <w:tcPr>
            <w:tcW w:w="1440" w:type="dxa"/>
          </w:tcPr>
          <w:p w:rsidR="0086106B" w:rsidRPr="00F53232" w:rsidRDefault="0086106B">
            <w:pPr>
              <w:jc w:val="center"/>
            </w:pPr>
            <w:r w:rsidRPr="00F53232">
              <w:rPr>
                <w:sz w:val="22"/>
              </w:rPr>
              <w:t>23</w:t>
            </w:r>
          </w:p>
        </w:tc>
        <w:tc>
          <w:tcPr>
            <w:tcW w:w="1389" w:type="dxa"/>
          </w:tcPr>
          <w:p w:rsidR="0086106B" w:rsidRPr="00F53232" w:rsidRDefault="0086106B">
            <w:pPr>
              <w:jc w:val="center"/>
            </w:pPr>
            <w:r w:rsidRPr="00F53232">
              <w:rPr>
                <w:sz w:val="22"/>
              </w:rPr>
              <w:t>13.1</w:t>
            </w:r>
          </w:p>
        </w:tc>
        <w:tc>
          <w:tcPr>
            <w:tcW w:w="1205" w:type="dxa"/>
            <w:noWrap/>
          </w:tcPr>
          <w:p w:rsidR="0086106B" w:rsidRPr="00F53232" w:rsidRDefault="0086106B">
            <w:pPr>
              <w:jc w:val="center"/>
            </w:pPr>
            <w:r w:rsidRPr="00F53232">
              <w:rPr>
                <w:sz w:val="22"/>
              </w:rPr>
              <w:t>47.3</w:t>
            </w:r>
          </w:p>
        </w:tc>
        <w:tc>
          <w:tcPr>
            <w:tcW w:w="2306" w:type="dxa"/>
            <w:noWrap/>
          </w:tcPr>
          <w:p w:rsidR="0086106B" w:rsidRPr="0088112C" w:rsidRDefault="0086106B">
            <w:pPr>
              <w:jc w:val="center"/>
              <w:rPr>
                <w:b/>
                <w:i/>
              </w:rPr>
            </w:pPr>
            <w:r>
              <w:rPr>
                <w:b/>
                <w:i/>
                <w:sz w:val="22"/>
              </w:rPr>
              <w:t>1.9</w:t>
            </w:r>
            <w:r w:rsidRPr="0088112C">
              <w:rPr>
                <w:b/>
                <w:i/>
                <w:sz w:val="22"/>
              </w:rPr>
              <w:t xml:space="preserve"> (</w:t>
            </w:r>
            <w:r w:rsidRPr="00D03110">
              <w:rPr>
                <w:b/>
                <w:i/>
                <w:sz w:val="22"/>
              </w:rPr>
              <w:t>1.</w:t>
            </w:r>
            <w:r>
              <w:rPr>
                <w:b/>
                <w:i/>
                <w:sz w:val="22"/>
              </w:rPr>
              <w:t>2</w:t>
            </w:r>
            <w:r w:rsidRPr="00D03110">
              <w:rPr>
                <w:b/>
                <w:i/>
                <w:sz w:val="22"/>
              </w:rPr>
              <w:t>-3.</w:t>
            </w:r>
            <w:r>
              <w:rPr>
                <w:b/>
                <w:i/>
                <w:sz w:val="22"/>
              </w:rPr>
              <w:t>0</w:t>
            </w:r>
            <w:r w:rsidRPr="00D03110">
              <w:rPr>
                <w:b/>
                <w:i/>
                <w:sz w:val="22"/>
              </w:rPr>
              <w:t>)</w:t>
            </w:r>
          </w:p>
        </w:tc>
      </w:tr>
      <w:tr w:rsidR="0086106B" w:rsidTr="009D187E">
        <w:trPr>
          <w:trHeight w:val="300"/>
        </w:trPr>
        <w:tc>
          <w:tcPr>
            <w:tcW w:w="2948" w:type="dxa"/>
          </w:tcPr>
          <w:p w:rsidR="0086106B" w:rsidRPr="00F53232" w:rsidRDefault="0086106B">
            <w:pPr>
              <w:jc w:val="center"/>
            </w:pPr>
            <w:r w:rsidRPr="00F53232">
              <w:rPr>
                <w:sz w:val="22"/>
              </w:rPr>
              <w:t>Hispanic</w:t>
            </w:r>
          </w:p>
        </w:tc>
        <w:tc>
          <w:tcPr>
            <w:tcW w:w="1440" w:type="dxa"/>
          </w:tcPr>
          <w:p w:rsidR="0086106B" w:rsidRPr="00F53232" w:rsidRDefault="0086106B">
            <w:pPr>
              <w:jc w:val="center"/>
            </w:pPr>
            <w:r w:rsidRPr="00F53232">
              <w:rPr>
                <w:sz w:val="22"/>
              </w:rPr>
              <w:t>19</w:t>
            </w:r>
          </w:p>
        </w:tc>
        <w:tc>
          <w:tcPr>
            <w:tcW w:w="1389" w:type="dxa"/>
          </w:tcPr>
          <w:p w:rsidR="0086106B" w:rsidRPr="00F53232" w:rsidRDefault="0086106B">
            <w:pPr>
              <w:jc w:val="center"/>
            </w:pPr>
            <w:r w:rsidRPr="00F53232">
              <w:rPr>
                <w:sz w:val="22"/>
              </w:rPr>
              <w:t>10.7</w:t>
            </w:r>
          </w:p>
        </w:tc>
        <w:tc>
          <w:tcPr>
            <w:tcW w:w="1205" w:type="dxa"/>
            <w:noWrap/>
          </w:tcPr>
          <w:p w:rsidR="0086106B" w:rsidRPr="00F53232" w:rsidRDefault="0086106B">
            <w:pPr>
              <w:jc w:val="center"/>
            </w:pPr>
            <w:r w:rsidRPr="00F53232">
              <w:rPr>
                <w:sz w:val="22"/>
              </w:rPr>
              <w:t>23.8</w:t>
            </w:r>
          </w:p>
        </w:tc>
        <w:tc>
          <w:tcPr>
            <w:tcW w:w="2306" w:type="dxa"/>
            <w:noWrap/>
          </w:tcPr>
          <w:p w:rsidR="0086106B" w:rsidRPr="00F53232" w:rsidRDefault="0086106B">
            <w:pPr>
              <w:jc w:val="center"/>
            </w:pPr>
            <w:r w:rsidRPr="00F53232">
              <w:rPr>
                <w:sz w:val="22"/>
              </w:rPr>
              <w:t>1.0</w:t>
            </w:r>
            <w:r>
              <w:rPr>
                <w:sz w:val="22"/>
              </w:rPr>
              <w:t xml:space="preserve"> (</w:t>
            </w:r>
            <w:r w:rsidRPr="00F53232">
              <w:rPr>
                <w:sz w:val="22"/>
              </w:rPr>
              <w:t>0.6-1.6</w:t>
            </w:r>
            <w:r>
              <w:rPr>
                <w:sz w:val="22"/>
              </w:rPr>
              <w:t>)</w:t>
            </w:r>
          </w:p>
        </w:tc>
      </w:tr>
      <w:tr w:rsidR="0086106B" w:rsidTr="009D187E">
        <w:trPr>
          <w:trHeight w:val="300"/>
        </w:trPr>
        <w:tc>
          <w:tcPr>
            <w:tcW w:w="2948" w:type="dxa"/>
          </w:tcPr>
          <w:p w:rsidR="0086106B" w:rsidRPr="00F53232" w:rsidRDefault="0086106B">
            <w:pPr>
              <w:jc w:val="center"/>
            </w:pPr>
            <w:r w:rsidRPr="00F53232">
              <w:rPr>
                <w:sz w:val="22"/>
              </w:rPr>
              <w:t xml:space="preserve">Asian </w:t>
            </w:r>
            <w:r>
              <w:rPr>
                <w:sz w:val="22"/>
              </w:rPr>
              <w:t>P</w:t>
            </w:r>
            <w:r w:rsidRPr="00F53232">
              <w:rPr>
                <w:sz w:val="22"/>
              </w:rPr>
              <w:t>acific</w:t>
            </w:r>
          </w:p>
        </w:tc>
        <w:tc>
          <w:tcPr>
            <w:tcW w:w="1440" w:type="dxa"/>
          </w:tcPr>
          <w:p w:rsidR="0086106B" w:rsidRPr="00F53232" w:rsidRDefault="0086106B">
            <w:pPr>
              <w:jc w:val="center"/>
            </w:pPr>
            <w:r w:rsidRPr="00F53232">
              <w:rPr>
                <w:sz w:val="22"/>
              </w:rPr>
              <w:t>9</w:t>
            </w:r>
          </w:p>
        </w:tc>
        <w:tc>
          <w:tcPr>
            <w:tcW w:w="1389" w:type="dxa"/>
          </w:tcPr>
          <w:p w:rsidR="0086106B" w:rsidRPr="00F53232" w:rsidRDefault="0086106B">
            <w:pPr>
              <w:jc w:val="center"/>
            </w:pPr>
            <w:r w:rsidRPr="00F53232">
              <w:rPr>
                <w:sz w:val="22"/>
              </w:rPr>
              <w:t>5.4</w:t>
            </w:r>
          </w:p>
        </w:tc>
        <w:tc>
          <w:tcPr>
            <w:tcW w:w="1205" w:type="dxa"/>
            <w:noWrap/>
          </w:tcPr>
          <w:p w:rsidR="0086106B" w:rsidRPr="00F53232" w:rsidRDefault="0086106B">
            <w:pPr>
              <w:jc w:val="center"/>
            </w:pPr>
            <w:r w:rsidRPr="00F53232">
              <w:rPr>
                <w:sz w:val="22"/>
              </w:rPr>
              <w:t>21.2</w:t>
            </w:r>
          </w:p>
        </w:tc>
        <w:tc>
          <w:tcPr>
            <w:tcW w:w="2306" w:type="dxa"/>
            <w:noWrap/>
          </w:tcPr>
          <w:p w:rsidR="0086106B" w:rsidRPr="00F53232" w:rsidRDefault="0086106B">
            <w:pPr>
              <w:jc w:val="center"/>
            </w:pPr>
            <w:r w:rsidRPr="00F53232">
              <w:rPr>
                <w:sz w:val="22"/>
              </w:rPr>
              <w:t>0.9</w:t>
            </w:r>
            <w:r>
              <w:rPr>
                <w:sz w:val="22"/>
              </w:rPr>
              <w:t xml:space="preserve"> (</w:t>
            </w:r>
            <w:r w:rsidRPr="00F53232">
              <w:rPr>
                <w:sz w:val="22"/>
              </w:rPr>
              <w:t>0.4-1.7</w:t>
            </w:r>
            <w:r>
              <w:rPr>
                <w:sz w:val="22"/>
              </w:rPr>
              <w:t>)</w:t>
            </w:r>
          </w:p>
        </w:tc>
      </w:tr>
      <w:tr w:rsidR="0086106B" w:rsidTr="009D187E">
        <w:trPr>
          <w:trHeight w:val="300"/>
        </w:trPr>
        <w:tc>
          <w:tcPr>
            <w:tcW w:w="2948" w:type="dxa"/>
          </w:tcPr>
          <w:p w:rsidR="0086106B" w:rsidRPr="00F53232" w:rsidRDefault="0086106B">
            <w:pPr>
              <w:jc w:val="center"/>
            </w:pPr>
            <w:r>
              <w:rPr>
                <w:sz w:val="22"/>
              </w:rPr>
              <w:t xml:space="preserve">Non-Hispanic </w:t>
            </w:r>
            <w:r w:rsidRPr="00F53232">
              <w:rPr>
                <w:sz w:val="22"/>
              </w:rPr>
              <w:t>American Indians and others</w:t>
            </w:r>
          </w:p>
        </w:tc>
        <w:tc>
          <w:tcPr>
            <w:tcW w:w="1440" w:type="dxa"/>
          </w:tcPr>
          <w:p w:rsidR="0086106B" w:rsidRPr="00F53232" w:rsidRDefault="0086106B">
            <w:pPr>
              <w:jc w:val="center"/>
            </w:pPr>
            <w:r w:rsidRPr="00F53232">
              <w:rPr>
                <w:sz w:val="22"/>
              </w:rPr>
              <w:t>5</w:t>
            </w:r>
          </w:p>
        </w:tc>
        <w:tc>
          <w:tcPr>
            <w:tcW w:w="1389" w:type="dxa"/>
          </w:tcPr>
          <w:p w:rsidR="0086106B" w:rsidRPr="00F53232" w:rsidRDefault="0086106B">
            <w:pPr>
              <w:jc w:val="center"/>
            </w:pPr>
            <w:r w:rsidRPr="00F53232">
              <w:rPr>
                <w:sz w:val="22"/>
              </w:rPr>
              <w:t>3.0</w:t>
            </w:r>
          </w:p>
        </w:tc>
        <w:tc>
          <w:tcPr>
            <w:tcW w:w="1205" w:type="dxa"/>
            <w:noWrap/>
          </w:tcPr>
          <w:p w:rsidR="0086106B" w:rsidRPr="00F53232" w:rsidRDefault="0086106B">
            <w:pPr>
              <w:jc w:val="center"/>
            </w:pPr>
            <w:r w:rsidRPr="00F53232">
              <w:rPr>
                <w:sz w:val="22"/>
              </w:rPr>
              <w:t>36.1</w:t>
            </w:r>
          </w:p>
        </w:tc>
        <w:tc>
          <w:tcPr>
            <w:tcW w:w="2306" w:type="dxa"/>
            <w:noWrap/>
          </w:tcPr>
          <w:p w:rsidR="0086106B" w:rsidRPr="00F53232" w:rsidRDefault="0086106B">
            <w:pPr>
              <w:jc w:val="center"/>
            </w:pPr>
            <w:r w:rsidRPr="00F53232">
              <w:rPr>
                <w:sz w:val="22"/>
              </w:rPr>
              <w:t>1.5</w:t>
            </w:r>
            <w:r>
              <w:rPr>
                <w:sz w:val="22"/>
              </w:rPr>
              <w:t xml:space="preserve"> (</w:t>
            </w:r>
            <w:r w:rsidRPr="00F53232">
              <w:rPr>
                <w:sz w:val="22"/>
              </w:rPr>
              <w:t>0.6-3.6</w:t>
            </w:r>
            <w:r>
              <w:rPr>
                <w:sz w:val="22"/>
              </w:rPr>
              <w:t>)</w:t>
            </w:r>
          </w:p>
        </w:tc>
      </w:tr>
      <w:tr w:rsidR="0086106B" w:rsidTr="009D187E">
        <w:trPr>
          <w:trHeight w:val="300"/>
        </w:trPr>
        <w:tc>
          <w:tcPr>
            <w:tcW w:w="2948" w:type="dxa"/>
          </w:tcPr>
          <w:p w:rsidR="0086106B" w:rsidRPr="00F53232" w:rsidRDefault="0086106B">
            <w:pPr>
              <w:rPr>
                <w:b/>
              </w:rPr>
            </w:pPr>
            <w:r w:rsidRPr="00F53232">
              <w:rPr>
                <w:b/>
                <w:sz w:val="22"/>
              </w:rPr>
              <w:t>Age, years</w:t>
            </w:r>
          </w:p>
        </w:tc>
        <w:tc>
          <w:tcPr>
            <w:tcW w:w="1440" w:type="dxa"/>
            <w:noWrap/>
          </w:tcPr>
          <w:p w:rsidR="0086106B" w:rsidRPr="00F53232" w:rsidRDefault="0086106B">
            <w:pPr>
              <w:jc w:val="center"/>
            </w:pPr>
          </w:p>
        </w:tc>
        <w:tc>
          <w:tcPr>
            <w:tcW w:w="1389" w:type="dxa"/>
            <w:noWrap/>
          </w:tcPr>
          <w:p w:rsidR="0086106B" w:rsidRPr="00F53232" w:rsidRDefault="0086106B">
            <w:pPr>
              <w:jc w:val="center"/>
            </w:pPr>
          </w:p>
        </w:tc>
        <w:tc>
          <w:tcPr>
            <w:tcW w:w="1205" w:type="dxa"/>
            <w:noWrap/>
          </w:tcPr>
          <w:p w:rsidR="0086106B" w:rsidRPr="00F53232" w:rsidRDefault="0086106B">
            <w:pPr>
              <w:jc w:val="center"/>
            </w:pPr>
          </w:p>
        </w:tc>
        <w:tc>
          <w:tcPr>
            <w:tcW w:w="2306" w:type="dxa"/>
            <w:noWrap/>
          </w:tcPr>
          <w:p w:rsidR="0086106B" w:rsidRPr="00F53232" w:rsidRDefault="0086106B">
            <w:pPr>
              <w:jc w:val="center"/>
            </w:pPr>
          </w:p>
        </w:tc>
      </w:tr>
      <w:tr w:rsidR="0086106B" w:rsidTr="009D187E">
        <w:trPr>
          <w:trHeight w:val="300"/>
        </w:trPr>
        <w:tc>
          <w:tcPr>
            <w:tcW w:w="2948" w:type="dxa"/>
          </w:tcPr>
          <w:p w:rsidR="0086106B" w:rsidRPr="00F53232" w:rsidRDefault="0086106B">
            <w:pPr>
              <w:jc w:val="center"/>
            </w:pPr>
            <w:r w:rsidRPr="00F53232">
              <w:rPr>
                <w:sz w:val="22"/>
              </w:rPr>
              <w:t>&lt;30</w:t>
            </w:r>
          </w:p>
        </w:tc>
        <w:tc>
          <w:tcPr>
            <w:tcW w:w="1440" w:type="dxa"/>
          </w:tcPr>
          <w:p w:rsidR="0086106B" w:rsidRPr="00F53232" w:rsidRDefault="0086106B">
            <w:pPr>
              <w:jc w:val="center"/>
            </w:pPr>
            <w:r w:rsidRPr="00F53232">
              <w:rPr>
                <w:sz w:val="22"/>
              </w:rPr>
              <w:t>81</w:t>
            </w:r>
          </w:p>
        </w:tc>
        <w:tc>
          <w:tcPr>
            <w:tcW w:w="1389" w:type="dxa"/>
          </w:tcPr>
          <w:p w:rsidR="0086106B" w:rsidRPr="00F53232" w:rsidRDefault="0086106B">
            <w:pPr>
              <w:jc w:val="center"/>
            </w:pPr>
            <w:r w:rsidRPr="00F53232">
              <w:rPr>
                <w:sz w:val="22"/>
              </w:rPr>
              <w:t>48.2</w:t>
            </w:r>
          </w:p>
        </w:tc>
        <w:tc>
          <w:tcPr>
            <w:tcW w:w="1205" w:type="dxa"/>
            <w:noWrap/>
          </w:tcPr>
          <w:p w:rsidR="0086106B" w:rsidRPr="00F53232" w:rsidRDefault="0086106B">
            <w:pPr>
              <w:jc w:val="center"/>
            </w:pPr>
            <w:r w:rsidRPr="00F53232">
              <w:rPr>
                <w:sz w:val="22"/>
              </w:rPr>
              <w:t>28.1</w:t>
            </w:r>
          </w:p>
        </w:tc>
        <w:tc>
          <w:tcPr>
            <w:tcW w:w="2306" w:type="dxa"/>
            <w:noWrap/>
          </w:tcPr>
          <w:p w:rsidR="0086106B" w:rsidRPr="0088112C" w:rsidRDefault="0086106B">
            <w:pPr>
              <w:jc w:val="center"/>
              <w:rPr>
                <w:b/>
                <w:i/>
              </w:rPr>
            </w:pPr>
            <w:r w:rsidRPr="0088112C">
              <w:rPr>
                <w:b/>
                <w:i/>
                <w:sz w:val="22"/>
              </w:rPr>
              <w:t>1.8 (</w:t>
            </w:r>
            <w:r w:rsidRPr="00D03110">
              <w:rPr>
                <w:b/>
                <w:i/>
                <w:sz w:val="22"/>
              </w:rPr>
              <w:t>1.2-2.7)</w:t>
            </w:r>
          </w:p>
        </w:tc>
      </w:tr>
      <w:tr w:rsidR="0086106B" w:rsidTr="009D187E">
        <w:trPr>
          <w:trHeight w:val="300"/>
        </w:trPr>
        <w:tc>
          <w:tcPr>
            <w:tcW w:w="2948" w:type="dxa"/>
          </w:tcPr>
          <w:p w:rsidR="0086106B" w:rsidRPr="00F53232" w:rsidRDefault="0086106B">
            <w:pPr>
              <w:jc w:val="center"/>
            </w:pPr>
            <w:r w:rsidRPr="00F53232">
              <w:rPr>
                <w:sz w:val="22"/>
              </w:rPr>
              <w:t>30-34</w:t>
            </w:r>
          </w:p>
        </w:tc>
        <w:tc>
          <w:tcPr>
            <w:tcW w:w="1440" w:type="dxa"/>
          </w:tcPr>
          <w:p w:rsidR="0086106B" w:rsidRPr="00F53232" w:rsidRDefault="0086106B">
            <w:pPr>
              <w:jc w:val="center"/>
            </w:pPr>
            <w:r w:rsidRPr="00F53232">
              <w:rPr>
                <w:sz w:val="22"/>
              </w:rPr>
              <w:t>34</w:t>
            </w:r>
          </w:p>
        </w:tc>
        <w:tc>
          <w:tcPr>
            <w:tcW w:w="1389" w:type="dxa"/>
          </w:tcPr>
          <w:p w:rsidR="0086106B" w:rsidRPr="00F53232" w:rsidRDefault="0086106B">
            <w:pPr>
              <w:jc w:val="center"/>
            </w:pPr>
            <w:r w:rsidRPr="00F53232">
              <w:rPr>
                <w:sz w:val="22"/>
              </w:rPr>
              <w:t>20.2</w:t>
            </w:r>
          </w:p>
        </w:tc>
        <w:tc>
          <w:tcPr>
            <w:tcW w:w="1205" w:type="dxa"/>
            <w:noWrap/>
          </w:tcPr>
          <w:p w:rsidR="0086106B" w:rsidRPr="00F53232" w:rsidRDefault="0086106B">
            <w:pPr>
              <w:jc w:val="center"/>
            </w:pPr>
            <w:r w:rsidRPr="00F53232">
              <w:rPr>
                <w:sz w:val="22"/>
              </w:rPr>
              <w:t>16.4</w:t>
            </w:r>
          </w:p>
        </w:tc>
        <w:tc>
          <w:tcPr>
            <w:tcW w:w="2306" w:type="dxa"/>
            <w:noWrap/>
          </w:tcPr>
          <w:p w:rsidR="0086106B" w:rsidRPr="00F53232" w:rsidRDefault="0086106B">
            <w:pPr>
              <w:jc w:val="center"/>
            </w:pPr>
            <w:r w:rsidRPr="00F53232">
              <w:rPr>
                <w:sz w:val="22"/>
              </w:rPr>
              <w:t>1.0</w:t>
            </w:r>
          </w:p>
        </w:tc>
      </w:tr>
      <w:tr w:rsidR="0086106B" w:rsidTr="009D187E">
        <w:trPr>
          <w:trHeight w:val="300"/>
        </w:trPr>
        <w:tc>
          <w:tcPr>
            <w:tcW w:w="2948" w:type="dxa"/>
          </w:tcPr>
          <w:p w:rsidR="0086106B" w:rsidRPr="00F53232" w:rsidRDefault="0086106B">
            <w:pPr>
              <w:jc w:val="center"/>
            </w:pPr>
            <w:r w:rsidRPr="00F53232">
              <w:rPr>
                <w:sz w:val="22"/>
              </w:rPr>
              <w:t>≥35</w:t>
            </w:r>
          </w:p>
        </w:tc>
        <w:tc>
          <w:tcPr>
            <w:tcW w:w="1440" w:type="dxa"/>
          </w:tcPr>
          <w:p w:rsidR="0086106B" w:rsidRPr="00F53232" w:rsidRDefault="0086106B">
            <w:pPr>
              <w:jc w:val="center"/>
            </w:pPr>
            <w:r w:rsidRPr="00F53232">
              <w:rPr>
                <w:sz w:val="22"/>
              </w:rPr>
              <w:t>53</w:t>
            </w:r>
          </w:p>
        </w:tc>
        <w:tc>
          <w:tcPr>
            <w:tcW w:w="1389" w:type="dxa"/>
          </w:tcPr>
          <w:p w:rsidR="0086106B" w:rsidRPr="00F53232" w:rsidRDefault="0086106B">
            <w:pPr>
              <w:jc w:val="center"/>
            </w:pPr>
            <w:r w:rsidRPr="00F53232">
              <w:rPr>
                <w:sz w:val="22"/>
              </w:rPr>
              <w:t>31.6</w:t>
            </w:r>
          </w:p>
        </w:tc>
        <w:tc>
          <w:tcPr>
            <w:tcW w:w="1205" w:type="dxa"/>
            <w:noWrap/>
          </w:tcPr>
          <w:p w:rsidR="0086106B" w:rsidRPr="00F53232" w:rsidRDefault="0086106B">
            <w:pPr>
              <w:jc w:val="center"/>
            </w:pPr>
            <w:r w:rsidRPr="00F53232">
              <w:rPr>
                <w:sz w:val="22"/>
              </w:rPr>
              <w:t>36.1</w:t>
            </w:r>
          </w:p>
        </w:tc>
        <w:tc>
          <w:tcPr>
            <w:tcW w:w="2306" w:type="dxa"/>
            <w:noWrap/>
          </w:tcPr>
          <w:p w:rsidR="0086106B" w:rsidRPr="0088112C" w:rsidRDefault="0086106B">
            <w:pPr>
              <w:jc w:val="center"/>
              <w:rPr>
                <w:b/>
                <w:i/>
              </w:rPr>
            </w:pPr>
            <w:r w:rsidRPr="0088112C">
              <w:rPr>
                <w:b/>
                <w:i/>
                <w:sz w:val="22"/>
              </w:rPr>
              <w:t>2.2 (</w:t>
            </w:r>
            <w:r w:rsidRPr="00F53232">
              <w:rPr>
                <w:b/>
                <w:i/>
                <w:sz w:val="22"/>
              </w:rPr>
              <w:t>1.4-3.4</w:t>
            </w:r>
            <w:r>
              <w:rPr>
                <w:b/>
                <w:i/>
                <w:sz w:val="22"/>
              </w:rPr>
              <w:t>)</w:t>
            </w:r>
          </w:p>
        </w:tc>
      </w:tr>
      <w:tr w:rsidR="0086106B" w:rsidTr="009D187E">
        <w:trPr>
          <w:trHeight w:val="300"/>
        </w:trPr>
        <w:tc>
          <w:tcPr>
            <w:tcW w:w="2948" w:type="dxa"/>
          </w:tcPr>
          <w:p w:rsidR="0086106B" w:rsidRPr="00F53232" w:rsidRDefault="0086106B">
            <w:pPr>
              <w:rPr>
                <w:b/>
              </w:rPr>
            </w:pPr>
            <w:r w:rsidRPr="00F53232">
              <w:rPr>
                <w:b/>
                <w:sz w:val="22"/>
              </w:rPr>
              <w:t>Age medical cause</w:t>
            </w:r>
            <w:r>
              <w:rPr>
                <w:b/>
                <w:sz w:val="22"/>
              </w:rPr>
              <w:t xml:space="preserve"> only</w:t>
            </w:r>
          </w:p>
        </w:tc>
        <w:tc>
          <w:tcPr>
            <w:tcW w:w="1440" w:type="dxa"/>
            <w:noWrap/>
          </w:tcPr>
          <w:p w:rsidR="0086106B" w:rsidRPr="00F53232" w:rsidRDefault="0086106B">
            <w:pPr>
              <w:jc w:val="center"/>
            </w:pPr>
          </w:p>
        </w:tc>
        <w:tc>
          <w:tcPr>
            <w:tcW w:w="1389" w:type="dxa"/>
            <w:noWrap/>
          </w:tcPr>
          <w:p w:rsidR="0086106B" w:rsidRPr="00F53232" w:rsidRDefault="0086106B">
            <w:pPr>
              <w:jc w:val="center"/>
            </w:pPr>
          </w:p>
        </w:tc>
        <w:tc>
          <w:tcPr>
            <w:tcW w:w="1205" w:type="dxa"/>
            <w:noWrap/>
          </w:tcPr>
          <w:p w:rsidR="0086106B" w:rsidRPr="00F53232" w:rsidRDefault="0086106B">
            <w:pPr>
              <w:jc w:val="center"/>
            </w:pPr>
          </w:p>
        </w:tc>
        <w:tc>
          <w:tcPr>
            <w:tcW w:w="2306" w:type="dxa"/>
            <w:noWrap/>
          </w:tcPr>
          <w:p w:rsidR="0086106B" w:rsidRPr="00F53232" w:rsidRDefault="0086106B">
            <w:pPr>
              <w:jc w:val="center"/>
            </w:pPr>
          </w:p>
        </w:tc>
      </w:tr>
      <w:tr w:rsidR="0086106B" w:rsidTr="009D187E">
        <w:trPr>
          <w:trHeight w:val="300"/>
        </w:trPr>
        <w:tc>
          <w:tcPr>
            <w:tcW w:w="2948" w:type="dxa"/>
          </w:tcPr>
          <w:p w:rsidR="0086106B" w:rsidRPr="00F53232" w:rsidRDefault="0086106B">
            <w:pPr>
              <w:jc w:val="center"/>
            </w:pPr>
            <w:r w:rsidRPr="00F53232">
              <w:rPr>
                <w:sz w:val="22"/>
              </w:rPr>
              <w:t>&lt;30</w:t>
            </w:r>
          </w:p>
        </w:tc>
        <w:tc>
          <w:tcPr>
            <w:tcW w:w="1440" w:type="dxa"/>
          </w:tcPr>
          <w:p w:rsidR="0086106B" w:rsidRPr="00F53232" w:rsidRDefault="0086106B">
            <w:pPr>
              <w:jc w:val="center"/>
            </w:pPr>
            <w:r w:rsidRPr="00F53232">
              <w:rPr>
                <w:sz w:val="22"/>
              </w:rPr>
              <w:t>45</w:t>
            </w:r>
          </w:p>
        </w:tc>
        <w:tc>
          <w:tcPr>
            <w:tcW w:w="1389" w:type="dxa"/>
          </w:tcPr>
          <w:p w:rsidR="0086106B" w:rsidRPr="00F53232" w:rsidRDefault="0086106B">
            <w:pPr>
              <w:jc w:val="center"/>
            </w:pPr>
            <w:r w:rsidRPr="00F53232">
              <w:rPr>
                <w:sz w:val="22"/>
              </w:rPr>
              <w:t>40.2</w:t>
            </w:r>
          </w:p>
        </w:tc>
        <w:tc>
          <w:tcPr>
            <w:tcW w:w="1205" w:type="dxa"/>
            <w:noWrap/>
          </w:tcPr>
          <w:p w:rsidR="0086106B" w:rsidRPr="00F53232" w:rsidRDefault="0086106B">
            <w:pPr>
              <w:jc w:val="center"/>
            </w:pPr>
            <w:r w:rsidRPr="00F53232">
              <w:rPr>
                <w:sz w:val="22"/>
              </w:rPr>
              <w:t>15.6</w:t>
            </w:r>
          </w:p>
        </w:tc>
        <w:tc>
          <w:tcPr>
            <w:tcW w:w="2306" w:type="dxa"/>
            <w:noWrap/>
          </w:tcPr>
          <w:p w:rsidR="0086106B" w:rsidRPr="00F53232" w:rsidRDefault="0086106B">
            <w:pPr>
              <w:jc w:val="center"/>
            </w:pPr>
            <w:r w:rsidRPr="00F53232">
              <w:rPr>
                <w:sz w:val="22"/>
              </w:rPr>
              <w:t>1.4</w:t>
            </w:r>
            <w:r>
              <w:rPr>
                <w:sz w:val="22"/>
              </w:rPr>
              <w:t xml:space="preserve"> (</w:t>
            </w:r>
            <w:r w:rsidRPr="00F53232">
              <w:rPr>
                <w:sz w:val="22"/>
              </w:rPr>
              <w:t>0.</w:t>
            </w:r>
            <w:r>
              <w:rPr>
                <w:sz w:val="22"/>
              </w:rPr>
              <w:t>9</w:t>
            </w:r>
            <w:r w:rsidRPr="00F53232">
              <w:rPr>
                <w:sz w:val="22"/>
              </w:rPr>
              <w:t>-2.2</w:t>
            </w:r>
            <w:r>
              <w:rPr>
                <w:sz w:val="22"/>
              </w:rPr>
              <w:t>)</w:t>
            </w:r>
          </w:p>
        </w:tc>
      </w:tr>
      <w:tr w:rsidR="0086106B" w:rsidTr="009D187E">
        <w:trPr>
          <w:trHeight w:val="300"/>
        </w:trPr>
        <w:tc>
          <w:tcPr>
            <w:tcW w:w="2948" w:type="dxa"/>
          </w:tcPr>
          <w:p w:rsidR="0086106B" w:rsidRPr="00F53232" w:rsidRDefault="0086106B">
            <w:pPr>
              <w:jc w:val="center"/>
            </w:pPr>
            <w:r w:rsidRPr="00F53232">
              <w:rPr>
                <w:sz w:val="22"/>
              </w:rPr>
              <w:t>30-34</w:t>
            </w:r>
          </w:p>
        </w:tc>
        <w:tc>
          <w:tcPr>
            <w:tcW w:w="1440" w:type="dxa"/>
          </w:tcPr>
          <w:p w:rsidR="0086106B" w:rsidRPr="00F53232" w:rsidRDefault="0086106B">
            <w:pPr>
              <w:jc w:val="center"/>
            </w:pPr>
            <w:r w:rsidRPr="00F53232">
              <w:rPr>
                <w:sz w:val="22"/>
              </w:rPr>
              <w:t>24</w:t>
            </w:r>
          </w:p>
        </w:tc>
        <w:tc>
          <w:tcPr>
            <w:tcW w:w="1389" w:type="dxa"/>
          </w:tcPr>
          <w:p w:rsidR="0086106B" w:rsidRPr="00F53232" w:rsidRDefault="0086106B">
            <w:pPr>
              <w:jc w:val="center"/>
            </w:pPr>
            <w:r w:rsidRPr="00F53232">
              <w:rPr>
                <w:sz w:val="22"/>
              </w:rPr>
              <w:t>21.4</w:t>
            </w:r>
          </w:p>
        </w:tc>
        <w:tc>
          <w:tcPr>
            <w:tcW w:w="1205" w:type="dxa"/>
            <w:noWrap/>
          </w:tcPr>
          <w:p w:rsidR="0086106B" w:rsidRPr="00F53232" w:rsidRDefault="0086106B">
            <w:pPr>
              <w:jc w:val="center"/>
            </w:pPr>
            <w:r w:rsidRPr="00F53232">
              <w:rPr>
                <w:sz w:val="22"/>
              </w:rPr>
              <w:t>11.6</w:t>
            </w:r>
          </w:p>
        </w:tc>
        <w:tc>
          <w:tcPr>
            <w:tcW w:w="2306" w:type="dxa"/>
            <w:noWrap/>
          </w:tcPr>
          <w:p w:rsidR="0086106B" w:rsidRPr="00F53232" w:rsidRDefault="0086106B">
            <w:pPr>
              <w:jc w:val="center"/>
            </w:pPr>
            <w:r w:rsidRPr="00F53232">
              <w:rPr>
                <w:sz w:val="22"/>
              </w:rPr>
              <w:t>1.0</w:t>
            </w:r>
          </w:p>
        </w:tc>
      </w:tr>
      <w:tr w:rsidR="0086106B" w:rsidTr="009D187E">
        <w:trPr>
          <w:trHeight w:val="300"/>
        </w:trPr>
        <w:tc>
          <w:tcPr>
            <w:tcW w:w="2948" w:type="dxa"/>
          </w:tcPr>
          <w:p w:rsidR="0086106B" w:rsidRPr="00F53232" w:rsidRDefault="0086106B">
            <w:pPr>
              <w:jc w:val="center"/>
            </w:pPr>
            <w:r w:rsidRPr="00F53232">
              <w:rPr>
                <w:sz w:val="22"/>
              </w:rPr>
              <w:t>≥35</w:t>
            </w:r>
          </w:p>
        </w:tc>
        <w:tc>
          <w:tcPr>
            <w:tcW w:w="1440" w:type="dxa"/>
          </w:tcPr>
          <w:p w:rsidR="0086106B" w:rsidRPr="00F53232" w:rsidRDefault="0086106B">
            <w:pPr>
              <w:jc w:val="center"/>
            </w:pPr>
            <w:r w:rsidRPr="00F53232">
              <w:rPr>
                <w:sz w:val="22"/>
              </w:rPr>
              <w:t>43</w:t>
            </w:r>
          </w:p>
        </w:tc>
        <w:tc>
          <w:tcPr>
            <w:tcW w:w="1389" w:type="dxa"/>
          </w:tcPr>
          <w:p w:rsidR="0086106B" w:rsidRPr="00F53232" w:rsidRDefault="0086106B">
            <w:pPr>
              <w:jc w:val="center"/>
            </w:pPr>
            <w:r w:rsidRPr="00F53232">
              <w:rPr>
                <w:sz w:val="22"/>
              </w:rPr>
              <w:t>38.4</w:t>
            </w:r>
          </w:p>
        </w:tc>
        <w:tc>
          <w:tcPr>
            <w:tcW w:w="1205" w:type="dxa"/>
            <w:noWrap/>
          </w:tcPr>
          <w:p w:rsidR="0086106B" w:rsidRPr="00F53232" w:rsidRDefault="0086106B">
            <w:pPr>
              <w:jc w:val="center"/>
            </w:pPr>
            <w:r w:rsidRPr="00F53232">
              <w:rPr>
                <w:sz w:val="22"/>
              </w:rPr>
              <w:t>29.3</w:t>
            </w:r>
          </w:p>
        </w:tc>
        <w:tc>
          <w:tcPr>
            <w:tcW w:w="2306" w:type="dxa"/>
            <w:noWrap/>
          </w:tcPr>
          <w:p w:rsidR="0086106B" w:rsidRPr="0088112C" w:rsidRDefault="0086106B">
            <w:pPr>
              <w:jc w:val="center"/>
              <w:rPr>
                <w:b/>
                <w:i/>
              </w:rPr>
            </w:pPr>
            <w:r w:rsidRPr="0088112C">
              <w:rPr>
                <w:b/>
                <w:i/>
                <w:sz w:val="22"/>
              </w:rPr>
              <w:t>2.5 (</w:t>
            </w:r>
            <w:r w:rsidRPr="00D03110">
              <w:rPr>
                <w:b/>
                <w:i/>
                <w:sz w:val="22"/>
              </w:rPr>
              <w:t>1.5-4.1)</w:t>
            </w:r>
          </w:p>
        </w:tc>
      </w:tr>
      <w:tr w:rsidR="0086106B" w:rsidTr="009D187E">
        <w:trPr>
          <w:trHeight w:val="300"/>
        </w:trPr>
        <w:tc>
          <w:tcPr>
            <w:tcW w:w="2948" w:type="dxa"/>
          </w:tcPr>
          <w:p w:rsidR="0086106B" w:rsidRPr="00F53232" w:rsidRDefault="0086106B">
            <w:pPr>
              <w:rPr>
                <w:b/>
              </w:rPr>
            </w:pPr>
            <w:r w:rsidRPr="00F53232">
              <w:rPr>
                <w:b/>
                <w:sz w:val="22"/>
              </w:rPr>
              <w:t>Age</w:t>
            </w:r>
            <w:r>
              <w:rPr>
                <w:b/>
                <w:sz w:val="22"/>
              </w:rPr>
              <w:t>,</w:t>
            </w:r>
            <w:r w:rsidRPr="00F53232">
              <w:rPr>
                <w:b/>
                <w:sz w:val="22"/>
              </w:rPr>
              <w:t xml:space="preserve"> injury cause</w:t>
            </w:r>
            <w:r>
              <w:rPr>
                <w:b/>
                <w:sz w:val="22"/>
              </w:rPr>
              <w:t xml:space="preserve"> only</w:t>
            </w:r>
          </w:p>
        </w:tc>
        <w:tc>
          <w:tcPr>
            <w:tcW w:w="1440" w:type="dxa"/>
            <w:noWrap/>
          </w:tcPr>
          <w:p w:rsidR="0086106B" w:rsidRPr="00F53232" w:rsidRDefault="0086106B">
            <w:pPr>
              <w:jc w:val="center"/>
            </w:pPr>
          </w:p>
        </w:tc>
        <w:tc>
          <w:tcPr>
            <w:tcW w:w="1389" w:type="dxa"/>
            <w:noWrap/>
          </w:tcPr>
          <w:p w:rsidR="0086106B" w:rsidRPr="00F53232" w:rsidRDefault="0086106B">
            <w:pPr>
              <w:jc w:val="center"/>
            </w:pPr>
          </w:p>
        </w:tc>
        <w:tc>
          <w:tcPr>
            <w:tcW w:w="1205" w:type="dxa"/>
            <w:noWrap/>
          </w:tcPr>
          <w:p w:rsidR="0086106B" w:rsidRPr="00F53232" w:rsidRDefault="0086106B">
            <w:pPr>
              <w:jc w:val="center"/>
            </w:pPr>
          </w:p>
        </w:tc>
        <w:tc>
          <w:tcPr>
            <w:tcW w:w="2306" w:type="dxa"/>
            <w:noWrap/>
          </w:tcPr>
          <w:p w:rsidR="0086106B" w:rsidRPr="00F53232" w:rsidRDefault="0086106B">
            <w:pPr>
              <w:jc w:val="center"/>
            </w:pPr>
          </w:p>
        </w:tc>
      </w:tr>
      <w:tr w:rsidR="0086106B" w:rsidTr="009D187E">
        <w:trPr>
          <w:trHeight w:val="300"/>
        </w:trPr>
        <w:tc>
          <w:tcPr>
            <w:tcW w:w="2948" w:type="dxa"/>
          </w:tcPr>
          <w:p w:rsidR="0086106B" w:rsidRPr="00F53232" w:rsidRDefault="0086106B">
            <w:pPr>
              <w:jc w:val="center"/>
            </w:pPr>
            <w:r w:rsidRPr="00F53232">
              <w:rPr>
                <w:sz w:val="22"/>
              </w:rPr>
              <w:t>&lt;30</w:t>
            </w:r>
          </w:p>
        </w:tc>
        <w:tc>
          <w:tcPr>
            <w:tcW w:w="1440" w:type="dxa"/>
          </w:tcPr>
          <w:p w:rsidR="0086106B" w:rsidRPr="00F53232" w:rsidRDefault="0086106B">
            <w:pPr>
              <w:jc w:val="center"/>
            </w:pPr>
            <w:r w:rsidRPr="00F53232">
              <w:rPr>
                <w:sz w:val="22"/>
              </w:rPr>
              <w:t>35</w:t>
            </w:r>
          </w:p>
        </w:tc>
        <w:tc>
          <w:tcPr>
            <w:tcW w:w="1389" w:type="dxa"/>
          </w:tcPr>
          <w:p w:rsidR="0086106B" w:rsidRPr="00F53232" w:rsidRDefault="0086106B">
            <w:pPr>
              <w:jc w:val="center"/>
            </w:pPr>
            <w:r w:rsidRPr="00F53232">
              <w:rPr>
                <w:sz w:val="22"/>
              </w:rPr>
              <w:t>68.6</w:t>
            </w:r>
          </w:p>
        </w:tc>
        <w:tc>
          <w:tcPr>
            <w:tcW w:w="1205" w:type="dxa"/>
            <w:noWrap/>
          </w:tcPr>
          <w:p w:rsidR="0086106B" w:rsidRPr="00F53232" w:rsidRDefault="0086106B">
            <w:pPr>
              <w:jc w:val="center"/>
            </w:pPr>
            <w:r w:rsidRPr="00F53232">
              <w:rPr>
                <w:sz w:val="22"/>
              </w:rPr>
              <w:t>12.1</w:t>
            </w:r>
          </w:p>
        </w:tc>
        <w:tc>
          <w:tcPr>
            <w:tcW w:w="2306" w:type="dxa"/>
            <w:noWrap/>
          </w:tcPr>
          <w:p w:rsidR="0086106B" w:rsidRPr="00F53232" w:rsidRDefault="0086106B">
            <w:pPr>
              <w:jc w:val="center"/>
            </w:pPr>
            <w:r w:rsidRPr="0088112C">
              <w:rPr>
                <w:b/>
                <w:i/>
                <w:sz w:val="22"/>
              </w:rPr>
              <w:t>3.0 (</w:t>
            </w:r>
            <w:r w:rsidRPr="00F53232">
              <w:rPr>
                <w:b/>
                <w:i/>
                <w:sz w:val="22"/>
              </w:rPr>
              <w:t>1.4-6.1</w:t>
            </w:r>
            <w:r>
              <w:rPr>
                <w:b/>
                <w:i/>
                <w:sz w:val="22"/>
              </w:rPr>
              <w:t>)</w:t>
            </w:r>
          </w:p>
        </w:tc>
      </w:tr>
      <w:tr w:rsidR="0086106B" w:rsidTr="009D187E">
        <w:trPr>
          <w:trHeight w:val="300"/>
        </w:trPr>
        <w:tc>
          <w:tcPr>
            <w:tcW w:w="2948" w:type="dxa"/>
          </w:tcPr>
          <w:p w:rsidR="0086106B" w:rsidRPr="00F53232" w:rsidRDefault="0086106B">
            <w:pPr>
              <w:jc w:val="center"/>
            </w:pPr>
            <w:r w:rsidRPr="00F53232">
              <w:rPr>
                <w:sz w:val="22"/>
              </w:rPr>
              <w:t>30-34</w:t>
            </w:r>
          </w:p>
        </w:tc>
        <w:tc>
          <w:tcPr>
            <w:tcW w:w="1440" w:type="dxa"/>
          </w:tcPr>
          <w:p w:rsidR="0086106B" w:rsidRPr="00F53232" w:rsidRDefault="0086106B">
            <w:pPr>
              <w:jc w:val="center"/>
            </w:pPr>
            <w:r w:rsidRPr="00F53232">
              <w:rPr>
                <w:sz w:val="22"/>
              </w:rPr>
              <w:t>8</w:t>
            </w:r>
          </w:p>
        </w:tc>
        <w:tc>
          <w:tcPr>
            <w:tcW w:w="1389" w:type="dxa"/>
          </w:tcPr>
          <w:p w:rsidR="0086106B" w:rsidRPr="00F53232" w:rsidRDefault="0086106B">
            <w:pPr>
              <w:jc w:val="center"/>
            </w:pPr>
            <w:r w:rsidRPr="00F53232">
              <w:rPr>
                <w:sz w:val="22"/>
              </w:rPr>
              <w:t>15.7</w:t>
            </w:r>
          </w:p>
        </w:tc>
        <w:tc>
          <w:tcPr>
            <w:tcW w:w="1205" w:type="dxa"/>
            <w:noWrap/>
          </w:tcPr>
          <w:p w:rsidR="0086106B" w:rsidRPr="00F53232" w:rsidRDefault="0086106B">
            <w:pPr>
              <w:jc w:val="center"/>
            </w:pPr>
            <w:r w:rsidRPr="00F53232">
              <w:rPr>
                <w:sz w:val="22"/>
              </w:rPr>
              <w:t>3.9</w:t>
            </w:r>
          </w:p>
        </w:tc>
        <w:tc>
          <w:tcPr>
            <w:tcW w:w="2306" w:type="dxa"/>
            <w:noWrap/>
          </w:tcPr>
          <w:p w:rsidR="0086106B" w:rsidRPr="00F53232" w:rsidRDefault="0086106B">
            <w:pPr>
              <w:jc w:val="center"/>
            </w:pPr>
            <w:r w:rsidRPr="00F53232">
              <w:rPr>
                <w:sz w:val="22"/>
              </w:rPr>
              <w:t>1.0</w:t>
            </w:r>
          </w:p>
        </w:tc>
      </w:tr>
      <w:tr w:rsidR="0086106B" w:rsidTr="009D187E">
        <w:trPr>
          <w:trHeight w:val="300"/>
        </w:trPr>
        <w:tc>
          <w:tcPr>
            <w:tcW w:w="2948" w:type="dxa"/>
          </w:tcPr>
          <w:p w:rsidR="0086106B" w:rsidRPr="00F53232" w:rsidRDefault="0086106B">
            <w:pPr>
              <w:jc w:val="center"/>
            </w:pPr>
            <w:r w:rsidRPr="00F53232">
              <w:rPr>
                <w:sz w:val="22"/>
              </w:rPr>
              <w:t>≥35</w:t>
            </w:r>
          </w:p>
        </w:tc>
        <w:tc>
          <w:tcPr>
            <w:tcW w:w="1440" w:type="dxa"/>
          </w:tcPr>
          <w:p w:rsidR="0086106B" w:rsidRPr="00F53232" w:rsidRDefault="0086106B">
            <w:pPr>
              <w:jc w:val="center"/>
            </w:pPr>
            <w:r w:rsidRPr="00F53232">
              <w:rPr>
                <w:sz w:val="22"/>
              </w:rPr>
              <w:t>8</w:t>
            </w:r>
          </w:p>
        </w:tc>
        <w:tc>
          <w:tcPr>
            <w:tcW w:w="1389" w:type="dxa"/>
          </w:tcPr>
          <w:p w:rsidR="0086106B" w:rsidRPr="00F53232" w:rsidRDefault="0086106B">
            <w:pPr>
              <w:jc w:val="center"/>
            </w:pPr>
            <w:r w:rsidRPr="00F53232">
              <w:rPr>
                <w:sz w:val="22"/>
              </w:rPr>
              <w:t>15.7</w:t>
            </w:r>
          </w:p>
        </w:tc>
        <w:tc>
          <w:tcPr>
            <w:tcW w:w="1205" w:type="dxa"/>
            <w:noWrap/>
          </w:tcPr>
          <w:p w:rsidR="0086106B" w:rsidRPr="00F53232" w:rsidRDefault="0086106B">
            <w:pPr>
              <w:jc w:val="center"/>
            </w:pPr>
            <w:r w:rsidRPr="00F53232">
              <w:rPr>
                <w:sz w:val="22"/>
              </w:rPr>
              <w:t>5.4</w:t>
            </w:r>
          </w:p>
        </w:tc>
        <w:tc>
          <w:tcPr>
            <w:tcW w:w="2306" w:type="dxa"/>
            <w:noWrap/>
          </w:tcPr>
          <w:p w:rsidR="0086106B" w:rsidRPr="00F53232" w:rsidRDefault="0086106B">
            <w:pPr>
              <w:jc w:val="center"/>
            </w:pPr>
            <w:r w:rsidRPr="00F53232">
              <w:rPr>
                <w:sz w:val="22"/>
              </w:rPr>
              <w:t>1.6</w:t>
            </w:r>
            <w:r>
              <w:rPr>
                <w:sz w:val="22"/>
              </w:rPr>
              <w:t xml:space="preserve"> (</w:t>
            </w:r>
            <w:r w:rsidRPr="00F53232">
              <w:rPr>
                <w:sz w:val="22"/>
              </w:rPr>
              <w:t>0.6-3.9</w:t>
            </w:r>
            <w:r>
              <w:rPr>
                <w:sz w:val="22"/>
              </w:rPr>
              <w:t>)</w:t>
            </w:r>
          </w:p>
        </w:tc>
      </w:tr>
      <w:tr w:rsidR="0086106B" w:rsidTr="009D187E">
        <w:trPr>
          <w:trHeight w:val="300"/>
        </w:trPr>
        <w:tc>
          <w:tcPr>
            <w:tcW w:w="2948" w:type="dxa"/>
          </w:tcPr>
          <w:p w:rsidR="0086106B" w:rsidRPr="00F53232" w:rsidRDefault="0086106B">
            <w:pPr>
              <w:rPr>
                <w:b/>
              </w:rPr>
            </w:pPr>
            <w:r w:rsidRPr="00F53232">
              <w:rPr>
                <w:b/>
                <w:sz w:val="22"/>
              </w:rPr>
              <w:t>Payer at delivery</w:t>
            </w:r>
            <w:r w:rsidRPr="00F53232">
              <w:rPr>
                <w:b/>
                <w:sz w:val="22"/>
                <w:vertAlign w:val="superscript"/>
              </w:rPr>
              <w:t>†</w:t>
            </w:r>
          </w:p>
        </w:tc>
        <w:tc>
          <w:tcPr>
            <w:tcW w:w="1440" w:type="dxa"/>
          </w:tcPr>
          <w:p w:rsidR="0086106B" w:rsidRPr="00F53232" w:rsidRDefault="0086106B">
            <w:pPr>
              <w:jc w:val="center"/>
              <w:rPr>
                <w:b/>
              </w:rPr>
            </w:pPr>
          </w:p>
        </w:tc>
        <w:tc>
          <w:tcPr>
            <w:tcW w:w="1389" w:type="dxa"/>
          </w:tcPr>
          <w:p w:rsidR="0086106B" w:rsidRPr="00F53232" w:rsidRDefault="0086106B">
            <w:pPr>
              <w:jc w:val="center"/>
              <w:rPr>
                <w:b/>
              </w:rPr>
            </w:pPr>
          </w:p>
        </w:tc>
        <w:tc>
          <w:tcPr>
            <w:tcW w:w="1205" w:type="dxa"/>
            <w:noWrap/>
          </w:tcPr>
          <w:p w:rsidR="0086106B" w:rsidRPr="00F53232" w:rsidRDefault="0086106B">
            <w:pPr>
              <w:jc w:val="center"/>
            </w:pPr>
          </w:p>
        </w:tc>
        <w:tc>
          <w:tcPr>
            <w:tcW w:w="2306" w:type="dxa"/>
            <w:noWrap/>
          </w:tcPr>
          <w:p w:rsidR="0086106B" w:rsidRPr="00F53232" w:rsidRDefault="0086106B">
            <w:pPr>
              <w:jc w:val="center"/>
            </w:pPr>
          </w:p>
        </w:tc>
      </w:tr>
      <w:tr w:rsidR="0086106B" w:rsidTr="009D187E">
        <w:trPr>
          <w:trHeight w:val="300"/>
        </w:trPr>
        <w:tc>
          <w:tcPr>
            <w:tcW w:w="2948" w:type="dxa"/>
          </w:tcPr>
          <w:p w:rsidR="0086106B" w:rsidRPr="00F53232" w:rsidRDefault="0086106B">
            <w:pPr>
              <w:jc w:val="center"/>
            </w:pPr>
            <w:r w:rsidRPr="00F53232">
              <w:rPr>
                <w:sz w:val="22"/>
              </w:rPr>
              <w:t>Private</w:t>
            </w:r>
          </w:p>
        </w:tc>
        <w:tc>
          <w:tcPr>
            <w:tcW w:w="1440" w:type="dxa"/>
          </w:tcPr>
          <w:p w:rsidR="0086106B" w:rsidRPr="00F53232" w:rsidRDefault="0086106B">
            <w:pPr>
              <w:jc w:val="center"/>
            </w:pPr>
            <w:r w:rsidRPr="00F53232">
              <w:rPr>
                <w:sz w:val="22"/>
              </w:rPr>
              <w:t>57</w:t>
            </w:r>
          </w:p>
        </w:tc>
        <w:tc>
          <w:tcPr>
            <w:tcW w:w="1389" w:type="dxa"/>
          </w:tcPr>
          <w:p w:rsidR="0086106B" w:rsidRPr="00F53232" w:rsidRDefault="0086106B">
            <w:pPr>
              <w:jc w:val="center"/>
            </w:pPr>
            <w:r w:rsidRPr="00F53232">
              <w:rPr>
                <w:sz w:val="22"/>
              </w:rPr>
              <w:t>33.9</w:t>
            </w:r>
          </w:p>
        </w:tc>
        <w:tc>
          <w:tcPr>
            <w:tcW w:w="1205" w:type="dxa"/>
            <w:noWrap/>
          </w:tcPr>
          <w:p w:rsidR="0086106B" w:rsidRPr="00F53232" w:rsidRDefault="0086106B">
            <w:pPr>
              <w:jc w:val="center"/>
            </w:pPr>
            <w:r w:rsidRPr="00F53232">
              <w:rPr>
                <w:sz w:val="22"/>
              </w:rPr>
              <w:t>13.6</w:t>
            </w:r>
          </w:p>
        </w:tc>
        <w:tc>
          <w:tcPr>
            <w:tcW w:w="2306" w:type="dxa"/>
            <w:noWrap/>
          </w:tcPr>
          <w:p w:rsidR="0086106B" w:rsidRPr="00F53232" w:rsidRDefault="0086106B">
            <w:pPr>
              <w:jc w:val="center"/>
            </w:pPr>
            <w:r w:rsidRPr="00F53232">
              <w:rPr>
                <w:sz w:val="22"/>
              </w:rPr>
              <w:t>1.0</w:t>
            </w:r>
          </w:p>
        </w:tc>
      </w:tr>
      <w:tr w:rsidR="0086106B" w:rsidTr="009D187E">
        <w:trPr>
          <w:trHeight w:val="300"/>
        </w:trPr>
        <w:tc>
          <w:tcPr>
            <w:tcW w:w="2948" w:type="dxa"/>
          </w:tcPr>
          <w:p w:rsidR="0086106B" w:rsidRPr="00F53232" w:rsidRDefault="0086106B">
            <w:pPr>
              <w:jc w:val="center"/>
            </w:pPr>
            <w:r w:rsidRPr="00F53232">
              <w:rPr>
                <w:sz w:val="22"/>
              </w:rPr>
              <w:t>Public</w:t>
            </w:r>
          </w:p>
        </w:tc>
        <w:tc>
          <w:tcPr>
            <w:tcW w:w="1440" w:type="dxa"/>
          </w:tcPr>
          <w:p w:rsidR="0086106B" w:rsidRPr="00F53232" w:rsidRDefault="0086106B">
            <w:pPr>
              <w:jc w:val="center"/>
            </w:pPr>
            <w:r w:rsidRPr="00F53232">
              <w:rPr>
                <w:sz w:val="22"/>
              </w:rPr>
              <w:t>78</w:t>
            </w:r>
          </w:p>
        </w:tc>
        <w:tc>
          <w:tcPr>
            <w:tcW w:w="1389" w:type="dxa"/>
          </w:tcPr>
          <w:p w:rsidR="0086106B" w:rsidRPr="00F53232" w:rsidRDefault="0086106B">
            <w:pPr>
              <w:jc w:val="center"/>
            </w:pPr>
            <w:r w:rsidRPr="00F53232">
              <w:rPr>
                <w:sz w:val="22"/>
              </w:rPr>
              <w:t>46.4</w:t>
            </w:r>
          </w:p>
        </w:tc>
        <w:tc>
          <w:tcPr>
            <w:tcW w:w="1205" w:type="dxa"/>
            <w:noWrap/>
          </w:tcPr>
          <w:p w:rsidR="0086106B" w:rsidRPr="00F53232" w:rsidRDefault="0086106B">
            <w:pPr>
              <w:jc w:val="center"/>
            </w:pPr>
            <w:r w:rsidRPr="00F53232">
              <w:rPr>
                <w:sz w:val="22"/>
              </w:rPr>
              <w:t>36.2</w:t>
            </w:r>
          </w:p>
        </w:tc>
        <w:tc>
          <w:tcPr>
            <w:tcW w:w="2306" w:type="dxa"/>
            <w:noWrap/>
          </w:tcPr>
          <w:p w:rsidR="0086106B" w:rsidRPr="00F53232" w:rsidRDefault="0086106B">
            <w:pPr>
              <w:jc w:val="center"/>
            </w:pPr>
            <w:r w:rsidRPr="0088112C">
              <w:rPr>
                <w:b/>
                <w:i/>
                <w:sz w:val="22"/>
              </w:rPr>
              <w:t>2.7 (</w:t>
            </w:r>
            <w:r w:rsidRPr="00F53232">
              <w:rPr>
                <w:b/>
                <w:i/>
                <w:sz w:val="22"/>
              </w:rPr>
              <w:t>1.9-3.7</w:t>
            </w:r>
            <w:r>
              <w:rPr>
                <w:b/>
                <w:i/>
                <w:sz w:val="22"/>
              </w:rPr>
              <w:t>)</w:t>
            </w:r>
          </w:p>
        </w:tc>
      </w:tr>
      <w:tr w:rsidR="0086106B" w:rsidTr="009D187E">
        <w:trPr>
          <w:trHeight w:val="300"/>
        </w:trPr>
        <w:tc>
          <w:tcPr>
            <w:tcW w:w="2948" w:type="dxa"/>
          </w:tcPr>
          <w:p w:rsidR="0086106B" w:rsidRPr="00F53232" w:rsidRDefault="0086106B">
            <w:pPr>
              <w:rPr>
                <w:b/>
              </w:rPr>
            </w:pPr>
            <w:r w:rsidRPr="00F53232">
              <w:rPr>
                <w:b/>
                <w:sz w:val="22"/>
              </w:rPr>
              <w:t>Education of mother</w:t>
            </w:r>
            <w:r w:rsidRPr="00F53232">
              <w:rPr>
                <w:b/>
                <w:sz w:val="22"/>
                <w:vertAlign w:val="superscript"/>
              </w:rPr>
              <w:t>‡</w:t>
            </w:r>
          </w:p>
        </w:tc>
        <w:tc>
          <w:tcPr>
            <w:tcW w:w="1440" w:type="dxa"/>
          </w:tcPr>
          <w:p w:rsidR="0086106B" w:rsidRPr="00F53232" w:rsidRDefault="0086106B">
            <w:pPr>
              <w:jc w:val="center"/>
            </w:pPr>
          </w:p>
        </w:tc>
        <w:tc>
          <w:tcPr>
            <w:tcW w:w="1389" w:type="dxa"/>
          </w:tcPr>
          <w:p w:rsidR="0086106B" w:rsidRPr="00F53232" w:rsidRDefault="0086106B">
            <w:pPr>
              <w:jc w:val="center"/>
            </w:pPr>
          </w:p>
        </w:tc>
        <w:tc>
          <w:tcPr>
            <w:tcW w:w="1205" w:type="dxa"/>
            <w:noWrap/>
          </w:tcPr>
          <w:p w:rsidR="0086106B" w:rsidRPr="00F53232" w:rsidRDefault="0086106B">
            <w:pPr>
              <w:jc w:val="center"/>
            </w:pPr>
          </w:p>
        </w:tc>
        <w:tc>
          <w:tcPr>
            <w:tcW w:w="2306" w:type="dxa"/>
            <w:noWrap/>
          </w:tcPr>
          <w:p w:rsidR="0086106B" w:rsidRPr="00F53232" w:rsidRDefault="0086106B">
            <w:pPr>
              <w:jc w:val="center"/>
            </w:pPr>
          </w:p>
        </w:tc>
      </w:tr>
      <w:tr w:rsidR="0086106B" w:rsidTr="009D187E">
        <w:trPr>
          <w:trHeight w:val="300"/>
        </w:trPr>
        <w:tc>
          <w:tcPr>
            <w:tcW w:w="2948" w:type="dxa"/>
          </w:tcPr>
          <w:p w:rsidR="0086106B" w:rsidRPr="00F53232" w:rsidRDefault="0086106B">
            <w:pPr>
              <w:jc w:val="center"/>
            </w:pPr>
            <w:r w:rsidRPr="00F53232">
              <w:rPr>
                <w:sz w:val="22"/>
              </w:rPr>
              <w:t>&lt;12 years</w:t>
            </w:r>
          </w:p>
        </w:tc>
        <w:tc>
          <w:tcPr>
            <w:tcW w:w="1440" w:type="dxa"/>
          </w:tcPr>
          <w:p w:rsidR="0086106B" w:rsidRPr="00F53232" w:rsidRDefault="0086106B">
            <w:pPr>
              <w:jc w:val="center"/>
            </w:pPr>
            <w:r w:rsidRPr="00F53232">
              <w:rPr>
                <w:sz w:val="22"/>
              </w:rPr>
              <w:t>19</w:t>
            </w:r>
          </w:p>
        </w:tc>
        <w:tc>
          <w:tcPr>
            <w:tcW w:w="1389" w:type="dxa"/>
          </w:tcPr>
          <w:p w:rsidR="0086106B" w:rsidRPr="00F53232" w:rsidRDefault="0086106B">
            <w:pPr>
              <w:jc w:val="center"/>
            </w:pPr>
            <w:r w:rsidRPr="00F53232">
              <w:rPr>
                <w:sz w:val="22"/>
              </w:rPr>
              <w:t>13.9</w:t>
            </w:r>
          </w:p>
        </w:tc>
        <w:tc>
          <w:tcPr>
            <w:tcW w:w="1205" w:type="dxa"/>
            <w:noWrap/>
          </w:tcPr>
          <w:p w:rsidR="0086106B" w:rsidRPr="00F53232" w:rsidRDefault="0086106B">
            <w:pPr>
              <w:jc w:val="center"/>
            </w:pPr>
            <w:r w:rsidRPr="00F53232">
              <w:rPr>
                <w:sz w:val="22"/>
              </w:rPr>
              <w:t>26.0</w:t>
            </w:r>
          </w:p>
        </w:tc>
        <w:tc>
          <w:tcPr>
            <w:tcW w:w="2306" w:type="dxa"/>
            <w:noWrap/>
          </w:tcPr>
          <w:p w:rsidR="0086106B" w:rsidRPr="00F53232" w:rsidRDefault="0086106B">
            <w:pPr>
              <w:jc w:val="center"/>
            </w:pPr>
            <w:r w:rsidRPr="0088112C">
              <w:rPr>
                <w:b/>
                <w:i/>
                <w:sz w:val="22"/>
              </w:rPr>
              <w:t>1.7 (</w:t>
            </w:r>
            <w:r w:rsidRPr="00F53232">
              <w:rPr>
                <w:b/>
                <w:i/>
                <w:sz w:val="22"/>
              </w:rPr>
              <w:t>1.</w:t>
            </w:r>
            <w:r>
              <w:rPr>
                <w:b/>
                <w:i/>
                <w:sz w:val="22"/>
              </w:rPr>
              <w:t>0</w:t>
            </w:r>
            <w:r w:rsidRPr="00F53232">
              <w:rPr>
                <w:b/>
                <w:i/>
                <w:sz w:val="22"/>
              </w:rPr>
              <w:t>-2.8</w:t>
            </w:r>
            <w:r>
              <w:rPr>
                <w:b/>
                <w:i/>
                <w:sz w:val="22"/>
              </w:rPr>
              <w:t>)</w:t>
            </w:r>
          </w:p>
        </w:tc>
      </w:tr>
      <w:tr w:rsidR="0086106B" w:rsidTr="009D187E">
        <w:trPr>
          <w:trHeight w:val="300"/>
        </w:trPr>
        <w:tc>
          <w:tcPr>
            <w:tcW w:w="2948" w:type="dxa"/>
          </w:tcPr>
          <w:p w:rsidR="0086106B" w:rsidRPr="00F53232" w:rsidRDefault="0086106B">
            <w:pPr>
              <w:jc w:val="center"/>
            </w:pPr>
            <w:r w:rsidRPr="00F53232">
              <w:rPr>
                <w:sz w:val="22"/>
              </w:rPr>
              <w:t xml:space="preserve">12 years </w:t>
            </w:r>
          </w:p>
        </w:tc>
        <w:tc>
          <w:tcPr>
            <w:tcW w:w="1440" w:type="dxa"/>
          </w:tcPr>
          <w:p w:rsidR="0086106B" w:rsidRPr="00F53232" w:rsidRDefault="0086106B">
            <w:pPr>
              <w:jc w:val="center"/>
            </w:pPr>
            <w:r w:rsidRPr="00F53232">
              <w:rPr>
                <w:sz w:val="22"/>
              </w:rPr>
              <w:t>55</w:t>
            </w:r>
          </w:p>
        </w:tc>
        <w:tc>
          <w:tcPr>
            <w:tcW w:w="1389" w:type="dxa"/>
          </w:tcPr>
          <w:p w:rsidR="0086106B" w:rsidRPr="00F53232" w:rsidRDefault="0086106B">
            <w:pPr>
              <w:jc w:val="center"/>
            </w:pPr>
            <w:r w:rsidRPr="00F53232">
              <w:rPr>
                <w:sz w:val="22"/>
              </w:rPr>
              <w:t>40.2</w:t>
            </w:r>
          </w:p>
        </w:tc>
        <w:tc>
          <w:tcPr>
            <w:tcW w:w="1205" w:type="dxa"/>
            <w:noWrap/>
          </w:tcPr>
          <w:p w:rsidR="0086106B" w:rsidRPr="00F53232" w:rsidRDefault="0086106B">
            <w:pPr>
              <w:jc w:val="center"/>
            </w:pPr>
            <w:r w:rsidRPr="00F53232">
              <w:rPr>
                <w:sz w:val="22"/>
              </w:rPr>
              <w:t>35.4</w:t>
            </w:r>
          </w:p>
        </w:tc>
        <w:tc>
          <w:tcPr>
            <w:tcW w:w="2306" w:type="dxa"/>
            <w:noWrap/>
          </w:tcPr>
          <w:p w:rsidR="0086106B" w:rsidRPr="0088112C" w:rsidRDefault="0086106B">
            <w:pPr>
              <w:jc w:val="center"/>
              <w:rPr>
                <w:b/>
                <w:i/>
              </w:rPr>
            </w:pPr>
            <w:r w:rsidRPr="0088112C">
              <w:rPr>
                <w:b/>
                <w:i/>
                <w:sz w:val="22"/>
              </w:rPr>
              <w:t>2.3 (</w:t>
            </w:r>
            <w:r w:rsidRPr="00D03110">
              <w:rPr>
                <w:b/>
                <w:i/>
                <w:sz w:val="22"/>
              </w:rPr>
              <w:t>1.6-3.3)</w:t>
            </w:r>
          </w:p>
        </w:tc>
      </w:tr>
      <w:tr w:rsidR="0086106B" w:rsidTr="009D187E">
        <w:trPr>
          <w:trHeight w:val="300"/>
        </w:trPr>
        <w:tc>
          <w:tcPr>
            <w:tcW w:w="2948" w:type="dxa"/>
            <w:tcBorders>
              <w:bottom w:val="single" w:sz="4" w:space="0" w:color="auto"/>
            </w:tcBorders>
          </w:tcPr>
          <w:p w:rsidR="0086106B" w:rsidRPr="00F53232" w:rsidRDefault="0086106B">
            <w:pPr>
              <w:jc w:val="center"/>
            </w:pPr>
            <w:r w:rsidRPr="00F53232">
              <w:rPr>
                <w:sz w:val="22"/>
              </w:rPr>
              <w:t>&gt;12 years</w:t>
            </w:r>
          </w:p>
        </w:tc>
        <w:tc>
          <w:tcPr>
            <w:tcW w:w="1440" w:type="dxa"/>
            <w:tcBorders>
              <w:bottom w:val="single" w:sz="4" w:space="0" w:color="auto"/>
            </w:tcBorders>
          </w:tcPr>
          <w:p w:rsidR="0086106B" w:rsidRPr="00F53232" w:rsidRDefault="0086106B">
            <w:pPr>
              <w:jc w:val="center"/>
            </w:pPr>
            <w:r w:rsidRPr="00F53232">
              <w:rPr>
                <w:sz w:val="22"/>
              </w:rPr>
              <w:t>63</w:t>
            </w:r>
          </w:p>
        </w:tc>
        <w:tc>
          <w:tcPr>
            <w:tcW w:w="1389" w:type="dxa"/>
            <w:tcBorders>
              <w:bottom w:val="single" w:sz="4" w:space="0" w:color="auto"/>
            </w:tcBorders>
          </w:tcPr>
          <w:p w:rsidR="0086106B" w:rsidRPr="00F53232" w:rsidRDefault="0086106B">
            <w:pPr>
              <w:jc w:val="center"/>
            </w:pPr>
            <w:r w:rsidRPr="00F53232">
              <w:rPr>
                <w:sz w:val="22"/>
              </w:rPr>
              <w:t>46.0</w:t>
            </w:r>
          </w:p>
        </w:tc>
        <w:tc>
          <w:tcPr>
            <w:tcW w:w="1205" w:type="dxa"/>
            <w:tcBorders>
              <w:bottom w:val="single" w:sz="4" w:space="0" w:color="auto"/>
            </w:tcBorders>
            <w:noWrap/>
          </w:tcPr>
          <w:p w:rsidR="0086106B" w:rsidRPr="00F53232" w:rsidRDefault="0086106B">
            <w:pPr>
              <w:jc w:val="center"/>
            </w:pPr>
            <w:r w:rsidRPr="00F53232">
              <w:rPr>
                <w:sz w:val="22"/>
              </w:rPr>
              <w:t>15.3</w:t>
            </w:r>
          </w:p>
        </w:tc>
        <w:tc>
          <w:tcPr>
            <w:tcW w:w="2306" w:type="dxa"/>
            <w:tcBorders>
              <w:bottom w:val="single" w:sz="4" w:space="0" w:color="auto"/>
            </w:tcBorders>
            <w:noWrap/>
          </w:tcPr>
          <w:p w:rsidR="0086106B" w:rsidRPr="00F53232" w:rsidRDefault="0086106B">
            <w:pPr>
              <w:jc w:val="center"/>
            </w:pPr>
            <w:r w:rsidRPr="00F53232">
              <w:rPr>
                <w:sz w:val="22"/>
              </w:rPr>
              <w:t>1.0</w:t>
            </w:r>
          </w:p>
        </w:tc>
      </w:tr>
    </w:tbl>
    <w:p w:rsidR="0086106B" w:rsidRDefault="0086106B">
      <w:pPr>
        <w:rPr>
          <w:b/>
          <w:sz w:val="28"/>
        </w:rPr>
      </w:pPr>
    </w:p>
    <w:p w:rsidR="0086106B" w:rsidRDefault="0086106B">
      <w:pPr>
        <w:rPr>
          <w:sz w:val="22"/>
        </w:rPr>
      </w:pPr>
      <w:r>
        <w:rPr>
          <w:sz w:val="22"/>
        </w:rPr>
        <w:t>* Per 100,000 live births.</w:t>
      </w:r>
    </w:p>
    <w:p w:rsidR="0086106B" w:rsidRDefault="0086106B">
      <w:pPr>
        <w:rPr>
          <w:sz w:val="22"/>
        </w:rPr>
      </w:pPr>
      <w:r>
        <w:rPr>
          <w:sz w:val="22"/>
        </w:rPr>
        <w:t>† Includes 135 deaths of women who had live births and either private or public payers at delivery. Excludes 1 self-pay, 1 free care, and 33 cases who did not have live births. Private: commercial indemnity plan, commercial managed care plan, or other private insurance. Public: Medicaid, Healthy Start (state program for low-income women who do not qualify for Medicaid), Medicare, or other government sources.</w:t>
      </w:r>
    </w:p>
    <w:p w:rsidR="0086106B" w:rsidRPr="005C5E6C" w:rsidRDefault="0086106B" w:rsidP="00E86B96">
      <w:pPr>
        <w:pStyle w:val="NoSpacing"/>
      </w:pPr>
      <w:r>
        <w:rPr>
          <w:sz w:val="22"/>
        </w:rPr>
        <w:t>‡ Includes 137 deaths of women who had live births.</w:t>
      </w:r>
      <w:r>
        <w:rPr>
          <w:sz w:val="28"/>
        </w:rPr>
        <w:t xml:space="preserve"> </w:t>
      </w:r>
      <w:r>
        <w:rPr>
          <w:sz w:val="28"/>
        </w:rPr>
        <w:br w:type="page"/>
      </w:r>
      <w:r w:rsidRPr="00C15063">
        <w:rPr>
          <w:rStyle w:val="Heading2Char"/>
        </w:rPr>
        <w:lastRenderedPageBreak/>
        <w:t>Timing of Pregnancy-Associated Deaths</w:t>
      </w:r>
    </w:p>
    <w:p w:rsidR="0086106B" w:rsidRDefault="0086106B">
      <w:pPr>
        <w:rPr>
          <w:b/>
          <w:sz w:val="28"/>
        </w:rPr>
      </w:pPr>
    </w:p>
    <w:p w:rsidR="0086106B" w:rsidRDefault="0086106B">
      <w:r>
        <w:t>Although risk for pregnancy-associated death exists throughout pregnancy and the first year postpartum, the level of risk varies by period and cause. Among the pregnancy-associated deaths, almost half (46%, n=77) occurred either during pregnancy or within 42 days post-partum, and slightly more than half (53%, n=89) occurred after 42 days post-partum.</w:t>
      </w:r>
    </w:p>
    <w:p w:rsidR="0086106B" w:rsidRDefault="0086106B"/>
    <w:p w:rsidR="0086106B" w:rsidRDefault="002A38C9" w:rsidP="00C15063">
      <w:pPr>
        <w:pStyle w:val="Heading2"/>
      </w:pPr>
      <w:bookmarkStart w:id="18" w:name="Figure3"/>
      <w:bookmarkStart w:id="19" w:name="_Toc402250612"/>
      <w:r>
        <w:rPr>
          <w:noProof/>
        </w:rPr>
        <w:drawing>
          <wp:inline distT="0" distB="0" distL="0" distR="0" wp14:anchorId="352FE55B" wp14:editId="097EA00A">
            <wp:extent cx="6057900" cy="4217050"/>
            <wp:effectExtent l="0" t="0" r="0" b="0"/>
            <wp:docPr id="4" name="Picture 3" descr="Among the pregnancy-associated deaths, almost half (46%, n=77) occurred either during pregnancy or within 42 days post-partum, and (53%, n=89) occurred after 42 days post-partum." title="Figure 3 titled Timing of Pregnancy-Associated Deaths, Massachusetts from 2000 t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ong the pregnancy-associated deaths, almost half (46%, n=77) occurred either during pregnancy or within 42 days post-partum, and (53%, n=89) occurred after 42 days post-part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4217050"/>
                    </a:xfrm>
                    <a:prstGeom prst="rect">
                      <a:avLst/>
                    </a:prstGeom>
                    <a:noFill/>
                    <a:ln>
                      <a:noFill/>
                    </a:ln>
                  </pic:spPr>
                </pic:pic>
              </a:graphicData>
            </a:graphic>
          </wp:inline>
        </w:drawing>
      </w:r>
      <w:bookmarkEnd w:id="18"/>
      <w:r w:rsidR="0086106B" w:rsidRPr="00446830">
        <w:br w:type="page"/>
      </w:r>
      <w:r w:rsidR="0086106B" w:rsidRPr="005C5E6C">
        <w:lastRenderedPageBreak/>
        <w:t>Timing of Medical Causes of Death</w:t>
      </w:r>
      <w:bookmarkEnd w:id="19"/>
      <w:r w:rsidR="0086106B">
        <w:t xml:space="preserve"> </w:t>
      </w:r>
    </w:p>
    <w:p w:rsidR="0086106B" w:rsidRDefault="0086106B">
      <w:pPr>
        <w:rPr>
          <w:b/>
        </w:rPr>
      </w:pPr>
    </w:p>
    <w:p w:rsidR="0086106B" w:rsidRPr="001E2001" w:rsidRDefault="0086106B">
      <w:pPr>
        <w:rPr>
          <w:b/>
        </w:rPr>
      </w:pPr>
      <w:r>
        <w:t xml:space="preserve">Of the 112 deaths due to medical causes, 62 occurred either during pregnancy or within 42 days post-partum. </w:t>
      </w:r>
    </w:p>
    <w:p w:rsidR="0086106B" w:rsidRDefault="0086106B" w:rsidP="00446830">
      <w:pPr>
        <w:numPr>
          <w:ilvl w:val="0"/>
          <w:numId w:val="5"/>
        </w:numPr>
      </w:pPr>
      <w:r>
        <w:t>Most (45 out of 62) of the pregnancy-related deaths occurred within 42 days postpartum, a time coinciding with close contact with obstetrical providers.</w:t>
      </w:r>
    </w:p>
    <w:p w:rsidR="0086106B" w:rsidRDefault="0086106B" w:rsidP="001262C5">
      <w:pPr>
        <w:ind w:left="1440"/>
      </w:pPr>
    </w:p>
    <w:p w:rsidR="00150269" w:rsidRDefault="0086106B" w:rsidP="00150269">
      <w:pPr>
        <w:numPr>
          <w:ilvl w:val="0"/>
          <w:numId w:val="5"/>
        </w:numPr>
        <w:rPr>
          <w:noProof/>
          <w:lang w:eastAsia="zh-CN"/>
        </w:rPr>
      </w:pPr>
      <w:r>
        <w:t>Among deaths that were not pregnancy-related, most (40 out of 50) occurred after 42 days postpartum.</w:t>
      </w:r>
    </w:p>
    <w:p w:rsidR="00150269" w:rsidRDefault="00150269" w:rsidP="00150269">
      <w:pPr>
        <w:pStyle w:val="ListParagraph"/>
        <w:rPr>
          <w:noProof/>
        </w:rPr>
      </w:pPr>
    </w:p>
    <w:p w:rsidR="0086106B" w:rsidRDefault="002A38C9">
      <w:bookmarkStart w:id="20" w:name="Figure4"/>
      <w:r>
        <w:rPr>
          <w:noProof/>
        </w:rPr>
        <w:drawing>
          <wp:inline distT="0" distB="0" distL="0" distR="0" wp14:anchorId="59CE5A27" wp14:editId="5C655EB0">
            <wp:extent cx="6029325" cy="3771900"/>
            <wp:effectExtent l="0" t="0" r="0" b="0"/>
            <wp:docPr id="5" name="Picture 6" title="Figure 4 titled Timing of Pregnancy-Associated Deaths, Medical Causes, Massachusetts from 2000 t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9325" cy="3771900"/>
                    </a:xfrm>
                    <a:prstGeom prst="rect">
                      <a:avLst/>
                    </a:prstGeom>
                    <a:noFill/>
                    <a:ln>
                      <a:noFill/>
                    </a:ln>
                  </pic:spPr>
                </pic:pic>
              </a:graphicData>
            </a:graphic>
          </wp:inline>
        </w:drawing>
      </w:r>
      <w:bookmarkEnd w:id="20"/>
    </w:p>
    <w:p w:rsidR="0086106B" w:rsidRDefault="0086106B" w:rsidP="00C15063">
      <w:pPr>
        <w:pStyle w:val="Heading2"/>
      </w:pPr>
      <w:r>
        <w:rPr>
          <w:sz w:val="28"/>
        </w:rPr>
        <w:br w:type="page"/>
      </w:r>
      <w:bookmarkStart w:id="21" w:name="_Toc402250613"/>
      <w:r w:rsidRPr="005C5E6C">
        <w:lastRenderedPageBreak/>
        <w:t>Timing of Injury Causes of Death</w:t>
      </w:r>
      <w:bookmarkEnd w:id="21"/>
    </w:p>
    <w:p w:rsidR="0086106B" w:rsidRDefault="0086106B">
      <w:pPr>
        <w:rPr>
          <w:b/>
        </w:rPr>
      </w:pPr>
    </w:p>
    <w:p w:rsidR="0086106B" w:rsidRDefault="0086106B">
      <w:r>
        <w:t>The majority of deaths (38 out of 51) caused by injuries occurred after the 6-week postpartum period (43-364 days).</w:t>
      </w:r>
    </w:p>
    <w:p w:rsidR="0086106B" w:rsidRDefault="0086106B">
      <w:pPr>
        <w:numPr>
          <w:ilvl w:val="0"/>
          <w:numId w:val="3"/>
        </w:numPr>
      </w:pPr>
      <w:r>
        <w:t>The majority of injury deaths were unintentional (35 out of 51).</w:t>
      </w:r>
    </w:p>
    <w:p w:rsidR="0086106B" w:rsidRDefault="0086106B" w:rsidP="001262C5">
      <w:pPr>
        <w:ind w:left="720"/>
      </w:pPr>
    </w:p>
    <w:p w:rsidR="0086106B" w:rsidRDefault="0086106B">
      <w:pPr>
        <w:numPr>
          <w:ilvl w:val="0"/>
          <w:numId w:val="3"/>
        </w:numPr>
      </w:pPr>
      <w:r>
        <w:t>The majority of homicide deaths (5 out of 7) and suicide deaths (4 out of 5) occurred in the 43-364 days postpartum period.</w:t>
      </w:r>
    </w:p>
    <w:p w:rsidR="0086106B" w:rsidRDefault="0086106B" w:rsidP="001262C5">
      <w:pPr>
        <w:ind w:left="720"/>
      </w:pPr>
    </w:p>
    <w:p w:rsidR="0086106B" w:rsidRDefault="0086106B">
      <w:pPr>
        <w:numPr>
          <w:ilvl w:val="0"/>
          <w:numId w:val="3"/>
        </w:numPr>
      </w:pPr>
      <w:r>
        <w:t>Deaths due to motor vehicle collisions (MVC) occurred across all periods with over half occurring within six months postpartum.</w:t>
      </w:r>
    </w:p>
    <w:p w:rsidR="0086106B" w:rsidRDefault="0086106B" w:rsidP="001262C5">
      <w:pPr>
        <w:ind w:left="720"/>
      </w:pPr>
    </w:p>
    <w:p w:rsidR="0086106B" w:rsidRDefault="0086106B">
      <w:pPr>
        <w:numPr>
          <w:ilvl w:val="0"/>
          <w:numId w:val="3"/>
        </w:numPr>
      </w:pPr>
      <w:r>
        <w:t xml:space="preserve">Most of the deaths due to drug poisoning including overdose (16 out of 19) occurred after the 6-week postpartum period. </w:t>
      </w:r>
    </w:p>
    <w:p w:rsidR="0086106B" w:rsidRDefault="0086106B" w:rsidP="004C06CB">
      <w:pPr>
        <w:ind w:left="360"/>
      </w:pPr>
    </w:p>
    <w:p w:rsidR="0086106B" w:rsidRDefault="002A38C9" w:rsidP="00150269">
      <w:pPr>
        <w:ind w:left="-180"/>
      </w:pPr>
      <w:bookmarkStart w:id="22" w:name="Figure5"/>
      <w:r>
        <w:rPr>
          <w:noProof/>
        </w:rPr>
        <w:drawing>
          <wp:inline distT="0" distB="0" distL="0" distR="0" wp14:anchorId="37EE5B95" wp14:editId="4E3C2E35">
            <wp:extent cx="6238875" cy="4362450"/>
            <wp:effectExtent l="0" t="0" r="0" b="0"/>
            <wp:docPr id="1" name="Picture 5" descr="Timing of Injury Causes of Death: The majority of deaths (38 out of 51) caused by injuries occurred after the 6-week postpartum period (42-364 days)." title="Figure 5 titled Timing of Pregnancy-Associated Deaths, Injury Causes, Massachusetts from 2000 to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ing of Injury Causes of Death: The majority of deaths (38 out of 51) caused by injuries occurred after the 6-week postpartum period (42-364 day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8875" cy="4362450"/>
                    </a:xfrm>
                    <a:prstGeom prst="rect">
                      <a:avLst/>
                    </a:prstGeom>
                    <a:noFill/>
                  </pic:spPr>
                </pic:pic>
              </a:graphicData>
            </a:graphic>
          </wp:inline>
        </w:drawing>
      </w:r>
      <w:bookmarkEnd w:id="22"/>
    </w:p>
    <w:p w:rsidR="0086106B" w:rsidRPr="005C5E6C" w:rsidRDefault="0086106B" w:rsidP="00C15063">
      <w:pPr>
        <w:pStyle w:val="Heading2"/>
      </w:pPr>
      <w:r>
        <w:rPr>
          <w:i/>
          <w:sz w:val="32"/>
        </w:rPr>
        <w:br w:type="page"/>
      </w:r>
      <w:bookmarkStart w:id="23" w:name="_Toc402250614"/>
      <w:r>
        <w:lastRenderedPageBreak/>
        <w:t xml:space="preserve">Distribution </w:t>
      </w:r>
      <w:r w:rsidRPr="005C5E6C">
        <w:t>of Causes of Death</w:t>
      </w:r>
      <w:bookmarkEnd w:id="23"/>
    </w:p>
    <w:p w:rsidR="0086106B" w:rsidRPr="005C5E6C" w:rsidRDefault="0086106B"/>
    <w:p w:rsidR="0086106B" w:rsidRDefault="0086106B" w:rsidP="00EE4FF7">
      <w:r w:rsidRPr="00C13966">
        <w:rPr>
          <w:b/>
        </w:rPr>
        <w:t>Medical Causes</w:t>
      </w:r>
      <w:r>
        <w:rPr>
          <w:b/>
        </w:rPr>
        <w:t xml:space="preserve">: The distribution of medical causes is presented in Figures 6 and 7. </w:t>
      </w:r>
      <w:r>
        <w:t xml:space="preserve">Among the 112 deaths caused by medical conditions, 51 (45%) were pregnancy-related, 50 (45%) were not related to pregnancy, and 11 (10%) were undetermined. </w:t>
      </w:r>
    </w:p>
    <w:p w:rsidR="0086106B" w:rsidRDefault="0086106B"/>
    <w:p w:rsidR="002A38C9" w:rsidRDefault="002A38C9" w:rsidP="001E2001">
      <w:pPr>
        <w:spacing w:before="100" w:beforeAutospacing="1" w:after="100" w:afterAutospacing="1"/>
      </w:pPr>
      <w:bookmarkStart w:id="24" w:name="Figure6"/>
      <w:r>
        <w:rPr>
          <w:noProof/>
        </w:rPr>
        <w:drawing>
          <wp:inline distT="0" distB="0" distL="0" distR="0" wp14:anchorId="75C5813D" wp14:editId="34FC0722">
            <wp:extent cx="6010275" cy="3762375"/>
            <wp:effectExtent l="0" t="0" r="0" b="0"/>
            <wp:docPr id="6" name="Picture 6" descr="Chart is divided into seven wedges and six sub-wedges." title="Figure 6 A pie chart titled Distribution of Pregnancy-Related Deaths Caused by 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0275" cy="3762375"/>
                    </a:xfrm>
                    <a:prstGeom prst="rect">
                      <a:avLst/>
                    </a:prstGeom>
                    <a:noFill/>
                    <a:ln>
                      <a:noFill/>
                    </a:ln>
                  </pic:spPr>
                </pic:pic>
              </a:graphicData>
            </a:graphic>
          </wp:inline>
        </w:drawing>
      </w:r>
      <w:bookmarkEnd w:id="24"/>
    </w:p>
    <w:p w:rsidR="0086106B" w:rsidRDefault="0086106B" w:rsidP="001E2001">
      <w:pPr>
        <w:spacing w:before="100" w:beforeAutospacing="1" w:after="100" w:afterAutospacing="1"/>
      </w:pPr>
      <w:r>
        <w:t>The leading causes of pregnancy-related deaths were complications of pregnancy, labor or delivery (n=29, 57%), which included  a</w:t>
      </w:r>
      <w:r w:rsidRPr="00B60D69">
        <w:t>mniotic fluid embolism</w:t>
      </w:r>
      <w:r>
        <w:t xml:space="preserve"> (n=5), infectious/parasitic disease (n=5), cardiovascular disease (n=5), hemorrhage (n=4), pregnancy-induced hypertension (n=3) including preeclampsia, eclampsia, and </w:t>
      </w:r>
      <w:r w:rsidRPr="00AF3AE2">
        <w:t>HELLP (</w:t>
      </w:r>
      <w:hyperlink r:id="rId17" w:tooltip="Hemolysis" w:history="1">
        <w:r w:rsidRPr="00AF3AE2">
          <w:rPr>
            <w:rStyle w:val="Hyperlink"/>
            <w:b/>
            <w:bCs/>
            <w:color w:val="auto"/>
          </w:rPr>
          <w:t>H</w:t>
        </w:r>
        <w:r w:rsidRPr="00AF3AE2">
          <w:rPr>
            <w:rStyle w:val="Hyperlink"/>
            <w:color w:val="auto"/>
          </w:rPr>
          <w:t>emolysis</w:t>
        </w:r>
      </w:hyperlink>
      <w:r w:rsidRPr="00AF3AE2">
        <w:t xml:space="preserve">, </w:t>
      </w:r>
      <w:r w:rsidRPr="00AF3AE2">
        <w:rPr>
          <w:b/>
          <w:bCs/>
        </w:rPr>
        <w:t>E</w:t>
      </w:r>
      <w:r w:rsidRPr="00AF3AE2">
        <w:t xml:space="preserve">levated </w:t>
      </w:r>
      <w:hyperlink r:id="rId18" w:tooltip="Liver enzyme" w:history="1">
        <w:r w:rsidRPr="00AF3AE2">
          <w:rPr>
            <w:rStyle w:val="Hyperlink"/>
            <w:b/>
            <w:bCs/>
            <w:color w:val="auto"/>
          </w:rPr>
          <w:t>L</w:t>
        </w:r>
        <w:r w:rsidRPr="00AF3AE2">
          <w:rPr>
            <w:rStyle w:val="Hyperlink"/>
            <w:color w:val="auto"/>
          </w:rPr>
          <w:t>iver enzymes</w:t>
        </w:r>
      </w:hyperlink>
      <w:r w:rsidRPr="00AF3AE2">
        <w:t xml:space="preserve">, </w:t>
      </w:r>
      <w:hyperlink r:id="rId19" w:tooltip="Thrombocytopenia" w:history="1">
        <w:r w:rsidRPr="00AF3AE2">
          <w:rPr>
            <w:rStyle w:val="Hyperlink"/>
            <w:b/>
            <w:bCs/>
            <w:color w:val="auto"/>
          </w:rPr>
          <w:t>L</w:t>
        </w:r>
        <w:r w:rsidRPr="00AF3AE2">
          <w:rPr>
            <w:rStyle w:val="Hyperlink"/>
            <w:color w:val="auto"/>
          </w:rPr>
          <w:t xml:space="preserve">ow </w:t>
        </w:r>
        <w:r w:rsidRPr="00AF3AE2">
          <w:rPr>
            <w:rStyle w:val="Hyperlink"/>
            <w:b/>
            <w:bCs/>
            <w:color w:val="auto"/>
          </w:rPr>
          <w:t>P</w:t>
        </w:r>
        <w:r w:rsidRPr="00AF3AE2">
          <w:rPr>
            <w:rStyle w:val="Hyperlink"/>
            <w:color w:val="auto"/>
          </w:rPr>
          <w:t>latelet count</w:t>
        </w:r>
      </w:hyperlink>
      <w:r w:rsidRPr="00AF3AE2">
        <w:t xml:space="preserve">) </w:t>
      </w:r>
      <w:r>
        <w:t xml:space="preserve">syndrome, and other complications (n=7) including anesthesia complications, ruptured ectopic pregnancy, </w:t>
      </w:r>
      <w:r w:rsidRPr="009764B4">
        <w:t>placental abruption</w:t>
      </w:r>
      <w:r>
        <w:t>, acute fatty liver, and postpartum a</w:t>
      </w:r>
      <w:r w:rsidRPr="009764B4">
        <w:t>ngiopathy</w:t>
      </w:r>
      <w:r>
        <w:t xml:space="preserve">.  </w:t>
      </w:r>
      <w:r w:rsidRPr="00AF3AE2">
        <w:t xml:space="preserve">The second leading cause was cardiovascular diseases (n=11, 22%). </w:t>
      </w:r>
      <w:r>
        <w:t xml:space="preserve">Next, </w:t>
      </w:r>
      <w:r w:rsidRPr="00AF3AE2">
        <w:t xml:space="preserve">were </w:t>
      </w:r>
      <w:r>
        <w:t xml:space="preserve">deaths </w:t>
      </w:r>
      <w:r w:rsidRPr="00AF3AE2">
        <w:t xml:space="preserve">caused by neurology/cerebrovascular diseases </w:t>
      </w:r>
      <w:r>
        <w:t xml:space="preserve">(n=4; </w:t>
      </w:r>
      <w:r w:rsidRPr="008E4E5A">
        <w:t xml:space="preserve">8%) </w:t>
      </w:r>
      <w:r w:rsidRPr="00AF3AE2">
        <w:t>and respiratory diseases</w:t>
      </w:r>
      <w:r>
        <w:t xml:space="preserve"> (n=3, </w:t>
      </w:r>
      <w:r w:rsidRPr="008E4E5A">
        <w:t>6%)</w:t>
      </w:r>
      <w:r w:rsidRPr="00111FD8">
        <w:t>.</w:t>
      </w:r>
      <w:r>
        <w:t xml:space="preserve"> </w:t>
      </w:r>
    </w:p>
    <w:p w:rsidR="0086106B" w:rsidRDefault="0086106B" w:rsidP="001E2001">
      <w:pPr>
        <w:ind w:left="-90"/>
        <w:jc w:val="center"/>
        <w:rPr>
          <w:noProof/>
        </w:rPr>
      </w:pPr>
      <w:r>
        <w:rPr>
          <w:b/>
          <w:sz w:val="28"/>
        </w:rPr>
        <w:br w:type="page"/>
      </w:r>
    </w:p>
    <w:p w:rsidR="00150269" w:rsidRDefault="0086106B" w:rsidP="00150269">
      <w:r w:rsidRPr="00AF3AE2">
        <w:lastRenderedPageBreak/>
        <w:t>The leading causes of pregnancy-associated but not pregnancy-related deaths</w:t>
      </w:r>
      <w:r>
        <w:t xml:space="preserve"> from medical causes</w:t>
      </w:r>
      <w:r w:rsidRPr="00AF3AE2">
        <w:t xml:space="preserve"> were cardiovascular diseases (n=15</w:t>
      </w:r>
      <w:r>
        <w:t>, 30%</w:t>
      </w:r>
      <w:r w:rsidRPr="00AF3AE2">
        <w:t>) followed by cancer (n=13</w:t>
      </w:r>
      <w:r>
        <w:t>, 26%</w:t>
      </w:r>
      <w:r w:rsidRPr="00AF3AE2">
        <w:t>), infectious and parasitic diseases (n=5</w:t>
      </w:r>
      <w:r>
        <w:t>, 10%</w:t>
      </w:r>
      <w:r w:rsidRPr="00AF3AE2">
        <w:t>) and neurological/cerebrovascular diseases (n=5</w:t>
      </w:r>
      <w:r>
        <w:t>, 10%</w:t>
      </w:r>
      <w:r w:rsidRPr="00AF3AE2">
        <w:t xml:space="preserve">). Cancers included breast, lung, gastric, esophageal  melanoma, and other rare cancers. Infections included HIV, meningitis, pneumonia, hepatitis, myocarditis, panencephalitis, and pyelonephritis. Other causes included seizure disorders, metabolic, cerebrovascular diseases, and other rare </w:t>
      </w:r>
      <w:r w:rsidRPr="00C97432">
        <w:t>conditions.</w:t>
      </w:r>
    </w:p>
    <w:p w:rsidR="0086106B" w:rsidRDefault="00150269" w:rsidP="00150269">
      <w:pPr>
        <w:rPr>
          <w:noProof/>
        </w:rPr>
      </w:pPr>
      <w:r>
        <w:rPr>
          <w:noProof/>
        </w:rPr>
        <w:t xml:space="preserve"> </w:t>
      </w:r>
    </w:p>
    <w:p w:rsidR="0086106B" w:rsidRDefault="002A38C9">
      <w:bookmarkStart w:id="25" w:name="Figure7"/>
      <w:r>
        <w:rPr>
          <w:noProof/>
        </w:rPr>
        <w:drawing>
          <wp:inline distT="0" distB="0" distL="0" distR="0" wp14:anchorId="43AA7480" wp14:editId="7D442179">
            <wp:extent cx="6276975" cy="5295576"/>
            <wp:effectExtent l="133350" t="114300" r="142875" b="172085"/>
            <wp:docPr id="7" name="Picture 7" descr="Pie chart is divided into six wedges.  Clockwise from the top of the chart the wedges and their numbers are Respiratory = 2, cardiovascular = 15, Cancer = 13, Other Medical Causes = 10, Infectious and Parasitic = 5, Neurological / Cerebrovascular = 5.  Total = 50" title="Figure 7 A pie chart titled Pregnancy-Associated Deaths, Medical causes but not Pregnancy-Related, Massachusetts, 2000-2007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blip>
                    <a:srcRect/>
                    <a:stretch>
                      <a:fillRect/>
                    </a:stretch>
                  </pic:blipFill>
                  <pic:spPr bwMode="auto">
                    <a:xfrm>
                      <a:off x="0" y="0"/>
                      <a:ext cx="6276474" cy="529515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End w:id="25"/>
    </w:p>
    <w:p w:rsidR="0086106B" w:rsidRDefault="0086106B"/>
    <w:p w:rsidR="0086106B" w:rsidRDefault="0086106B">
      <w:r>
        <w:br w:type="page"/>
      </w:r>
      <w:r w:rsidRPr="003A5326">
        <w:rPr>
          <w:b/>
        </w:rPr>
        <w:lastRenderedPageBreak/>
        <w:t>Distribution of Injury Deaths</w:t>
      </w:r>
      <w:r>
        <w:rPr>
          <w:b/>
        </w:rPr>
        <w:t xml:space="preserve">: </w:t>
      </w:r>
      <w:r>
        <w:t xml:space="preserve">Drug poisoning including drug overdose was the primary cause of death among the 51 injury-related deaths and accounted for 37% of the deaths (n=19). The second leading cause was motor vehicle collisions (MVC) with 31% (n=16).  Among the remaining deaths, 14% (n=7) were the result of homicides and 10% (n=5) were suicides. In 8% (n=4) of injury deaths the intentionality was undetermined. </w:t>
      </w:r>
    </w:p>
    <w:p w:rsidR="0086106B" w:rsidRDefault="0086106B"/>
    <w:p w:rsidR="0086106B" w:rsidRPr="00BA67DE" w:rsidRDefault="002A38C9" w:rsidP="00E86B96">
      <w:pPr>
        <w:pStyle w:val="NoSpacing"/>
        <w:rPr>
          <w:sz w:val="28"/>
          <w:szCs w:val="28"/>
        </w:rPr>
      </w:pPr>
      <w:bookmarkStart w:id="26" w:name="Figure8"/>
      <w:r>
        <w:rPr>
          <w:noProof/>
        </w:rPr>
        <w:drawing>
          <wp:inline distT="0" distB="0" distL="0" distR="0" wp14:anchorId="39C50A08" wp14:editId="571E9E1C">
            <wp:extent cx="5248275" cy="4343400"/>
            <wp:effectExtent l="0" t="0" r="0" b="0"/>
            <wp:docPr id="8" name="Picture 8" descr="Pie chart is divided into five wedges." title="Figure 8 A pie chart titled Distribution of Injury Deaths, Massachusetts, 200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8275" cy="4343400"/>
                    </a:xfrm>
                    <a:prstGeom prst="rect">
                      <a:avLst/>
                    </a:prstGeom>
                    <a:noFill/>
                    <a:ln>
                      <a:noFill/>
                    </a:ln>
                  </pic:spPr>
                </pic:pic>
              </a:graphicData>
            </a:graphic>
          </wp:inline>
        </w:drawing>
      </w:r>
      <w:bookmarkEnd w:id="26"/>
      <w:r w:rsidR="0086106B">
        <w:rPr>
          <w:sz w:val="28"/>
        </w:rPr>
        <w:br w:type="page"/>
      </w:r>
      <w:r w:rsidR="0086106B" w:rsidRPr="00C15063">
        <w:rPr>
          <w:rStyle w:val="Heading2Char"/>
        </w:rPr>
        <w:lastRenderedPageBreak/>
        <w:t>Preventable Deaths</w:t>
      </w:r>
    </w:p>
    <w:p w:rsidR="0086106B" w:rsidRDefault="0086106B"/>
    <w:p w:rsidR="0086106B" w:rsidRDefault="0086106B">
      <w:r>
        <w:t>The following preventable death determinations were made with the benefit of retrospective review and current clinical practice guidelines at the time of the review rather than at the time of the death.</w:t>
      </w:r>
    </w:p>
    <w:p w:rsidR="0086106B" w:rsidRDefault="0086106B"/>
    <w:p w:rsidR="0086106B" w:rsidRDefault="0086106B">
      <w:pPr>
        <w:jc w:val="center"/>
        <w:rPr>
          <w:b/>
        </w:rPr>
      </w:pPr>
      <w:bookmarkStart w:id="27" w:name="Table2"/>
      <w:bookmarkEnd w:id="27"/>
      <w:r>
        <w:rPr>
          <w:b/>
        </w:rPr>
        <w:t xml:space="preserve">Table 2. Preventable Pregnancy-Associated Deaths, Medical Causes, </w:t>
      </w:r>
    </w:p>
    <w:p w:rsidR="0086106B" w:rsidRDefault="0086106B">
      <w:pPr>
        <w:jc w:val="center"/>
        <w:rPr>
          <w:b/>
        </w:rPr>
      </w:pPr>
      <w:r>
        <w:rPr>
          <w:b/>
        </w:rPr>
        <w:t>Massachusetts, 2000-2007</w:t>
      </w:r>
    </w:p>
    <w:p w:rsidR="0086106B" w:rsidRDefault="0086106B"/>
    <w:tbl>
      <w:tblPr>
        <w:tblW w:w="7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980"/>
        <w:gridCol w:w="1460"/>
        <w:gridCol w:w="1420"/>
        <w:gridCol w:w="1640"/>
        <w:gridCol w:w="1220"/>
      </w:tblGrid>
      <w:tr w:rsidR="0086106B">
        <w:trPr>
          <w:trHeight w:val="255"/>
          <w:jc w:val="center"/>
        </w:trPr>
        <w:tc>
          <w:tcPr>
            <w:tcW w:w="1980" w:type="dxa"/>
            <w:shd w:val="clear" w:color="auto" w:fill="FFFFFF"/>
            <w:vAlign w:val="center"/>
          </w:tcPr>
          <w:p w:rsidR="0086106B" w:rsidRPr="00F53232" w:rsidRDefault="0086106B">
            <w:pPr>
              <w:jc w:val="center"/>
            </w:pPr>
          </w:p>
        </w:tc>
        <w:tc>
          <w:tcPr>
            <w:tcW w:w="4520" w:type="dxa"/>
            <w:gridSpan w:val="3"/>
            <w:shd w:val="clear" w:color="auto" w:fill="FFFFFF"/>
            <w:vAlign w:val="center"/>
          </w:tcPr>
          <w:p w:rsidR="0086106B" w:rsidRPr="00AF3AE2" w:rsidRDefault="0086106B">
            <w:pPr>
              <w:jc w:val="center"/>
              <w:rPr>
                <w:b/>
              </w:rPr>
            </w:pPr>
            <w:r w:rsidRPr="00AF3AE2">
              <w:rPr>
                <w:b/>
                <w:sz w:val="22"/>
              </w:rPr>
              <w:t>Pregnancy-</w:t>
            </w:r>
            <w:r>
              <w:rPr>
                <w:b/>
                <w:sz w:val="22"/>
              </w:rPr>
              <w:t>R</w:t>
            </w:r>
            <w:r w:rsidRPr="00AF3AE2">
              <w:rPr>
                <w:b/>
                <w:sz w:val="22"/>
              </w:rPr>
              <w:t>elated</w:t>
            </w:r>
          </w:p>
        </w:tc>
        <w:tc>
          <w:tcPr>
            <w:tcW w:w="1220" w:type="dxa"/>
            <w:shd w:val="clear" w:color="auto" w:fill="FFFFFF"/>
            <w:vAlign w:val="center"/>
          </w:tcPr>
          <w:p w:rsidR="0086106B" w:rsidRPr="00F53232" w:rsidRDefault="0086106B">
            <w:pPr>
              <w:jc w:val="center"/>
            </w:pPr>
          </w:p>
        </w:tc>
      </w:tr>
      <w:tr w:rsidR="0086106B" w:rsidTr="00E54EFB">
        <w:trPr>
          <w:trHeight w:val="263"/>
          <w:jc w:val="center"/>
        </w:trPr>
        <w:tc>
          <w:tcPr>
            <w:tcW w:w="1980" w:type="dxa"/>
            <w:vMerge w:val="restart"/>
            <w:shd w:val="clear" w:color="auto" w:fill="FFFFFF"/>
            <w:vAlign w:val="center"/>
          </w:tcPr>
          <w:p w:rsidR="0086106B" w:rsidRPr="00F53232" w:rsidRDefault="0086106B">
            <w:pPr>
              <w:jc w:val="center"/>
              <w:rPr>
                <w:b/>
              </w:rPr>
            </w:pPr>
            <w:r w:rsidRPr="00F53232">
              <w:rPr>
                <w:b/>
                <w:sz w:val="22"/>
              </w:rPr>
              <w:t>Preventability</w:t>
            </w:r>
          </w:p>
        </w:tc>
        <w:tc>
          <w:tcPr>
            <w:tcW w:w="1460" w:type="dxa"/>
            <w:shd w:val="clear" w:color="auto" w:fill="FFFFFF"/>
            <w:vAlign w:val="center"/>
          </w:tcPr>
          <w:p w:rsidR="0086106B" w:rsidRPr="00F53232" w:rsidRDefault="0086106B">
            <w:pPr>
              <w:jc w:val="center"/>
              <w:rPr>
                <w:b/>
              </w:rPr>
            </w:pPr>
            <w:r w:rsidRPr="00F53232">
              <w:rPr>
                <w:b/>
                <w:sz w:val="22"/>
              </w:rPr>
              <w:t>Yes</w:t>
            </w:r>
          </w:p>
        </w:tc>
        <w:tc>
          <w:tcPr>
            <w:tcW w:w="1420" w:type="dxa"/>
            <w:shd w:val="clear" w:color="auto" w:fill="FFFFFF"/>
            <w:vAlign w:val="center"/>
          </w:tcPr>
          <w:p w:rsidR="0086106B" w:rsidRPr="00F53232" w:rsidRDefault="0086106B">
            <w:pPr>
              <w:jc w:val="center"/>
              <w:rPr>
                <w:b/>
              </w:rPr>
            </w:pPr>
            <w:r w:rsidRPr="00F53232">
              <w:rPr>
                <w:b/>
                <w:sz w:val="22"/>
              </w:rPr>
              <w:t>No</w:t>
            </w:r>
          </w:p>
        </w:tc>
        <w:tc>
          <w:tcPr>
            <w:tcW w:w="1640" w:type="dxa"/>
            <w:shd w:val="clear" w:color="auto" w:fill="FFFFFF"/>
            <w:vAlign w:val="center"/>
          </w:tcPr>
          <w:p w:rsidR="0086106B" w:rsidRPr="00F53232" w:rsidRDefault="0086106B">
            <w:pPr>
              <w:jc w:val="center"/>
              <w:rPr>
                <w:b/>
              </w:rPr>
            </w:pPr>
            <w:r w:rsidRPr="00F53232">
              <w:rPr>
                <w:b/>
                <w:sz w:val="22"/>
              </w:rPr>
              <w:t>Undetermined</w:t>
            </w:r>
          </w:p>
        </w:tc>
        <w:tc>
          <w:tcPr>
            <w:tcW w:w="1220" w:type="dxa"/>
            <w:shd w:val="clear" w:color="auto" w:fill="FFFFFF"/>
            <w:vAlign w:val="center"/>
          </w:tcPr>
          <w:p w:rsidR="0086106B" w:rsidRPr="00F53232" w:rsidRDefault="0086106B">
            <w:pPr>
              <w:jc w:val="center"/>
              <w:rPr>
                <w:b/>
              </w:rPr>
            </w:pPr>
            <w:r w:rsidRPr="00F53232">
              <w:rPr>
                <w:b/>
                <w:sz w:val="22"/>
              </w:rPr>
              <w:t>Total</w:t>
            </w:r>
          </w:p>
        </w:tc>
      </w:tr>
      <w:tr w:rsidR="0086106B">
        <w:trPr>
          <w:trHeight w:val="262"/>
          <w:jc w:val="center"/>
        </w:trPr>
        <w:tc>
          <w:tcPr>
            <w:tcW w:w="1980" w:type="dxa"/>
            <w:vMerge/>
            <w:shd w:val="clear" w:color="auto" w:fill="FFFFFF"/>
            <w:vAlign w:val="center"/>
          </w:tcPr>
          <w:p w:rsidR="0086106B" w:rsidRPr="00F53232" w:rsidRDefault="0086106B">
            <w:pPr>
              <w:jc w:val="center"/>
              <w:rPr>
                <w:b/>
              </w:rPr>
            </w:pPr>
          </w:p>
        </w:tc>
        <w:tc>
          <w:tcPr>
            <w:tcW w:w="1460" w:type="dxa"/>
            <w:shd w:val="clear" w:color="auto" w:fill="FFFFFF"/>
            <w:vAlign w:val="center"/>
          </w:tcPr>
          <w:p w:rsidR="0086106B" w:rsidRPr="00F53232" w:rsidRDefault="0086106B">
            <w:pPr>
              <w:jc w:val="center"/>
              <w:rPr>
                <w:b/>
              </w:rPr>
            </w:pPr>
            <w:r>
              <w:rPr>
                <w:b/>
                <w:sz w:val="22"/>
              </w:rPr>
              <w:t>N (%)</w:t>
            </w:r>
          </w:p>
        </w:tc>
        <w:tc>
          <w:tcPr>
            <w:tcW w:w="1420" w:type="dxa"/>
            <w:shd w:val="clear" w:color="auto" w:fill="FFFFFF"/>
            <w:vAlign w:val="center"/>
          </w:tcPr>
          <w:p w:rsidR="0086106B" w:rsidRPr="00F53232" w:rsidRDefault="0086106B">
            <w:pPr>
              <w:jc w:val="center"/>
              <w:rPr>
                <w:b/>
              </w:rPr>
            </w:pPr>
            <w:r>
              <w:rPr>
                <w:b/>
                <w:sz w:val="22"/>
              </w:rPr>
              <w:t>N (%)</w:t>
            </w:r>
          </w:p>
        </w:tc>
        <w:tc>
          <w:tcPr>
            <w:tcW w:w="1640" w:type="dxa"/>
            <w:shd w:val="clear" w:color="auto" w:fill="FFFFFF"/>
            <w:vAlign w:val="center"/>
          </w:tcPr>
          <w:p w:rsidR="0086106B" w:rsidRPr="00F53232" w:rsidRDefault="0086106B">
            <w:pPr>
              <w:jc w:val="center"/>
              <w:rPr>
                <w:b/>
              </w:rPr>
            </w:pPr>
            <w:r>
              <w:rPr>
                <w:b/>
                <w:sz w:val="22"/>
              </w:rPr>
              <w:t>N (%)</w:t>
            </w:r>
          </w:p>
        </w:tc>
        <w:tc>
          <w:tcPr>
            <w:tcW w:w="1220" w:type="dxa"/>
            <w:shd w:val="clear" w:color="auto" w:fill="FFFFFF"/>
            <w:vAlign w:val="center"/>
          </w:tcPr>
          <w:p w:rsidR="0086106B" w:rsidRPr="00F53232" w:rsidRDefault="0086106B">
            <w:pPr>
              <w:jc w:val="center"/>
              <w:rPr>
                <w:b/>
              </w:rPr>
            </w:pPr>
            <w:r>
              <w:rPr>
                <w:b/>
                <w:sz w:val="22"/>
              </w:rPr>
              <w:t>N (%)</w:t>
            </w:r>
          </w:p>
        </w:tc>
      </w:tr>
      <w:tr w:rsidR="0086106B">
        <w:trPr>
          <w:trHeight w:val="255"/>
          <w:jc w:val="center"/>
        </w:trPr>
        <w:tc>
          <w:tcPr>
            <w:tcW w:w="1980" w:type="dxa"/>
            <w:shd w:val="clear" w:color="auto" w:fill="FFFFFF"/>
            <w:vAlign w:val="center"/>
          </w:tcPr>
          <w:p w:rsidR="0086106B" w:rsidRPr="00F53232" w:rsidRDefault="0086106B">
            <w:pPr>
              <w:jc w:val="center"/>
            </w:pPr>
            <w:r w:rsidRPr="00F53232">
              <w:rPr>
                <w:sz w:val="22"/>
              </w:rPr>
              <w:t>Preventable</w:t>
            </w:r>
          </w:p>
        </w:tc>
        <w:tc>
          <w:tcPr>
            <w:tcW w:w="1460" w:type="dxa"/>
            <w:shd w:val="clear" w:color="auto" w:fill="FFFFFF"/>
            <w:vAlign w:val="center"/>
          </w:tcPr>
          <w:p w:rsidR="0086106B" w:rsidRPr="00F53232" w:rsidRDefault="0086106B">
            <w:pPr>
              <w:jc w:val="center"/>
            </w:pPr>
            <w:r w:rsidRPr="00F53232">
              <w:rPr>
                <w:sz w:val="22"/>
              </w:rPr>
              <w:t>12 (24)</w:t>
            </w:r>
          </w:p>
        </w:tc>
        <w:tc>
          <w:tcPr>
            <w:tcW w:w="1420" w:type="dxa"/>
            <w:shd w:val="clear" w:color="auto" w:fill="FFFFFF"/>
            <w:vAlign w:val="center"/>
          </w:tcPr>
          <w:p w:rsidR="0086106B" w:rsidRPr="00F53232" w:rsidRDefault="0086106B">
            <w:pPr>
              <w:jc w:val="center"/>
            </w:pPr>
            <w:r w:rsidRPr="00F53232">
              <w:rPr>
                <w:sz w:val="22"/>
              </w:rPr>
              <w:t>9 (18)</w:t>
            </w:r>
          </w:p>
        </w:tc>
        <w:tc>
          <w:tcPr>
            <w:tcW w:w="1640" w:type="dxa"/>
            <w:shd w:val="clear" w:color="auto" w:fill="FFFFFF"/>
            <w:vAlign w:val="center"/>
          </w:tcPr>
          <w:p w:rsidR="0086106B" w:rsidRPr="00F53232" w:rsidRDefault="0086106B">
            <w:pPr>
              <w:jc w:val="center"/>
            </w:pPr>
            <w:r w:rsidRPr="00F53232">
              <w:rPr>
                <w:sz w:val="22"/>
              </w:rPr>
              <w:t>0</w:t>
            </w:r>
          </w:p>
        </w:tc>
        <w:tc>
          <w:tcPr>
            <w:tcW w:w="1220" w:type="dxa"/>
            <w:shd w:val="clear" w:color="auto" w:fill="FFFFFF"/>
            <w:vAlign w:val="center"/>
          </w:tcPr>
          <w:p w:rsidR="0086106B" w:rsidRPr="00F53232" w:rsidRDefault="0086106B">
            <w:pPr>
              <w:jc w:val="center"/>
            </w:pPr>
            <w:r w:rsidRPr="00F53232">
              <w:rPr>
                <w:sz w:val="22"/>
              </w:rPr>
              <w:t>21 (19)</w:t>
            </w:r>
          </w:p>
        </w:tc>
      </w:tr>
      <w:tr w:rsidR="0086106B">
        <w:trPr>
          <w:trHeight w:val="255"/>
          <w:jc w:val="center"/>
        </w:trPr>
        <w:tc>
          <w:tcPr>
            <w:tcW w:w="1980" w:type="dxa"/>
            <w:shd w:val="clear" w:color="auto" w:fill="FFFFFF"/>
            <w:vAlign w:val="center"/>
          </w:tcPr>
          <w:p w:rsidR="0086106B" w:rsidRPr="00F53232" w:rsidRDefault="0086106B">
            <w:pPr>
              <w:jc w:val="center"/>
            </w:pPr>
            <w:r w:rsidRPr="00F53232">
              <w:rPr>
                <w:sz w:val="22"/>
              </w:rPr>
              <w:t>Not preventable</w:t>
            </w:r>
          </w:p>
        </w:tc>
        <w:tc>
          <w:tcPr>
            <w:tcW w:w="1460" w:type="dxa"/>
            <w:shd w:val="clear" w:color="auto" w:fill="FFFFFF"/>
            <w:vAlign w:val="center"/>
          </w:tcPr>
          <w:p w:rsidR="0086106B" w:rsidRPr="00F53232" w:rsidRDefault="0086106B">
            <w:pPr>
              <w:jc w:val="center"/>
            </w:pPr>
            <w:r w:rsidRPr="00F53232">
              <w:rPr>
                <w:sz w:val="22"/>
              </w:rPr>
              <w:t>22 (43)</w:t>
            </w:r>
          </w:p>
        </w:tc>
        <w:tc>
          <w:tcPr>
            <w:tcW w:w="1420" w:type="dxa"/>
            <w:shd w:val="clear" w:color="auto" w:fill="FFFFFF"/>
            <w:vAlign w:val="center"/>
          </w:tcPr>
          <w:p w:rsidR="0086106B" w:rsidRPr="00F53232" w:rsidRDefault="0086106B">
            <w:pPr>
              <w:jc w:val="center"/>
            </w:pPr>
            <w:r w:rsidRPr="00F53232">
              <w:rPr>
                <w:sz w:val="22"/>
              </w:rPr>
              <w:t>35 (70)</w:t>
            </w:r>
          </w:p>
        </w:tc>
        <w:tc>
          <w:tcPr>
            <w:tcW w:w="1640" w:type="dxa"/>
            <w:shd w:val="clear" w:color="auto" w:fill="FFFFFF"/>
            <w:vAlign w:val="center"/>
          </w:tcPr>
          <w:p w:rsidR="0086106B" w:rsidRPr="00F53232" w:rsidRDefault="0086106B">
            <w:pPr>
              <w:jc w:val="center"/>
            </w:pPr>
            <w:r w:rsidRPr="00F53232">
              <w:rPr>
                <w:sz w:val="22"/>
              </w:rPr>
              <w:t>3 (27)</w:t>
            </w:r>
          </w:p>
        </w:tc>
        <w:tc>
          <w:tcPr>
            <w:tcW w:w="1220" w:type="dxa"/>
            <w:shd w:val="clear" w:color="auto" w:fill="FFFFFF"/>
            <w:vAlign w:val="center"/>
          </w:tcPr>
          <w:p w:rsidR="0086106B" w:rsidRPr="00F53232" w:rsidRDefault="0086106B">
            <w:pPr>
              <w:jc w:val="center"/>
            </w:pPr>
            <w:r w:rsidRPr="00F53232">
              <w:rPr>
                <w:sz w:val="22"/>
              </w:rPr>
              <w:t>60 (54)</w:t>
            </w:r>
          </w:p>
        </w:tc>
      </w:tr>
      <w:tr w:rsidR="0086106B">
        <w:trPr>
          <w:trHeight w:val="255"/>
          <w:jc w:val="center"/>
        </w:trPr>
        <w:tc>
          <w:tcPr>
            <w:tcW w:w="1980" w:type="dxa"/>
            <w:shd w:val="clear" w:color="auto" w:fill="FFFFFF"/>
            <w:vAlign w:val="center"/>
          </w:tcPr>
          <w:p w:rsidR="0086106B" w:rsidRPr="00F53232" w:rsidRDefault="0086106B">
            <w:pPr>
              <w:jc w:val="center"/>
            </w:pPr>
            <w:r w:rsidRPr="00F53232">
              <w:rPr>
                <w:sz w:val="22"/>
              </w:rPr>
              <w:t>Undetermined</w:t>
            </w:r>
          </w:p>
        </w:tc>
        <w:tc>
          <w:tcPr>
            <w:tcW w:w="1460" w:type="dxa"/>
            <w:shd w:val="clear" w:color="auto" w:fill="FFFFFF"/>
            <w:vAlign w:val="center"/>
          </w:tcPr>
          <w:p w:rsidR="0086106B" w:rsidRPr="00F53232" w:rsidRDefault="0086106B">
            <w:pPr>
              <w:jc w:val="center"/>
            </w:pPr>
            <w:r w:rsidRPr="00F53232">
              <w:rPr>
                <w:sz w:val="22"/>
              </w:rPr>
              <w:t>17 (33)</w:t>
            </w:r>
          </w:p>
        </w:tc>
        <w:tc>
          <w:tcPr>
            <w:tcW w:w="1420" w:type="dxa"/>
            <w:shd w:val="clear" w:color="auto" w:fill="FFFFFF"/>
            <w:vAlign w:val="center"/>
          </w:tcPr>
          <w:p w:rsidR="0086106B" w:rsidRPr="00F53232" w:rsidRDefault="0086106B">
            <w:pPr>
              <w:jc w:val="center"/>
            </w:pPr>
            <w:r w:rsidRPr="00F53232">
              <w:rPr>
                <w:sz w:val="22"/>
              </w:rPr>
              <w:t>6 (12)</w:t>
            </w:r>
          </w:p>
        </w:tc>
        <w:tc>
          <w:tcPr>
            <w:tcW w:w="1640" w:type="dxa"/>
            <w:shd w:val="clear" w:color="auto" w:fill="FFFFFF"/>
            <w:vAlign w:val="center"/>
          </w:tcPr>
          <w:p w:rsidR="0086106B" w:rsidRPr="00F53232" w:rsidRDefault="0086106B">
            <w:pPr>
              <w:jc w:val="center"/>
            </w:pPr>
            <w:r w:rsidRPr="00F53232">
              <w:rPr>
                <w:sz w:val="22"/>
              </w:rPr>
              <w:t>8 (73)</w:t>
            </w:r>
          </w:p>
        </w:tc>
        <w:tc>
          <w:tcPr>
            <w:tcW w:w="1220" w:type="dxa"/>
            <w:shd w:val="clear" w:color="auto" w:fill="FFFFFF"/>
            <w:vAlign w:val="center"/>
          </w:tcPr>
          <w:p w:rsidR="0086106B" w:rsidRPr="00F53232" w:rsidRDefault="0086106B">
            <w:pPr>
              <w:jc w:val="center"/>
            </w:pPr>
            <w:r w:rsidRPr="00F53232">
              <w:rPr>
                <w:sz w:val="22"/>
              </w:rPr>
              <w:t>31 (28)</w:t>
            </w:r>
          </w:p>
        </w:tc>
      </w:tr>
      <w:tr w:rsidR="0086106B">
        <w:trPr>
          <w:trHeight w:val="255"/>
          <w:jc w:val="center"/>
        </w:trPr>
        <w:tc>
          <w:tcPr>
            <w:tcW w:w="1980" w:type="dxa"/>
            <w:shd w:val="clear" w:color="auto" w:fill="FFFFFF"/>
            <w:vAlign w:val="center"/>
          </w:tcPr>
          <w:p w:rsidR="0086106B" w:rsidRPr="00F53232" w:rsidRDefault="0086106B">
            <w:pPr>
              <w:jc w:val="center"/>
            </w:pPr>
            <w:r w:rsidRPr="00F53232">
              <w:rPr>
                <w:sz w:val="22"/>
              </w:rPr>
              <w:t>Total</w:t>
            </w:r>
          </w:p>
        </w:tc>
        <w:tc>
          <w:tcPr>
            <w:tcW w:w="1460" w:type="dxa"/>
            <w:shd w:val="clear" w:color="auto" w:fill="FFFFFF"/>
            <w:vAlign w:val="center"/>
          </w:tcPr>
          <w:p w:rsidR="0086106B" w:rsidRPr="00F53232" w:rsidRDefault="0086106B">
            <w:pPr>
              <w:jc w:val="center"/>
            </w:pPr>
            <w:r w:rsidRPr="00F53232">
              <w:rPr>
                <w:sz w:val="22"/>
              </w:rPr>
              <w:t>51</w:t>
            </w:r>
            <w:r>
              <w:rPr>
                <w:sz w:val="22"/>
              </w:rPr>
              <w:t xml:space="preserve"> (100)</w:t>
            </w:r>
          </w:p>
        </w:tc>
        <w:tc>
          <w:tcPr>
            <w:tcW w:w="1420" w:type="dxa"/>
            <w:shd w:val="clear" w:color="auto" w:fill="FFFFFF"/>
            <w:vAlign w:val="center"/>
          </w:tcPr>
          <w:p w:rsidR="0086106B" w:rsidRPr="00F53232" w:rsidRDefault="0086106B">
            <w:pPr>
              <w:jc w:val="center"/>
            </w:pPr>
            <w:r w:rsidRPr="00F53232">
              <w:rPr>
                <w:sz w:val="22"/>
              </w:rPr>
              <w:t>50</w:t>
            </w:r>
            <w:r>
              <w:rPr>
                <w:sz w:val="22"/>
              </w:rPr>
              <w:t xml:space="preserve"> (100)</w:t>
            </w:r>
          </w:p>
        </w:tc>
        <w:tc>
          <w:tcPr>
            <w:tcW w:w="1640" w:type="dxa"/>
            <w:shd w:val="clear" w:color="auto" w:fill="FFFFFF"/>
            <w:vAlign w:val="center"/>
          </w:tcPr>
          <w:p w:rsidR="0086106B" w:rsidRPr="00F53232" w:rsidRDefault="0086106B">
            <w:pPr>
              <w:jc w:val="center"/>
            </w:pPr>
            <w:r w:rsidRPr="00F53232">
              <w:rPr>
                <w:sz w:val="22"/>
              </w:rPr>
              <w:t>11</w:t>
            </w:r>
            <w:r>
              <w:rPr>
                <w:sz w:val="22"/>
              </w:rPr>
              <w:t xml:space="preserve"> (100)</w:t>
            </w:r>
          </w:p>
        </w:tc>
        <w:tc>
          <w:tcPr>
            <w:tcW w:w="1220" w:type="dxa"/>
            <w:shd w:val="clear" w:color="auto" w:fill="FFFFFF"/>
            <w:vAlign w:val="center"/>
          </w:tcPr>
          <w:p w:rsidR="0086106B" w:rsidRPr="00F53232" w:rsidRDefault="0086106B">
            <w:pPr>
              <w:jc w:val="center"/>
            </w:pPr>
            <w:r w:rsidRPr="00F53232">
              <w:rPr>
                <w:sz w:val="22"/>
              </w:rPr>
              <w:t>112</w:t>
            </w:r>
            <w:r>
              <w:rPr>
                <w:sz w:val="22"/>
              </w:rPr>
              <w:t xml:space="preserve"> (100)</w:t>
            </w:r>
          </w:p>
        </w:tc>
      </w:tr>
    </w:tbl>
    <w:p w:rsidR="0086106B" w:rsidRDefault="0086106B">
      <w:r>
        <w:t xml:space="preserve"> </w:t>
      </w:r>
    </w:p>
    <w:p w:rsidR="0086106B" w:rsidRDefault="0086106B">
      <w:r>
        <w:t>Overall, 19% (n=21) of the medical deaths may have been “preventable”. The preventability could not be determined in 28% of cases (n=31), from the information available at the time of review, and the remaining 54% (n=60) were determined by the committee to be not preventable. Among the pregnancy-related deaths, 24% (n=12) may have been preventable, and among the deaths not related to pregnancy 18% (n=9) may have been preventable.</w:t>
      </w:r>
      <w:r w:rsidR="00150269">
        <w:t xml:space="preserve"> </w:t>
      </w:r>
      <w:r>
        <w:br w:type="page"/>
      </w:r>
    </w:p>
    <w:p w:rsidR="0086106B" w:rsidRPr="00C82101" w:rsidRDefault="0086106B" w:rsidP="00525EA8">
      <w:pPr>
        <w:pStyle w:val="Heading1"/>
      </w:pPr>
      <w:bookmarkStart w:id="28" w:name="_Toc402250615"/>
      <w:r>
        <w:lastRenderedPageBreak/>
        <w:t xml:space="preserve">V. </w:t>
      </w:r>
      <w:r w:rsidRPr="00C82101">
        <w:t>Recommendations</w:t>
      </w:r>
      <w:bookmarkEnd w:id="28"/>
    </w:p>
    <w:p w:rsidR="0086106B" w:rsidRPr="00964F30" w:rsidRDefault="0086106B" w:rsidP="000F7C1A">
      <w:pPr>
        <w:rPr>
          <w:b/>
        </w:rPr>
      </w:pPr>
    </w:p>
    <w:p w:rsidR="0086106B" w:rsidRPr="00964F30" w:rsidRDefault="0086106B" w:rsidP="000F7C1A">
      <w:r w:rsidRPr="00964F30">
        <w:t xml:space="preserve">The recommendations included in this report are based on the reviews of all pregnancy-associated deaths occurring </w:t>
      </w:r>
      <w:r>
        <w:t xml:space="preserve">in </w:t>
      </w:r>
      <w:r w:rsidRPr="00964F30">
        <w:t>Massachusetts during 2000-2007 by the MMMRC. These recommendations</w:t>
      </w:r>
      <w:r>
        <w:t xml:space="preserve"> were developed using</w:t>
      </w:r>
      <w:r w:rsidRPr="00964F30">
        <w:t xml:space="preserve"> the framework for public health action developed Dr. Thomas Frieden, current </w:t>
      </w:r>
      <w:r>
        <w:t>D</w:t>
      </w:r>
      <w:r w:rsidRPr="00964F30">
        <w:t>irector of the Centers of Disease Control and Prevention (CDC)</w:t>
      </w:r>
      <w:r w:rsidRPr="00964F30">
        <w:rPr>
          <w:rStyle w:val="FootnoteReference"/>
        </w:rPr>
        <w:footnoteReference w:id="2"/>
      </w:r>
      <w:r w:rsidRPr="00964F30">
        <w:t xml:space="preserve">. Dr. Frieden used a </w:t>
      </w:r>
      <w:r>
        <w:t>five</w:t>
      </w:r>
      <w:r w:rsidRPr="00964F30">
        <w:t>-tiered pyramid to describe different types of public health and clinical intervention</w:t>
      </w:r>
      <w:r>
        <w:t>s</w:t>
      </w:r>
      <w:r w:rsidRPr="00964F30">
        <w:t>. While interventions targeted at the base of the pyramid have a greater population impact, a comprehensive public health system needs to develop interventions for each tier.</w:t>
      </w:r>
      <w:r>
        <w:t xml:space="preserve"> </w:t>
      </w:r>
      <w:r w:rsidRPr="00964F30">
        <w:t xml:space="preserve">In addition, interventions aimed at the top of the pyramid require increased individual effort. Using this </w:t>
      </w:r>
      <w:r>
        <w:t>five</w:t>
      </w:r>
      <w:r w:rsidRPr="00964F30">
        <w:t>-tier pyramid, the recommendations of the MMMRC are as follows:</w:t>
      </w:r>
    </w:p>
    <w:p w:rsidR="0086106B" w:rsidRPr="00964F30" w:rsidRDefault="0086106B" w:rsidP="000F7C1A">
      <w:r w:rsidRPr="00964F30">
        <w:t xml:space="preserve"> </w:t>
      </w:r>
    </w:p>
    <w:p w:rsidR="0086106B" w:rsidRPr="00964F30" w:rsidRDefault="0086106B" w:rsidP="000F7C1A">
      <w:pPr>
        <w:autoSpaceDE w:val="0"/>
        <w:autoSpaceDN w:val="0"/>
        <w:adjustRightInd w:val="0"/>
        <w:rPr>
          <w:rStyle w:val="CommentReference"/>
          <w:sz w:val="24"/>
        </w:rPr>
      </w:pPr>
      <w:r w:rsidRPr="00964F30">
        <w:rPr>
          <w:b/>
        </w:rPr>
        <w:t>A</w:t>
      </w:r>
      <w:r>
        <w:rPr>
          <w:b/>
        </w:rPr>
        <w:t>.</w:t>
      </w:r>
      <w:r w:rsidRPr="00964F30">
        <w:rPr>
          <w:b/>
        </w:rPr>
        <w:t xml:space="preserve"> </w:t>
      </w:r>
      <w:r w:rsidRPr="00964F30">
        <w:t xml:space="preserve">  Maternal</w:t>
      </w:r>
      <w:r w:rsidRPr="00964F30">
        <w:rPr>
          <w:b/>
        </w:rPr>
        <w:t xml:space="preserve"> </w:t>
      </w:r>
      <w:r w:rsidRPr="00964F30">
        <w:t>Counseling and Education:  Maternal counseling is at the individual or group level to provide specific information to pregnant and postpartum women. This tier represents health education (education provided during clinical encounters as well as education in other settings), which is perceived by some as the essence of public health action but is generally the least effective type of intervention</w:t>
      </w:r>
      <w:r>
        <w:t xml:space="preserve">. </w:t>
      </w:r>
      <w:r w:rsidRPr="00964F30">
        <w:t>The MMMRC had two recommendations</w:t>
      </w:r>
      <w:r w:rsidRPr="00964F30">
        <w:rPr>
          <w:rStyle w:val="CommentReference"/>
          <w:sz w:val="24"/>
        </w:rPr>
        <w:t>:</w:t>
      </w:r>
    </w:p>
    <w:p w:rsidR="0086106B" w:rsidRPr="00964F30" w:rsidRDefault="0086106B" w:rsidP="000F7C1A">
      <w:pPr>
        <w:autoSpaceDE w:val="0"/>
        <w:autoSpaceDN w:val="0"/>
        <w:adjustRightInd w:val="0"/>
      </w:pPr>
    </w:p>
    <w:p w:rsidR="0086106B" w:rsidRDefault="0086106B" w:rsidP="000F7C1A">
      <w:pPr>
        <w:pStyle w:val="CommentText"/>
        <w:numPr>
          <w:ilvl w:val="0"/>
          <w:numId w:val="8"/>
        </w:numPr>
        <w:rPr>
          <w:i/>
        </w:rPr>
      </w:pPr>
      <w:r w:rsidRPr="00964F30">
        <w:rPr>
          <w:i/>
        </w:rPr>
        <w:t xml:space="preserve">Offer </w:t>
      </w:r>
      <w:r>
        <w:rPr>
          <w:i/>
        </w:rPr>
        <w:t>u</w:t>
      </w:r>
      <w:r w:rsidRPr="00964F30">
        <w:rPr>
          <w:i/>
        </w:rPr>
        <w:t>niversal screening, including HIV, to all pregnant women</w:t>
      </w:r>
      <w:r>
        <w:rPr>
          <w:i/>
        </w:rPr>
        <w:t>.</w:t>
      </w:r>
    </w:p>
    <w:p w:rsidR="0086106B" w:rsidRDefault="0086106B" w:rsidP="009C05D4">
      <w:pPr>
        <w:pStyle w:val="CommentText"/>
        <w:ind w:left="1440"/>
        <w:rPr>
          <w:i/>
        </w:rPr>
      </w:pPr>
    </w:p>
    <w:p w:rsidR="0086106B" w:rsidRPr="00964F30" w:rsidRDefault="0086106B" w:rsidP="000F7C1A">
      <w:pPr>
        <w:pStyle w:val="CommentText"/>
        <w:numPr>
          <w:ilvl w:val="0"/>
          <w:numId w:val="8"/>
        </w:numPr>
        <w:rPr>
          <w:i/>
        </w:rPr>
      </w:pPr>
      <w:r>
        <w:rPr>
          <w:i/>
        </w:rPr>
        <w:t>Offer universal screening for smoking and referrals as needed to all pregnant women.</w:t>
      </w:r>
      <w:r w:rsidRPr="00964F30">
        <w:rPr>
          <w:i/>
        </w:rPr>
        <w:tab/>
      </w:r>
    </w:p>
    <w:p w:rsidR="0086106B" w:rsidRPr="00964F30" w:rsidRDefault="0086106B" w:rsidP="000F7C1A">
      <w:pPr>
        <w:pStyle w:val="CommentText"/>
        <w:numPr>
          <w:ilvl w:val="0"/>
          <w:numId w:val="8"/>
        </w:numPr>
        <w:rPr>
          <w:i/>
        </w:rPr>
      </w:pPr>
      <w:r>
        <w:rPr>
          <w:i/>
        </w:rPr>
        <w:t>Offer c</w:t>
      </w:r>
      <w:r w:rsidRPr="00964F30">
        <w:rPr>
          <w:i/>
        </w:rPr>
        <w:t>ounseling re</w:t>
      </w:r>
      <w:r>
        <w:rPr>
          <w:i/>
        </w:rPr>
        <w:t>garding</w:t>
      </w:r>
      <w:r w:rsidRPr="00964F30">
        <w:rPr>
          <w:i/>
        </w:rPr>
        <w:t xml:space="preserve"> motor vehicle safety education including seat belt safety</w:t>
      </w:r>
      <w:r>
        <w:rPr>
          <w:i/>
        </w:rPr>
        <w:t>.</w:t>
      </w:r>
      <w:r w:rsidRPr="00964F30">
        <w:rPr>
          <w:i/>
        </w:rPr>
        <w:t xml:space="preserve"> </w:t>
      </w:r>
    </w:p>
    <w:p w:rsidR="0086106B" w:rsidRPr="00964F30" w:rsidRDefault="0086106B" w:rsidP="000F7C1A">
      <w:pPr>
        <w:pStyle w:val="CommentText"/>
      </w:pPr>
    </w:p>
    <w:p w:rsidR="0086106B" w:rsidRDefault="0086106B">
      <w:r w:rsidRPr="00964F30">
        <w:rPr>
          <w:b/>
        </w:rPr>
        <w:t>B</w:t>
      </w:r>
      <w:r>
        <w:rPr>
          <w:b/>
        </w:rPr>
        <w:t>.</w:t>
      </w:r>
      <w:r w:rsidRPr="00964F30">
        <w:rPr>
          <w:b/>
        </w:rPr>
        <w:t xml:space="preserve"> </w:t>
      </w:r>
      <w:r w:rsidRPr="00964F30">
        <w:t xml:space="preserve">  Perinatal Clinical Interventions: This level of the pyramid represents ongoing clinical interventions and direct clinical care. This level</w:t>
      </w:r>
      <w:r>
        <w:t>,</w:t>
      </w:r>
      <w:r w:rsidRPr="00964F30">
        <w:t xml:space="preserve"> although similar to the fifth </w:t>
      </w:r>
    </w:p>
    <w:p w:rsidR="0086106B" w:rsidRPr="00964F30" w:rsidRDefault="0086106B" w:rsidP="000F7C1A">
      <w:pPr>
        <w:pStyle w:val="Default"/>
      </w:pPr>
      <w:r w:rsidRPr="00964F30">
        <w:t xml:space="preserve">tier, has the interventions designed to help individuals rather than entire populations, but </w:t>
      </w:r>
      <w:r>
        <w:t>it</w:t>
      </w:r>
      <w:r w:rsidRPr="00964F30">
        <w:t xml:space="preserve"> could theoretically have a large population impact if universally and effectively applied. The MMMRC ha</w:t>
      </w:r>
      <w:r>
        <w:t>d fourteen recommendations, four</w:t>
      </w:r>
      <w:r w:rsidRPr="00964F30">
        <w:t xml:space="preserve"> of these match the </w:t>
      </w:r>
      <w:r w:rsidRPr="00964F30">
        <w:rPr>
          <w:i/>
        </w:rPr>
        <w:t xml:space="preserve">Recommendations to improve maternity care in Massachusetts, Report of the Expert Panel in Obstetrics </w:t>
      </w:r>
      <w:r w:rsidRPr="00964F30">
        <w:t>convened by the Betsy Lehman Center for Patient Safety and Medical Error Reduction Massachusetts Department of Public Health, November 18, 2009</w:t>
      </w:r>
      <w:r>
        <w:t>. *</w:t>
      </w:r>
    </w:p>
    <w:p w:rsidR="0086106B" w:rsidRPr="00964F30" w:rsidRDefault="0086106B" w:rsidP="000F7C1A">
      <w:pPr>
        <w:pStyle w:val="Default"/>
      </w:pPr>
    </w:p>
    <w:p w:rsidR="0086106B" w:rsidRPr="00964F30" w:rsidRDefault="0086106B" w:rsidP="000F7C1A">
      <w:pPr>
        <w:numPr>
          <w:ilvl w:val="0"/>
          <w:numId w:val="11"/>
        </w:numPr>
        <w:rPr>
          <w:i/>
        </w:rPr>
      </w:pPr>
      <w:r w:rsidRPr="00964F30">
        <w:rPr>
          <w:i/>
        </w:rPr>
        <w:t xml:space="preserve">Offer Universal screening, including </w:t>
      </w:r>
      <w:r>
        <w:rPr>
          <w:i/>
        </w:rPr>
        <w:t xml:space="preserve">a </w:t>
      </w:r>
      <w:r w:rsidRPr="00964F30">
        <w:rPr>
          <w:i/>
        </w:rPr>
        <w:t>rapid HIV test</w:t>
      </w:r>
      <w:r>
        <w:rPr>
          <w:i/>
        </w:rPr>
        <w:t>,</w:t>
      </w:r>
      <w:r w:rsidRPr="00964F30">
        <w:rPr>
          <w:i/>
        </w:rPr>
        <w:t xml:space="preserve"> to all pregnant women</w:t>
      </w:r>
      <w:r>
        <w:rPr>
          <w:i/>
        </w:rPr>
        <w:t>.</w:t>
      </w:r>
      <w:r w:rsidRPr="00964F30">
        <w:rPr>
          <w:i/>
        </w:rPr>
        <w:t xml:space="preserve"> </w:t>
      </w:r>
    </w:p>
    <w:p w:rsidR="0086106B" w:rsidRPr="00964F30" w:rsidRDefault="0086106B" w:rsidP="000F7C1A">
      <w:pPr>
        <w:ind w:left="1080"/>
        <w:rPr>
          <w:i/>
        </w:rPr>
      </w:pPr>
    </w:p>
    <w:p w:rsidR="0086106B" w:rsidRPr="00964F30" w:rsidRDefault="0086106B" w:rsidP="000F7C1A">
      <w:pPr>
        <w:numPr>
          <w:ilvl w:val="0"/>
          <w:numId w:val="11"/>
        </w:numPr>
        <w:rPr>
          <w:i/>
        </w:rPr>
      </w:pPr>
      <w:r w:rsidRPr="00964F30">
        <w:rPr>
          <w:i/>
        </w:rPr>
        <w:t>Develop standard practice guidelines for managing pregnant patients for behavioral health and mental health</w:t>
      </w:r>
      <w:r>
        <w:rPr>
          <w:i/>
        </w:rPr>
        <w:t>.</w:t>
      </w:r>
      <w:r w:rsidRPr="00964F30">
        <w:rPr>
          <w:i/>
        </w:rPr>
        <w:t xml:space="preserve"> </w:t>
      </w:r>
    </w:p>
    <w:p w:rsidR="0086106B" w:rsidRPr="00964F30" w:rsidRDefault="0086106B" w:rsidP="000F7C1A">
      <w:pPr>
        <w:rPr>
          <w:i/>
        </w:rPr>
      </w:pPr>
    </w:p>
    <w:p w:rsidR="0086106B" w:rsidRPr="00964F30" w:rsidRDefault="0086106B" w:rsidP="000F7C1A">
      <w:pPr>
        <w:pStyle w:val="Default"/>
        <w:numPr>
          <w:ilvl w:val="0"/>
          <w:numId w:val="11"/>
        </w:numPr>
        <w:rPr>
          <w:i/>
        </w:rPr>
      </w:pPr>
      <w:r>
        <w:rPr>
          <w:i/>
          <w:iCs/>
        </w:rPr>
        <w:t xml:space="preserve">Develop </w:t>
      </w:r>
      <w:r w:rsidRPr="00964F30">
        <w:rPr>
          <w:i/>
          <w:iCs/>
        </w:rPr>
        <w:t xml:space="preserve">Minimum standards and policies </w:t>
      </w:r>
      <w:r>
        <w:rPr>
          <w:i/>
          <w:iCs/>
        </w:rPr>
        <w:t xml:space="preserve">to </w:t>
      </w:r>
      <w:r w:rsidRPr="00964F30">
        <w:rPr>
          <w:i/>
          <w:iCs/>
        </w:rPr>
        <w:t>ensure that all obstetrical providers have access to coverage arrangements that allow adequate rest; as needed, adjustments in work load and work hours that are consistent with current research should be made.</w:t>
      </w:r>
      <w:r>
        <w:rPr>
          <w:iCs/>
        </w:rPr>
        <w:t>*</w:t>
      </w:r>
    </w:p>
    <w:p w:rsidR="0086106B" w:rsidRPr="00964F30" w:rsidRDefault="0086106B" w:rsidP="000F7C1A">
      <w:pPr>
        <w:pStyle w:val="ListParagraph"/>
        <w:rPr>
          <w:i/>
          <w:iCs/>
        </w:rPr>
      </w:pPr>
    </w:p>
    <w:p w:rsidR="0086106B" w:rsidRPr="005B03BD" w:rsidRDefault="0086106B" w:rsidP="000F7C1A">
      <w:pPr>
        <w:pStyle w:val="Default"/>
        <w:numPr>
          <w:ilvl w:val="0"/>
          <w:numId w:val="11"/>
        </w:numPr>
        <w:tabs>
          <w:tab w:val="left" w:pos="1440"/>
        </w:tabs>
        <w:rPr>
          <w:i/>
          <w:iCs/>
        </w:rPr>
      </w:pPr>
      <w:r>
        <w:rPr>
          <w:i/>
          <w:iCs/>
        </w:rPr>
        <w:lastRenderedPageBreak/>
        <w:t xml:space="preserve">Establish protocols for handing off patients </w:t>
      </w:r>
      <w:r w:rsidRPr="005B03BD">
        <w:rPr>
          <w:i/>
          <w:iCs/>
        </w:rPr>
        <w:t>in a structured &amp; consistent manner</w:t>
      </w:r>
      <w:r>
        <w:rPr>
          <w:i/>
          <w:iCs/>
        </w:rPr>
        <w:t xml:space="preserve"> to ensure</w:t>
      </w:r>
      <w:r w:rsidRPr="005B03BD">
        <w:rPr>
          <w:i/>
          <w:iCs/>
        </w:rPr>
        <w:t xml:space="preserve"> maxim</w:t>
      </w:r>
      <w:r>
        <w:rPr>
          <w:i/>
          <w:iCs/>
        </w:rPr>
        <w:t>um</w:t>
      </w:r>
      <w:r w:rsidRPr="005B03BD">
        <w:rPr>
          <w:i/>
          <w:iCs/>
        </w:rPr>
        <w:t xml:space="preserve"> continuity of information and patient care plans. The prenatal record should be available when the patient arrives in</w:t>
      </w:r>
      <w:r>
        <w:rPr>
          <w:i/>
          <w:iCs/>
        </w:rPr>
        <w:t xml:space="preserve"> </w:t>
      </w:r>
      <w:r w:rsidRPr="005B03BD">
        <w:rPr>
          <w:i/>
          <w:iCs/>
        </w:rPr>
        <w:t>L&amp;D.</w:t>
      </w:r>
      <w:r>
        <w:rPr>
          <w:iCs/>
        </w:rPr>
        <w:t>*</w:t>
      </w:r>
    </w:p>
    <w:p w:rsidR="0086106B" w:rsidRPr="0004627E" w:rsidRDefault="0086106B" w:rsidP="000F7C1A">
      <w:pPr>
        <w:pStyle w:val="Default"/>
        <w:ind w:left="1440"/>
        <w:rPr>
          <w:i/>
          <w:iCs/>
        </w:rPr>
      </w:pPr>
    </w:p>
    <w:p w:rsidR="0086106B" w:rsidRDefault="0086106B" w:rsidP="00300C24">
      <w:pPr>
        <w:pStyle w:val="Default"/>
        <w:numPr>
          <w:ilvl w:val="0"/>
          <w:numId w:val="13"/>
        </w:numPr>
        <w:rPr>
          <w:i/>
        </w:rPr>
      </w:pPr>
      <w:r w:rsidRPr="009A4B8E">
        <w:rPr>
          <w:i/>
        </w:rPr>
        <w:t>Enhance screening &amp; documentation of screening and response to a positive screen during prenatal, intrapartum and postpartum care</w:t>
      </w:r>
      <w:r>
        <w:rPr>
          <w:i/>
        </w:rPr>
        <w:t>.</w:t>
      </w:r>
      <w:r w:rsidRPr="009A4B8E">
        <w:rPr>
          <w:i/>
        </w:rPr>
        <w:t xml:space="preserve"> </w:t>
      </w:r>
    </w:p>
    <w:p w:rsidR="0086106B" w:rsidRPr="008B2EEB" w:rsidRDefault="0086106B" w:rsidP="00300C24">
      <w:pPr>
        <w:pStyle w:val="Default"/>
        <w:numPr>
          <w:ilvl w:val="0"/>
          <w:numId w:val="13"/>
        </w:numPr>
        <w:rPr>
          <w:i/>
        </w:rPr>
      </w:pPr>
      <w:r w:rsidRPr="009A4B8E">
        <w:rPr>
          <w:i/>
          <w:iCs/>
        </w:rPr>
        <w:t>The content of the communication should include relevant history such as behavioral hea</w:t>
      </w:r>
      <w:r w:rsidRPr="008B2EEB">
        <w:rPr>
          <w:i/>
          <w:iCs/>
        </w:rPr>
        <w:t>lth issues, pertinent social history, physical and laboratory data as well as progress, plans and concerns regarding deterioration.</w:t>
      </w:r>
      <w:r w:rsidRPr="008B2EEB">
        <w:rPr>
          <w:i/>
        </w:rPr>
        <w:t xml:space="preserve">  </w:t>
      </w:r>
    </w:p>
    <w:p w:rsidR="0086106B" w:rsidRPr="00964F30" w:rsidRDefault="0086106B" w:rsidP="000F7C1A">
      <w:pPr>
        <w:numPr>
          <w:ilvl w:val="0"/>
          <w:numId w:val="13"/>
        </w:numPr>
        <w:rPr>
          <w:i/>
        </w:rPr>
      </w:pPr>
      <w:r w:rsidRPr="00964F30">
        <w:rPr>
          <w:i/>
        </w:rPr>
        <w:t>Improve DPH protocols to assure improved data including social work notes</w:t>
      </w:r>
      <w:r>
        <w:rPr>
          <w:i/>
        </w:rPr>
        <w:t>.</w:t>
      </w:r>
    </w:p>
    <w:p w:rsidR="0086106B" w:rsidRPr="00964F30" w:rsidRDefault="0086106B" w:rsidP="000F7C1A">
      <w:pPr>
        <w:ind w:left="1440"/>
        <w:rPr>
          <w:i/>
        </w:rPr>
      </w:pPr>
    </w:p>
    <w:p w:rsidR="0086106B" w:rsidRPr="00964F30" w:rsidRDefault="0086106B" w:rsidP="000F7C1A">
      <w:pPr>
        <w:pStyle w:val="ListParagraph"/>
        <w:numPr>
          <w:ilvl w:val="0"/>
          <w:numId w:val="11"/>
        </w:numPr>
        <w:tabs>
          <w:tab w:val="left" w:pos="1080"/>
        </w:tabs>
        <w:rPr>
          <w:i/>
        </w:rPr>
      </w:pPr>
      <w:r w:rsidRPr="00964F30">
        <w:rPr>
          <w:i/>
        </w:rPr>
        <w:t>Improve and expand case management to better link social services with medical providers including increased case management and/or outreach for women with mental health or substance abuse</w:t>
      </w:r>
      <w:r>
        <w:rPr>
          <w:i/>
        </w:rPr>
        <w:t>;</w:t>
      </w:r>
      <w:r w:rsidRPr="00964F30">
        <w:rPr>
          <w:i/>
        </w:rPr>
        <w:t xml:space="preserve"> model could be similar to that of chronic disease</w:t>
      </w:r>
      <w:r>
        <w:rPr>
          <w:i/>
        </w:rPr>
        <w:t>.</w:t>
      </w:r>
    </w:p>
    <w:p w:rsidR="0086106B" w:rsidRPr="00964F30" w:rsidRDefault="0086106B" w:rsidP="000F7C1A">
      <w:pPr>
        <w:tabs>
          <w:tab w:val="left" w:pos="1080"/>
        </w:tabs>
        <w:ind w:left="720"/>
        <w:rPr>
          <w:i/>
        </w:rPr>
      </w:pPr>
    </w:p>
    <w:p w:rsidR="0086106B" w:rsidRPr="00964F30" w:rsidRDefault="0086106B" w:rsidP="00150269">
      <w:pPr>
        <w:pStyle w:val="ListParagraph"/>
        <w:numPr>
          <w:ilvl w:val="0"/>
          <w:numId w:val="11"/>
        </w:numPr>
        <w:rPr>
          <w:i/>
        </w:rPr>
      </w:pPr>
      <w:r>
        <w:rPr>
          <w:i/>
          <w:iCs/>
        </w:rPr>
        <w:t>Require that e</w:t>
      </w:r>
      <w:r w:rsidRPr="00964F30">
        <w:rPr>
          <w:i/>
          <w:iCs/>
        </w:rPr>
        <w:t xml:space="preserve">ach maternity hospital have clinical guidelines and protocols for </w:t>
      </w:r>
      <w:r>
        <w:rPr>
          <w:i/>
          <w:iCs/>
        </w:rPr>
        <w:t>recognizing and managing</w:t>
      </w:r>
      <w:r w:rsidRPr="00964F30">
        <w:rPr>
          <w:i/>
          <w:iCs/>
        </w:rPr>
        <w:t xml:space="preserve"> maternal hemorrhage including standardize</w:t>
      </w:r>
      <w:r>
        <w:rPr>
          <w:i/>
          <w:iCs/>
        </w:rPr>
        <w:t>d</w:t>
      </w:r>
      <w:r>
        <w:rPr>
          <w:i/>
        </w:rPr>
        <w:t xml:space="preserve"> </w:t>
      </w:r>
      <w:r w:rsidRPr="00964F30">
        <w:rPr>
          <w:i/>
        </w:rPr>
        <w:t xml:space="preserve">timing and criteria for implementing a massive transfusion protocol. </w:t>
      </w:r>
      <w:r>
        <w:rPr>
          <w:i/>
          <w:iCs/>
        </w:rPr>
        <w:t xml:space="preserve">The </w:t>
      </w:r>
      <w:r w:rsidRPr="00964F30">
        <w:rPr>
          <w:i/>
          <w:iCs/>
        </w:rPr>
        <w:t>guidelines and protocols should include proce</w:t>
      </w:r>
      <w:r>
        <w:rPr>
          <w:i/>
          <w:iCs/>
        </w:rPr>
        <w:t xml:space="preserve">dures that effectively address </w:t>
      </w:r>
      <w:r w:rsidRPr="00964F30">
        <w:rPr>
          <w:i/>
          <w:iCs/>
        </w:rPr>
        <w:t>the clinical risk and management of peripartum maternal hemorrhage</w:t>
      </w:r>
      <w:r>
        <w:rPr>
          <w:i/>
          <w:iCs/>
        </w:rPr>
        <w:t>.</w:t>
      </w:r>
      <w:r>
        <w:rPr>
          <w:i/>
        </w:rPr>
        <w:t xml:space="preserve"> </w:t>
      </w:r>
      <w:r>
        <w:t>*</w:t>
      </w:r>
      <w:r w:rsidR="00150269">
        <w:br/>
      </w:r>
      <w:r w:rsidR="00150269">
        <w:rPr>
          <w:i/>
        </w:rPr>
        <w:t xml:space="preserve"> </w:t>
      </w:r>
    </w:p>
    <w:p w:rsidR="0086106B" w:rsidRPr="00964F30" w:rsidRDefault="0086106B" w:rsidP="000F7C1A">
      <w:pPr>
        <w:pStyle w:val="Default"/>
        <w:numPr>
          <w:ilvl w:val="0"/>
          <w:numId w:val="11"/>
        </w:numPr>
        <w:rPr>
          <w:i/>
          <w:color w:val="auto"/>
        </w:rPr>
      </w:pPr>
      <w:r>
        <w:rPr>
          <w:i/>
          <w:color w:val="auto"/>
        </w:rPr>
        <w:t>Establish c</w:t>
      </w:r>
      <w:r w:rsidRPr="00964F30">
        <w:rPr>
          <w:i/>
          <w:color w:val="auto"/>
        </w:rPr>
        <w:t>lear communications of treatment plan to staff, patient, and family</w:t>
      </w:r>
      <w:r>
        <w:rPr>
          <w:i/>
          <w:color w:val="auto"/>
        </w:rPr>
        <w:t xml:space="preserve"> which include:</w:t>
      </w:r>
      <w:r w:rsidRPr="00964F30">
        <w:rPr>
          <w:i/>
          <w:color w:val="auto"/>
        </w:rPr>
        <w:t xml:space="preserve"> </w:t>
      </w:r>
      <w:r>
        <w:rPr>
          <w:color w:val="auto"/>
        </w:rPr>
        <w:t>*</w:t>
      </w:r>
    </w:p>
    <w:p w:rsidR="0086106B" w:rsidRPr="00964F30" w:rsidRDefault="0086106B" w:rsidP="000F7C1A">
      <w:pPr>
        <w:pStyle w:val="Default"/>
        <w:numPr>
          <w:ilvl w:val="0"/>
          <w:numId w:val="15"/>
        </w:numPr>
        <w:tabs>
          <w:tab w:val="left" w:pos="2160"/>
        </w:tabs>
        <w:ind w:hanging="720"/>
        <w:rPr>
          <w:i/>
          <w:color w:val="auto"/>
        </w:rPr>
      </w:pPr>
      <w:r w:rsidRPr="00964F30">
        <w:rPr>
          <w:i/>
          <w:color w:val="auto"/>
        </w:rPr>
        <w:t xml:space="preserve">Methods for </w:t>
      </w:r>
      <w:r>
        <w:rPr>
          <w:i/>
          <w:color w:val="auto"/>
        </w:rPr>
        <w:t>resolving</w:t>
      </w:r>
      <w:r w:rsidRPr="00964F30">
        <w:rPr>
          <w:i/>
          <w:color w:val="auto"/>
        </w:rPr>
        <w:t xml:space="preserve"> conflicts on patient care management </w:t>
      </w:r>
    </w:p>
    <w:p w:rsidR="0086106B" w:rsidRPr="00964F30" w:rsidRDefault="0086106B" w:rsidP="000F7C1A">
      <w:pPr>
        <w:pStyle w:val="Default"/>
        <w:numPr>
          <w:ilvl w:val="0"/>
          <w:numId w:val="15"/>
        </w:numPr>
        <w:tabs>
          <w:tab w:val="left" w:pos="2160"/>
        </w:tabs>
        <w:ind w:left="2160"/>
        <w:rPr>
          <w:i/>
          <w:color w:val="auto"/>
        </w:rPr>
      </w:pPr>
      <w:r w:rsidRPr="00964F30">
        <w:rPr>
          <w:i/>
          <w:color w:val="auto"/>
        </w:rPr>
        <w:t xml:space="preserve">Optimal staffing level, and clear accountability of all relevant staff at all times </w:t>
      </w:r>
    </w:p>
    <w:p w:rsidR="0086106B" w:rsidRPr="00964F30" w:rsidRDefault="0086106B" w:rsidP="000F7C1A">
      <w:pPr>
        <w:pStyle w:val="Default"/>
        <w:numPr>
          <w:ilvl w:val="0"/>
          <w:numId w:val="15"/>
        </w:numPr>
        <w:tabs>
          <w:tab w:val="left" w:pos="2160"/>
        </w:tabs>
        <w:ind w:left="2160"/>
        <w:rPr>
          <w:i/>
          <w:color w:val="auto"/>
        </w:rPr>
      </w:pPr>
      <w:r w:rsidRPr="00964F30">
        <w:rPr>
          <w:i/>
          <w:color w:val="auto"/>
        </w:rPr>
        <w:t>Prompt disclosure of medical errors and adverse outcomes/events to</w:t>
      </w:r>
      <w:r>
        <w:rPr>
          <w:i/>
          <w:color w:val="auto"/>
        </w:rPr>
        <w:t xml:space="preserve"> </w:t>
      </w:r>
      <w:r w:rsidRPr="00964F30">
        <w:rPr>
          <w:i/>
          <w:color w:val="auto"/>
        </w:rPr>
        <w:t xml:space="preserve">patient and family </w:t>
      </w:r>
    </w:p>
    <w:p w:rsidR="0086106B" w:rsidRPr="00964F30" w:rsidRDefault="0086106B" w:rsidP="000F7C1A">
      <w:pPr>
        <w:pStyle w:val="Default"/>
        <w:numPr>
          <w:ilvl w:val="0"/>
          <w:numId w:val="15"/>
        </w:numPr>
        <w:tabs>
          <w:tab w:val="left" w:pos="2160"/>
        </w:tabs>
        <w:ind w:left="2160"/>
        <w:rPr>
          <w:i/>
        </w:rPr>
      </w:pPr>
      <w:r w:rsidRPr="00964F30">
        <w:rPr>
          <w:i/>
        </w:rPr>
        <w:t>Linguistic competence, cultural competence and sensitivity in patient</w:t>
      </w:r>
      <w:r w:rsidR="00150269">
        <w:rPr>
          <w:i/>
        </w:rPr>
        <w:t xml:space="preserve"> </w:t>
      </w:r>
      <w:r w:rsidRPr="00964F30">
        <w:rPr>
          <w:i/>
        </w:rPr>
        <w:t xml:space="preserve">care </w:t>
      </w:r>
    </w:p>
    <w:p w:rsidR="0086106B" w:rsidRPr="00964F30" w:rsidRDefault="0086106B" w:rsidP="000F7C1A">
      <w:pPr>
        <w:pStyle w:val="Default"/>
        <w:numPr>
          <w:ilvl w:val="0"/>
          <w:numId w:val="15"/>
        </w:numPr>
        <w:tabs>
          <w:tab w:val="left" w:pos="2160"/>
        </w:tabs>
        <w:ind w:left="2160"/>
        <w:rPr>
          <w:i/>
        </w:rPr>
      </w:pPr>
      <w:r w:rsidRPr="00964F30">
        <w:rPr>
          <w:i/>
        </w:rPr>
        <w:t>Structured communication (including handoffs and nonverbal</w:t>
      </w:r>
      <w:r w:rsidR="00150269">
        <w:rPr>
          <w:i/>
        </w:rPr>
        <w:t xml:space="preserve"> </w:t>
      </w:r>
      <w:r w:rsidRPr="00964F30">
        <w:rPr>
          <w:i/>
        </w:rPr>
        <w:t xml:space="preserve">communication) for all labor and delivery staff </w:t>
      </w:r>
    </w:p>
    <w:p w:rsidR="0086106B" w:rsidRPr="00964F30" w:rsidRDefault="0086106B" w:rsidP="000F7C1A">
      <w:pPr>
        <w:pStyle w:val="Default"/>
        <w:numPr>
          <w:ilvl w:val="0"/>
          <w:numId w:val="15"/>
        </w:numPr>
        <w:tabs>
          <w:tab w:val="left" w:pos="2160"/>
        </w:tabs>
        <w:ind w:hanging="720"/>
        <w:rPr>
          <w:i/>
        </w:rPr>
      </w:pPr>
      <w:r w:rsidRPr="00964F30">
        <w:rPr>
          <w:i/>
        </w:rPr>
        <w:t xml:space="preserve">Regular assessment of communication skills </w:t>
      </w:r>
    </w:p>
    <w:p w:rsidR="0086106B" w:rsidRPr="00964F30" w:rsidRDefault="0086106B" w:rsidP="000F7C1A">
      <w:pPr>
        <w:pStyle w:val="Default"/>
        <w:numPr>
          <w:ilvl w:val="0"/>
          <w:numId w:val="15"/>
        </w:numPr>
        <w:tabs>
          <w:tab w:val="left" w:pos="2160"/>
        </w:tabs>
        <w:ind w:hanging="720"/>
        <w:rPr>
          <w:i/>
        </w:rPr>
      </w:pPr>
      <w:r w:rsidRPr="00964F30">
        <w:rPr>
          <w:i/>
        </w:rPr>
        <w:t xml:space="preserve">Work hours and fatigue </w:t>
      </w:r>
    </w:p>
    <w:p w:rsidR="0086106B" w:rsidRPr="00964F30" w:rsidRDefault="0086106B" w:rsidP="000F7C1A">
      <w:pPr>
        <w:pStyle w:val="Default"/>
        <w:numPr>
          <w:ilvl w:val="0"/>
          <w:numId w:val="15"/>
        </w:numPr>
        <w:tabs>
          <w:tab w:val="left" w:pos="2160"/>
        </w:tabs>
        <w:ind w:hanging="720"/>
        <w:rPr>
          <w:i/>
        </w:rPr>
      </w:pPr>
      <w:r w:rsidRPr="00964F30">
        <w:rPr>
          <w:i/>
        </w:rPr>
        <w:t xml:space="preserve">Hand-offs </w:t>
      </w:r>
    </w:p>
    <w:p w:rsidR="0086106B" w:rsidRPr="00964F30" w:rsidRDefault="0086106B" w:rsidP="000F7C1A">
      <w:pPr>
        <w:pStyle w:val="Default"/>
        <w:numPr>
          <w:ilvl w:val="0"/>
          <w:numId w:val="15"/>
        </w:numPr>
        <w:tabs>
          <w:tab w:val="left" w:pos="2160"/>
        </w:tabs>
        <w:ind w:hanging="720"/>
        <w:rPr>
          <w:i/>
        </w:rPr>
      </w:pPr>
      <w:r w:rsidRPr="00964F30">
        <w:rPr>
          <w:i/>
        </w:rPr>
        <w:t xml:space="preserve">Availability of prenatal records in Labor &amp; Delivery </w:t>
      </w:r>
    </w:p>
    <w:p w:rsidR="0086106B" w:rsidRPr="00964F30" w:rsidRDefault="0086106B" w:rsidP="000F7C1A">
      <w:pPr>
        <w:pStyle w:val="Default"/>
        <w:ind w:left="1170" w:hanging="810"/>
        <w:rPr>
          <w:i/>
        </w:rPr>
      </w:pPr>
    </w:p>
    <w:p w:rsidR="0086106B" w:rsidRPr="00964F30" w:rsidRDefault="0086106B" w:rsidP="000F7C1A">
      <w:pPr>
        <w:pStyle w:val="ListParagraph"/>
        <w:numPr>
          <w:ilvl w:val="0"/>
          <w:numId w:val="11"/>
        </w:numPr>
        <w:tabs>
          <w:tab w:val="left" w:pos="1170"/>
        </w:tabs>
        <w:rPr>
          <w:i/>
        </w:rPr>
      </w:pPr>
      <w:r w:rsidRPr="00964F30">
        <w:rPr>
          <w:i/>
        </w:rPr>
        <w:t>Develop a checks and balance process to prevent multiple systems error</w:t>
      </w:r>
      <w:r w:rsidR="00150269">
        <w:rPr>
          <w:i/>
        </w:rPr>
        <w:t xml:space="preserve"> </w:t>
      </w:r>
      <w:r w:rsidRPr="00964F30">
        <w:rPr>
          <w:i/>
        </w:rPr>
        <w:t>within a facility</w:t>
      </w:r>
      <w:r>
        <w:rPr>
          <w:i/>
        </w:rPr>
        <w:t>.</w:t>
      </w:r>
      <w:r>
        <w:t>*</w:t>
      </w:r>
    </w:p>
    <w:p w:rsidR="0086106B" w:rsidRPr="00964F30" w:rsidRDefault="0086106B" w:rsidP="000F7C1A">
      <w:pPr>
        <w:pStyle w:val="ListParagraph"/>
        <w:tabs>
          <w:tab w:val="left" w:pos="1170"/>
        </w:tabs>
        <w:ind w:left="1440"/>
        <w:rPr>
          <w:i/>
        </w:rPr>
      </w:pPr>
    </w:p>
    <w:p w:rsidR="0086106B" w:rsidRPr="00964F30" w:rsidRDefault="0086106B" w:rsidP="000F7C1A">
      <w:pPr>
        <w:pStyle w:val="ListParagraph"/>
        <w:numPr>
          <w:ilvl w:val="0"/>
          <w:numId w:val="11"/>
        </w:numPr>
        <w:tabs>
          <w:tab w:val="left" w:pos="1170"/>
        </w:tabs>
        <w:rPr>
          <w:i/>
        </w:rPr>
      </w:pPr>
      <w:r w:rsidRPr="00964F30">
        <w:rPr>
          <w:i/>
        </w:rPr>
        <w:t>Increase</w:t>
      </w:r>
      <w:r>
        <w:rPr>
          <w:i/>
        </w:rPr>
        <w:t xml:space="preserve"> </w:t>
      </w:r>
      <w:r w:rsidRPr="00964F30">
        <w:rPr>
          <w:i/>
        </w:rPr>
        <w:t>training around psychotropic medications</w:t>
      </w:r>
      <w:r>
        <w:rPr>
          <w:i/>
        </w:rPr>
        <w:t>.</w:t>
      </w:r>
      <w:r w:rsidRPr="00964F30">
        <w:rPr>
          <w:i/>
        </w:rPr>
        <w:t xml:space="preserve"> </w:t>
      </w:r>
    </w:p>
    <w:p w:rsidR="0086106B" w:rsidRPr="00964F30" w:rsidRDefault="0086106B" w:rsidP="000F7C1A">
      <w:pPr>
        <w:pStyle w:val="ListParagraph"/>
        <w:rPr>
          <w:i/>
        </w:rPr>
      </w:pPr>
    </w:p>
    <w:p w:rsidR="0086106B" w:rsidRPr="00964F30" w:rsidRDefault="0086106B" w:rsidP="000F7C1A">
      <w:pPr>
        <w:pStyle w:val="ListParagraph"/>
        <w:numPr>
          <w:ilvl w:val="0"/>
          <w:numId w:val="11"/>
        </w:numPr>
        <w:tabs>
          <w:tab w:val="left" w:pos="1170"/>
        </w:tabs>
        <w:rPr>
          <w:i/>
        </w:rPr>
      </w:pPr>
      <w:r>
        <w:rPr>
          <w:i/>
        </w:rPr>
        <w:t>Reduce b</w:t>
      </w:r>
      <w:r w:rsidRPr="00964F30">
        <w:rPr>
          <w:i/>
        </w:rPr>
        <w:t>lood work error</w:t>
      </w:r>
      <w:r>
        <w:rPr>
          <w:i/>
        </w:rPr>
        <w:t xml:space="preserve"> by a</w:t>
      </w:r>
      <w:r w:rsidRPr="00964F30">
        <w:rPr>
          <w:i/>
        </w:rPr>
        <w:t>ssur</w:t>
      </w:r>
      <w:r>
        <w:rPr>
          <w:i/>
        </w:rPr>
        <w:t>ing</w:t>
      </w:r>
      <w:r w:rsidRPr="00964F30">
        <w:rPr>
          <w:i/>
        </w:rPr>
        <w:t xml:space="preserve"> clinical charting &amp; lab work/results are timely and noted by clinicians</w:t>
      </w:r>
      <w:r w:rsidR="00150269">
        <w:rPr>
          <w:i/>
        </w:rPr>
        <w:t>.</w:t>
      </w:r>
    </w:p>
    <w:p w:rsidR="0086106B" w:rsidRPr="00964F30" w:rsidRDefault="0086106B" w:rsidP="000F7C1A">
      <w:pPr>
        <w:pStyle w:val="ListParagraph"/>
        <w:rPr>
          <w:i/>
        </w:rPr>
      </w:pPr>
    </w:p>
    <w:p w:rsidR="0086106B" w:rsidRPr="009C3000" w:rsidRDefault="0086106B" w:rsidP="000F7C1A">
      <w:pPr>
        <w:pStyle w:val="ListParagraph"/>
        <w:numPr>
          <w:ilvl w:val="0"/>
          <w:numId w:val="11"/>
        </w:numPr>
        <w:rPr>
          <w:i/>
        </w:rPr>
      </w:pPr>
      <w:r>
        <w:rPr>
          <w:i/>
        </w:rPr>
        <w:t xml:space="preserve">Establish </w:t>
      </w:r>
      <w:r w:rsidRPr="009C3000">
        <w:rPr>
          <w:i/>
        </w:rPr>
        <w:t xml:space="preserve">Quality Assurance (QA) protocols to assure </w:t>
      </w:r>
      <w:r>
        <w:rPr>
          <w:i/>
        </w:rPr>
        <w:t xml:space="preserve"> charts are complete </w:t>
      </w:r>
      <w:r w:rsidRPr="009C3000">
        <w:rPr>
          <w:i/>
        </w:rPr>
        <w:t>with cur</w:t>
      </w:r>
      <w:r>
        <w:rPr>
          <w:i/>
        </w:rPr>
        <w:t xml:space="preserve">rent diagnosis and medications and </w:t>
      </w:r>
      <w:r w:rsidRPr="009C3000">
        <w:rPr>
          <w:i/>
        </w:rPr>
        <w:t>comprehensive behavioral health care including Medication Assisted Therapy (MAT)</w:t>
      </w:r>
    </w:p>
    <w:p w:rsidR="0086106B" w:rsidRPr="00964F30" w:rsidRDefault="0086106B" w:rsidP="000F7C1A">
      <w:pPr>
        <w:pStyle w:val="ListParagraph"/>
        <w:rPr>
          <w:i/>
        </w:rPr>
      </w:pPr>
    </w:p>
    <w:p w:rsidR="0086106B" w:rsidRPr="00964F30" w:rsidRDefault="0086106B" w:rsidP="000F7C1A">
      <w:pPr>
        <w:pStyle w:val="ListParagraph"/>
        <w:numPr>
          <w:ilvl w:val="0"/>
          <w:numId w:val="11"/>
        </w:numPr>
        <w:tabs>
          <w:tab w:val="left" w:pos="1170"/>
        </w:tabs>
        <w:rPr>
          <w:i/>
        </w:rPr>
      </w:pPr>
      <w:r w:rsidRPr="00964F30">
        <w:rPr>
          <w:i/>
        </w:rPr>
        <w:t xml:space="preserve"> Improve/expand Case Management (CM) with emphasis on communication re</w:t>
      </w:r>
      <w:r>
        <w:rPr>
          <w:i/>
        </w:rPr>
        <w:t>garding:</w:t>
      </w:r>
      <w:r w:rsidRPr="00964F30">
        <w:rPr>
          <w:i/>
        </w:rPr>
        <w:t xml:space="preserve"> history, all social </w:t>
      </w:r>
      <w:r>
        <w:rPr>
          <w:i/>
        </w:rPr>
        <w:t xml:space="preserve">services, risk factors (drugs, </w:t>
      </w:r>
      <w:r w:rsidRPr="00964F30">
        <w:rPr>
          <w:i/>
        </w:rPr>
        <w:t>depression) to prevent the disconnec</w:t>
      </w:r>
      <w:r>
        <w:rPr>
          <w:i/>
        </w:rPr>
        <w:t xml:space="preserve">t between a woman’s </w:t>
      </w:r>
      <w:r w:rsidRPr="00964F30">
        <w:rPr>
          <w:i/>
        </w:rPr>
        <w:t>symptoms and documentation regarding the</w:t>
      </w:r>
      <w:r>
        <w:rPr>
          <w:i/>
        </w:rPr>
        <w:t xml:space="preserve">ir history/contact/involvement </w:t>
      </w:r>
      <w:r w:rsidRPr="00964F30">
        <w:rPr>
          <w:i/>
        </w:rPr>
        <w:t>with any social services</w:t>
      </w:r>
      <w:r>
        <w:rPr>
          <w:i/>
        </w:rPr>
        <w:t>.</w:t>
      </w:r>
    </w:p>
    <w:p w:rsidR="0086106B" w:rsidRPr="00964F30" w:rsidRDefault="0086106B" w:rsidP="000F7C1A">
      <w:pPr>
        <w:pStyle w:val="ListParagraph"/>
        <w:tabs>
          <w:tab w:val="num" w:pos="1440"/>
        </w:tabs>
        <w:rPr>
          <w:i/>
        </w:rPr>
      </w:pPr>
    </w:p>
    <w:p w:rsidR="0086106B" w:rsidRPr="00964F30" w:rsidRDefault="0086106B" w:rsidP="000F7C1A">
      <w:pPr>
        <w:pStyle w:val="ListParagraph"/>
        <w:numPr>
          <w:ilvl w:val="0"/>
          <w:numId w:val="11"/>
        </w:numPr>
        <w:tabs>
          <w:tab w:val="left" w:pos="1170"/>
        </w:tabs>
        <w:rPr>
          <w:i/>
        </w:rPr>
      </w:pPr>
      <w:r w:rsidRPr="00964F30">
        <w:rPr>
          <w:i/>
        </w:rPr>
        <w:t xml:space="preserve"> Initiate the </w:t>
      </w:r>
      <w:r w:rsidRPr="00BA20FF">
        <w:rPr>
          <w:i/>
        </w:rPr>
        <w:t xml:space="preserve">Screening, Brief Intervention, </w:t>
      </w:r>
      <w:r>
        <w:rPr>
          <w:i/>
        </w:rPr>
        <w:t xml:space="preserve">and </w:t>
      </w:r>
      <w:r w:rsidRPr="00BA20FF">
        <w:rPr>
          <w:i/>
        </w:rPr>
        <w:t xml:space="preserve">Referral and </w:t>
      </w:r>
      <w:r>
        <w:rPr>
          <w:i/>
        </w:rPr>
        <w:t>to</w:t>
      </w:r>
      <w:r w:rsidRPr="00BA20FF">
        <w:rPr>
          <w:i/>
        </w:rPr>
        <w:t xml:space="preserve"> Treatment </w:t>
      </w:r>
      <w:r>
        <w:rPr>
          <w:i/>
        </w:rPr>
        <w:t>(</w:t>
      </w:r>
      <w:r w:rsidRPr="00964F30">
        <w:rPr>
          <w:i/>
        </w:rPr>
        <w:t>SBIRT</w:t>
      </w:r>
      <w:r>
        <w:rPr>
          <w:i/>
        </w:rPr>
        <w:t>)</w:t>
      </w:r>
      <w:r w:rsidRPr="00964F30">
        <w:rPr>
          <w:i/>
        </w:rPr>
        <w:t xml:space="preserve"> protocol (includes, tobacco, alcohol, substance use, mental health and domestic violence) as a screening tool to identify high-risk patients</w:t>
      </w:r>
      <w:r>
        <w:rPr>
          <w:i/>
        </w:rPr>
        <w:t>.</w:t>
      </w:r>
    </w:p>
    <w:p w:rsidR="0086106B" w:rsidRPr="00964F30" w:rsidRDefault="0086106B" w:rsidP="000F7C1A">
      <w:pPr>
        <w:pStyle w:val="ListParagraph"/>
        <w:tabs>
          <w:tab w:val="num" w:pos="1440"/>
        </w:tabs>
        <w:rPr>
          <w:i/>
        </w:rPr>
      </w:pPr>
    </w:p>
    <w:p w:rsidR="0086106B" w:rsidRPr="00964F30" w:rsidRDefault="0086106B" w:rsidP="000F7C1A">
      <w:pPr>
        <w:pStyle w:val="CommentText"/>
      </w:pPr>
      <w:r w:rsidRPr="00964F30">
        <w:rPr>
          <w:b/>
        </w:rPr>
        <w:t>C</w:t>
      </w:r>
      <w:r>
        <w:rPr>
          <w:b/>
        </w:rPr>
        <w:t>.</w:t>
      </w:r>
      <w:r w:rsidRPr="00964F30">
        <w:rPr>
          <w:b/>
        </w:rPr>
        <w:t xml:space="preserve">   </w:t>
      </w:r>
      <w:r w:rsidRPr="00964F30">
        <w:t xml:space="preserve">Universal protocols for preconception, prenatal, intrapartum and postpartum care (including baby):  Clinical interventions that require limited contact but confer long-term protection, ongoing direct clinical care. The </w:t>
      </w:r>
      <w:r>
        <w:t>MMMRC</w:t>
      </w:r>
      <w:r w:rsidRPr="00964F30">
        <w:t xml:space="preserve"> committee had eight recommendations:</w:t>
      </w:r>
    </w:p>
    <w:p w:rsidR="0086106B" w:rsidRPr="00964F30" w:rsidRDefault="0086106B" w:rsidP="000F7C1A">
      <w:pPr>
        <w:pStyle w:val="CommentText"/>
      </w:pPr>
    </w:p>
    <w:p w:rsidR="0086106B" w:rsidRPr="00964F30" w:rsidRDefault="0086106B" w:rsidP="000F7C1A">
      <w:pPr>
        <w:numPr>
          <w:ilvl w:val="0"/>
          <w:numId w:val="9"/>
        </w:numPr>
        <w:ind w:firstLine="0"/>
        <w:rPr>
          <w:i/>
        </w:rPr>
      </w:pPr>
      <w:r w:rsidRPr="00964F30">
        <w:rPr>
          <w:i/>
        </w:rPr>
        <w:t>Develop standard practice guidelines for managing patients with diagnosis of Mental Health including psychotropic medications and management of maternal health issues</w:t>
      </w:r>
      <w:r>
        <w:rPr>
          <w:i/>
        </w:rPr>
        <w:t>.</w:t>
      </w:r>
      <w:r w:rsidRPr="00964F30">
        <w:rPr>
          <w:i/>
        </w:rPr>
        <w:t xml:space="preserve"> </w:t>
      </w:r>
    </w:p>
    <w:p w:rsidR="0086106B" w:rsidRPr="00964F30" w:rsidRDefault="0086106B" w:rsidP="000F7C1A">
      <w:pPr>
        <w:ind w:left="720"/>
        <w:rPr>
          <w:i/>
        </w:rPr>
      </w:pPr>
    </w:p>
    <w:p w:rsidR="0086106B" w:rsidRPr="00964F30" w:rsidRDefault="0086106B" w:rsidP="000F7C1A">
      <w:pPr>
        <w:numPr>
          <w:ilvl w:val="0"/>
          <w:numId w:val="9"/>
        </w:numPr>
        <w:ind w:firstLine="0"/>
        <w:rPr>
          <w:i/>
        </w:rPr>
      </w:pPr>
      <w:r w:rsidRPr="00964F30">
        <w:rPr>
          <w:i/>
        </w:rPr>
        <w:t>Assure universally accepted drug rehabilitation for all pregnant women that includes access and availability</w:t>
      </w:r>
      <w:r w:rsidR="00150269">
        <w:rPr>
          <w:i/>
        </w:rPr>
        <w:t>.</w:t>
      </w:r>
    </w:p>
    <w:p w:rsidR="0086106B" w:rsidRPr="00964F30" w:rsidRDefault="0086106B" w:rsidP="000F7C1A">
      <w:pPr>
        <w:ind w:left="720"/>
        <w:rPr>
          <w:i/>
        </w:rPr>
      </w:pPr>
      <w:r w:rsidRPr="00964F30">
        <w:rPr>
          <w:i/>
        </w:rPr>
        <w:t xml:space="preserve"> </w:t>
      </w:r>
    </w:p>
    <w:p w:rsidR="0086106B" w:rsidRPr="00964F30" w:rsidRDefault="0086106B" w:rsidP="000F7C1A">
      <w:pPr>
        <w:numPr>
          <w:ilvl w:val="0"/>
          <w:numId w:val="9"/>
        </w:numPr>
        <w:ind w:firstLine="0"/>
        <w:rPr>
          <w:i/>
        </w:rPr>
      </w:pPr>
      <w:r w:rsidRPr="00964F30">
        <w:rPr>
          <w:i/>
        </w:rPr>
        <w:t>Develop training on maternal mental health and require staff to demonstrate proficiency in screening and referring for maternal behavioral health including emotional health, unhealthy use of substances and domestic violence</w:t>
      </w:r>
      <w:r>
        <w:rPr>
          <w:i/>
        </w:rPr>
        <w:t>.</w:t>
      </w:r>
      <w:r w:rsidRPr="00964F30">
        <w:rPr>
          <w:i/>
        </w:rPr>
        <w:t xml:space="preserve"> </w:t>
      </w:r>
    </w:p>
    <w:p w:rsidR="0086106B" w:rsidRPr="00964F30" w:rsidRDefault="0086106B" w:rsidP="000F7C1A">
      <w:pPr>
        <w:ind w:left="720"/>
        <w:rPr>
          <w:i/>
        </w:rPr>
      </w:pPr>
    </w:p>
    <w:p w:rsidR="0086106B" w:rsidRPr="00964F30" w:rsidRDefault="0086106B" w:rsidP="000F7C1A">
      <w:pPr>
        <w:numPr>
          <w:ilvl w:val="0"/>
          <w:numId w:val="9"/>
        </w:numPr>
        <w:ind w:firstLine="0"/>
        <w:rPr>
          <w:i/>
        </w:rPr>
      </w:pPr>
      <w:r>
        <w:rPr>
          <w:i/>
        </w:rPr>
        <w:t>Expand t</w:t>
      </w:r>
      <w:r w:rsidRPr="00964F30">
        <w:rPr>
          <w:i/>
        </w:rPr>
        <w:t>he MMMRC to include a broader array of professional disciplines including, but not limited to, medical social workers, providers with specific expertise in substance use, mental health and domestic violence</w:t>
      </w:r>
      <w:r>
        <w:rPr>
          <w:i/>
        </w:rPr>
        <w:t>.</w:t>
      </w:r>
      <w:r w:rsidRPr="00964F30">
        <w:rPr>
          <w:i/>
        </w:rPr>
        <w:t xml:space="preserve"> </w:t>
      </w:r>
    </w:p>
    <w:p w:rsidR="0086106B" w:rsidRPr="00964F30" w:rsidRDefault="0086106B" w:rsidP="000F7C1A">
      <w:pPr>
        <w:rPr>
          <w:i/>
        </w:rPr>
      </w:pPr>
    </w:p>
    <w:p w:rsidR="0086106B" w:rsidRPr="00964F30" w:rsidRDefault="0086106B" w:rsidP="000F7C1A">
      <w:pPr>
        <w:numPr>
          <w:ilvl w:val="0"/>
          <w:numId w:val="9"/>
        </w:numPr>
        <w:ind w:firstLine="0"/>
        <w:rPr>
          <w:i/>
        </w:rPr>
      </w:pPr>
      <w:r w:rsidRPr="00964F30">
        <w:rPr>
          <w:i/>
        </w:rPr>
        <w:t xml:space="preserve">Develop training and require staff to demonstrate proficiency in </w:t>
      </w:r>
      <w:r>
        <w:rPr>
          <w:i/>
        </w:rPr>
        <w:t xml:space="preserve">the </w:t>
      </w:r>
      <w:r w:rsidRPr="00964F30">
        <w:rPr>
          <w:i/>
        </w:rPr>
        <w:t>administration of psychotropic medications in pregnancy</w:t>
      </w:r>
      <w:r>
        <w:rPr>
          <w:i/>
        </w:rPr>
        <w:t>.</w:t>
      </w:r>
    </w:p>
    <w:p w:rsidR="0086106B" w:rsidRPr="00964F30" w:rsidRDefault="0086106B" w:rsidP="000F7C1A">
      <w:pPr>
        <w:ind w:left="720"/>
        <w:rPr>
          <w:i/>
        </w:rPr>
      </w:pPr>
      <w:r w:rsidRPr="00964F30">
        <w:rPr>
          <w:i/>
          <w:color w:val="FF0000"/>
        </w:rPr>
        <w:t xml:space="preserve"> </w:t>
      </w:r>
    </w:p>
    <w:p w:rsidR="0086106B" w:rsidRPr="00964F30" w:rsidRDefault="0086106B" w:rsidP="000F7C1A">
      <w:pPr>
        <w:numPr>
          <w:ilvl w:val="0"/>
          <w:numId w:val="9"/>
        </w:numPr>
        <w:ind w:firstLine="0"/>
        <w:rPr>
          <w:i/>
        </w:rPr>
      </w:pPr>
      <w:r>
        <w:rPr>
          <w:i/>
        </w:rPr>
        <w:t xml:space="preserve">Encourage hospitals </w:t>
      </w:r>
      <w:r w:rsidRPr="00964F30">
        <w:rPr>
          <w:i/>
        </w:rPr>
        <w:t>to develop community outreach provisions (based on social concerns) to all</w:t>
      </w:r>
      <w:r>
        <w:rPr>
          <w:i/>
        </w:rPr>
        <w:t xml:space="preserve"> women,</w:t>
      </w:r>
      <w:r w:rsidRPr="00964F30">
        <w:rPr>
          <w:i/>
        </w:rPr>
        <w:t xml:space="preserve"> especially wome</w:t>
      </w:r>
      <w:r>
        <w:rPr>
          <w:i/>
        </w:rPr>
        <w:t>n</w:t>
      </w:r>
      <w:r w:rsidRPr="00964F30">
        <w:rPr>
          <w:i/>
        </w:rPr>
        <w:t xml:space="preserve"> who leave against medical advice. </w:t>
      </w:r>
    </w:p>
    <w:p w:rsidR="0086106B" w:rsidRPr="00964F30" w:rsidRDefault="0086106B" w:rsidP="000F7C1A">
      <w:pPr>
        <w:ind w:left="720"/>
        <w:rPr>
          <w:i/>
        </w:rPr>
      </w:pPr>
    </w:p>
    <w:p w:rsidR="0086106B" w:rsidRPr="00BA20FF" w:rsidRDefault="0086106B" w:rsidP="000F7C1A">
      <w:pPr>
        <w:numPr>
          <w:ilvl w:val="0"/>
          <w:numId w:val="9"/>
        </w:numPr>
        <w:ind w:firstLine="0"/>
        <w:rPr>
          <w:i/>
        </w:rPr>
      </w:pPr>
      <w:r>
        <w:rPr>
          <w:i/>
        </w:rPr>
        <w:t>Provide c</w:t>
      </w:r>
      <w:r w:rsidRPr="00BA20FF">
        <w:rPr>
          <w:i/>
        </w:rPr>
        <w:t>omprehensive counseling and/or screening, for M</w:t>
      </w:r>
      <w:r>
        <w:rPr>
          <w:i/>
        </w:rPr>
        <w:t>edicated</w:t>
      </w:r>
      <w:r w:rsidRPr="00BA20FF">
        <w:rPr>
          <w:i/>
        </w:rPr>
        <w:t xml:space="preserve"> Assisted Therapy (MAT)</w:t>
      </w:r>
      <w:r>
        <w:rPr>
          <w:i/>
        </w:rPr>
        <w:t xml:space="preserve"> </w:t>
      </w:r>
      <w:r w:rsidRPr="00BA20FF">
        <w:rPr>
          <w:i/>
        </w:rPr>
        <w:t>(methadone</w:t>
      </w:r>
      <w:r>
        <w:rPr>
          <w:i/>
        </w:rPr>
        <w:t>/suboxone</w:t>
      </w:r>
      <w:r w:rsidRPr="00BA20FF">
        <w:rPr>
          <w:i/>
        </w:rPr>
        <w:t xml:space="preserve">) </w:t>
      </w:r>
      <w:r>
        <w:rPr>
          <w:i/>
        </w:rPr>
        <w:t xml:space="preserve">for </w:t>
      </w:r>
      <w:r w:rsidRPr="00BA20FF">
        <w:rPr>
          <w:i/>
        </w:rPr>
        <w:t>pregnant women</w:t>
      </w:r>
      <w:r w:rsidR="00150269">
        <w:rPr>
          <w:i/>
        </w:rPr>
        <w:t>.</w:t>
      </w:r>
      <w:r w:rsidRPr="00BA20FF">
        <w:rPr>
          <w:i/>
        </w:rPr>
        <w:t xml:space="preserve"> </w:t>
      </w:r>
    </w:p>
    <w:p w:rsidR="0086106B" w:rsidRPr="00BA20FF" w:rsidRDefault="0086106B" w:rsidP="000F7C1A">
      <w:pPr>
        <w:rPr>
          <w:i/>
        </w:rPr>
      </w:pPr>
    </w:p>
    <w:p w:rsidR="0086106B" w:rsidRPr="00BA20FF" w:rsidRDefault="0086106B" w:rsidP="000F7C1A">
      <w:pPr>
        <w:numPr>
          <w:ilvl w:val="0"/>
          <w:numId w:val="9"/>
        </w:numPr>
        <w:ind w:firstLine="0"/>
        <w:rPr>
          <w:i/>
        </w:rPr>
      </w:pPr>
      <w:r w:rsidRPr="00BA20FF">
        <w:rPr>
          <w:i/>
        </w:rPr>
        <w:t>Initiate the SBIRT protocol (includes</w:t>
      </w:r>
      <w:r>
        <w:rPr>
          <w:i/>
        </w:rPr>
        <w:t>:</w:t>
      </w:r>
      <w:r w:rsidRPr="00BA20FF">
        <w:rPr>
          <w:i/>
        </w:rPr>
        <w:t xml:space="preserve"> tobacco, alcohol, substance use, mental health</w:t>
      </w:r>
      <w:r>
        <w:rPr>
          <w:i/>
        </w:rPr>
        <w:t>,</w:t>
      </w:r>
      <w:r w:rsidRPr="00BA20FF">
        <w:rPr>
          <w:i/>
        </w:rPr>
        <w:t xml:space="preserve"> and domestic violence) as a screening tool to identify high risk patients</w:t>
      </w:r>
      <w:r>
        <w:rPr>
          <w:i/>
        </w:rPr>
        <w:t>.</w:t>
      </w:r>
    </w:p>
    <w:p w:rsidR="0086106B" w:rsidRPr="00964F30" w:rsidRDefault="0086106B" w:rsidP="000F7C1A"/>
    <w:p w:rsidR="0086106B" w:rsidRPr="00964F30" w:rsidRDefault="0086106B" w:rsidP="000F7C1A">
      <w:pPr>
        <w:tabs>
          <w:tab w:val="left" w:pos="540"/>
        </w:tabs>
        <w:autoSpaceDE w:val="0"/>
        <w:autoSpaceDN w:val="0"/>
        <w:adjustRightInd w:val="0"/>
      </w:pPr>
      <w:r w:rsidRPr="00964F30">
        <w:rPr>
          <w:b/>
        </w:rPr>
        <w:t>D</w:t>
      </w:r>
      <w:r>
        <w:rPr>
          <w:b/>
        </w:rPr>
        <w:t>.</w:t>
      </w:r>
      <w:r w:rsidR="00150269">
        <w:rPr>
          <w:b/>
        </w:rPr>
        <w:t xml:space="preserve"> </w:t>
      </w:r>
      <w:r w:rsidRPr="00964F30">
        <w:t xml:space="preserve"> Change social</w:t>
      </w:r>
      <w:r>
        <w:t xml:space="preserve"> and </w:t>
      </w:r>
      <w:r w:rsidRPr="00964F30">
        <w:t xml:space="preserve">health context to make </w:t>
      </w:r>
      <w:r>
        <w:t xml:space="preserve">a </w:t>
      </w:r>
      <w:r w:rsidRPr="00964F30">
        <w:t>wom</w:t>
      </w:r>
      <w:r>
        <w:t>a</w:t>
      </w:r>
      <w:r w:rsidRPr="00964F30">
        <w:t>n’s default</w:t>
      </w:r>
      <w:r w:rsidR="00150269">
        <w:t xml:space="preserve"> decisions healthy during her </w:t>
      </w:r>
      <w:r w:rsidRPr="00964F30">
        <w:t>childbearing years: Interventions that change the conte</w:t>
      </w:r>
      <w:r w:rsidR="00150269">
        <w:t xml:space="preserve">xt to make individuals’ default </w:t>
      </w:r>
      <w:r w:rsidRPr="00964F30">
        <w:t>deci</w:t>
      </w:r>
      <w:r>
        <w:t>sions healthy. The MMMRC had one recommendation</w:t>
      </w:r>
      <w:r w:rsidRPr="00964F30">
        <w:t>.</w:t>
      </w:r>
    </w:p>
    <w:p w:rsidR="0086106B" w:rsidRPr="00964F30" w:rsidRDefault="0086106B" w:rsidP="000F7C1A">
      <w:pPr>
        <w:tabs>
          <w:tab w:val="left" w:pos="540"/>
        </w:tabs>
        <w:autoSpaceDE w:val="0"/>
        <w:autoSpaceDN w:val="0"/>
        <w:adjustRightInd w:val="0"/>
      </w:pPr>
    </w:p>
    <w:p w:rsidR="0086106B" w:rsidRDefault="0086106B" w:rsidP="00C442B5">
      <w:pPr>
        <w:numPr>
          <w:ilvl w:val="0"/>
          <w:numId w:val="12"/>
        </w:numPr>
        <w:tabs>
          <w:tab w:val="left" w:pos="1080"/>
        </w:tabs>
        <w:ind w:firstLine="0"/>
        <w:rPr>
          <w:i/>
        </w:rPr>
      </w:pPr>
      <w:r>
        <w:rPr>
          <w:i/>
        </w:rPr>
        <w:t>Ensure all pregnant women receive treatment for substance use disorders.</w:t>
      </w:r>
    </w:p>
    <w:p w:rsidR="0086106B" w:rsidRPr="00964F30" w:rsidRDefault="0086106B" w:rsidP="00C442B5">
      <w:pPr>
        <w:tabs>
          <w:tab w:val="left" w:pos="1080"/>
        </w:tabs>
        <w:ind w:left="1080"/>
        <w:rPr>
          <w:i/>
        </w:rPr>
      </w:pPr>
      <w:r w:rsidRPr="00964F30">
        <w:rPr>
          <w:i/>
        </w:rPr>
        <w:t xml:space="preserve"> </w:t>
      </w:r>
    </w:p>
    <w:p w:rsidR="0086106B" w:rsidRPr="00964F30" w:rsidRDefault="0086106B" w:rsidP="00150269">
      <w:pPr>
        <w:autoSpaceDE w:val="0"/>
        <w:autoSpaceDN w:val="0"/>
        <w:adjustRightInd w:val="0"/>
      </w:pPr>
      <w:r w:rsidRPr="00964F30">
        <w:rPr>
          <w:b/>
        </w:rPr>
        <w:lastRenderedPageBreak/>
        <w:t>E.</w:t>
      </w:r>
      <w:r w:rsidR="00150269">
        <w:rPr>
          <w:b/>
        </w:rPr>
        <w:t xml:space="preserve">  </w:t>
      </w:r>
      <w:r w:rsidRPr="00964F30">
        <w:t xml:space="preserve">Implement policies to support </w:t>
      </w:r>
      <w:r>
        <w:t xml:space="preserve">an </w:t>
      </w:r>
      <w:r w:rsidRPr="00964F30">
        <w:t xml:space="preserve">environment </w:t>
      </w:r>
      <w:r>
        <w:t>that</w:t>
      </w:r>
      <w:r w:rsidRPr="00964F30">
        <w:t xml:space="preserve"> promotes he</w:t>
      </w:r>
      <w:r w:rsidR="00150269">
        <w:t xml:space="preserve">althy women and their families.  </w:t>
      </w:r>
      <w:r w:rsidRPr="00964F30">
        <w:t xml:space="preserve">At the base of this pyramid, </w:t>
      </w:r>
      <w:r>
        <w:t>which indicates</w:t>
      </w:r>
      <w:r w:rsidRPr="00964F30">
        <w:t xml:space="preserve"> interventions with the greatest potential impact</w:t>
      </w:r>
      <w:r>
        <w:t>,</w:t>
      </w:r>
      <w:r w:rsidR="00150269">
        <w:t xml:space="preserve"> </w:t>
      </w:r>
      <w:r w:rsidRPr="00964F30">
        <w:t>are efforts to address socioeconomic determinants of health. The MMMRC had five recommendations.</w:t>
      </w:r>
    </w:p>
    <w:p w:rsidR="0086106B" w:rsidRPr="00964F30" w:rsidRDefault="0086106B" w:rsidP="000F7C1A">
      <w:pPr>
        <w:autoSpaceDE w:val="0"/>
        <w:autoSpaceDN w:val="0"/>
        <w:adjustRightInd w:val="0"/>
      </w:pPr>
    </w:p>
    <w:p w:rsidR="0086106B" w:rsidRPr="00964F30" w:rsidRDefault="0086106B" w:rsidP="00150269">
      <w:pPr>
        <w:numPr>
          <w:ilvl w:val="0"/>
          <w:numId w:val="10"/>
        </w:numPr>
        <w:tabs>
          <w:tab w:val="num" w:pos="1170"/>
        </w:tabs>
        <w:rPr>
          <w:i/>
        </w:rPr>
      </w:pPr>
      <w:r w:rsidRPr="00964F30">
        <w:rPr>
          <w:i/>
        </w:rPr>
        <w:t>Create a system of care that includes univers</w:t>
      </w:r>
      <w:r>
        <w:rPr>
          <w:i/>
        </w:rPr>
        <w:t xml:space="preserve">al behavioral health services </w:t>
      </w:r>
      <w:r w:rsidRPr="00964F30">
        <w:rPr>
          <w:i/>
        </w:rPr>
        <w:t>that are within societal/government</w:t>
      </w:r>
      <w:r>
        <w:rPr>
          <w:i/>
        </w:rPr>
        <w:t>al</w:t>
      </w:r>
      <w:r w:rsidRPr="00964F30">
        <w:rPr>
          <w:i/>
        </w:rPr>
        <w:t xml:space="preserve"> responsib</w:t>
      </w:r>
      <w:r>
        <w:rPr>
          <w:i/>
        </w:rPr>
        <w:t>ility.</w:t>
      </w:r>
    </w:p>
    <w:p w:rsidR="0086106B" w:rsidRPr="00964F30" w:rsidRDefault="0086106B" w:rsidP="000F7C1A">
      <w:pPr>
        <w:ind w:left="720"/>
        <w:rPr>
          <w:i/>
        </w:rPr>
      </w:pPr>
    </w:p>
    <w:p w:rsidR="0086106B" w:rsidRPr="00964F30" w:rsidRDefault="0086106B" w:rsidP="000F7C1A">
      <w:pPr>
        <w:numPr>
          <w:ilvl w:val="0"/>
          <w:numId w:val="10"/>
        </w:numPr>
        <w:rPr>
          <w:i/>
        </w:rPr>
      </w:pPr>
      <w:r>
        <w:rPr>
          <w:i/>
        </w:rPr>
        <w:t>Ensure u</w:t>
      </w:r>
      <w:r w:rsidRPr="00964F30">
        <w:rPr>
          <w:i/>
        </w:rPr>
        <w:t>niversal access to behavioral health services</w:t>
      </w:r>
      <w:r>
        <w:rPr>
          <w:i/>
        </w:rPr>
        <w:t>.</w:t>
      </w:r>
    </w:p>
    <w:p w:rsidR="0086106B" w:rsidRPr="00964F30" w:rsidRDefault="0086106B" w:rsidP="000F7C1A">
      <w:pPr>
        <w:rPr>
          <w:i/>
        </w:rPr>
      </w:pPr>
    </w:p>
    <w:p w:rsidR="0086106B" w:rsidRPr="00964F30" w:rsidRDefault="0086106B" w:rsidP="000F7C1A">
      <w:pPr>
        <w:numPr>
          <w:ilvl w:val="0"/>
          <w:numId w:val="10"/>
        </w:numPr>
        <w:rPr>
          <w:i/>
        </w:rPr>
      </w:pPr>
      <w:r w:rsidRPr="00964F30">
        <w:rPr>
          <w:i/>
        </w:rPr>
        <w:t>Explore models of care in other countries</w:t>
      </w:r>
      <w:r>
        <w:rPr>
          <w:i/>
        </w:rPr>
        <w:t>.</w:t>
      </w:r>
    </w:p>
    <w:p w:rsidR="0086106B" w:rsidRPr="00964F30" w:rsidRDefault="0086106B" w:rsidP="000F7C1A">
      <w:pPr>
        <w:ind w:left="720"/>
        <w:rPr>
          <w:i/>
        </w:rPr>
      </w:pPr>
    </w:p>
    <w:p w:rsidR="0086106B" w:rsidRDefault="0086106B" w:rsidP="00150269">
      <w:pPr>
        <w:numPr>
          <w:ilvl w:val="0"/>
          <w:numId w:val="10"/>
        </w:numPr>
        <w:rPr>
          <w:b/>
          <w:sz w:val="32"/>
        </w:rPr>
      </w:pPr>
      <w:r w:rsidRPr="00964F30">
        <w:rPr>
          <w:i/>
        </w:rPr>
        <w:t xml:space="preserve">Improve the connection and coordination between social services, health services, and </w:t>
      </w:r>
      <w:r>
        <w:rPr>
          <w:i/>
        </w:rPr>
        <w:t xml:space="preserve">the </w:t>
      </w:r>
      <w:r w:rsidRPr="00964F30">
        <w:rPr>
          <w:i/>
        </w:rPr>
        <w:t>criminal justice system</w:t>
      </w:r>
      <w:r>
        <w:rPr>
          <w:i/>
        </w:rPr>
        <w:t>.</w:t>
      </w:r>
      <w:r>
        <w:rPr>
          <w:b/>
          <w:sz w:val="32"/>
        </w:rPr>
        <w:br w:type="page"/>
      </w:r>
    </w:p>
    <w:p w:rsidR="0086106B" w:rsidRPr="00490530" w:rsidRDefault="00525EA8" w:rsidP="006003FC">
      <w:pPr>
        <w:pStyle w:val="Heading1"/>
      </w:pPr>
      <w:bookmarkStart w:id="29" w:name="_Toc402250616"/>
      <w:r>
        <w:lastRenderedPageBreak/>
        <w:t xml:space="preserve">Appendix A: </w:t>
      </w:r>
      <w:r w:rsidR="0086106B" w:rsidRPr="007F66C3">
        <w:t xml:space="preserve">Committee Members </w:t>
      </w:r>
      <w:r w:rsidR="0086106B">
        <w:t>and</w:t>
      </w:r>
      <w:r>
        <w:t xml:space="preserve"> </w:t>
      </w:r>
      <w:r w:rsidR="0086106B">
        <w:t>DPH</w:t>
      </w:r>
      <w:r w:rsidR="0086106B" w:rsidRPr="007F66C3">
        <w:t xml:space="preserve"> </w:t>
      </w:r>
      <w:r w:rsidR="0086106B">
        <w:t>and Office of Chief Medical Examiner Staff</w:t>
      </w:r>
      <w:bookmarkEnd w:id="29"/>
    </w:p>
    <w:p w:rsidR="0086106B" w:rsidRPr="00490530" w:rsidRDefault="0086106B" w:rsidP="007F66C3">
      <w:pPr>
        <w:ind w:left="1440"/>
        <w:rPr>
          <w:b/>
        </w:rPr>
      </w:pPr>
    </w:p>
    <w:p w:rsidR="0086106B" w:rsidRPr="00490530" w:rsidRDefault="0086106B" w:rsidP="007F66C3">
      <w:pPr>
        <w:ind w:left="1440"/>
        <w:rPr>
          <w:b/>
        </w:rPr>
      </w:pPr>
    </w:p>
    <w:tbl>
      <w:tblPr>
        <w:tblW w:w="0" w:type="auto"/>
        <w:jc w:val="center"/>
        <w:tblLook w:val="00A0" w:firstRow="1" w:lastRow="0" w:firstColumn="1" w:lastColumn="0" w:noHBand="0" w:noVBand="0"/>
      </w:tblPr>
      <w:tblGrid>
        <w:gridCol w:w="4788"/>
        <w:gridCol w:w="4788"/>
      </w:tblGrid>
      <w:tr w:rsidR="0086106B" w:rsidTr="00D472EE">
        <w:trPr>
          <w:jc w:val="center"/>
        </w:trPr>
        <w:tc>
          <w:tcPr>
            <w:tcW w:w="4788" w:type="dxa"/>
          </w:tcPr>
          <w:p w:rsidR="0086106B" w:rsidRPr="00D472EE" w:rsidRDefault="0086106B" w:rsidP="002E7084">
            <w:pPr>
              <w:rPr>
                <w:b/>
              </w:rPr>
            </w:pPr>
            <w:r w:rsidRPr="00D472EE">
              <w:rPr>
                <w:b/>
              </w:rPr>
              <w:t>Committee Members Current</w:t>
            </w:r>
          </w:p>
          <w:p w:rsidR="0086106B" w:rsidRPr="00D472EE" w:rsidRDefault="0086106B" w:rsidP="002E7084">
            <w:pPr>
              <w:rPr>
                <w:b/>
              </w:rPr>
            </w:pPr>
          </w:p>
        </w:tc>
        <w:tc>
          <w:tcPr>
            <w:tcW w:w="4788" w:type="dxa"/>
          </w:tcPr>
          <w:p w:rsidR="0086106B" w:rsidRDefault="0086106B" w:rsidP="002E7084">
            <w:r w:rsidRPr="00D472EE">
              <w:rPr>
                <w:b/>
              </w:rPr>
              <w:t xml:space="preserve">Committee Members </w:t>
            </w:r>
            <w:r>
              <w:t>Past</w:t>
            </w:r>
          </w:p>
        </w:tc>
      </w:tr>
      <w:tr w:rsidR="0086106B" w:rsidTr="00D472EE">
        <w:trPr>
          <w:jc w:val="center"/>
        </w:trPr>
        <w:tc>
          <w:tcPr>
            <w:tcW w:w="4788" w:type="dxa"/>
          </w:tcPr>
          <w:p w:rsidR="0086106B" w:rsidRPr="002E7084" w:rsidRDefault="0086106B" w:rsidP="004B56E3">
            <w:r>
              <w:t>Fadi Bsat, MD</w:t>
            </w:r>
          </w:p>
          <w:p w:rsidR="0086106B" w:rsidRDefault="0086106B" w:rsidP="002E7084"/>
        </w:tc>
        <w:tc>
          <w:tcPr>
            <w:tcW w:w="4788" w:type="dxa"/>
          </w:tcPr>
          <w:p w:rsidR="0086106B" w:rsidRDefault="0086106B" w:rsidP="004B56E3">
            <w:r>
              <w:t xml:space="preserve">David Acker, MD </w:t>
            </w:r>
          </w:p>
          <w:p w:rsidR="0086106B" w:rsidRDefault="0086106B" w:rsidP="002E7084"/>
        </w:tc>
      </w:tr>
      <w:tr w:rsidR="0086106B" w:rsidTr="00D472EE">
        <w:trPr>
          <w:jc w:val="center"/>
        </w:trPr>
        <w:tc>
          <w:tcPr>
            <w:tcW w:w="4788" w:type="dxa"/>
          </w:tcPr>
          <w:p w:rsidR="0086106B" w:rsidRPr="00D472EE" w:rsidRDefault="0086106B" w:rsidP="004B56E3">
            <w:pPr>
              <w:rPr>
                <w:lang w:val="pt-BR"/>
              </w:rPr>
            </w:pPr>
            <w:r w:rsidRPr="00D472EE">
              <w:rPr>
                <w:lang w:val="pt-BR"/>
              </w:rPr>
              <w:t>Linda A. Clayton, MD, MPH</w:t>
            </w:r>
          </w:p>
          <w:p w:rsidR="0086106B" w:rsidRDefault="0086106B" w:rsidP="002E7084"/>
        </w:tc>
        <w:tc>
          <w:tcPr>
            <w:tcW w:w="4788" w:type="dxa"/>
          </w:tcPr>
          <w:p w:rsidR="0086106B" w:rsidRDefault="0086106B" w:rsidP="002E7084">
            <w:r w:rsidRPr="004B56E3">
              <w:t>Mary Barger, CNM, MPH</w:t>
            </w:r>
          </w:p>
        </w:tc>
      </w:tr>
      <w:tr w:rsidR="0086106B" w:rsidTr="00D472EE">
        <w:trPr>
          <w:jc w:val="center"/>
        </w:trPr>
        <w:tc>
          <w:tcPr>
            <w:tcW w:w="4788" w:type="dxa"/>
          </w:tcPr>
          <w:p w:rsidR="0086106B" w:rsidRPr="00D472EE" w:rsidRDefault="0086106B" w:rsidP="004B56E3">
            <w:pPr>
              <w:rPr>
                <w:lang w:val="pt-BR"/>
              </w:rPr>
            </w:pPr>
            <w:r w:rsidRPr="00D472EE">
              <w:rPr>
                <w:lang w:val="pt-BR"/>
              </w:rPr>
              <w:t>Colette Dieujuste, RN, MSN</w:t>
            </w:r>
          </w:p>
          <w:p w:rsidR="0086106B" w:rsidRDefault="0086106B" w:rsidP="002E7084"/>
        </w:tc>
        <w:tc>
          <w:tcPr>
            <w:tcW w:w="4788" w:type="dxa"/>
          </w:tcPr>
          <w:p w:rsidR="0086106B" w:rsidRPr="00D472EE" w:rsidRDefault="0086106B" w:rsidP="004B56E3">
            <w:pPr>
              <w:rPr>
                <w:lang w:val="pt-BR"/>
              </w:rPr>
            </w:pPr>
            <w:r w:rsidRPr="00D472EE">
              <w:rPr>
                <w:lang w:val="pt-BR"/>
              </w:rPr>
              <w:t>Christine Combs, RN</w:t>
            </w:r>
          </w:p>
          <w:p w:rsidR="0086106B" w:rsidRDefault="0086106B" w:rsidP="002E7084"/>
        </w:tc>
      </w:tr>
      <w:tr w:rsidR="0086106B" w:rsidTr="00D472EE">
        <w:trPr>
          <w:trHeight w:val="562"/>
          <w:jc w:val="center"/>
        </w:trPr>
        <w:tc>
          <w:tcPr>
            <w:tcW w:w="4788" w:type="dxa"/>
          </w:tcPr>
          <w:p w:rsidR="0086106B" w:rsidRDefault="0086106B" w:rsidP="002E7084">
            <w:r w:rsidRPr="004B56E3">
              <w:t>Fred Frigoletto, Jr., MD, FACOG, Chair</w:t>
            </w:r>
          </w:p>
        </w:tc>
        <w:tc>
          <w:tcPr>
            <w:tcW w:w="4788" w:type="dxa"/>
          </w:tcPr>
          <w:p w:rsidR="0086106B" w:rsidRDefault="0086106B" w:rsidP="002E7084">
            <w:r w:rsidRPr="004B56E3">
              <w:t>Susan Dejoy, CNM, MSN</w:t>
            </w:r>
          </w:p>
        </w:tc>
      </w:tr>
      <w:tr w:rsidR="0086106B" w:rsidTr="00D472EE">
        <w:trPr>
          <w:jc w:val="center"/>
        </w:trPr>
        <w:tc>
          <w:tcPr>
            <w:tcW w:w="4788" w:type="dxa"/>
          </w:tcPr>
          <w:p w:rsidR="0086106B" w:rsidRDefault="0086106B" w:rsidP="004B56E3">
            <w:r w:rsidRPr="002E7084">
              <w:t>Bonnell Glass, RN, MN</w:t>
            </w:r>
          </w:p>
          <w:p w:rsidR="0086106B" w:rsidRDefault="0086106B" w:rsidP="002E7084"/>
        </w:tc>
        <w:tc>
          <w:tcPr>
            <w:tcW w:w="4788" w:type="dxa"/>
          </w:tcPr>
          <w:p w:rsidR="0086106B" w:rsidRPr="002E7084" w:rsidRDefault="0086106B" w:rsidP="004B56E3">
            <w:r>
              <w:t>Yvonne Gomez-Carrion, MD, FACOG</w:t>
            </w:r>
          </w:p>
          <w:p w:rsidR="0086106B" w:rsidRDefault="0086106B" w:rsidP="002E7084"/>
        </w:tc>
      </w:tr>
      <w:tr w:rsidR="0086106B" w:rsidTr="00D472EE">
        <w:trPr>
          <w:jc w:val="center"/>
        </w:trPr>
        <w:tc>
          <w:tcPr>
            <w:tcW w:w="4788" w:type="dxa"/>
          </w:tcPr>
          <w:p w:rsidR="0086106B" w:rsidRDefault="0086106B" w:rsidP="004B56E3">
            <w:r w:rsidRPr="002E7084">
              <w:t>Barbara Graves, CNM, MN, MPH, FACNM</w:t>
            </w:r>
          </w:p>
          <w:p w:rsidR="0086106B" w:rsidRDefault="0086106B" w:rsidP="002E7084"/>
        </w:tc>
        <w:tc>
          <w:tcPr>
            <w:tcW w:w="4788" w:type="dxa"/>
          </w:tcPr>
          <w:p w:rsidR="0086106B" w:rsidRDefault="0086106B" w:rsidP="004B56E3">
            <w:r w:rsidRPr="002E7084">
              <w:t>Ruth Keen, CNM, MPH</w:t>
            </w:r>
          </w:p>
          <w:p w:rsidR="0086106B" w:rsidRDefault="0086106B" w:rsidP="002E7084"/>
        </w:tc>
      </w:tr>
      <w:tr w:rsidR="0086106B" w:rsidTr="00D472EE">
        <w:trPr>
          <w:jc w:val="center"/>
        </w:trPr>
        <w:tc>
          <w:tcPr>
            <w:tcW w:w="4788" w:type="dxa"/>
          </w:tcPr>
          <w:p w:rsidR="0086106B" w:rsidRDefault="0086106B" w:rsidP="004B56E3">
            <w:r>
              <w:t>Christine Pace, MD, MSc</w:t>
            </w:r>
          </w:p>
          <w:p w:rsidR="0086106B" w:rsidRDefault="0086106B" w:rsidP="002E7084"/>
        </w:tc>
        <w:tc>
          <w:tcPr>
            <w:tcW w:w="4788" w:type="dxa"/>
          </w:tcPr>
          <w:p w:rsidR="0086106B" w:rsidRDefault="0086106B" w:rsidP="004B56E3">
            <w:r>
              <w:t>Gary Krauas, MD</w:t>
            </w:r>
          </w:p>
          <w:p w:rsidR="0086106B" w:rsidRDefault="0086106B" w:rsidP="002E7084"/>
        </w:tc>
      </w:tr>
      <w:tr w:rsidR="0086106B" w:rsidTr="00D472EE">
        <w:trPr>
          <w:jc w:val="center"/>
        </w:trPr>
        <w:tc>
          <w:tcPr>
            <w:tcW w:w="4788" w:type="dxa"/>
          </w:tcPr>
          <w:p w:rsidR="0086106B" w:rsidRDefault="0086106B" w:rsidP="004B56E3">
            <w:r w:rsidRPr="002E7084">
              <w:t>Christine Reardon, MD</w:t>
            </w:r>
          </w:p>
          <w:p w:rsidR="0086106B" w:rsidRDefault="0086106B" w:rsidP="002E7084"/>
        </w:tc>
        <w:tc>
          <w:tcPr>
            <w:tcW w:w="4788" w:type="dxa"/>
          </w:tcPr>
          <w:p w:rsidR="0086106B" w:rsidRDefault="0086106B" w:rsidP="004B56E3">
            <w:r w:rsidRPr="002E7084">
              <w:t>Glenn R. Markenson, MD</w:t>
            </w:r>
          </w:p>
          <w:p w:rsidR="0086106B" w:rsidRDefault="0086106B" w:rsidP="002E7084"/>
        </w:tc>
      </w:tr>
      <w:tr w:rsidR="0086106B" w:rsidTr="00D472EE">
        <w:trPr>
          <w:jc w:val="center"/>
        </w:trPr>
        <w:tc>
          <w:tcPr>
            <w:tcW w:w="4788" w:type="dxa"/>
          </w:tcPr>
          <w:p w:rsidR="0086106B" w:rsidRPr="002E7084" w:rsidRDefault="0086106B" w:rsidP="004B56E3">
            <w:r w:rsidRPr="003F0F77">
              <w:t>Steven Ringer, MD, PhD</w:t>
            </w:r>
          </w:p>
          <w:p w:rsidR="0086106B" w:rsidRDefault="0086106B" w:rsidP="002E7084"/>
        </w:tc>
        <w:tc>
          <w:tcPr>
            <w:tcW w:w="4788" w:type="dxa"/>
          </w:tcPr>
          <w:p w:rsidR="0086106B" w:rsidRPr="002E7084" w:rsidRDefault="0086106B" w:rsidP="004B56E3">
            <w:r>
              <w:t>Robert Parker, DO</w:t>
            </w:r>
          </w:p>
          <w:p w:rsidR="0086106B" w:rsidRDefault="0086106B" w:rsidP="002E7084"/>
        </w:tc>
      </w:tr>
      <w:tr w:rsidR="0086106B" w:rsidTr="00D472EE">
        <w:trPr>
          <w:jc w:val="center"/>
        </w:trPr>
        <w:tc>
          <w:tcPr>
            <w:tcW w:w="4788" w:type="dxa"/>
          </w:tcPr>
          <w:p w:rsidR="0086106B" w:rsidRPr="002E7084" w:rsidRDefault="0086106B" w:rsidP="004B56E3">
            <w:r w:rsidRPr="002E7084">
              <w:t>Drucilla Roberts, MD</w:t>
            </w:r>
          </w:p>
          <w:p w:rsidR="0086106B" w:rsidRDefault="0086106B" w:rsidP="002E7084"/>
        </w:tc>
        <w:tc>
          <w:tcPr>
            <w:tcW w:w="4788" w:type="dxa"/>
          </w:tcPr>
          <w:p w:rsidR="0086106B" w:rsidRDefault="0086106B" w:rsidP="004B56E3">
            <w:r>
              <w:t>Benjamin Sachs, MB.BS. Dph, FACOG</w:t>
            </w:r>
          </w:p>
          <w:p w:rsidR="0086106B" w:rsidRDefault="0086106B" w:rsidP="002E7084"/>
        </w:tc>
      </w:tr>
      <w:tr w:rsidR="0086106B" w:rsidTr="00D472EE">
        <w:trPr>
          <w:jc w:val="center"/>
        </w:trPr>
        <w:tc>
          <w:tcPr>
            <w:tcW w:w="4788" w:type="dxa"/>
          </w:tcPr>
          <w:p w:rsidR="0086106B" w:rsidRPr="002E7084" w:rsidRDefault="0086106B" w:rsidP="004B56E3">
            <w:r w:rsidRPr="002E7084">
              <w:t>Dona Rodrigues, CNM</w:t>
            </w:r>
          </w:p>
          <w:p w:rsidR="0086106B" w:rsidRDefault="0086106B" w:rsidP="002E7084"/>
        </w:tc>
        <w:tc>
          <w:tcPr>
            <w:tcW w:w="4788" w:type="dxa"/>
          </w:tcPr>
          <w:p w:rsidR="0086106B" w:rsidRDefault="0086106B" w:rsidP="004B56E3">
            <w:r>
              <w:t>Maria Valentin-Welch, CNM, MPH</w:t>
            </w:r>
          </w:p>
          <w:p w:rsidR="0086106B" w:rsidRDefault="0086106B" w:rsidP="002E7084"/>
        </w:tc>
      </w:tr>
      <w:tr w:rsidR="0086106B" w:rsidTr="00D472EE">
        <w:trPr>
          <w:jc w:val="center"/>
        </w:trPr>
        <w:tc>
          <w:tcPr>
            <w:tcW w:w="4788" w:type="dxa"/>
          </w:tcPr>
          <w:p w:rsidR="0086106B" w:rsidRDefault="0086106B" w:rsidP="004B56E3">
            <w:r w:rsidRPr="002E7084">
              <w:t>Jacquelyn Starer, MD, FACOG</w:t>
            </w:r>
          </w:p>
          <w:p w:rsidR="0086106B" w:rsidRDefault="0086106B" w:rsidP="002E7084"/>
        </w:tc>
        <w:tc>
          <w:tcPr>
            <w:tcW w:w="4788" w:type="dxa"/>
          </w:tcPr>
          <w:p w:rsidR="0086106B" w:rsidRDefault="0086106B" w:rsidP="004B56E3">
            <w:r>
              <w:t>Judith Weber, BSN, MPH, CNM, FACCE</w:t>
            </w:r>
          </w:p>
          <w:p w:rsidR="0086106B" w:rsidRDefault="0086106B" w:rsidP="002E7084"/>
        </w:tc>
      </w:tr>
      <w:tr w:rsidR="0086106B" w:rsidTr="00D472EE">
        <w:trPr>
          <w:jc w:val="center"/>
        </w:trPr>
        <w:tc>
          <w:tcPr>
            <w:tcW w:w="4788" w:type="dxa"/>
          </w:tcPr>
          <w:p w:rsidR="0086106B" w:rsidRDefault="0086106B" w:rsidP="004B56E3">
            <w:r>
              <w:t>Nalan Ward, MD</w:t>
            </w:r>
          </w:p>
          <w:p w:rsidR="0086106B" w:rsidRDefault="0086106B" w:rsidP="002E7084"/>
        </w:tc>
        <w:tc>
          <w:tcPr>
            <w:tcW w:w="4788" w:type="dxa"/>
          </w:tcPr>
          <w:p w:rsidR="0086106B" w:rsidRPr="002E7084" w:rsidRDefault="0086106B" w:rsidP="004B56E3">
            <w:r>
              <w:t>Randy Wertheimer, MD</w:t>
            </w:r>
          </w:p>
          <w:p w:rsidR="0086106B" w:rsidRDefault="0086106B" w:rsidP="002E7084"/>
        </w:tc>
      </w:tr>
    </w:tbl>
    <w:p w:rsidR="00E86B96" w:rsidRDefault="00E86B96" w:rsidP="00E6256F">
      <w:pPr>
        <w:rPr>
          <w:b/>
          <w:sz w:val="28"/>
          <w:szCs w:val="28"/>
        </w:rPr>
      </w:pPr>
    </w:p>
    <w:p w:rsidR="00633CD1" w:rsidRDefault="00633CD1" w:rsidP="00C15063">
      <w:pPr>
        <w:rPr>
          <w:b/>
          <w:sz w:val="28"/>
          <w:szCs w:val="28"/>
        </w:rPr>
      </w:pPr>
      <w:r>
        <w:rPr>
          <w:b/>
          <w:sz w:val="28"/>
          <w:szCs w:val="28"/>
        </w:rPr>
        <w:br w:type="page"/>
      </w:r>
    </w:p>
    <w:p w:rsidR="0086106B" w:rsidRDefault="0086106B" w:rsidP="00633CD1">
      <w:pPr>
        <w:ind w:left="2160" w:hanging="2160"/>
        <w:rPr>
          <w:b/>
          <w:sz w:val="28"/>
          <w:szCs w:val="28"/>
        </w:rPr>
      </w:pPr>
      <w:r w:rsidRPr="007F66C3">
        <w:rPr>
          <w:b/>
          <w:sz w:val="28"/>
          <w:szCs w:val="28"/>
        </w:rPr>
        <w:lastRenderedPageBreak/>
        <w:t xml:space="preserve">Appendix A: </w:t>
      </w:r>
      <w:r>
        <w:rPr>
          <w:b/>
          <w:sz w:val="28"/>
          <w:szCs w:val="28"/>
        </w:rPr>
        <w:tab/>
      </w:r>
      <w:r w:rsidRPr="007F66C3">
        <w:rPr>
          <w:b/>
          <w:sz w:val="28"/>
          <w:szCs w:val="28"/>
        </w:rPr>
        <w:t xml:space="preserve">Committee Members </w:t>
      </w:r>
      <w:r>
        <w:rPr>
          <w:b/>
          <w:sz w:val="28"/>
          <w:szCs w:val="28"/>
        </w:rPr>
        <w:t>and</w:t>
      </w:r>
      <w:r w:rsidR="00C15063">
        <w:rPr>
          <w:b/>
          <w:sz w:val="28"/>
          <w:szCs w:val="28"/>
        </w:rPr>
        <w:t xml:space="preserve"> </w:t>
      </w:r>
      <w:r w:rsidR="00633CD1">
        <w:rPr>
          <w:b/>
          <w:sz w:val="28"/>
          <w:szCs w:val="28"/>
        </w:rPr>
        <w:br/>
      </w:r>
      <w:r w:rsidR="00C15063">
        <w:rPr>
          <w:b/>
          <w:sz w:val="28"/>
          <w:szCs w:val="28"/>
        </w:rPr>
        <w:t>D</w:t>
      </w:r>
      <w:r>
        <w:rPr>
          <w:b/>
          <w:sz w:val="28"/>
          <w:szCs w:val="28"/>
        </w:rPr>
        <w:t>PH</w:t>
      </w:r>
      <w:r w:rsidRPr="007F66C3">
        <w:rPr>
          <w:b/>
          <w:sz w:val="28"/>
          <w:szCs w:val="28"/>
        </w:rPr>
        <w:t xml:space="preserve"> </w:t>
      </w:r>
      <w:r>
        <w:rPr>
          <w:b/>
          <w:sz w:val="28"/>
          <w:szCs w:val="28"/>
        </w:rPr>
        <w:t>and Office of Chief Medical Examiner Staff</w:t>
      </w:r>
    </w:p>
    <w:p w:rsidR="0086106B" w:rsidRDefault="0086106B" w:rsidP="002E7084"/>
    <w:p w:rsidR="0086106B" w:rsidRDefault="0086106B" w:rsidP="002E7084"/>
    <w:tbl>
      <w:tblPr>
        <w:tblW w:w="0" w:type="auto"/>
        <w:jc w:val="center"/>
        <w:tblLook w:val="00A0" w:firstRow="1" w:lastRow="0" w:firstColumn="1" w:lastColumn="0" w:noHBand="0" w:noVBand="0"/>
      </w:tblPr>
      <w:tblGrid>
        <w:gridCol w:w="4788"/>
        <w:gridCol w:w="4788"/>
      </w:tblGrid>
      <w:tr w:rsidR="0086106B" w:rsidTr="00D472EE">
        <w:trPr>
          <w:jc w:val="center"/>
        </w:trPr>
        <w:tc>
          <w:tcPr>
            <w:tcW w:w="4788" w:type="dxa"/>
          </w:tcPr>
          <w:p w:rsidR="0086106B" w:rsidRPr="00D472EE" w:rsidRDefault="0086106B" w:rsidP="002E7084">
            <w:pPr>
              <w:rPr>
                <w:b/>
              </w:rPr>
            </w:pPr>
            <w:r w:rsidRPr="00D472EE">
              <w:rPr>
                <w:b/>
              </w:rPr>
              <w:t>Staff Members Current</w:t>
            </w:r>
          </w:p>
          <w:p w:rsidR="0086106B" w:rsidRPr="00D472EE" w:rsidRDefault="0086106B" w:rsidP="002E7084">
            <w:pPr>
              <w:rPr>
                <w:b/>
              </w:rPr>
            </w:pPr>
          </w:p>
        </w:tc>
        <w:tc>
          <w:tcPr>
            <w:tcW w:w="4788" w:type="dxa"/>
          </w:tcPr>
          <w:p w:rsidR="0086106B" w:rsidRPr="00D472EE" w:rsidRDefault="0086106B" w:rsidP="002E7084">
            <w:pPr>
              <w:rPr>
                <w:b/>
              </w:rPr>
            </w:pPr>
            <w:r w:rsidRPr="00D472EE">
              <w:rPr>
                <w:b/>
              </w:rPr>
              <w:t>Staff Members Past</w:t>
            </w:r>
          </w:p>
        </w:tc>
      </w:tr>
      <w:tr w:rsidR="0086106B" w:rsidTr="00D472EE">
        <w:trPr>
          <w:jc w:val="center"/>
        </w:trPr>
        <w:tc>
          <w:tcPr>
            <w:tcW w:w="4788" w:type="dxa"/>
          </w:tcPr>
          <w:p w:rsidR="0086106B" w:rsidRPr="009F376C" w:rsidRDefault="0086106B" w:rsidP="00B27B4D">
            <w:r w:rsidRPr="009F376C">
              <w:t>Joseph Cahill</w:t>
            </w:r>
          </w:p>
          <w:p w:rsidR="0086106B" w:rsidRDefault="0086106B" w:rsidP="002E7084"/>
        </w:tc>
        <w:tc>
          <w:tcPr>
            <w:tcW w:w="4788" w:type="dxa"/>
          </w:tcPr>
          <w:p w:rsidR="0086106B" w:rsidRPr="001F2BA9" w:rsidRDefault="0086106B" w:rsidP="00B27B4D">
            <w:r>
              <w:t>Wanda Barfield, MD, MPH</w:t>
            </w:r>
          </w:p>
          <w:p w:rsidR="0086106B" w:rsidRDefault="0086106B" w:rsidP="002E7084"/>
        </w:tc>
      </w:tr>
      <w:tr w:rsidR="0086106B" w:rsidTr="00D472EE">
        <w:trPr>
          <w:jc w:val="center"/>
        </w:trPr>
        <w:tc>
          <w:tcPr>
            <w:tcW w:w="4788" w:type="dxa"/>
          </w:tcPr>
          <w:p w:rsidR="0086106B" w:rsidRDefault="0086106B" w:rsidP="00B27B4D">
            <w:r>
              <w:t>Patricia Depew, RN</w:t>
            </w:r>
          </w:p>
          <w:p w:rsidR="0086106B" w:rsidRDefault="0086106B" w:rsidP="002E7084"/>
        </w:tc>
        <w:tc>
          <w:tcPr>
            <w:tcW w:w="4788" w:type="dxa"/>
          </w:tcPr>
          <w:p w:rsidR="0086106B" w:rsidRDefault="0086106B" w:rsidP="00B27B4D">
            <w:r>
              <w:t>Claudia Catalano, MPP</w:t>
            </w:r>
          </w:p>
          <w:p w:rsidR="0086106B" w:rsidRDefault="0086106B" w:rsidP="002E7084"/>
        </w:tc>
      </w:tr>
      <w:tr w:rsidR="0086106B" w:rsidTr="00D472EE">
        <w:trPr>
          <w:jc w:val="center"/>
        </w:trPr>
        <w:tc>
          <w:tcPr>
            <w:tcW w:w="4788" w:type="dxa"/>
          </w:tcPr>
          <w:p w:rsidR="0086106B" w:rsidRPr="00D472EE" w:rsidRDefault="0086106B" w:rsidP="00B27B4D">
            <w:pPr>
              <w:rPr>
                <w:lang w:val="pt-BR"/>
              </w:rPr>
            </w:pPr>
            <w:r w:rsidRPr="00D472EE">
              <w:rPr>
                <w:lang w:val="pt-BR"/>
              </w:rPr>
              <w:t>Hafsatou Diop, MD, MPH</w:t>
            </w:r>
          </w:p>
          <w:p w:rsidR="0086106B" w:rsidRDefault="0086106B" w:rsidP="002E7084"/>
        </w:tc>
        <w:tc>
          <w:tcPr>
            <w:tcW w:w="4788" w:type="dxa"/>
          </w:tcPr>
          <w:p w:rsidR="0086106B" w:rsidRDefault="0086106B" w:rsidP="00B27B4D">
            <w:r>
              <w:t>Sean Dore</w:t>
            </w:r>
          </w:p>
          <w:p w:rsidR="0086106B" w:rsidRDefault="0086106B" w:rsidP="002E7084"/>
        </w:tc>
      </w:tr>
      <w:tr w:rsidR="0086106B" w:rsidTr="00D472EE">
        <w:trPr>
          <w:jc w:val="center"/>
        </w:trPr>
        <w:tc>
          <w:tcPr>
            <w:tcW w:w="4788" w:type="dxa"/>
          </w:tcPr>
          <w:p w:rsidR="0086106B" w:rsidRDefault="0086106B" w:rsidP="00B27B4D">
            <w:r>
              <w:t>Karin Downs, RN, MPH</w:t>
            </w:r>
          </w:p>
          <w:p w:rsidR="0086106B" w:rsidRDefault="0086106B" w:rsidP="002E7084"/>
        </w:tc>
        <w:tc>
          <w:tcPr>
            <w:tcW w:w="4788" w:type="dxa"/>
          </w:tcPr>
          <w:p w:rsidR="0086106B" w:rsidRDefault="0086106B" w:rsidP="00A66523">
            <w:r>
              <w:t>Paul Dreyer, PhD</w:t>
            </w:r>
          </w:p>
          <w:p w:rsidR="0086106B" w:rsidRDefault="0086106B" w:rsidP="002E7084"/>
        </w:tc>
      </w:tr>
      <w:tr w:rsidR="0086106B" w:rsidTr="00D472EE">
        <w:trPr>
          <w:jc w:val="center"/>
        </w:trPr>
        <w:tc>
          <w:tcPr>
            <w:tcW w:w="4788" w:type="dxa"/>
          </w:tcPr>
          <w:p w:rsidR="0086106B" w:rsidRDefault="0086106B" w:rsidP="00D07CEC">
            <w:r>
              <w:t>Holly Hackman, MD, MPH</w:t>
            </w:r>
          </w:p>
          <w:p w:rsidR="0086106B" w:rsidRDefault="0086106B" w:rsidP="002E7084"/>
        </w:tc>
        <w:tc>
          <w:tcPr>
            <w:tcW w:w="4788" w:type="dxa"/>
          </w:tcPr>
          <w:p w:rsidR="0086106B" w:rsidRDefault="0086106B" w:rsidP="00A66523">
            <w:r>
              <w:t>Mark Flomenbaum, MD, PhD</w:t>
            </w:r>
          </w:p>
          <w:p w:rsidR="0086106B" w:rsidRDefault="0086106B" w:rsidP="002E7084"/>
        </w:tc>
      </w:tr>
      <w:tr w:rsidR="0086106B" w:rsidTr="00D472EE">
        <w:trPr>
          <w:jc w:val="center"/>
        </w:trPr>
        <w:tc>
          <w:tcPr>
            <w:tcW w:w="4788" w:type="dxa"/>
          </w:tcPr>
          <w:p w:rsidR="0086106B" w:rsidRDefault="0086106B" w:rsidP="0004627E">
            <w:r>
              <w:t>Ruth Karacek, RN,MPH</w:t>
            </w:r>
          </w:p>
          <w:p w:rsidR="0086106B" w:rsidRDefault="0086106B" w:rsidP="0004627E"/>
        </w:tc>
        <w:tc>
          <w:tcPr>
            <w:tcW w:w="4788" w:type="dxa"/>
          </w:tcPr>
          <w:p w:rsidR="0086106B" w:rsidRDefault="0086106B" w:rsidP="00D07CEC">
            <w:r>
              <w:t>Sally Fogerty, MEd, RN</w:t>
            </w:r>
          </w:p>
          <w:p w:rsidR="0086106B" w:rsidRDefault="0086106B" w:rsidP="002E7084"/>
        </w:tc>
      </w:tr>
      <w:tr w:rsidR="0086106B" w:rsidTr="00D472EE">
        <w:trPr>
          <w:jc w:val="center"/>
        </w:trPr>
        <w:tc>
          <w:tcPr>
            <w:tcW w:w="4788" w:type="dxa"/>
          </w:tcPr>
          <w:p w:rsidR="0086106B" w:rsidRDefault="0086106B" w:rsidP="0004627E">
            <w:r>
              <w:t>Angela Nannini, PhD, FNP-C</w:t>
            </w:r>
          </w:p>
          <w:p w:rsidR="0086106B" w:rsidRDefault="0086106B" w:rsidP="0004627E"/>
        </w:tc>
        <w:tc>
          <w:tcPr>
            <w:tcW w:w="4788" w:type="dxa"/>
          </w:tcPr>
          <w:p w:rsidR="0086106B" w:rsidRDefault="0086106B" w:rsidP="00D07CEC">
            <w:r>
              <w:t>Maureen Hume, RN</w:t>
            </w:r>
          </w:p>
          <w:p w:rsidR="0086106B" w:rsidRDefault="0086106B" w:rsidP="002E7084"/>
        </w:tc>
      </w:tr>
      <w:tr w:rsidR="0086106B" w:rsidTr="00D472EE">
        <w:trPr>
          <w:jc w:val="center"/>
        </w:trPr>
        <w:tc>
          <w:tcPr>
            <w:tcW w:w="4788" w:type="dxa"/>
          </w:tcPr>
          <w:p w:rsidR="0086106B" w:rsidRDefault="0086106B" w:rsidP="0004627E">
            <w:r>
              <w:t>Sharon Pagnano, MPH</w:t>
            </w:r>
          </w:p>
          <w:p w:rsidR="0086106B" w:rsidRDefault="0086106B" w:rsidP="0004627E"/>
        </w:tc>
        <w:tc>
          <w:tcPr>
            <w:tcW w:w="4788" w:type="dxa"/>
          </w:tcPr>
          <w:p w:rsidR="0086106B" w:rsidRDefault="0086106B" w:rsidP="00D07CEC">
            <w:r>
              <w:t>Lillian Jette</w:t>
            </w:r>
          </w:p>
          <w:p w:rsidR="0086106B" w:rsidRDefault="0086106B" w:rsidP="002E7084"/>
        </w:tc>
      </w:tr>
      <w:tr w:rsidR="0086106B" w:rsidTr="00D472EE">
        <w:trPr>
          <w:jc w:val="center"/>
        </w:trPr>
        <w:tc>
          <w:tcPr>
            <w:tcW w:w="4788" w:type="dxa"/>
          </w:tcPr>
          <w:p w:rsidR="0086106B" w:rsidRDefault="0086106B" w:rsidP="0004627E">
            <w:r>
              <w:t>Lisa Rengucci, RN, MS</w:t>
            </w:r>
          </w:p>
          <w:p w:rsidR="0086106B" w:rsidRDefault="0086106B" w:rsidP="0004627E"/>
        </w:tc>
        <w:tc>
          <w:tcPr>
            <w:tcW w:w="4788" w:type="dxa"/>
          </w:tcPr>
          <w:p w:rsidR="0086106B" w:rsidRDefault="0086106B" w:rsidP="00D07CEC">
            <w:r>
              <w:t>Susan Manning, MD, MPH</w:t>
            </w:r>
          </w:p>
          <w:p w:rsidR="0086106B" w:rsidRDefault="0086106B" w:rsidP="002E7084"/>
        </w:tc>
      </w:tr>
      <w:tr w:rsidR="0086106B" w:rsidTr="00D472EE">
        <w:trPr>
          <w:jc w:val="center"/>
        </w:trPr>
        <w:tc>
          <w:tcPr>
            <w:tcW w:w="4788" w:type="dxa"/>
          </w:tcPr>
          <w:p w:rsidR="0086106B" w:rsidRDefault="0086106B" w:rsidP="002E7084"/>
        </w:tc>
        <w:tc>
          <w:tcPr>
            <w:tcW w:w="4788" w:type="dxa"/>
          </w:tcPr>
          <w:p w:rsidR="0086106B" w:rsidRDefault="0086106B" w:rsidP="00D07CEC">
            <w:r w:rsidRPr="007C45BC">
              <w:t>Randy Moshos</w:t>
            </w:r>
          </w:p>
          <w:p w:rsidR="0086106B" w:rsidRDefault="0086106B" w:rsidP="002E7084"/>
        </w:tc>
      </w:tr>
      <w:tr w:rsidR="0086106B" w:rsidTr="00D472EE">
        <w:trPr>
          <w:jc w:val="center"/>
        </w:trPr>
        <w:tc>
          <w:tcPr>
            <w:tcW w:w="4788" w:type="dxa"/>
          </w:tcPr>
          <w:p w:rsidR="0086106B" w:rsidRDefault="0086106B" w:rsidP="002E7084"/>
        </w:tc>
        <w:tc>
          <w:tcPr>
            <w:tcW w:w="4788" w:type="dxa"/>
          </w:tcPr>
          <w:p w:rsidR="0086106B" w:rsidRDefault="0086106B" w:rsidP="00D07CEC">
            <w:r>
              <w:t>Stan Nyberg</w:t>
            </w:r>
          </w:p>
          <w:p w:rsidR="0086106B" w:rsidRDefault="0086106B" w:rsidP="002E7084"/>
        </w:tc>
      </w:tr>
      <w:tr w:rsidR="0086106B" w:rsidTr="00D472EE">
        <w:trPr>
          <w:jc w:val="center"/>
        </w:trPr>
        <w:tc>
          <w:tcPr>
            <w:tcW w:w="4788" w:type="dxa"/>
          </w:tcPr>
          <w:p w:rsidR="0086106B" w:rsidRDefault="0086106B" w:rsidP="002E7084"/>
        </w:tc>
        <w:tc>
          <w:tcPr>
            <w:tcW w:w="4788" w:type="dxa"/>
          </w:tcPr>
          <w:p w:rsidR="0086106B" w:rsidRDefault="0086106B" w:rsidP="00D07CEC">
            <w:r>
              <w:t>J.P. O’Grady, MD</w:t>
            </w:r>
          </w:p>
          <w:p w:rsidR="0086106B" w:rsidRDefault="0086106B" w:rsidP="00D07CEC"/>
        </w:tc>
      </w:tr>
      <w:tr w:rsidR="0086106B" w:rsidTr="00D472EE">
        <w:trPr>
          <w:jc w:val="center"/>
        </w:trPr>
        <w:tc>
          <w:tcPr>
            <w:tcW w:w="4788" w:type="dxa"/>
          </w:tcPr>
          <w:p w:rsidR="0086106B" w:rsidRDefault="0086106B" w:rsidP="002E7084"/>
        </w:tc>
        <w:tc>
          <w:tcPr>
            <w:tcW w:w="4788" w:type="dxa"/>
          </w:tcPr>
          <w:p w:rsidR="0086106B" w:rsidRDefault="0086106B" w:rsidP="00D07CEC">
            <w:r>
              <w:t>Gail Palmeri, RN</w:t>
            </w:r>
          </w:p>
          <w:p w:rsidR="0086106B" w:rsidRDefault="0086106B" w:rsidP="00D07CEC"/>
        </w:tc>
      </w:tr>
      <w:tr w:rsidR="0086106B" w:rsidTr="00D472EE">
        <w:trPr>
          <w:jc w:val="center"/>
        </w:trPr>
        <w:tc>
          <w:tcPr>
            <w:tcW w:w="4788" w:type="dxa"/>
          </w:tcPr>
          <w:p w:rsidR="0086106B" w:rsidRDefault="0086106B" w:rsidP="002E7084"/>
        </w:tc>
        <w:tc>
          <w:tcPr>
            <w:tcW w:w="4788" w:type="dxa"/>
          </w:tcPr>
          <w:p w:rsidR="0086106B" w:rsidRDefault="0086106B" w:rsidP="00D07CEC">
            <w:r>
              <w:t>Jane Purtill</w:t>
            </w:r>
          </w:p>
          <w:p w:rsidR="0086106B" w:rsidRDefault="0086106B" w:rsidP="00D07CEC"/>
        </w:tc>
      </w:tr>
      <w:tr w:rsidR="0086106B" w:rsidTr="00D472EE">
        <w:trPr>
          <w:trHeight w:val="562"/>
          <w:jc w:val="center"/>
        </w:trPr>
        <w:tc>
          <w:tcPr>
            <w:tcW w:w="4788" w:type="dxa"/>
          </w:tcPr>
          <w:p w:rsidR="0086106B" w:rsidRDefault="0086106B" w:rsidP="002E7084"/>
        </w:tc>
        <w:tc>
          <w:tcPr>
            <w:tcW w:w="4788" w:type="dxa"/>
          </w:tcPr>
          <w:p w:rsidR="0086106B" w:rsidRDefault="0086106B" w:rsidP="00D07CEC">
            <w:r>
              <w:t>Lauren Smith, MD, MPH</w:t>
            </w:r>
          </w:p>
        </w:tc>
      </w:tr>
    </w:tbl>
    <w:p w:rsidR="0086106B" w:rsidRDefault="0086106B">
      <w:pPr>
        <w:rPr>
          <w:color w:val="FF0000"/>
          <w:highlight w:val="yellow"/>
          <w:u w:val="single"/>
        </w:rPr>
      </w:pPr>
      <w:r>
        <w:rPr>
          <w:color w:val="FF0000"/>
          <w:highlight w:val="yellow"/>
          <w:u w:val="single"/>
        </w:rPr>
        <w:br w:type="page"/>
      </w:r>
    </w:p>
    <w:p w:rsidR="00E86B96" w:rsidRDefault="0086106B" w:rsidP="00E86B96">
      <w:pPr>
        <w:pStyle w:val="Heading1"/>
      </w:pPr>
      <w:bookmarkStart w:id="30" w:name="_Toc402250617"/>
      <w:r>
        <w:rPr>
          <w:szCs w:val="32"/>
        </w:rPr>
        <w:lastRenderedPageBreak/>
        <w:t>A</w:t>
      </w:r>
      <w:r>
        <w:t>ppendix B:</w:t>
      </w:r>
      <w:r w:rsidR="006003FC">
        <w:t xml:space="preserve">  </w:t>
      </w:r>
      <w:r w:rsidR="002277A1">
        <w:t xml:space="preserve">Maternal Health Impact </w:t>
      </w:r>
      <w:r w:rsidR="00335868">
        <w:t>Pyramid Guiding Recommendations</w:t>
      </w:r>
      <w:bookmarkEnd w:id="30"/>
    </w:p>
    <w:p w:rsidR="0086106B" w:rsidRDefault="00E86B96" w:rsidP="00E86B96">
      <w:pPr>
        <w:pStyle w:val="Heading1"/>
      </w:pPr>
      <w:r>
        <w:t xml:space="preserve"> </w:t>
      </w:r>
      <w:bookmarkStart w:id="31" w:name="_Toc402250618"/>
      <w:r w:rsidR="002A38C9">
        <w:rPr>
          <w:noProof/>
        </w:rPr>
        <w:drawing>
          <wp:inline distT="0" distB="0" distL="0" distR="0" wp14:anchorId="4CA483C5" wp14:editId="5E5FF01C">
            <wp:extent cx="6057900" cy="4410075"/>
            <wp:effectExtent l="0" t="0" r="0" b="9525"/>
            <wp:docPr id="9" name="Picture 2" descr="Pyramid divided into 5 segments. " title="Maternal Health Impact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7900" cy="4410075"/>
                    </a:xfrm>
                    <a:prstGeom prst="rect">
                      <a:avLst/>
                    </a:prstGeom>
                    <a:noFill/>
                    <a:ln>
                      <a:noFill/>
                    </a:ln>
                  </pic:spPr>
                </pic:pic>
              </a:graphicData>
            </a:graphic>
          </wp:inline>
        </w:drawing>
      </w:r>
      <w:bookmarkEnd w:id="31"/>
    </w:p>
    <w:p w:rsidR="002A38C9" w:rsidRDefault="002A38C9" w:rsidP="002A38C9"/>
    <w:p w:rsidR="002A38C9" w:rsidRPr="002A38C9" w:rsidRDefault="002A38C9" w:rsidP="002A38C9"/>
    <w:p w:rsidR="0086106B" w:rsidRDefault="0086106B" w:rsidP="00E86B96">
      <w:pPr>
        <w:ind w:right="360"/>
      </w:pPr>
      <w:r w:rsidRPr="0024641B">
        <w:t xml:space="preserve">Adapted from </w:t>
      </w:r>
      <w:r w:rsidRPr="0024641B">
        <w:rPr>
          <w:rFonts w:cs="Arial"/>
        </w:rPr>
        <w:t>Frieden, TR. A framework for public health action: the health impact pyramid.</w:t>
      </w:r>
      <w:r>
        <w:rPr>
          <w:rFonts w:cs="Arial"/>
        </w:rPr>
        <w:t xml:space="preserve"> </w:t>
      </w:r>
      <w:hyperlink r:id="rId23" w:tooltip="American journal of public health." w:history="1">
        <w:r w:rsidRPr="0024641B">
          <w:rPr>
            <w:rFonts w:cs="Arial"/>
            <w:color w:val="0000FF"/>
            <w:u w:val="single"/>
          </w:rPr>
          <w:t>Am J Public Health.</w:t>
        </w:r>
      </w:hyperlink>
      <w:r w:rsidRPr="0024641B">
        <w:rPr>
          <w:rFonts w:cs="Arial"/>
        </w:rPr>
        <w:t xml:space="preserve"> 2010 Apr;100(4):590-5. Epub 2010 Feb 18.</w:t>
      </w:r>
      <w:r w:rsidR="00E86B96">
        <w:t xml:space="preserve"> </w:t>
      </w:r>
    </w:p>
    <w:p w:rsidR="0086106B" w:rsidRDefault="0086106B"/>
    <w:sectPr w:rsidR="0086106B" w:rsidSect="00E8410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86" w:rsidRDefault="00CE4486">
      <w:r>
        <w:separator/>
      </w:r>
    </w:p>
  </w:endnote>
  <w:endnote w:type="continuationSeparator" w:id="0">
    <w:p w:rsidR="00CE4486" w:rsidRDefault="00CE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0" w:rsidRDefault="001147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47C0" w:rsidRDefault="001147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7C0" w:rsidRDefault="001147C0">
    <w:pPr>
      <w:pStyle w:val="Footer"/>
      <w:jc w:val="center"/>
    </w:pPr>
    <w:r>
      <w:fldChar w:fldCharType="begin"/>
    </w:r>
    <w:r>
      <w:instrText xml:space="preserve"> PAGE   \* MERGEFORMAT </w:instrText>
    </w:r>
    <w:r>
      <w:fldChar w:fldCharType="separate"/>
    </w:r>
    <w:r w:rsidR="005F570E">
      <w:rPr>
        <w:noProof/>
      </w:rPr>
      <w:t>10</w:t>
    </w:r>
    <w:r>
      <w:rPr>
        <w:noProof/>
      </w:rPr>
      <w:fldChar w:fldCharType="end"/>
    </w:r>
  </w:p>
  <w:p w:rsidR="001147C0" w:rsidRDefault="001147C0" w:rsidP="008F5C2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0E" w:rsidRDefault="005F5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86" w:rsidRDefault="00CE4486">
      <w:r>
        <w:separator/>
      </w:r>
    </w:p>
  </w:footnote>
  <w:footnote w:type="continuationSeparator" w:id="0">
    <w:p w:rsidR="00CE4486" w:rsidRDefault="00CE4486">
      <w:r>
        <w:continuationSeparator/>
      </w:r>
    </w:p>
  </w:footnote>
  <w:footnote w:id="1">
    <w:p w:rsidR="001147C0" w:rsidRDefault="001147C0" w:rsidP="00525EA8">
      <w:pPr>
        <w:pStyle w:val="Heading7"/>
      </w:pPr>
      <w:r w:rsidRPr="002E4486">
        <w:rPr>
          <w:rStyle w:val="FootnoteReference"/>
          <w:rFonts w:ascii="Calibri" w:hAnsi="Calibri"/>
          <w:sz w:val="20"/>
          <w:szCs w:val="20"/>
        </w:rPr>
        <w:footnoteRef/>
      </w:r>
      <w:r w:rsidRPr="00AF3AE2">
        <w:t xml:space="preserve"> Joinpoint is a trend analysis tool developed by the National Cancer Institute.  It creates a “model” (graph) that best describes the trend in events.  Points where the trend turns around are called “joinpoints”.  It shows the Annual Percentage Change (APC) for each line segment in the model.</w:t>
      </w:r>
    </w:p>
  </w:footnote>
  <w:footnote w:id="2">
    <w:p w:rsidR="001147C0" w:rsidRPr="00D7545F" w:rsidRDefault="001147C0" w:rsidP="000F7C1A">
      <w:pPr>
        <w:ind w:right="360"/>
        <w:rPr>
          <w:rFonts w:cs="Arial"/>
          <w:sz w:val="18"/>
          <w:szCs w:val="18"/>
        </w:rPr>
      </w:pPr>
      <w:r>
        <w:rPr>
          <w:rStyle w:val="FootnoteReference"/>
        </w:rPr>
        <w:footnoteRef/>
      </w:r>
      <w:r>
        <w:t xml:space="preserve"> </w:t>
      </w:r>
      <w:r w:rsidRPr="00D7545F">
        <w:rPr>
          <w:rFonts w:cs="Arial"/>
          <w:sz w:val="18"/>
          <w:szCs w:val="18"/>
        </w:rPr>
        <w:t>Frieden, TR. A framework for public health action: the health impact pyramid.</w:t>
      </w:r>
      <w:r>
        <w:rPr>
          <w:rFonts w:cs="Arial"/>
          <w:sz w:val="18"/>
          <w:szCs w:val="18"/>
        </w:rPr>
        <w:t xml:space="preserve"> </w:t>
      </w:r>
      <w:hyperlink r:id="rId1" w:tooltip="American journal of public health." w:history="1">
        <w:r w:rsidRPr="00D7545F">
          <w:rPr>
            <w:rFonts w:cs="Arial"/>
            <w:color w:val="0000FF"/>
            <w:sz w:val="18"/>
            <w:szCs w:val="18"/>
            <w:u w:val="single"/>
          </w:rPr>
          <w:t>Am J Public Health.</w:t>
        </w:r>
      </w:hyperlink>
      <w:r w:rsidRPr="00D7545F">
        <w:rPr>
          <w:rFonts w:cs="Arial"/>
          <w:sz w:val="18"/>
          <w:szCs w:val="18"/>
        </w:rPr>
        <w:t xml:space="preserve"> 2010 Apr;100(4):590-5. Epub 2010 Feb 18.</w:t>
      </w:r>
    </w:p>
    <w:p w:rsidR="001147C0" w:rsidRDefault="001147C0" w:rsidP="000F7C1A">
      <w:pPr>
        <w:ind w:right="36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0E" w:rsidRDefault="005F5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0E" w:rsidRDefault="005F57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0E" w:rsidRDefault="005F5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nsid w:val="0C0A103B"/>
    <w:multiLevelType w:val="hybridMultilevel"/>
    <w:tmpl w:val="CD7C8522"/>
    <w:lvl w:ilvl="0" w:tplc="4AB0942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31804"/>
    <w:multiLevelType w:val="hybridMultilevel"/>
    <w:tmpl w:val="2FB219AC"/>
    <w:lvl w:ilvl="0" w:tplc="0409000F">
      <w:start w:val="1"/>
      <w:numFmt w:val="decimal"/>
      <w:lvlText w:val="%1."/>
      <w:lvlJc w:val="left"/>
      <w:pPr>
        <w:tabs>
          <w:tab w:val="num" w:pos="1440"/>
        </w:tabs>
        <w:ind w:left="1440" w:hanging="360"/>
      </w:pPr>
      <w:rPr>
        <w:rFonts w:cs="Times New Roman"/>
      </w:rPr>
    </w:lvl>
    <w:lvl w:ilvl="1" w:tplc="3DCE9980">
      <w:numFmt w:val="bullet"/>
      <w:lvlText w:val="•"/>
      <w:lvlJc w:val="left"/>
      <w:pPr>
        <w:ind w:left="2160" w:hanging="360"/>
      </w:pPr>
      <w:rPr>
        <w:rFonts w:ascii="Times New Roman" w:eastAsia="Times New Roman" w:hAnsi="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131C59CC"/>
    <w:multiLevelType w:val="hybridMultilevel"/>
    <w:tmpl w:val="2FB219AC"/>
    <w:lvl w:ilvl="0" w:tplc="0409000F">
      <w:start w:val="1"/>
      <w:numFmt w:val="decimal"/>
      <w:lvlText w:val="%1."/>
      <w:lvlJc w:val="left"/>
      <w:pPr>
        <w:tabs>
          <w:tab w:val="num" w:pos="1440"/>
        </w:tabs>
        <w:ind w:left="1440" w:hanging="360"/>
      </w:pPr>
      <w:rPr>
        <w:rFonts w:cs="Times New Roman"/>
      </w:rPr>
    </w:lvl>
    <w:lvl w:ilvl="1" w:tplc="3DCE9980">
      <w:numFmt w:val="bullet"/>
      <w:lvlText w:val="•"/>
      <w:lvlJc w:val="left"/>
      <w:pPr>
        <w:ind w:left="2160" w:hanging="360"/>
      </w:pPr>
      <w:rPr>
        <w:rFonts w:ascii="Times New Roman" w:eastAsia="Times New Roman" w:hAnsi="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306C4A33"/>
    <w:multiLevelType w:val="hybridMultilevel"/>
    <w:tmpl w:val="981A8CDA"/>
    <w:lvl w:ilvl="0" w:tplc="B9DE2EC8">
      <w:start w:val="1"/>
      <w:numFmt w:val="bullet"/>
      <w:lvlText w:val=""/>
      <w:lvlJc w:val="left"/>
      <w:pPr>
        <w:tabs>
          <w:tab w:val="num" w:pos="720"/>
        </w:tabs>
        <w:ind w:left="720" w:hanging="360"/>
      </w:pPr>
      <w:rPr>
        <w:rFonts w:ascii="Symbol" w:hAnsi="Symbol" w:hint="default"/>
      </w:rPr>
    </w:lvl>
    <w:lvl w:ilvl="1" w:tplc="3F087426">
      <w:start w:val="1"/>
      <w:numFmt w:val="bullet"/>
      <w:lvlText w:val="o"/>
      <w:lvlJc w:val="left"/>
      <w:pPr>
        <w:tabs>
          <w:tab w:val="num" w:pos="1440"/>
        </w:tabs>
        <w:ind w:left="1440" w:hanging="360"/>
      </w:pPr>
      <w:rPr>
        <w:rFonts w:ascii="Courier New" w:hAnsi="Courier New" w:hint="default"/>
      </w:rPr>
    </w:lvl>
    <w:lvl w:ilvl="2" w:tplc="38B4C61A" w:tentative="1">
      <w:start w:val="1"/>
      <w:numFmt w:val="bullet"/>
      <w:lvlText w:val=""/>
      <w:lvlJc w:val="left"/>
      <w:pPr>
        <w:tabs>
          <w:tab w:val="num" w:pos="2160"/>
        </w:tabs>
        <w:ind w:left="2160" w:hanging="360"/>
      </w:pPr>
      <w:rPr>
        <w:rFonts w:ascii="Wingdings" w:hAnsi="Wingdings" w:hint="default"/>
      </w:rPr>
    </w:lvl>
    <w:lvl w:ilvl="3" w:tplc="4A8A1E68" w:tentative="1">
      <w:start w:val="1"/>
      <w:numFmt w:val="bullet"/>
      <w:lvlText w:val=""/>
      <w:lvlJc w:val="left"/>
      <w:pPr>
        <w:tabs>
          <w:tab w:val="num" w:pos="2880"/>
        </w:tabs>
        <w:ind w:left="2880" w:hanging="360"/>
      </w:pPr>
      <w:rPr>
        <w:rFonts w:ascii="Symbol" w:hAnsi="Symbol" w:hint="default"/>
      </w:rPr>
    </w:lvl>
    <w:lvl w:ilvl="4" w:tplc="CAC211C4" w:tentative="1">
      <w:start w:val="1"/>
      <w:numFmt w:val="bullet"/>
      <w:lvlText w:val="o"/>
      <w:lvlJc w:val="left"/>
      <w:pPr>
        <w:tabs>
          <w:tab w:val="num" w:pos="3600"/>
        </w:tabs>
        <w:ind w:left="3600" w:hanging="360"/>
      </w:pPr>
      <w:rPr>
        <w:rFonts w:ascii="Courier New" w:hAnsi="Courier New" w:hint="default"/>
      </w:rPr>
    </w:lvl>
    <w:lvl w:ilvl="5" w:tplc="F9BADAD4" w:tentative="1">
      <w:start w:val="1"/>
      <w:numFmt w:val="bullet"/>
      <w:lvlText w:val=""/>
      <w:lvlJc w:val="left"/>
      <w:pPr>
        <w:tabs>
          <w:tab w:val="num" w:pos="4320"/>
        </w:tabs>
        <w:ind w:left="4320" w:hanging="360"/>
      </w:pPr>
      <w:rPr>
        <w:rFonts w:ascii="Wingdings" w:hAnsi="Wingdings" w:hint="default"/>
      </w:rPr>
    </w:lvl>
    <w:lvl w:ilvl="6" w:tplc="94980A0E" w:tentative="1">
      <w:start w:val="1"/>
      <w:numFmt w:val="bullet"/>
      <w:lvlText w:val=""/>
      <w:lvlJc w:val="left"/>
      <w:pPr>
        <w:tabs>
          <w:tab w:val="num" w:pos="5040"/>
        </w:tabs>
        <w:ind w:left="5040" w:hanging="360"/>
      </w:pPr>
      <w:rPr>
        <w:rFonts w:ascii="Symbol" w:hAnsi="Symbol" w:hint="default"/>
      </w:rPr>
    </w:lvl>
    <w:lvl w:ilvl="7" w:tplc="2482E73A" w:tentative="1">
      <w:start w:val="1"/>
      <w:numFmt w:val="bullet"/>
      <w:lvlText w:val="o"/>
      <w:lvlJc w:val="left"/>
      <w:pPr>
        <w:tabs>
          <w:tab w:val="num" w:pos="5760"/>
        </w:tabs>
        <w:ind w:left="5760" w:hanging="360"/>
      </w:pPr>
      <w:rPr>
        <w:rFonts w:ascii="Courier New" w:hAnsi="Courier New" w:hint="default"/>
      </w:rPr>
    </w:lvl>
    <w:lvl w:ilvl="8" w:tplc="3E7EDDBA" w:tentative="1">
      <w:start w:val="1"/>
      <w:numFmt w:val="bullet"/>
      <w:lvlText w:val=""/>
      <w:lvlJc w:val="left"/>
      <w:pPr>
        <w:tabs>
          <w:tab w:val="num" w:pos="6480"/>
        </w:tabs>
        <w:ind w:left="6480" w:hanging="360"/>
      </w:pPr>
      <w:rPr>
        <w:rFonts w:ascii="Wingdings" w:hAnsi="Wingdings" w:hint="default"/>
      </w:rPr>
    </w:lvl>
  </w:abstractNum>
  <w:abstractNum w:abstractNumId="4">
    <w:nsid w:val="39443817"/>
    <w:multiLevelType w:val="hybridMultilevel"/>
    <w:tmpl w:val="FD4E44C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B0D3480"/>
    <w:multiLevelType w:val="hybridMultilevel"/>
    <w:tmpl w:val="AA4EF2B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41B75033"/>
    <w:multiLevelType w:val="hybridMultilevel"/>
    <w:tmpl w:val="D416E78E"/>
    <w:lvl w:ilvl="0" w:tplc="B194271A">
      <w:start w:val="1"/>
      <w:numFmt w:val="bullet"/>
      <w:lvlText w:val=""/>
      <w:lvlJc w:val="left"/>
      <w:pPr>
        <w:tabs>
          <w:tab w:val="num" w:pos="720"/>
        </w:tabs>
        <w:ind w:left="720" w:hanging="360"/>
      </w:pPr>
      <w:rPr>
        <w:rFonts w:ascii="Symbol" w:hAnsi="Symbol" w:hint="default"/>
      </w:rPr>
    </w:lvl>
    <w:lvl w:ilvl="1" w:tplc="85B03BC2" w:tentative="1">
      <w:start w:val="1"/>
      <w:numFmt w:val="bullet"/>
      <w:lvlText w:val="o"/>
      <w:lvlJc w:val="left"/>
      <w:pPr>
        <w:tabs>
          <w:tab w:val="num" w:pos="1440"/>
        </w:tabs>
        <w:ind w:left="1440" w:hanging="360"/>
      </w:pPr>
      <w:rPr>
        <w:rFonts w:ascii="Courier New" w:hAnsi="Courier New" w:hint="default"/>
      </w:rPr>
    </w:lvl>
    <w:lvl w:ilvl="2" w:tplc="DB165D7C" w:tentative="1">
      <w:start w:val="1"/>
      <w:numFmt w:val="bullet"/>
      <w:lvlText w:val=""/>
      <w:lvlJc w:val="left"/>
      <w:pPr>
        <w:tabs>
          <w:tab w:val="num" w:pos="2160"/>
        </w:tabs>
        <w:ind w:left="2160" w:hanging="360"/>
      </w:pPr>
      <w:rPr>
        <w:rFonts w:ascii="Wingdings" w:hAnsi="Wingdings" w:hint="default"/>
      </w:rPr>
    </w:lvl>
    <w:lvl w:ilvl="3" w:tplc="F3B4DABA" w:tentative="1">
      <w:start w:val="1"/>
      <w:numFmt w:val="bullet"/>
      <w:lvlText w:val=""/>
      <w:lvlJc w:val="left"/>
      <w:pPr>
        <w:tabs>
          <w:tab w:val="num" w:pos="2880"/>
        </w:tabs>
        <w:ind w:left="2880" w:hanging="360"/>
      </w:pPr>
      <w:rPr>
        <w:rFonts w:ascii="Symbol" w:hAnsi="Symbol" w:hint="default"/>
      </w:rPr>
    </w:lvl>
    <w:lvl w:ilvl="4" w:tplc="A470E99A" w:tentative="1">
      <w:start w:val="1"/>
      <w:numFmt w:val="bullet"/>
      <w:lvlText w:val="o"/>
      <w:lvlJc w:val="left"/>
      <w:pPr>
        <w:tabs>
          <w:tab w:val="num" w:pos="3600"/>
        </w:tabs>
        <w:ind w:left="3600" w:hanging="360"/>
      </w:pPr>
      <w:rPr>
        <w:rFonts w:ascii="Courier New" w:hAnsi="Courier New" w:hint="default"/>
      </w:rPr>
    </w:lvl>
    <w:lvl w:ilvl="5" w:tplc="4A7A9D7E" w:tentative="1">
      <w:start w:val="1"/>
      <w:numFmt w:val="bullet"/>
      <w:lvlText w:val=""/>
      <w:lvlJc w:val="left"/>
      <w:pPr>
        <w:tabs>
          <w:tab w:val="num" w:pos="4320"/>
        </w:tabs>
        <w:ind w:left="4320" w:hanging="360"/>
      </w:pPr>
      <w:rPr>
        <w:rFonts w:ascii="Wingdings" w:hAnsi="Wingdings" w:hint="default"/>
      </w:rPr>
    </w:lvl>
    <w:lvl w:ilvl="6" w:tplc="70C47BCA" w:tentative="1">
      <w:start w:val="1"/>
      <w:numFmt w:val="bullet"/>
      <w:lvlText w:val=""/>
      <w:lvlJc w:val="left"/>
      <w:pPr>
        <w:tabs>
          <w:tab w:val="num" w:pos="5040"/>
        </w:tabs>
        <w:ind w:left="5040" w:hanging="360"/>
      </w:pPr>
      <w:rPr>
        <w:rFonts w:ascii="Symbol" w:hAnsi="Symbol" w:hint="default"/>
      </w:rPr>
    </w:lvl>
    <w:lvl w:ilvl="7" w:tplc="75FA59E6" w:tentative="1">
      <w:start w:val="1"/>
      <w:numFmt w:val="bullet"/>
      <w:lvlText w:val="o"/>
      <w:lvlJc w:val="left"/>
      <w:pPr>
        <w:tabs>
          <w:tab w:val="num" w:pos="5760"/>
        </w:tabs>
        <w:ind w:left="5760" w:hanging="360"/>
      </w:pPr>
      <w:rPr>
        <w:rFonts w:ascii="Courier New" w:hAnsi="Courier New" w:hint="default"/>
      </w:rPr>
    </w:lvl>
    <w:lvl w:ilvl="8" w:tplc="38CE816C" w:tentative="1">
      <w:start w:val="1"/>
      <w:numFmt w:val="bullet"/>
      <w:lvlText w:val=""/>
      <w:lvlJc w:val="left"/>
      <w:pPr>
        <w:tabs>
          <w:tab w:val="num" w:pos="6480"/>
        </w:tabs>
        <w:ind w:left="6480" w:hanging="360"/>
      </w:pPr>
      <w:rPr>
        <w:rFonts w:ascii="Wingdings" w:hAnsi="Wingdings" w:hint="default"/>
      </w:rPr>
    </w:lvl>
  </w:abstractNum>
  <w:abstractNum w:abstractNumId="7">
    <w:nsid w:val="43863B3C"/>
    <w:multiLevelType w:val="hybridMultilevel"/>
    <w:tmpl w:val="349828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74022A7"/>
    <w:multiLevelType w:val="hybridMultilevel"/>
    <w:tmpl w:val="5B0092E0"/>
    <w:lvl w:ilvl="0" w:tplc="2FA4F676">
      <w:start w:val="1"/>
      <w:numFmt w:val="decimal"/>
      <w:lvlText w:val="%1."/>
      <w:lvlJc w:val="left"/>
      <w:pPr>
        <w:tabs>
          <w:tab w:val="num" w:pos="1440"/>
        </w:tabs>
        <w:ind w:left="1440" w:hanging="360"/>
      </w:pPr>
      <w:rPr>
        <w:rFonts w:cs="Times New Roman"/>
        <w:b w:val="0"/>
        <w:i/>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5D7D4E60"/>
    <w:multiLevelType w:val="hybridMultilevel"/>
    <w:tmpl w:val="EC24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260EAB"/>
    <w:multiLevelType w:val="hybridMultilevel"/>
    <w:tmpl w:val="C000752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3086A37"/>
    <w:multiLevelType w:val="hybridMultilevel"/>
    <w:tmpl w:val="81228988"/>
    <w:lvl w:ilvl="0" w:tplc="C47441B6">
      <w:start w:val="1"/>
      <w:numFmt w:val="decimal"/>
      <w:lvlText w:val="%1."/>
      <w:lvlJc w:val="left"/>
      <w:pPr>
        <w:tabs>
          <w:tab w:val="num" w:pos="1080"/>
        </w:tabs>
        <w:ind w:left="1080" w:hanging="360"/>
      </w:pPr>
      <w:rPr>
        <w:rFonts w:cs="Times New Roman"/>
      </w:rPr>
    </w:lvl>
    <w:lvl w:ilvl="1" w:tplc="35A43D26" w:tentative="1">
      <w:start w:val="1"/>
      <w:numFmt w:val="lowerLetter"/>
      <w:lvlText w:val="%2."/>
      <w:lvlJc w:val="left"/>
      <w:pPr>
        <w:tabs>
          <w:tab w:val="num" w:pos="1800"/>
        </w:tabs>
        <w:ind w:left="1800" w:hanging="360"/>
      </w:pPr>
      <w:rPr>
        <w:rFonts w:cs="Times New Roman"/>
      </w:rPr>
    </w:lvl>
    <w:lvl w:ilvl="2" w:tplc="4530C5C8" w:tentative="1">
      <w:start w:val="1"/>
      <w:numFmt w:val="lowerRoman"/>
      <w:lvlText w:val="%3."/>
      <w:lvlJc w:val="right"/>
      <w:pPr>
        <w:tabs>
          <w:tab w:val="num" w:pos="2520"/>
        </w:tabs>
        <w:ind w:left="2520" w:hanging="180"/>
      </w:pPr>
      <w:rPr>
        <w:rFonts w:cs="Times New Roman"/>
      </w:rPr>
    </w:lvl>
    <w:lvl w:ilvl="3" w:tplc="3D881642" w:tentative="1">
      <w:start w:val="1"/>
      <w:numFmt w:val="decimal"/>
      <w:lvlText w:val="%4."/>
      <w:lvlJc w:val="left"/>
      <w:pPr>
        <w:tabs>
          <w:tab w:val="num" w:pos="3240"/>
        </w:tabs>
        <w:ind w:left="3240" w:hanging="360"/>
      </w:pPr>
      <w:rPr>
        <w:rFonts w:cs="Times New Roman"/>
      </w:rPr>
    </w:lvl>
    <w:lvl w:ilvl="4" w:tplc="526684B4" w:tentative="1">
      <w:start w:val="1"/>
      <w:numFmt w:val="lowerLetter"/>
      <w:lvlText w:val="%5."/>
      <w:lvlJc w:val="left"/>
      <w:pPr>
        <w:tabs>
          <w:tab w:val="num" w:pos="3960"/>
        </w:tabs>
        <w:ind w:left="3960" w:hanging="360"/>
      </w:pPr>
      <w:rPr>
        <w:rFonts w:cs="Times New Roman"/>
      </w:rPr>
    </w:lvl>
    <w:lvl w:ilvl="5" w:tplc="8A882D3E" w:tentative="1">
      <w:start w:val="1"/>
      <w:numFmt w:val="lowerRoman"/>
      <w:lvlText w:val="%6."/>
      <w:lvlJc w:val="right"/>
      <w:pPr>
        <w:tabs>
          <w:tab w:val="num" w:pos="4680"/>
        </w:tabs>
        <w:ind w:left="4680" w:hanging="180"/>
      </w:pPr>
      <w:rPr>
        <w:rFonts w:cs="Times New Roman"/>
      </w:rPr>
    </w:lvl>
    <w:lvl w:ilvl="6" w:tplc="EB6C4FCA" w:tentative="1">
      <w:start w:val="1"/>
      <w:numFmt w:val="decimal"/>
      <w:lvlText w:val="%7."/>
      <w:lvlJc w:val="left"/>
      <w:pPr>
        <w:tabs>
          <w:tab w:val="num" w:pos="5400"/>
        </w:tabs>
        <w:ind w:left="5400" w:hanging="360"/>
      </w:pPr>
      <w:rPr>
        <w:rFonts w:cs="Times New Roman"/>
      </w:rPr>
    </w:lvl>
    <w:lvl w:ilvl="7" w:tplc="6A96588C" w:tentative="1">
      <w:start w:val="1"/>
      <w:numFmt w:val="lowerLetter"/>
      <w:lvlText w:val="%8."/>
      <w:lvlJc w:val="left"/>
      <w:pPr>
        <w:tabs>
          <w:tab w:val="num" w:pos="6120"/>
        </w:tabs>
        <w:ind w:left="6120" w:hanging="360"/>
      </w:pPr>
      <w:rPr>
        <w:rFonts w:cs="Times New Roman"/>
      </w:rPr>
    </w:lvl>
    <w:lvl w:ilvl="8" w:tplc="49BAB6B4" w:tentative="1">
      <w:start w:val="1"/>
      <w:numFmt w:val="lowerRoman"/>
      <w:lvlText w:val="%9."/>
      <w:lvlJc w:val="right"/>
      <w:pPr>
        <w:tabs>
          <w:tab w:val="num" w:pos="6840"/>
        </w:tabs>
        <w:ind w:left="6840" w:hanging="180"/>
      </w:pPr>
      <w:rPr>
        <w:rFonts w:cs="Times New Roman"/>
      </w:rPr>
    </w:lvl>
  </w:abstractNum>
  <w:abstractNum w:abstractNumId="12">
    <w:nsid w:val="643A4012"/>
    <w:multiLevelType w:val="hybridMultilevel"/>
    <w:tmpl w:val="43A0E0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70CD2E09"/>
    <w:multiLevelType w:val="hybridMultilevel"/>
    <w:tmpl w:val="F31AE4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18136E8"/>
    <w:multiLevelType w:val="hybridMultilevel"/>
    <w:tmpl w:val="6750E71C"/>
    <w:lvl w:ilvl="0" w:tplc="7C80B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AD0038"/>
    <w:multiLevelType w:val="hybridMultilevel"/>
    <w:tmpl w:val="3626A10A"/>
    <w:lvl w:ilvl="0" w:tplc="453A5166">
      <w:start w:val="1"/>
      <w:numFmt w:val="bullet"/>
      <w:lvlText w:val=""/>
      <w:lvlJc w:val="left"/>
      <w:pPr>
        <w:tabs>
          <w:tab w:val="num" w:pos="720"/>
        </w:tabs>
        <w:ind w:left="720" w:hanging="360"/>
      </w:pPr>
      <w:rPr>
        <w:rFonts w:ascii="Symbol" w:hAnsi="Symbol" w:hint="default"/>
      </w:rPr>
    </w:lvl>
    <w:lvl w:ilvl="1" w:tplc="48CACE8E" w:tentative="1">
      <w:start w:val="1"/>
      <w:numFmt w:val="bullet"/>
      <w:lvlText w:val="o"/>
      <w:lvlJc w:val="left"/>
      <w:pPr>
        <w:tabs>
          <w:tab w:val="num" w:pos="1440"/>
        </w:tabs>
        <w:ind w:left="1440" w:hanging="360"/>
      </w:pPr>
      <w:rPr>
        <w:rFonts w:ascii="Courier New" w:hAnsi="Courier New" w:hint="default"/>
      </w:rPr>
    </w:lvl>
    <w:lvl w:ilvl="2" w:tplc="B4EA15A0" w:tentative="1">
      <w:start w:val="1"/>
      <w:numFmt w:val="bullet"/>
      <w:lvlText w:val=""/>
      <w:lvlJc w:val="left"/>
      <w:pPr>
        <w:tabs>
          <w:tab w:val="num" w:pos="2160"/>
        </w:tabs>
        <w:ind w:left="2160" w:hanging="360"/>
      </w:pPr>
      <w:rPr>
        <w:rFonts w:ascii="Wingdings" w:hAnsi="Wingdings" w:hint="default"/>
      </w:rPr>
    </w:lvl>
    <w:lvl w:ilvl="3" w:tplc="0750D540" w:tentative="1">
      <w:start w:val="1"/>
      <w:numFmt w:val="bullet"/>
      <w:lvlText w:val=""/>
      <w:lvlJc w:val="left"/>
      <w:pPr>
        <w:tabs>
          <w:tab w:val="num" w:pos="2880"/>
        </w:tabs>
        <w:ind w:left="2880" w:hanging="360"/>
      </w:pPr>
      <w:rPr>
        <w:rFonts w:ascii="Symbol" w:hAnsi="Symbol" w:hint="default"/>
      </w:rPr>
    </w:lvl>
    <w:lvl w:ilvl="4" w:tplc="90627FD6" w:tentative="1">
      <w:start w:val="1"/>
      <w:numFmt w:val="bullet"/>
      <w:lvlText w:val="o"/>
      <w:lvlJc w:val="left"/>
      <w:pPr>
        <w:tabs>
          <w:tab w:val="num" w:pos="3600"/>
        </w:tabs>
        <w:ind w:left="3600" w:hanging="360"/>
      </w:pPr>
      <w:rPr>
        <w:rFonts w:ascii="Courier New" w:hAnsi="Courier New" w:hint="default"/>
      </w:rPr>
    </w:lvl>
    <w:lvl w:ilvl="5" w:tplc="C38436C0" w:tentative="1">
      <w:start w:val="1"/>
      <w:numFmt w:val="bullet"/>
      <w:lvlText w:val=""/>
      <w:lvlJc w:val="left"/>
      <w:pPr>
        <w:tabs>
          <w:tab w:val="num" w:pos="4320"/>
        </w:tabs>
        <w:ind w:left="4320" w:hanging="360"/>
      </w:pPr>
      <w:rPr>
        <w:rFonts w:ascii="Wingdings" w:hAnsi="Wingdings" w:hint="default"/>
      </w:rPr>
    </w:lvl>
    <w:lvl w:ilvl="6" w:tplc="EFA2C200" w:tentative="1">
      <w:start w:val="1"/>
      <w:numFmt w:val="bullet"/>
      <w:lvlText w:val=""/>
      <w:lvlJc w:val="left"/>
      <w:pPr>
        <w:tabs>
          <w:tab w:val="num" w:pos="5040"/>
        </w:tabs>
        <w:ind w:left="5040" w:hanging="360"/>
      </w:pPr>
      <w:rPr>
        <w:rFonts w:ascii="Symbol" w:hAnsi="Symbol" w:hint="default"/>
      </w:rPr>
    </w:lvl>
    <w:lvl w:ilvl="7" w:tplc="05EC9CB2" w:tentative="1">
      <w:start w:val="1"/>
      <w:numFmt w:val="bullet"/>
      <w:lvlText w:val="o"/>
      <w:lvlJc w:val="left"/>
      <w:pPr>
        <w:tabs>
          <w:tab w:val="num" w:pos="5760"/>
        </w:tabs>
        <w:ind w:left="5760" w:hanging="360"/>
      </w:pPr>
      <w:rPr>
        <w:rFonts w:ascii="Courier New" w:hAnsi="Courier New" w:hint="default"/>
      </w:rPr>
    </w:lvl>
    <w:lvl w:ilvl="8" w:tplc="F2507400" w:tentative="1">
      <w:start w:val="1"/>
      <w:numFmt w:val="bullet"/>
      <w:lvlText w:val=""/>
      <w:lvlJc w:val="left"/>
      <w:pPr>
        <w:tabs>
          <w:tab w:val="num" w:pos="6480"/>
        </w:tabs>
        <w:ind w:left="6480" w:hanging="360"/>
      </w:pPr>
      <w:rPr>
        <w:rFonts w:ascii="Wingdings" w:hAnsi="Wingdings" w:hint="default"/>
      </w:rPr>
    </w:lvl>
  </w:abstractNum>
  <w:abstractNum w:abstractNumId="16">
    <w:nsid w:val="7E1E1FAC"/>
    <w:multiLevelType w:val="multilevel"/>
    <w:tmpl w:val="A75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6"/>
  </w:num>
  <w:num w:numId="4">
    <w:abstractNumId w:val="3"/>
  </w:num>
  <w:num w:numId="5">
    <w:abstractNumId w:val="7"/>
  </w:num>
  <w:num w:numId="6">
    <w:abstractNumId w:val="16"/>
  </w:num>
  <w:num w:numId="7">
    <w:abstractNumId w:val="0"/>
  </w:num>
  <w:num w:numId="8">
    <w:abstractNumId w:val="5"/>
  </w:num>
  <w:num w:numId="9">
    <w:abstractNumId w:val="4"/>
  </w:num>
  <w:num w:numId="10">
    <w:abstractNumId w:val="8"/>
  </w:num>
  <w:num w:numId="11">
    <w:abstractNumId w:val="2"/>
  </w:num>
  <w:num w:numId="12">
    <w:abstractNumId w:val="10"/>
  </w:num>
  <w:num w:numId="13">
    <w:abstractNumId w:val="13"/>
  </w:num>
  <w:num w:numId="14">
    <w:abstractNumId w:val="9"/>
  </w:num>
  <w:num w:numId="15">
    <w:abstractNumId w:val="1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mer J 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MR.enl&lt;/item&gt;&lt;/Libraries&gt;&lt;/ENLibraries&gt;"/>
  </w:docVars>
  <w:rsids>
    <w:rsidRoot w:val="000837C9"/>
    <w:rsid w:val="0000136F"/>
    <w:rsid w:val="00004478"/>
    <w:rsid w:val="0000551B"/>
    <w:rsid w:val="000142EA"/>
    <w:rsid w:val="00021571"/>
    <w:rsid w:val="00021D5C"/>
    <w:rsid w:val="00031DC9"/>
    <w:rsid w:val="000337F4"/>
    <w:rsid w:val="00036190"/>
    <w:rsid w:val="00042D7D"/>
    <w:rsid w:val="00043B42"/>
    <w:rsid w:val="000461BE"/>
    <w:rsid w:val="0004627E"/>
    <w:rsid w:val="000477C5"/>
    <w:rsid w:val="00063822"/>
    <w:rsid w:val="00064AE1"/>
    <w:rsid w:val="00065395"/>
    <w:rsid w:val="00073851"/>
    <w:rsid w:val="000837C9"/>
    <w:rsid w:val="00084B60"/>
    <w:rsid w:val="0009630C"/>
    <w:rsid w:val="00097D27"/>
    <w:rsid w:val="000A31D3"/>
    <w:rsid w:val="000A345A"/>
    <w:rsid w:val="000B3809"/>
    <w:rsid w:val="000B4899"/>
    <w:rsid w:val="000B6EC0"/>
    <w:rsid w:val="000C3ED1"/>
    <w:rsid w:val="000C4B72"/>
    <w:rsid w:val="000C4DFC"/>
    <w:rsid w:val="000C77AB"/>
    <w:rsid w:val="000D57C0"/>
    <w:rsid w:val="000D7311"/>
    <w:rsid w:val="000D7C7C"/>
    <w:rsid w:val="000E171A"/>
    <w:rsid w:val="000F19CB"/>
    <w:rsid w:val="000F4C05"/>
    <w:rsid w:val="000F7C1A"/>
    <w:rsid w:val="00105057"/>
    <w:rsid w:val="001065F0"/>
    <w:rsid w:val="00111FD8"/>
    <w:rsid w:val="001147C0"/>
    <w:rsid w:val="00115FB9"/>
    <w:rsid w:val="00120629"/>
    <w:rsid w:val="001262C5"/>
    <w:rsid w:val="0013634D"/>
    <w:rsid w:val="001445A4"/>
    <w:rsid w:val="00150269"/>
    <w:rsid w:val="00157ACC"/>
    <w:rsid w:val="00165006"/>
    <w:rsid w:val="00167908"/>
    <w:rsid w:val="00172090"/>
    <w:rsid w:val="001746DD"/>
    <w:rsid w:val="00177E6D"/>
    <w:rsid w:val="00180508"/>
    <w:rsid w:val="00181FAE"/>
    <w:rsid w:val="00182233"/>
    <w:rsid w:val="00187301"/>
    <w:rsid w:val="0019083A"/>
    <w:rsid w:val="001934D8"/>
    <w:rsid w:val="001A31F8"/>
    <w:rsid w:val="001A4349"/>
    <w:rsid w:val="001B0AE1"/>
    <w:rsid w:val="001B32D1"/>
    <w:rsid w:val="001B44B3"/>
    <w:rsid w:val="001B50EB"/>
    <w:rsid w:val="001B5DF7"/>
    <w:rsid w:val="001C23CB"/>
    <w:rsid w:val="001C5E6B"/>
    <w:rsid w:val="001C64CB"/>
    <w:rsid w:val="001D33DB"/>
    <w:rsid w:val="001E1790"/>
    <w:rsid w:val="001E2001"/>
    <w:rsid w:val="001F06AE"/>
    <w:rsid w:val="001F2BA9"/>
    <w:rsid w:val="002017DF"/>
    <w:rsid w:val="00202FE9"/>
    <w:rsid w:val="002277A1"/>
    <w:rsid w:val="00233419"/>
    <w:rsid w:val="002339DC"/>
    <w:rsid w:val="002379B9"/>
    <w:rsid w:val="00241FB2"/>
    <w:rsid w:val="00244E78"/>
    <w:rsid w:val="0024641B"/>
    <w:rsid w:val="0027147B"/>
    <w:rsid w:val="002740D5"/>
    <w:rsid w:val="0027747C"/>
    <w:rsid w:val="00277681"/>
    <w:rsid w:val="00286E3F"/>
    <w:rsid w:val="0028785C"/>
    <w:rsid w:val="002A38C9"/>
    <w:rsid w:val="002A42A4"/>
    <w:rsid w:val="002A6BBC"/>
    <w:rsid w:val="002B10FC"/>
    <w:rsid w:val="002B374F"/>
    <w:rsid w:val="002B6F7E"/>
    <w:rsid w:val="002C07E7"/>
    <w:rsid w:val="002D19C0"/>
    <w:rsid w:val="002D2D7C"/>
    <w:rsid w:val="002D5D72"/>
    <w:rsid w:val="002D5E94"/>
    <w:rsid w:val="002E027D"/>
    <w:rsid w:val="002E096A"/>
    <w:rsid w:val="002E2009"/>
    <w:rsid w:val="002E295F"/>
    <w:rsid w:val="002E4486"/>
    <w:rsid w:val="002E4FEC"/>
    <w:rsid w:val="002E62D0"/>
    <w:rsid w:val="002E6A0C"/>
    <w:rsid w:val="002E7084"/>
    <w:rsid w:val="002F2B3C"/>
    <w:rsid w:val="00300C24"/>
    <w:rsid w:val="0031265E"/>
    <w:rsid w:val="0031586D"/>
    <w:rsid w:val="00315BE4"/>
    <w:rsid w:val="003171FC"/>
    <w:rsid w:val="00317D88"/>
    <w:rsid w:val="0032575E"/>
    <w:rsid w:val="00326182"/>
    <w:rsid w:val="00327C43"/>
    <w:rsid w:val="00332EC4"/>
    <w:rsid w:val="00335868"/>
    <w:rsid w:val="00347A4D"/>
    <w:rsid w:val="003546F2"/>
    <w:rsid w:val="00362B74"/>
    <w:rsid w:val="00363B7F"/>
    <w:rsid w:val="00380F73"/>
    <w:rsid w:val="00381330"/>
    <w:rsid w:val="00383265"/>
    <w:rsid w:val="00386F48"/>
    <w:rsid w:val="0039524E"/>
    <w:rsid w:val="00395A9B"/>
    <w:rsid w:val="00396499"/>
    <w:rsid w:val="003A066C"/>
    <w:rsid w:val="003A0D9B"/>
    <w:rsid w:val="003A441E"/>
    <w:rsid w:val="003A5326"/>
    <w:rsid w:val="003A736A"/>
    <w:rsid w:val="003A7F43"/>
    <w:rsid w:val="003C1770"/>
    <w:rsid w:val="003C187B"/>
    <w:rsid w:val="003C1CA5"/>
    <w:rsid w:val="003C3748"/>
    <w:rsid w:val="003E0FCF"/>
    <w:rsid w:val="003E1231"/>
    <w:rsid w:val="003E35D0"/>
    <w:rsid w:val="003E51B9"/>
    <w:rsid w:val="003E53B3"/>
    <w:rsid w:val="003F0F77"/>
    <w:rsid w:val="003F166D"/>
    <w:rsid w:val="003F3AC4"/>
    <w:rsid w:val="0040032C"/>
    <w:rsid w:val="00400FCE"/>
    <w:rsid w:val="004059E1"/>
    <w:rsid w:val="00410345"/>
    <w:rsid w:val="0041389B"/>
    <w:rsid w:val="00422270"/>
    <w:rsid w:val="00426CC6"/>
    <w:rsid w:val="00433DAB"/>
    <w:rsid w:val="00440EF6"/>
    <w:rsid w:val="00442211"/>
    <w:rsid w:val="00446830"/>
    <w:rsid w:val="00446C0E"/>
    <w:rsid w:val="0045098C"/>
    <w:rsid w:val="00452572"/>
    <w:rsid w:val="00463F97"/>
    <w:rsid w:val="00473114"/>
    <w:rsid w:val="00475AA5"/>
    <w:rsid w:val="00482600"/>
    <w:rsid w:val="004867A8"/>
    <w:rsid w:val="00490530"/>
    <w:rsid w:val="00492FCC"/>
    <w:rsid w:val="00494E60"/>
    <w:rsid w:val="00496C0E"/>
    <w:rsid w:val="004A3283"/>
    <w:rsid w:val="004A475E"/>
    <w:rsid w:val="004B1934"/>
    <w:rsid w:val="004B42D7"/>
    <w:rsid w:val="004B51EE"/>
    <w:rsid w:val="004B56E3"/>
    <w:rsid w:val="004C06CB"/>
    <w:rsid w:val="004C170B"/>
    <w:rsid w:val="004C24F7"/>
    <w:rsid w:val="004C4432"/>
    <w:rsid w:val="004D2F10"/>
    <w:rsid w:val="004D5865"/>
    <w:rsid w:val="004D5D9D"/>
    <w:rsid w:val="004E317C"/>
    <w:rsid w:val="004E3B6F"/>
    <w:rsid w:val="004E6EC9"/>
    <w:rsid w:val="004E7404"/>
    <w:rsid w:val="004E7E63"/>
    <w:rsid w:val="004F138F"/>
    <w:rsid w:val="004F2069"/>
    <w:rsid w:val="004F3E8F"/>
    <w:rsid w:val="004F4ECE"/>
    <w:rsid w:val="004F65A4"/>
    <w:rsid w:val="00501ABF"/>
    <w:rsid w:val="00502DB7"/>
    <w:rsid w:val="005138B5"/>
    <w:rsid w:val="00525EA8"/>
    <w:rsid w:val="00532BEE"/>
    <w:rsid w:val="005351D4"/>
    <w:rsid w:val="00541E05"/>
    <w:rsid w:val="00545200"/>
    <w:rsid w:val="005452CE"/>
    <w:rsid w:val="00552987"/>
    <w:rsid w:val="00555AB7"/>
    <w:rsid w:val="00564529"/>
    <w:rsid w:val="00572390"/>
    <w:rsid w:val="00575EEA"/>
    <w:rsid w:val="00583225"/>
    <w:rsid w:val="00586B0C"/>
    <w:rsid w:val="0059288F"/>
    <w:rsid w:val="005935D4"/>
    <w:rsid w:val="005950C3"/>
    <w:rsid w:val="00597D4D"/>
    <w:rsid w:val="005A6D3F"/>
    <w:rsid w:val="005B03BD"/>
    <w:rsid w:val="005B1493"/>
    <w:rsid w:val="005B1F37"/>
    <w:rsid w:val="005B2811"/>
    <w:rsid w:val="005B3296"/>
    <w:rsid w:val="005B4DFA"/>
    <w:rsid w:val="005C37CD"/>
    <w:rsid w:val="005C3C2B"/>
    <w:rsid w:val="005C5E6C"/>
    <w:rsid w:val="005D429E"/>
    <w:rsid w:val="005E687A"/>
    <w:rsid w:val="005E753E"/>
    <w:rsid w:val="005E763D"/>
    <w:rsid w:val="005F00E2"/>
    <w:rsid w:val="005F061C"/>
    <w:rsid w:val="005F22B1"/>
    <w:rsid w:val="005F570E"/>
    <w:rsid w:val="005F7FC2"/>
    <w:rsid w:val="006003FC"/>
    <w:rsid w:val="0060261B"/>
    <w:rsid w:val="0061117F"/>
    <w:rsid w:val="00614EC1"/>
    <w:rsid w:val="006201F4"/>
    <w:rsid w:val="00623325"/>
    <w:rsid w:val="00624153"/>
    <w:rsid w:val="00626A1E"/>
    <w:rsid w:val="00632055"/>
    <w:rsid w:val="00633CD1"/>
    <w:rsid w:val="00635E66"/>
    <w:rsid w:val="00642B73"/>
    <w:rsid w:val="0064474E"/>
    <w:rsid w:val="00650766"/>
    <w:rsid w:val="00661C77"/>
    <w:rsid w:val="00663CB1"/>
    <w:rsid w:val="00681D19"/>
    <w:rsid w:val="00685486"/>
    <w:rsid w:val="00696D48"/>
    <w:rsid w:val="00697170"/>
    <w:rsid w:val="006A6DCA"/>
    <w:rsid w:val="006A770D"/>
    <w:rsid w:val="006B32AC"/>
    <w:rsid w:val="006C65C0"/>
    <w:rsid w:val="006D1DD1"/>
    <w:rsid w:val="006D230F"/>
    <w:rsid w:val="006D7BB0"/>
    <w:rsid w:val="006E1912"/>
    <w:rsid w:val="006E55E7"/>
    <w:rsid w:val="006E73C4"/>
    <w:rsid w:val="006F47BD"/>
    <w:rsid w:val="00701104"/>
    <w:rsid w:val="00704A3E"/>
    <w:rsid w:val="0070739A"/>
    <w:rsid w:val="00715F65"/>
    <w:rsid w:val="00716340"/>
    <w:rsid w:val="00717B04"/>
    <w:rsid w:val="007206C1"/>
    <w:rsid w:val="00732AAB"/>
    <w:rsid w:val="00734DE9"/>
    <w:rsid w:val="00737630"/>
    <w:rsid w:val="007459EB"/>
    <w:rsid w:val="0075253A"/>
    <w:rsid w:val="00761637"/>
    <w:rsid w:val="0076184D"/>
    <w:rsid w:val="0076186F"/>
    <w:rsid w:val="007648CA"/>
    <w:rsid w:val="00775EF2"/>
    <w:rsid w:val="0078030E"/>
    <w:rsid w:val="0078048D"/>
    <w:rsid w:val="0078644E"/>
    <w:rsid w:val="00791F67"/>
    <w:rsid w:val="0079286C"/>
    <w:rsid w:val="00795955"/>
    <w:rsid w:val="007976AC"/>
    <w:rsid w:val="007B11E4"/>
    <w:rsid w:val="007B179A"/>
    <w:rsid w:val="007B24BA"/>
    <w:rsid w:val="007B3189"/>
    <w:rsid w:val="007C138A"/>
    <w:rsid w:val="007C45BC"/>
    <w:rsid w:val="007C5B68"/>
    <w:rsid w:val="007C6B0D"/>
    <w:rsid w:val="007C7117"/>
    <w:rsid w:val="007E0039"/>
    <w:rsid w:val="007E7710"/>
    <w:rsid w:val="007F3904"/>
    <w:rsid w:val="007F3A51"/>
    <w:rsid w:val="007F4C6C"/>
    <w:rsid w:val="007F66C3"/>
    <w:rsid w:val="00803743"/>
    <w:rsid w:val="00811AFF"/>
    <w:rsid w:val="008202EE"/>
    <w:rsid w:val="0082351A"/>
    <w:rsid w:val="0082587D"/>
    <w:rsid w:val="00830BBA"/>
    <w:rsid w:val="00831E05"/>
    <w:rsid w:val="008370C6"/>
    <w:rsid w:val="008414EC"/>
    <w:rsid w:val="00841CC7"/>
    <w:rsid w:val="00842A18"/>
    <w:rsid w:val="00842E0D"/>
    <w:rsid w:val="00844073"/>
    <w:rsid w:val="0084522E"/>
    <w:rsid w:val="00853FC0"/>
    <w:rsid w:val="008545FC"/>
    <w:rsid w:val="0086106B"/>
    <w:rsid w:val="00872F24"/>
    <w:rsid w:val="00874F4A"/>
    <w:rsid w:val="0087669C"/>
    <w:rsid w:val="0088112C"/>
    <w:rsid w:val="0089538E"/>
    <w:rsid w:val="00895C24"/>
    <w:rsid w:val="00895E8A"/>
    <w:rsid w:val="00896F12"/>
    <w:rsid w:val="00897293"/>
    <w:rsid w:val="008977BF"/>
    <w:rsid w:val="008979B8"/>
    <w:rsid w:val="008B0AD0"/>
    <w:rsid w:val="008B14DB"/>
    <w:rsid w:val="008B2EEB"/>
    <w:rsid w:val="008C2CA5"/>
    <w:rsid w:val="008C5F5B"/>
    <w:rsid w:val="008C6B3A"/>
    <w:rsid w:val="008D1AB0"/>
    <w:rsid w:val="008D1E22"/>
    <w:rsid w:val="008D275D"/>
    <w:rsid w:val="008D2A83"/>
    <w:rsid w:val="008D5F0D"/>
    <w:rsid w:val="008E15CD"/>
    <w:rsid w:val="008E41FF"/>
    <w:rsid w:val="008E4E5A"/>
    <w:rsid w:val="008E70DC"/>
    <w:rsid w:val="008F5C21"/>
    <w:rsid w:val="008F6D70"/>
    <w:rsid w:val="00906F18"/>
    <w:rsid w:val="009101AC"/>
    <w:rsid w:val="009109ED"/>
    <w:rsid w:val="00936829"/>
    <w:rsid w:val="00937220"/>
    <w:rsid w:val="0094209E"/>
    <w:rsid w:val="00944AA4"/>
    <w:rsid w:val="0094645B"/>
    <w:rsid w:val="00947EAF"/>
    <w:rsid w:val="009504B5"/>
    <w:rsid w:val="00953E47"/>
    <w:rsid w:val="009549D8"/>
    <w:rsid w:val="0096332A"/>
    <w:rsid w:val="0096333C"/>
    <w:rsid w:val="00964F30"/>
    <w:rsid w:val="0096518C"/>
    <w:rsid w:val="00966C9B"/>
    <w:rsid w:val="00970A96"/>
    <w:rsid w:val="009764B4"/>
    <w:rsid w:val="00976A9C"/>
    <w:rsid w:val="00981219"/>
    <w:rsid w:val="009937BC"/>
    <w:rsid w:val="009A1EB9"/>
    <w:rsid w:val="009A4B8E"/>
    <w:rsid w:val="009A4EC9"/>
    <w:rsid w:val="009A5EC5"/>
    <w:rsid w:val="009B3FC3"/>
    <w:rsid w:val="009B6775"/>
    <w:rsid w:val="009B726F"/>
    <w:rsid w:val="009C05D4"/>
    <w:rsid w:val="009C1305"/>
    <w:rsid w:val="009C3000"/>
    <w:rsid w:val="009C4739"/>
    <w:rsid w:val="009D187E"/>
    <w:rsid w:val="009E3DA4"/>
    <w:rsid w:val="009E40ED"/>
    <w:rsid w:val="009F2265"/>
    <w:rsid w:val="009F376C"/>
    <w:rsid w:val="00A02E29"/>
    <w:rsid w:val="00A04012"/>
    <w:rsid w:val="00A07322"/>
    <w:rsid w:val="00A337E4"/>
    <w:rsid w:val="00A351CF"/>
    <w:rsid w:val="00A35EC4"/>
    <w:rsid w:val="00A36643"/>
    <w:rsid w:val="00A37D70"/>
    <w:rsid w:val="00A403F4"/>
    <w:rsid w:val="00A44824"/>
    <w:rsid w:val="00A44FD6"/>
    <w:rsid w:val="00A513B6"/>
    <w:rsid w:val="00A53AC6"/>
    <w:rsid w:val="00A63947"/>
    <w:rsid w:val="00A661DA"/>
    <w:rsid w:val="00A66523"/>
    <w:rsid w:val="00A7044D"/>
    <w:rsid w:val="00A73B2D"/>
    <w:rsid w:val="00A7781B"/>
    <w:rsid w:val="00A83063"/>
    <w:rsid w:val="00A8450F"/>
    <w:rsid w:val="00A86F07"/>
    <w:rsid w:val="00A90283"/>
    <w:rsid w:val="00A917DB"/>
    <w:rsid w:val="00A93C1E"/>
    <w:rsid w:val="00A961AB"/>
    <w:rsid w:val="00A96418"/>
    <w:rsid w:val="00A9784B"/>
    <w:rsid w:val="00AA4BD5"/>
    <w:rsid w:val="00AC6020"/>
    <w:rsid w:val="00AD07C0"/>
    <w:rsid w:val="00AD290E"/>
    <w:rsid w:val="00AD695A"/>
    <w:rsid w:val="00AE63A8"/>
    <w:rsid w:val="00AE72A7"/>
    <w:rsid w:val="00AF2606"/>
    <w:rsid w:val="00AF3AE2"/>
    <w:rsid w:val="00B035C6"/>
    <w:rsid w:val="00B10581"/>
    <w:rsid w:val="00B1635E"/>
    <w:rsid w:val="00B20364"/>
    <w:rsid w:val="00B24B8D"/>
    <w:rsid w:val="00B25E28"/>
    <w:rsid w:val="00B25F7C"/>
    <w:rsid w:val="00B27B4D"/>
    <w:rsid w:val="00B30741"/>
    <w:rsid w:val="00B30BED"/>
    <w:rsid w:val="00B32639"/>
    <w:rsid w:val="00B40756"/>
    <w:rsid w:val="00B421EF"/>
    <w:rsid w:val="00B43AB5"/>
    <w:rsid w:val="00B440B3"/>
    <w:rsid w:val="00B44802"/>
    <w:rsid w:val="00B47623"/>
    <w:rsid w:val="00B505AC"/>
    <w:rsid w:val="00B524AF"/>
    <w:rsid w:val="00B54989"/>
    <w:rsid w:val="00B60D69"/>
    <w:rsid w:val="00B616BD"/>
    <w:rsid w:val="00B6735B"/>
    <w:rsid w:val="00B747F9"/>
    <w:rsid w:val="00B7525F"/>
    <w:rsid w:val="00B8027C"/>
    <w:rsid w:val="00B8535A"/>
    <w:rsid w:val="00B85F40"/>
    <w:rsid w:val="00B9174B"/>
    <w:rsid w:val="00B94A9A"/>
    <w:rsid w:val="00B97C53"/>
    <w:rsid w:val="00BA0D72"/>
    <w:rsid w:val="00BA20FF"/>
    <w:rsid w:val="00BA29BC"/>
    <w:rsid w:val="00BA354C"/>
    <w:rsid w:val="00BA67DE"/>
    <w:rsid w:val="00BA78A2"/>
    <w:rsid w:val="00BB17A5"/>
    <w:rsid w:val="00BB261B"/>
    <w:rsid w:val="00BB2B96"/>
    <w:rsid w:val="00BB578F"/>
    <w:rsid w:val="00BB7854"/>
    <w:rsid w:val="00BC3AA8"/>
    <w:rsid w:val="00BC46E8"/>
    <w:rsid w:val="00BC76B9"/>
    <w:rsid w:val="00BD03C8"/>
    <w:rsid w:val="00BD25C7"/>
    <w:rsid w:val="00BD59EC"/>
    <w:rsid w:val="00BD7EF7"/>
    <w:rsid w:val="00BE0BCA"/>
    <w:rsid w:val="00BE140F"/>
    <w:rsid w:val="00BE3715"/>
    <w:rsid w:val="00BF68DE"/>
    <w:rsid w:val="00BF71E9"/>
    <w:rsid w:val="00C00ACD"/>
    <w:rsid w:val="00C05864"/>
    <w:rsid w:val="00C0698F"/>
    <w:rsid w:val="00C07692"/>
    <w:rsid w:val="00C111E5"/>
    <w:rsid w:val="00C12104"/>
    <w:rsid w:val="00C13966"/>
    <w:rsid w:val="00C15063"/>
    <w:rsid w:val="00C23434"/>
    <w:rsid w:val="00C2769E"/>
    <w:rsid w:val="00C305F9"/>
    <w:rsid w:val="00C42632"/>
    <w:rsid w:val="00C442B5"/>
    <w:rsid w:val="00C565AC"/>
    <w:rsid w:val="00C615D2"/>
    <w:rsid w:val="00C6771A"/>
    <w:rsid w:val="00C74B11"/>
    <w:rsid w:val="00C753A1"/>
    <w:rsid w:val="00C777F9"/>
    <w:rsid w:val="00C82101"/>
    <w:rsid w:val="00C92E31"/>
    <w:rsid w:val="00C9476D"/>
    <w:rsid w:val="00C95311"/>
    <w:rsid w:val="00C97432"/>
    <w:rsid w:val="00CA5D75"/>
    <w:rsid w:val="00CB08C7"/>
    <w:rsid w:val="00CB2EF7"/>
    <w:rsid w:val="00CB32DF"/>
    <w:rsid w:val="00CB7474"/>
    <w:rsid w:val="00CB7C60"/>
    <w:rsid w:val="00CC404F"/>
    <w:rsid w:val="00CD0B84"/>
    <w:rsid w:val="00CD1F60"/>
    <w:rsid w:val="00CD29DA"/>
    <w:rsid w:val="00CD2F6D"/>
    <w:rsid w:val="00CD473F"/>
    <w:rsid w:val="00CD6D5F"/>
    <w:rsid w:val="00CD7056"/>
    <w:rsid w:val="00CD71CF"/>
    <w:rsid w:val="00CE1BBB"/>
    <w:rsid w:val="00CE4486"/>
    <w:rsid w:val="00CE529F"/>
    <w:rsid w:val="00CE5C94"/>
    <w:rsid w:val="00CF1E91"/>
    <w:rsid w:val="00CF443F"/>
    <w:rsid w:val="00CF59A7"/>
    <w:rsid w:val="00D018E8"/>
    <w:rsid w:val="00D02628"/>
    <w:rsid w:val="00D03110"/>
    <w:rsid w:val="00D03E2F"/>
    <w:rsid w:val="00D07CEC"/>
    <w:rsid w:val="00D15C41"/>
    <w:rsid w:val="00D16918"/>
    <w:rsid w:val="00D239C3"/>
    <w:rsid w:val="00D334A4"/>
    <w:rsid w:val="00D33E83"/>
    <w:rsid w:val="00D34A45"/>
    <w:rsid w:val="00D3680A"/>
    <w:rsid w:val="00D37CB9"/>
    <w:rsid w:val="00D4051B"/>
    <w:rsid w:val="00D4278E"/>
    <w:rsid w:val="00D44F71"/>
    <w:rsid w:val="00D472EE"/>
    <w:rsid w:val="00D53648"/>
    <w:rsid w:val="00D60357"/>
    <w:rsid w:val="00D62CBD"/>
    <w:rsid w:val="00D708F6"/>
    <w:rsid w:val="00D70A94"/>
    <w:rsid w:val="00D728F9"/>
    <w:rsid w:val="00D7545F"/>
    <w:rsid w:val="00D77095"/>
    <w:rsid w:val="00D811F7"/>
    <w:rsid w:val="00D8142C"/>
    <w:rsid w:val="00D834C4"/>
    <w:rsid w:val="00D858DC"/>
    <w:rsid w:val="00D8633E"/>
    <w:rsid w:val="00D8673E"/>
    <w:rsid w:val="00D86FC1"/>
    <w:rsid w:val="00D918AB"/>
    <w:rsid w:val="00D92023"/>
    <w:rsid w:val="00D9457C"/>
    <w:rsid w:val="00D94BD2"/>
    <w:rsid w:val="00D96B1B"/>
    <w:rsid w:val="00DA10E6"/>
    <w:rsid w:val="00DA4625"/>
    <w:rsid w:val="00DA5C7B"/>
    <w:rsid w:val="00DB39A9"/>
    <w:rsid w:val="00DB6DC0"/>
    <w:rsid w:val="00DE2CCA"/>
    <w:rsid w:val="00DE7770"/>
    <w:rsid w:val="00DF07D8"/>
    <w:rsid w:val="00DF28CF"/>
    <w:rsid w:val="00DF2B1A"/>
    <w:rsid w:val="00DF2F1A"/>
    <w:rsid w:val="00E04376"/>
    <w:rsid w:val="00E0575C"/>
    <w:rsid w:val="00E05B87"/>
    <w:rsid w:val="00E14273"/>
    <w:rsid w:val="00E14277"/>
    <w:rsid w:val="00E20FB6"/>
    <w:rsid w:val="00E40B6A"/>
    <w:rsid w:val="00E42114"/>
    <w:rsid w:val="00E43684"/>
    <w:rsid w:val="00E53925"/>
    <w:rsid w:val="00E54EFB"/>
    <w:rsid w:val="00E55CF8"/>
    <w:rsid w:val="00E60A45"/>
    <w:rsid w:val="00E62350"/>
    <w:rsid w:val="00E6256F"/>
    <w:rsid w:val="00E64DB3"/>
    <w:rsid w:val="00E800F5"/>
    <w:rsid w:val="00E80CA0"/>
    <w:rsid w:val="00E812E1"/>
    <w:rsid w:val="00E81F36"/>
    <w:rsid w:val="00E84104"/>
    <w:rsid w:val="00E86B96"/>
    <w:rsid w:val="00E94B26"/>
    <w:rsid w:val="00E962E3"/>
    <w:rsid w:val="00EA5BFE"/>
    <w:rsid w:val="00EA72B1"/>
    <w:rsid w:val="00EB368A"/>
    <w:rsid w:val="00EB434F"/>
    <w:rsid w:val="00EB560B"/>
    <w:rsid w:val="00EC19EF"/>
    <w:rsid w:val="00EC21CD"/>
    <w:rsid w:val="00EC597C"/>
    <w:rsid w:val="00ED1960"/>
    <w:rsid w:val="00ED5228"/>
    <w:rsid w:val="00EE2BDE"/>
    <w:rsid w:val="00EE4941"/>
    <w:rsid w:val="00EE4FF7"/>
    <w:rsid w:val="00EE6AE5"/>
    <w:rsid w:val="00EF622F"/>
    <w:rsid w:val="00EF69FA"/>
    <w:rsid w:val="00EF7B8A"/>
    <w:rsid w:val="00F111CA"/>
    <w:rsid w:val="00F24B2A"/>
    <w:rsid w:val="00F3210E"/>
    <w:rsid w:val="00F32CEC"/>
    <w:rsid w:val="00F36EC1"/>
    <w:rsid w:val="00F4157B"/>
    <w:rsid w:val="00F42F04"/>
    <w:rsid w:val="00F53232"/>
    <w:rsid w:val="00F56348"/>
    <w:rsid w:val="00F611BD"/>
    <w:rsid w:val="00F6677E"/>
    <w:rsid w:val="00F711F2"/>
    <w:rsid w:val="00F71822"/>
    <w:rsid w:val="00F7591C"/>
    <w:rsid w:val="00F84537"/>
    <w:rsid w:val="00F850E7"/>
    <w:rsid w:val="00F8613A"/>
    <w:rsid w:val="00F9770C"/>
    <w:rsid w:val="00FA0169"/>
    <w:rsid w:val="00FA0BF0"/>
    <w:rsid w:val="00FA26A7"/>
    <w:rsid w:val="00FA477F"/>
    <w:rsid w:val="00FA63D2"/>
    <w:rsid w:val="00FB2D5D"/>
    <w:rsid w:val="00FB68CB"/>
    <w:rsid w:val="00FC7CD5"/>
    <w:rsid w:val="00FD0433"/>
    <w:rsid w:val="00FD52D3"/>
    <w:rsid w:val="00FE0236"/>
    <w:rsid w:val="00FE50E5"/>
    <w:rsid w:val="00FF1B85"/>
    <w:rsid w:val="00FF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locked="1"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lsdException w:name="header" w:locked="1"/>
    <w:lsdException w:name="footer" w:locked="1"/>
    <w:lsdException w:name="caption" w:uiPriority="35" w:qFormat="1"/>
    <w:lsdException w:name="annotation reference" w:locked="1"/>
    <w:lsdException w:name="page number" w:locked="1"/>
    <w:lsdException w:name="Title" w:semiHidden="0" w:uiPriority="10" w:unhideWhenUsed="0" w:qFormat="1"/>
    <w:lsdException w:name="Default Paragraph Font" w:locked="1" w:uiPriority="1"/>
    <w:lsdException w:name="Body Text Indent" w:locked="1"/>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HTML Top of Form" w:locked="1"/>
    <w:lsdException w:name="HTML Bottom of Form" w:locked="1"/>
    <w:lsdException w:name="Normal Table" w:locked="1"/>
    <w:lsdException w:name="annotation subject" w:locked="1"/>
    <w:lsdException w:name="No List" w:locked="1"/>
    <w:lsdException w:name="Balloon Text" w:locked="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B374F"/>
    <w:rPr>
      <w:sz w:val="24"/>
      <w:szCs w:val="24"/>
      <w:lang w:eastAsia="en-US"/>
    </w:rPr>
  </w:style>
  <w:style w:type="paragraph" w:styleId="Heading1">
    <w:name w:val="heading 1"/>
    <w:basedOn w:val="Normal"/>
    <w:next w:val="Normal"/>
    <w:link w:val="Heading1Char"/>
    <w:uiPriority w:val="99"/>
    <w:qFormat/>
    <w:rsid w:val="00A90283"/>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qFormat/>
    <w:rsid w:val="002B374F"/>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7">
    <w:name w:val="heading 7"/>
    <w:basedOn w:val="Normal"/>
    <w:next w:val="Normal"/>
    <w:link w:val="Heading7Char"/>
    <w:uiPriority w:val="99"/>
    <w:qFormat/>
    <w:rsid w:val="00525EA8"/>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0283"/>
    <w:rPr>
      <w:rFonts w:ascii="Cambria" w:eastAsia="SimSun" w:hAnsi="Cambria" w:cs="Times New Roman"/>
      <w:b/>
      <w:bCs/>
      <w:color w:val="365F91"/>
      <w:sz w:val="28"/>
      <w:szCs w:val="28"/>
      <w:lang w:eastAsia="en-US"/>
    </w:rPr>
  </w:style>
  <w:style w:type="character" w:customStyle="1" w:styleId="Heading7Char">
    <w:name w:val="Heading 7 Char"/>
    <w:basedOn w:val="DefaultParagraphFont"/>
    <w:link w:val="Heading7"/>
    <w:uiPriority w:val="99"/>
    <w:locked/>
    <w:rsid w:val="00525EA8"/>
    <w:rPr>
      <w:b/>
      <w:sz w:val="24"/>
      <w:szCs w:val="24"/>
      <w:lang w:eastAsia="en-US"/>
    </w:rPr>
  </w:style>
  <w:style w:type="paragraph" w:customStyle="1" w:styleId="Pa3">
    <w:name w:val="Pa3"/>
    <w:basedOn w:val="Normal"/>
    <w:next w:val="Normal"/>
    <w:uiPriority w:val="99"/>
    <w:rsid w:val="004E3B6F"/>
    <w:pPr>
      <w:autoSpaceDE w:val="0"/>
      <w:autoSpaceDN w:val="0"/>
      <w:adjustRightInd w:val="0"/>
      <w:spacing w:line="241" w:lineRule="atLeast"/>
    </w:pPr>
  </w:style>
  <w:style w:type="paragraph" w:customStyle="1" w:styleId="Pa12">
    <w:name w:val="Pa12"/>
    <w:basedOn w:val="Normal"/>
    <w:next w:val="Normal"/>
    <w:uiPriority w:val="99"/>
    <w:rsid w:val="004E3B6F"/>
    <w:pPr>
      <w:autoSpaceDE w:val="0"/>
      <w:autoSpaceDN w:val="0"/>
      <w:adjustRightInd w:val="0"/>
      <w:spacing w:line="181" w:lineRule="atLeast"/>
    </w:pPr>
    <w:rPr>
      <w:rFonts w:ascii="Helvetica 55 Roman" w:hAnsi="Helvetica 55 Roman"/>
    </w:rPr>
  </w:style>
  <w:style w:type="paragraph" w:styleId="Footer">
    <w:name w:val="footer"/>
    <w:basedOn w:val="Normal"/>
    <w:link w:val="FooterChar"/>
    <w:uiPriority w:val="99"/>
    <w:rsid w:val="004E3B6F"/>
    <w:pPr>
      <w:tabs>
        <w:tab w:val="center" w:pos="4320"/>
        <w:tab w:val="right" w:pos="8640"/>
      </w:tabs>
    </w:pPr>
  </w:style>
  <w:style w:type="character" w:customStyle="1" w:styleId="FooterChar">
    <w:name w:val="Footer Char"/>
    <w:basedOn w:val="DefaultParagraphFont"/>
    <w:link w:val="Footer"/>
    <w:uiPriority w:val="99"/>
    <w:locked/>
    <w:rsid w:val="00021571"/>
    <w:rPr>
      <w:rFonts w:cs="Times New Roman"/>
      <w:sz w:val="24"/>
    </w:rPr>
  </w:style>
  <w:style w:type="character" w:styleId="PageNumber">
    <w:name w:val="page number"/>
    <w:basedOn w:val="DefaultParagraphFont"/>
    <w:uiPriority w:val="99"/>
    <w:rsid w:val="004E3B6F"/>
    <w:rPr>
      <w:rFonts w:cs="Times New Roman"/>
    </w:rPr>
  </w:style>
  <w:style w:type="paragraph" w:styleId="BalloonText">
    <w:name w:val="Balloon Text"/>
    <w:basedOn w:val="Normal"/>
    <w:link w:val="BalloonTextChar"/>
    <w:uiPriority w:val="99"/>
    <w:semiHidden/>
    <w:rsid w:val="004E3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571"/>
    <w:rPr>
      <w:rFonts w:cs="Times New Roman"/>
      <w:sz w:val="2"/>
    </w:rPr>
  </w:style>
  <w:style w:type="paragraph" w:styleId="BodyTextIndent">
    <w:name w:val="Body Text Indent"/>
    <w:basedOn w:val="Normal"/>
    <w:link w:val="BodyTextIndentChar"/>
    <w:uiPriority w:val="99"/>
    <w:rsid w:val="004E3B6F"/>
    <w:pPr>
      <w:ind w:left="720"/>
    </w:pPr>
  </w:style>
  <w:style w:type="character" w:customStyle="1" w:styleId="BodyTextIndentChar">
    <w:name w:val="Body Text Indent Char"/>
    <w:basedOn w:val="DefaultParagraphFont"/>
    <w:link w:val="BodyTextIndent"/>
    <w:uiPriority w:val="99"/>
    <w:semiHidden/>
    <w:locked/>
    <w:rsid w:val="00021571"/>
    <w:rPr>
      <w:rFonts w:cs="Times New Roman"/>
      <w:sz w:val="24"/>
    </w:rPr>
  </w:style>
  <w:style w:type="character" w:styleId="CommentReference">
    <w:name w:val="annotation reference"/>
    <w:basedOn w:val="DefaultParagraphFont"/>
    <w:uiPriority w:val="99"/>
    <w:rsid w:val="004E3B6F"/>
    <w:rPr>
      <w:rFonts w:cs="Times New Roman"/>
      <w:sz w:val="18"/>
    </w:rPr>
  </w:style>
  <w:style w:type="paragraph" w:styleId="CommentText">
    <w:name w:val="annotation text"/>
    <w:basedOn w:val="Normal"/>
    <w:link w:val="CommentTextChar"/>
    <w:uiPriority w:val="99"/>
    <w:rsid w:val="004E3B6F"/>
  </w:style>
  <w:style w:type="character" w:customStyle="1" w:styleId="CommentTextChar">
    <w:name w:val="Comment Text Char"/>
    <w:basedOn w:val="DefaultParagraphFont"/>
    <w:link w:val="CommentText"/>
    <w:uiPriority w:val="99"/>
    <w:locked/>
    <w:rsid w:val="009101AC"/>
    <w:rPr>
      <w:rFonts w:cs="Times New Roman"/>
      <w:sz w:val="24"/>
    </w:rPr>
  </w:style>
  <w:style w:type="paragraph" w:styleId="CommentSubject">
    <w:name w:val="annotation subject"/>
    <w:basedOn w:val="CommentText"/>
    <w:next w:val="CommentText"/>
    <w:link w:val="CommentSubjectChar"/>
    <w:uiPriority w:val="99"/>
    <w:semiHidden/>
    <w:rsid w:val="009101AC"/>
    <w:rPr>
      <w:b/>
      <w:bCs/>
      <w:sz w:val="20"/>
      <w:szCs w:val="20"/>
    </w:rPr>
  </w:style>
  <w:style w:type="character" w:customStyle="1" w:styleId="CommentSubjectChar">
    <w:name w:val="Comment Subject Char"/>
    <w:basedOn w:val="CommentTextChar"/>
    <w:link w:val="CommentSubject"/>
    <w:uiPriority w:val="99"/>
    <w:locked/>
    <w:rsid w:val="009101AC"/>
    <w:rPr>
      <w:rFonts w:cs="Times New Roman"/>
      <w:sz w:val="24"/>
    </w:rPr>
  </w:style>
  <w:style w:type="paragraph" w:styleId="Header">
    <w:name w:val="header"/>
    <w:basedOn w:val="Normal"/>
    <w:link w:val="HeaderChar"/>
    <w:uiPriority w:val="99"/>
    <w:rsid w:val="00105057"/>
    <w:pPr>
      <w:tabs>
        <w:tab w:val="center" w:pos="4320"/>
        <w:tab w:val="right" w:pos="8640"/>
      </w:tabs>
    </w:pPr>
  </w:style>
  <w:style w:type="character" w:customStyle="1" w:styleId="HeaderChar">
    <w:name w:val="Header Char"/>
    <w:basedOn w:val="DefaultParagraphFont"/>
    <w:link w:val="Header"/>
    <w:uiPriority w:val="99"/>
    <w:semiHidden/>
    <w:locked/>
    <w:rsid w:val="00021571"/>
    <w:rPr>
      <w:rFonts w:cs="Times New Roman"/>
      <w:sz w:val="24"/>
    </w:rPr>
  </w:style>
  <w:style w:type="character" w:styleId="Hyperlink">
    <w:name w:val="Hyperlink"/>
    <w:basedOn w:val="DefaultParagraphFont"/>
    <w:uiPriority w:val="99"/>
    <w:rsid w:val="00B9174B"/>
    <w:rPr>
      <w:rFonts w:cs="Times New Roman"/>
      <w:color w:val="0000FF"/>
      <w:u w:val="single"/>
    </w:rPr>
  </w:style>
  <w:style w:type="paragraph" w:styleId="FootnoteText">
    <w:name w:val="footnote text"/>
    <w:basedOn w:val="Normal"/>
    <w:link w:val="FootnoteTextChar"/>
    <w:uiPriority w:val="99"/>
    <w:semiHidden/>
    <w:rsid w:val="002E4486"/>
    <w:rPr>
      <w:sz w:val="20"/>
      <w:szCs w:val="20"/>
    </w:rPr>
  </w:style>
  <w:style w:type="character" w:customStyle="1" w:styleId="FootnoteTextChar">
    <w:name w:val="Footnote Text Char"/>
    <w:basedOn w:val="DefaultParagraphFont"/>
    <w:link w:val="FootnoteText"/>
    <w:uiPriority w:val="99"/>
    <w:semiHidden/>
    <w:locked/>
    <w:rsid w:val="003C187B"/>
    <w:rPr>
      <w:rFonts w:cs="Times New Roman"/>
      <w:sz w:val="20"/>
      <w:szCs w:val="20"/>
      <w:lang w:eastAsia="en-US"/>
    </w:rPr>
  </w:style>
  <w:style w:type="character" w:styleId="FootnoteReference">
    <w:name w:val="footnote reference"/>
    <w:basedOn w:val="DefaultParagraphFont"/>
    <w:uiPriority w:val="99"/>
    <w:rsid w:val="002E4486"/>
    <w:rPr>
      <w:rFonts w:cs="Times New Roman"/>
      <w:vertAlign w:val="superscript"/>
    </w:rPr>
  </w:style>
  <w:style w:type="paragraph" w:customStyle="1" w:styleId="Default">
    <w:name w:val="Default"/>
    <w:uiPriority w:val="99"/>
    <w:rsid w:val="001F06AE"/>
    <w:pPr>
      <w:autoSpaceDE w:val="0"/>
      <w:autoSpaceDN w:val="0"/>
      <w:adjustRightInd w:val="0"/>
    </w:pPr>
    <w:rPr>
      <w:color w:val="000000"/>
      <w:sz w:val="24"/>
      <w:szCs w:val="24"/>
      <w:lang w:eastAsia="en-US"/>
    </w:rPr>
  </w:style>
  <w:style w:type="paragraph" w:styleId="ListParagraph">
    <w:name w:val="List Paragraph"/>
    <w:basedOn w:val="Normal"/>
    <w:uiPriority w:val="99"/>
    <w:qFormat/>
    <w:rsid w:val="0039524E"/>
    <w:pPr>
      <w:ind w:left="720"/>
      <w:contextualSpacing/>
    </w:pPr>
  </w:style>
  <w:style w:type="table" w:styleId="TableGrid">
    <w:name w:val="Table Grid"/>
    <w:basedOn w:val="TableNormal"/>
    <w:uiPriority w:val="99"/>
    <w:rsid w:val="004B56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qFormat/>
    <w:rsid w:val="00A90283"/>
    <w:pPr>
      <w:spacing w:line="276" w:lineRule="auto"/>
      <w:outlineLvl w:val="9"/>
    </w:pPr>
    <w:rPr>
      <w:lang w:eastAsia="ja-JP"/>
    </w:rPr>
  </w:style>
  <w:style w:type="character" w:styleId="FollowedHyperlink">
    <w:name w:val="FollowedHyperlink"/>
    <w:basedOn w:val="DefaultParagraphFont"/>
    <w:uiPriority w:val="99"/>
    <w:semiHidden/>
    <w:rsid w:val="001E2001"/>
    <w:rPr>
      <w:rFonts w:cs="Times New Roman"/>
      <w:color w:val="800080"/>
      <w:u w:val="single"/>
    </w:rPr>
  </w:style>
  <w:style w:type="paragraph" w:styleId="NoSpacing">
    <w:name w:val="No Spacing"/>
    <w:uiPriority w:val="99"/>
    <w:qFormat/>
    <w:rsid w:val="00F24B2A"/>
    <w:rPr>
      <w:sz w:val="24"/>
      <w:szCs w:val="24"/>
      <w:lang w:eastAsia="en-US"/>
    </w:rPr>
  </w:style>
  <w:style w:type="paragraph" w:styleId="TOC1">
    <w:name w:val="toc 1"/>
    <w:basedOn w:val="Normal"/>
    <w:next w:val="Normal"/>
    <w:autoRedefine/>
    <w:uiPriority w:val="39"/>
    <w:unhideWhenUsed/>
    <w:qFormat/>
    <w:rsid w:val="00150269"/>
    <w:pPr>
      <w:spacing w:after="100"/>
    </w:pPr>
  </w:style>
  <w:style w:type="paragraph" w:styleId="TOC2">
    <w:name w:val="toc 2"/>
    <w:basedOn w:val="Normal"/>
    <w:next w:val="Normal"/>
    <w:autoRedefine/>
    <w:uiPriority w:val="39"/>
    <w:unhideWhenUsed/>
    <w:qFormat/>
    <w:rsid w:val="00150269"/>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50269"/>
    <w:pPr>
      <w:spacing w:after="100" w:line="276" w:lineRule="auto"/>
      <w:ind w:left="440"/>
    </w:pPr>
    <w:rPr>
      <w:rFonts w:asciiTheme="minorHAnsi" w:eastAsiaTheme="minorEastAsia" w:hAnsiTheme="minorHAnsi" w:cstheme="minorBidi"/>
      <w:sz w:val="22"/>
      <w:szCs w:val="22"/>
      <w:lang w:eastAsia="ja-JP"/>
    </w:rPr>
  </w:style>
  <w:style w:type="character" w:styleId="BookTitle">
    <w:name w:val="Book Title"/>
    <w:basedOn w:val="DefaultParagraphFont"/>
    <w:uiPriority w:val="33"/>
    <w:qFormat/>
    <w:rsid w:val="00E86B96"/>
    <w:rPr>
      <w:b/>
      <w:bCs/>
      <w:smallCaps/>
      <w:spacing w:val="5"/>
    </w:rPr>
  </w:style>
  <w:style w:type="character" w:customStyle="1" w:styleId="Heading2Char">
    <w:name w:val="Heading 2 Char"/>
    <w:basedOn w:val="DefaultParagraphFont"/>
    <w:link w:val="Heading2"/>
    <w:uiPriority w:val="9"/>
    <w:rsid w:val="002B374F"/>
    <w:rPr>
      <w:rFonts w:asciiTheme="majorHAnsi" w:eastAsiaTheme="majorEastAsia" w:hAnsiTheme="majorHAnsi" w:cstheme="majorBidi"/>
      <w:b/>
      <w:bCs/>
      <w:color w:val="000000" w:themeColor="tex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locked="1"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lsdException w:name="header" w:locked="1"/>
    <w:lsdException w:name="footer" w:locked="1"/>
    <w:lsdException w:name="caption" w:uiPriority="35" w:qFormat="1"/>
    <w:lsdException w:name="annotation reference" w:locked="1"/>
    <w:lsdException w:name="page number" w:locked="1"/>
    <w:lsdException w:name="Title" w:semiHidden="0" w:uiPriority="10" w:unhideWhenUsed="0" w:qFormat="1"/>
    <w:lsdException w:name="Default Paragraph Font" w:locked="1" w:uiPriority="1"/>
    <w:lsdException w:name="Body Text Indent" w:locked="1"/>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HTML Top of Form" w:locked="1"/>
    <w:lsdException w:name="HTML Bottom of Form" w:locked="1"/>
    <w:lsdException w:name="Normal Table" w:locked="1"/>
    <w:lsdException w:name="annotation subject" w:locked="1"/>
    <w:lsdException w:name="No List" w:locked="1"/>
    <w:lsdException w:name="Balloon Text" w:locked="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B374F"/>
    <w:rPr>
      <w:sz w:val="24"/>
      <w:szCs w:val="24"/>
      <w:lang w:eastAsia="en-US"/>
    </w:rPr>
  </w:style>
  <w:style w:type="paragraph" w:styleId="Heading1">
    <w:name w:val="heading 1"/>
    <w:basedOn w:val="Normal"/>
    <w:next w:val="Normal"/>
    <w:link w:val="Heading1Char"/>
    <w:uiPriority w:val="99"/>
    <w:qFormat/>
    <w:rsid w:val="00A90283"/>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qFormat/>
    <w:rsid w:val="002B374F"/>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7">
    <w:name w:val="heading 7"/>
    <w:basedOn w:val="Normal"/>
    <w:next w:val="Normal"/>
    <w:link w:val="Heading7Char"/>
    <w:uiPriority w:val="99"/>
    <w:qFormat/>
    <w:rsid w:val="00525EA8"/>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0283"/>
    <w:rPr>
      <w:rFonts w:ascii="Cambria" w:eastAsia="SimSun" w:hAnsi="Cambria" w:cs="Times New Roman"/>
      <w:b/>
      <w:bCs/>
      <w:color w:val="365F91"/>
      <w:sz w:val="28"/>
      <w:szCs w:val="28"/>
      <w:lang w:eastAsia="en-US"/>
    </w:rPr>
  </w:style>
  <w:style w:type="character" w:customStyle="1" w:styleId="Heading7Char">
    <w:name w:val="Heading 7 Char"/>
    <w:basedOn w:val="DefaultParagraphFont"/>
    <w:link w:val="Heading7"/>
    <w:uiPriority w:val="99"/>
    <w:locked/>
    <w:rsid w:val="00525EA8"/>
    <w:rPr>
      <w:b/>
      <w:sz w:val="24"/>
      <w:szCs w:val="24"/>
      <w:lang w:eastAsia="en-US"/>
    </w:rPr>
  </w:style>
  <w:style w:type="paragraph" w:customStyle="1" w:styleId="Pa3">
    <w:name w:val="Pa3"/>
    <w:basedOn w:val="Normal"/>
    <w:next w:val="Normal"/>
    <w:uiPriority w:val="99"/>
    <w:rsid w:val="004E3B6F"/>
    <w:pPr>
      <w:autoSpaceDE w:val="0"/>
      <w:autoSpaceDN w:val="0"/>
      <w:adjustRightInd w:val="0"/>
      <w:spacing w:line="241" w:lineRule="atLeast"/>
    </w:pPr>
  </w:style>
  <w:style w:type="paragraph" w:customStyle="1" w:styleId="Pa12">
    <w:name w:val="Pa12"/>
    <w:basedOn w:val="Normal"/>
    <w:next w:val="Normal"/>
    <w:uiPriority w:val="99"/>
    <w:rsid w:val="004E3B6F"/>
    <w:pPr>
      <w:autoSpaceDE w:val="0"/>
      <w:autoSpaceDN w:val="0"/>
      <w:adjustRightInd w:val="0"/>
      <w:spacing w:line="181" w:lineRule="atLeast"/>
    </w:pPr>
    <w:rPr>
      <w:rFonts w:ascii="Helvetica 55 Roman" w:hAnsi="Helvetica 55 Roman"/>
    </w:rPr>
  </w:style>
  <w:style w:type="paragraph" w:styleId="Footer">
    <w:name w:val="footer"/>
    <w:basedOn w:val="Normal"/>
    <w:link w:val="FooterChar"/>
    <w:uiPriority w:val="99"/>
    <w:rsid w:val="004E3B6F"/>
    <w:pPr>
      <w:tabs>
        <w:tab w:val="center" w:pos="4320"/>
        <w:tab w:val="right" w:pos="8640"/>
      </w:tabs>
    </w:pPr>
  </w:style>
  <w:style w:type="character" w:customStyle="1" w:styleId="FooterChar">
    <w:name w:val="Footer Char"/>
    <w:basedOn w:val="DefaultParagraphFont"/>
    <w:link w:val="Footer"/>
    <w:uiPriority w:val="99"/>
    <w:locked/>
    <w:rsid w:val="00021571"/>
    <w:rPr>
      <w:rFonts w:cs="Times New Roman"/>
      <w:sz w:val="24"/>
    </w:rPr>
  </w:style>
  <w:style w:type="character" w:styleId="PageNumber">
    <w:name w:val="page number"/>
    <w:basedOn w:val="DefaultParagraphFont"/>
    <w:uiPriority w:val="99"/>
    <w:rsid w:val="004E3B6F"/>
    <w:rPr>
      <w:rFonts w:cs="Times New Roman"/>
    </w:rPr>
  </w:style>
  <w:style w:type="paragraph" w:styleId="BalloonText">
    <w:name w:val="Balloon Text"/>
    <w:basedOn w:val="Normal"/>
    <w:link w:val="BalloonTextChar"/>
    <w:uiPriority w:val="99"/>
    <w:semiHidden/>
    <w:rsid w:val="004E3B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571"/>
    <w:rPr>
      <w:rFonts w:cs="Times New Roman"/>
      <w:sz w:val="2"/>
    </w:rPr>
  </w:style>
  <w:style w:type="paragraph" w:styleId="BodyTextIndent">
    <w:name w:val="Body Text Indent"/>
    <w:basedOn w:val="Normal"/>
    <w:link w:val="BodyTextIndentChar"/>
    <w:uiPriority w:val="99"/>
    <w:rsid w:val="004E3B6F"/>
    <w:pPr>
      <w:ind w:left="720"/>
    </w:pPr>
  </w:style>
  <w:style w:type="character" w:customStyle="1" w:styleId="BodyTextIndentChar">
    <w:name w:val="Body Text Indent Char"/>
    <w:basedOn w:val="DefaultParagraphFont"/>
    <w:link w:val="BodyTextIndent"/>
    <w:uiPriority w:val="99"/>
    <w:semiHidden/>
    <w:locked/>
    <w:rsid w:val="00021571"/>
    <w:rPr>
      <w:rFonts w:cs="Times New Roman"/>
      <w:sz w:val="24"/>
    </w:rPr>
  </w:style>
  <w:style w:type="character" w:styleId="CommentReference">
    <w:name w:val="annotation reference"/>
    <w:basedOn w:val="DefaultParagraphFont"/>
    <w:uiPriority w:val="99"/>
    <w:rsid w:val="004E3B6F"/>
    <w:rPr>
      <w:rFonts w:cs="Times New Roman"/>
      <w:sz w:val="18"/>
    </w:rPr>
  </w:style>
  <w:style w:type="paragraph" w:styleId="CommentText">
    <w:name w:val="annotation text"/>
    <w:basedOn w:val="Normal"/>
    <w:link w:val="CommentTextChar"/>
    <w:uiPriority w:val="99"/>
    <w:rsid w:val="004E3B6F"/>
  </w:style>
  <w:style w:type="character" w:customStyle="1" w:styleId="CommentTextChar">
    <w:name w:val="Comment Text Char"/>
    <w:basedOn w:val="DefaultParagraphFont"/>
    <w:link w:val="CommentText"/>
    <w:uiPriority w:val="99"/>
    <w:locked/>
    <w:rsid w:val="009101AC"/>
    <w:rPr>
      <w:rFonts w:cs="Times New Roman"/>
      <w:sz w:val="24"/>
    </w:rPr>
  </w:style>
  <w:style w:type="paragraph" w:styleId="CommentSubject">
    <w:name w:val="annotation subject"/>
    <w:basedOn w:val="CommentText"/>
    <w:next w:val="CommentText"/>
    <w:link w:val="CommentSubjectChar"/>
    <w:uiPriority w:val="99"/>
    <w:semiHidden/>
    <w:rsid w:val="009101AC"/>
    <w:rPr>
      <w:b/>
      <w:bCs/>
      <w:sz w:val="20"/>
      <w:szCs w:val="20"/>
    </w:rPr>
  </w:style>
  <w:style w:type="character" w:customStyle="1" w:styleId="CommentSubjectChar">
    <w:name w:val="Comment Subject Char"/>
    <w:basedOn w:val="CommentTextChar"/>
    <w:link w:val="CommentSubject"/>
    <w:uiPriority w:val="99"/>
    <w:locked/>
    <w:rsid w:val="009101AC"/>
    <w:rPr>
      <w:rFonts w:cs="Times New Roman"/>
      <w:sz w:val="24"/>
    </w:rPr>
  </w:style>
  <w:style w:type="paragraph" w:styleId="Header">
    <w:name w:val="header"/>
    <w:basedOn w:val="Normal"/>
    <w:link w:val="HeaderChar"/>
    <w:uiPriority w:val="99"/>
    <w:rsid w:val="00105057"/>
    <w:pPr>
      <w:tabs>
        <w:tab w:val="center" w:pos="4320"/>
        <w:tab w:val="right" w:pos="8640"/>
      </w:tabs>
    </w:pPr>
  </w:style>
  <w:style w:type="character" w:customStyle="1" w:styleId="HeaderChar">
    <w:name w:val="Header Char"/>
    <w:basedOn w:val="DefaultParagraphFont"/>
    <w:link w:val="Header"/>
    <w:uiPriority w:val="99"/>
    <w:semiHidden/>
    <w:locked/>
    <w:rsid w:val="00021571"/>
    <w:rPr>
      <w:rFonts w:cs="Times New Roman"/>
      <w:sz w:val="24"/>
    </w:rPr>
  </w:style>
  <w:style w:type="character" w:styleId="Hyperlink">
    <w:name w:val="Hyperlink"/>
    <w:basedOn w:val="DefaultParagraphFont"/>
    <w:uiPriority w:val="99"/>
    <w:rsid w:val="00B9174B"/>
    <w:rPr>
      <w:rFonts w:cs="Times New Roman"/>
      <w:color w:val="0000FF"/>
      <w:u w:val="single"/>
    </w:rPr>
  </w:style>
  <w:style w:type="paragraph" w:styleId="FootnoteText">
    <w:name w:val="footnote text"/>
    <w:basedOn w:val="Normal"/>
    <w:link w:val="FootnoteTextChar"/>
    <w:uiPriority w:val="99"/>
    <w:semiHidden/>
    <w:rsid w:val="002E4486"/>
    <w:rPr>
      <w:sz w:val="20"/>
      <w:szCs w:val="20"/>
    </w:rPr>
  </w:style>
  <w:style w:type="character" w:customStyle="1" w:styleId="FootnoteTextChar">
    <w:name w:val="Footnote Text Char"/>
    <w:basedOn w:val="DefaultParagraphFont"/>
    <w:link w:val="FootnoteText"/>
    <w:uiPriority w:val="99"/>
    <w:semiHidden/>
    <w:locked/>
    <w:rsid w:val="003C187B"/>
    <w:rPr>
      <w:rFonts w:cs="Times New Roman"/>
      <w:sz w:val="20"/>
      <w:szCs w:val="20"/>
      <w:lang w:eastAsia="en-US"/>
    </w:rPr>
  </w:style>
  <w:style w:type="character" w:styleId="FootnoteReference">
    <w:name w:val="footnote reference"/>
    <w:basedOn w:val="DefaultParagraphFont"/>
    <w:uiPriority w:val="99"/>
    <w:rsid w:val="002E4486"/>
    <w:rPr>
      <w:rFonts w:cs="Times New Roman"/>
      <w:vertAlign w:val="superscript"/>
    </w:rPr>
  </w:style>
  <w:style w:type="paragraph" w:customStyle="1" w:styleId="Default">
    <w:name w:val="Default"/>
    <w:uiPriority w:val="99"/>
    <w:rsid w:val="001F06AE"/>
    <w:pPr>
      <w:autoSpaceDE w:val="0"/>
      <w:autoSpaceDN w:val="0"/>
      <w:adjustRightInd w:val="0"/>
    </w:pPr>
    <w:rPr>
      <w:color w:val="000000"/>
      <w:sz w:val="24"/>
      <w:szCs w:val="24"/>
      <w:lang w:eastAsia="en-US"/>
    </w:rPr>
  </w:style>
  <w:style w:type="paragraph" w:styleId="ListParagraph">
    <w:name w:val="List Paragraph"/>
    <w:basedOn w:val="Normal"/>
    <w:uiPriority w:val="99"/>
    <w:qFormat/>
    <w:rsid w:val="0039524E"/>
    <w:pPr>
      <w:ind w:left="720"/>
      <w:contextualSpacing/>
    </w:pPr>
  </w:style>
  <w:style w:type="table" w:styleId="TableGrid">
    <w:name w:val="Table Grid"/>
    <w:basedOn w:val="TableNormal"/>
    <w:uiPriority w:val="99"/>
    <w:rsid w:val="004B56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qFormat/>
    <w:rsid w:val="00A90283"/>
    <w:pPr>
      <w:spacing w:line="276" w:lineRule="auto"/>
      <w:outlineLvl w:val="9"/>
    </w:pPr>
    <w:rPr>
      <w:lang w:eastAsia="ja-JP"/>
    </w:rPr>
  </w:style>
  <w:style w:type="character" w:styleId="FollowedHyperlink">
    <w:name w:val="FollowedHyperlink"/>
    <w:basedOn w:val="DefaultParagraphFont"/>
    <w:uiPriority w:val="99"/>
    <w:semiHidden/>
    <w:rsid w:val="001E2001"/>
    <w:rPr>
      <w:rFonts w:cs="Times New Roman"/>
      <w:color w:val="800080"/>
      <w:u w:val="single"/>
    </w:rPr>
  </w:style>
  <w:style w:type="paragraph" w:styleId="NoSpacing">
    <w:name w:val="No Spacing"/>
    <w:uiPriority w:val="99"/>
    <w:qFormat/>
    <w:rsid w:val="00F24B2A"/>
    <w:rPr>
      <w:sz w:val="24"/>
      <w:szCs w:val="24"/>
      <w:lang w:eastAsia="en-US"/>
    </w:rPr>
  </w:style>
  <w:style w:type="paragraph" w:styleId="TOC1">
    <w:name w:val="toc 1"/>
    <w:basedOn w:val="Normal"/>
    <w:next w:val="Normal"/>
    <w:autoRedefine/>
    <w:uiPriority w:val="39"/>
    <w:unhideWhenUsed/>
    <w:qFormat/>
    <w:rsid w:val="00150269"/>
    <w:pPr>
      <w:spacing w:after="100"/>
    </w:pPr>
  </w:style>
  <w:style w:type="paragraph" w:styleId="TOC2">
    <w:name w:val="toc 2"/>
    <w:basedOn w:val="Normal"/>
    <w:next w:val="Normal"/>
    <w:autoRedefine/>
    <w:uiPriority w:val="39"/>
    <w:unhideWhenUsed/>
    <w:qFormat/>
    <w:rsid w:val="00150269"/>
    <w:pPr>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semiHidden/>
    <w:unhideWhenUsed/>
    <w:qFormat/>
    <w:rsid w:val="00150269"/>
    <w:pPr>
      <w:spacing w:after="100" w:line="276" w:lineRule="auto"/>
      <w:ind w:left="440"/>
    </w:pPr>
    <w:rPr>
      <w:rFonts w:asciiTheme="minorHAnsi" w:eastAsiaTheme="minorEastAsia" w:hAnsiTheme="minorHAnsi" w:cstheme="minorBidi"/>
      <w:sz w:val="22"/>
      <w:szCs w:val="22"/>
      <w:lang w:eastAsia="ja-JP"/>
    </w:rPr>
  </w:style>
  <w:style w:type="character" w:styleId="BookTitle">
    <w:name w:val="Book Title"/>
    <w:basedOn w:val="DefaultParagraphFont"/>
    <w:uiPriority w:val="33"/>
    <w:qFormat/>
    <w:rsid w:val="00E86B96"/>
    <w:rPr>
      <w:b/>
      <w:bCs/>
      <w:smallCaps/>
      <w:spacing w:val="5"/>
    </w:rPr>
  </w:style>
  <w:style w:type="character" w:customStyle="1" w:styleId="Heading2Char">
    <w:name w:val="Heading 2 Char"/>
    <w:basedOn w:val="DefaultParagraphFont"/>
    <w:link w:val="Heading2"/>
    <w:uiPriority w:val="9"/>
    <w:rsid w:val="002B374F"/>
    <w:rPr>
      <w:rFonts w:asciiTheme="majorHAnsi" w:eastAsiaTheme="majorEastAsia" w:hAnsiTheme="majorHAnsi" w:cstheme="majorBidi"/>
      <w:b/>
      <w:bCs/>
      <w:color w:val="000000" w:themeColor="tex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17922">
      <w:marLeft w:val="0"/>
      <w:marRight w:val="0"/>
      <w:marTop w:val="0"/>
      <w:marBottom w:val="0"/>
      <w:divBdr>
        <w:top w:val="none" w:sz="0" w:space="0" w:color="auto"/>
        <w:left w:val="none" w:sz="0" w:space="0" w:color="auto"/>
        <w:bottom w:val="none" w:sz="0" w:space="0" w:color="auto"/>
        <w:right w:val="none" w:sz="0" w:space="0" w:color="auto"/>
      </w:divBdr>
      <w:divsChild>
        <w:div w:id="1953317919">
          <w:marLeft w:val="0"/>
          <w:marRight w:val="0"/>
          <w:marTop w:val="0"/>
          <w:marBottom w:val="0"/>
          <w:divBdr>
            <w:top w:val="none" w:sz="0" w:space="0" w:color="auto"/>
            <w:left w:val="none" w:sz="0" w:space="0" w:color="auto"/>
            <w:bottom w:val="none" w:sz="0" w:space="0" w:color="auto"/>
            <w:right w:val="none" w:sz="0" w:space="0" w:color="auto"/>
          </w:divBdr>
          <w:divsChild>
            <w:div w:id="1953317920">
              <w:marLeft w:val="0"/>
              <w:marRight w:val="0"/>
              <w:marTop w:val="0"/>
              <w:marBottom w:val="0"/>
              <w:divBdr>
                <w:top w:val="none" w:sz="0" w:space="0" w:color="auto"/>
                <w:left w:val="none" w:sz="0" w:space="0" w:color="auto"/>
                <w:bottom w:val="none" w:sz="0" w:space="0" w:color="auto"/>
                <w:right w:val="none" w:sz="0" w:space="0" w:color="auto"/>
              </w:divBdr>
              <w:divsChild>
                <w:div w:id="1953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7924">
      <w:marLeft w:val="0"/>
      <w:marRight w:val="0"/>
      <w:marTop w:val="0"/>
      <w:marBottom w:val="0"/>
      <w:divBdr>
        <w:top w:val="none" w:sz="0" w:space="0" w:color="auto"/>
        <w:left w:val="none" w:sz="0" w:space="0" w:color="auto"/>
        <w:bottom w:val="none" w:sz="0" w:space="0" w:color="auto"/>
        <w:right w:val="none" w:sz="0" w:space="0" w:color="auto"/>
      </w:divBdr>
      <w:divsChild>
        <w:div w:id="195331792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family-health/maternal-mortality-and-morbidity-prog-/"/>
  <Relationship Id="rId11" Type="http://schemas.openxmlformats.org/officeDocument/2006/relationships/image" Target="media/image3.emf"/>
  <Relationship Id="rId12" Type="http://schemas.openxmlformats.org/officeDocument/2006/relationships/image" Target="media/image4.emf"/>
  <Relationship Id="rId13" Type="http://schemas.openxmlformats.org/officeDocument/2006/relationships/image" Target="media/image5.emf"/>
  <Relationship Id="rId14" Type="http://schemas.openxmlformats.org/officeDocument/2006/relationships/image" Target="media/image6.emf"/>
  <Relationship Id="rId15" Type="http://schemas.openxmlformats.org/officeDocument/2006/relationships/image" Target="media/image7.emf"/>
  <Relationship Id="rId16" Type="http://schemas.openxmlformats.org/officeDocument/2006/relationships/image" Target="media/image8.emf"/>
  <Relationship Id="rId17" Type="http://schemas.openxmlformats.org/officeDocument/2006/relationships/hyperlink" TargetMode="External" Target="http://en.wikipedia.org/wiki/Hemolysis"/>
  <Relationship Id="rId18" Type="http://schemas.openxmlformats.org/officeDocument/2006/relationships/hyperlink" TargetMode="External" Target="http://en.wikipedia.org/wiki/Liver_enzyme"/>
  <Relationship Id="rId19" Type="http://schemas.openxmlformats.org/officeDocument/2006/relationships/hyperlink" TargetMode="External" Target="http://en.wikipedia.org/wiki/Thrombocytopenia"/>
  <Relationship Id="rId2" Type="http://schemas.openxmlformats.org/officeDocument/2006/relationships/styles" Target="styles.xml"/>
  <Relationship Id="rId20" Type="http://schemas.openxmlformats.org/officeDocument/2006/relationships/image" Target="media/image9.emf"/>
  <Relationship Id="rId21" Type="http://schemas.openxmlformats.org/officeDocument/2006/relationships/image" Target="media/image10.emf"/>
  <Relationship Id="rId22" Type="http://schemas.openxmlformats.org/officeDocument/2006/relationships/image" Target="media/image11.jpeg"/>
  <Relationship Id="rId23" Type="http://schemas.openxmlformats.org/officeDocument/2006/relationships/hyperlink" TargetMode="External" Target="http://www.ncbi.nlm.nih.gov/pubmed/20167880"/>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microsoft.com/office/2007/relationships/stylesWithEffects" Target="stylesWithEffects.xml"/>
  <Relationship Id="rId30" Type="http://schemas.openxmlformats.org/officeDocument/2006/relationships/fontTable" Target="fontTable.xml"/>
  <Relationship Id="rId31"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wmf"/>
  <Relationship Id="rId9" Type="http://schemas.openxmlformats.org/officeDocument/2006/relationships/hyperlink" TargetMode="External" Target="mailto:Hafsattou.diop@state.ma.us"/>
</Relationships>

</file>

<file path=word/_rels/footnotes.xml.rels><?xml version="1.0" encoding="UTF-8"?>

<Relationships xmlns="http://schemas.openxmlformats.org/package/2006/relationships">
  <Relationship Id="rId1" Type="http://schemas.openxmlformats.org/officeDocument/2006/relationships/hyperlink" TargetMode="External" Target="http://www.ncbi.nlm.nih.gov/pubmed/20167880"/>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4584</Words>
  <Characters>28918</Characters>
  <Application>Microsoft Office Word</Application>
  <DocSecurity>0</DocSecurity>
  <Lines>240</Lines>
  <Paragraphs>66</Paragraphs>
  <ScaleCrop>false</ScaleCrop>
  <Company/>
  <LinksUpToDate>false</LinksUpToDate>
  <CharactersWithSpaces>33436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2014-10-28T15:17:00Z</dcterms:created>
  <dcterms:modified xsi:type="dcterms:W3CDTF">2014-10-28T15:17:00Z</dcterms:modified>
  <revision>1</revision>
</coreProperties>
</file>