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4E932" w14:textId="77777777" w:rsidR="00C4340E" w:rsidRPr="00037990" w:rsidRDefault="003E00DC" w:rsidP="00254E59">
      <w:pPr>
        <w:rPr>
          <w:rFonts w:asciiTheme="minorHAnsi" w:hAnsiTheme="minorHAnsi"/>
        </w:rPr>
      </w:pPr>
      <w:r w:rsidRPr="00037990">
        <w:rPr>
          <w:rFonts w:asciiTheme="minorHAnsi" w:hAnsiTheme="minorHAnsi"/>
          <w:noProof/>
        </w:rPr>
        <mc:AlternateContent>
          <mc:Choice Requires="wps">
            <w:drawing>
              <wp:anchor distT="0" distB="0" distL="114300" distR="114300" simplePos="0" relativeHeight="251658752" behindDoc="0" locked="0" layoutInCell="1" allowOverlap="1" wp14:anchorId="6932BBA3" wp14:editId="5A553F1E">
                <wp:simplePos x="0" y="0"/>
                <wp:positionH relativeFrom="column">
                  <wp:posOffset>1181100</wp:posOffset>
                </wp:positionH>
                <wp:positionV relativeFrom="paragraph">
                  <wp:posOffset>52070</wp:posOffset>
                </wp:positionV>
                <wp:extent cx="5572125" cy="90487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904875"/>
                        </a:xfrm>
                        <a:prstGeom prst="rect">
                          <a:avLst/>
                        </a:prstGeom>
                        <a:noFill/>
                        <a:ln>
                          <a:noFill/>
                        </a:ln>
                        <a:effectLst/>
                      </wps:spPr>
                      <wps:txbx>
                        <w:txbxContent>
                          <w:p w14:paraId="293FC680" w14:textId="77777777" w:rsidR="005276C5" w:rsidRPr="00FE4786" w:rsidRDefault="005276C5" w:rsidP="000D0C2A">
                            <w:pPr>
                              <w:jc w:val="center"/>
                              <w:rPr>
                                <w:b/>
                                <w:color w:val="A86C2A" w:themeColor="accent6" w:themeShade="BF"/>
                                <w:sz w:val="44"/>
                                <w:szCs w:val="52"/>
                              </w:rPr>
                            </w:pPr>
                            <w:r w:rsidRPr="00FE4786">
                              <w:rPr>
                                <w:b/>
                                <w:color w:val="A86C2A" w:themeColor="accent6" w:themeShade="BF"/>
                                <w:sz w:val="44"/>
                                <w:szCs w:val="52"/>
                              </w:rPr>
                              <w:t xml:space="preserve">Data Brief: </w:t>
                            </w:r>
                            <w:r w:rsidRPr="00FE4786">
                              <w:rPr>
                                <w:b/>
                                <w:color w:val="A86C2A" w:themeColor="accent6" w:themeShade="BF"/>
                                <w:sz w:val="56"/>
                                <w:szCs w:val="52"/>
                              </w:rPr>
                              <w:br/>
                            </w:r>
                            <w:r>
                              <w:rPr>
                                <w:b/>
                                <w:color w:val="A86C2A" w:themeColor="accent6" w:themeShade="BF"/>
                                <w:sz w:val="44"/>
                                <w:szCs w:val="52"/>
                              </w:rPr>
                              <w:t>Sudden Unexpected Infant Death (SUID)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32BBA3" id="_x0000_t202" coordsize="21600,21600" o:spt="202" path="m,l,21600r21600,l21600,xe">
                <v:stroke joinstyle="miter"/>
                <v:path gradientshapeok="t" o:connecttype="rect"/>
              </v:shapetype>
              <v:shape id="Text Box 1" o:spid="_x0000_s1026" type="#_x0000_t202" style="position:absolute;margin-left:93pt;margin-top:4.1pt;width:438.75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" filled="f" stroked="f">
                <v:path arrowok="t"/>
                <v:textbox>
                  <w:txbxContent>
                    <w:p w14:paraId="293FC680" w14:textId="77777777" w:rsidR="005276C5" w:rsidRPr="00FE4786" w:rsidRDefault="005276C5" w:rsidP="000D0C2A">
                      <w:pPr>
                        <w:jc w:val="center"/>
                        <w:rPr>
                          <w:b/>
                          <w:color w:val="A86C2A" w:themeColor="accent6" w:themeShade="BF"/>
                          <w:sz w:val="44"/>
                          <w:szCs w:val="52"/>
                        </w:rPr>
                      </w:pPr>
                      <w:r w:rsidRPr="00FE4786">
                        <w:rPr>
                          <w:b/>
                          <w:color w:val="A86C2A" w:themeColor="accent6" w:themeShade="BF"/>
                          <w:sz w:val="44"/>
                          <w:szCs w:val="52"/>
                        </w:rPr>
                        <w:t xml:space="preserve">Data Brief: </w:t>
                      </w:r>
                      <w:r w:rsidRPr="00FE4786">
                        <w:rPr>
                          <w:b/>
                          <w:color w:val="A86C2A" w:themeColor="accent6" w:themeShade="BF"/>
                          <w:sz w:val="56"/>
                          <w:szCs w:val="52"/>
                        </w:rPr>
                        <w:br/>
                      </w:r>
                      <w:r>
                        <w:rPr>
                          <w:b/>
                          <w:color w:val="A86C2A" w:themeColor="accent6" w:themeShade="BF"/>
                          <w:sz w:val="44"/>
                          <w:szCs w:val="52"/>
                        </w:rPr>
                        <w:t>Sudden Unexpected Infant Death (SUID)</w:t>
                      </w:r>
                    </w:p>
                  </w:txbxContent>
                </v:textbox>
              </v:shape>
            </w:pict>
          </mc:Fallback>
        </mc:AlternateContent>
      </w:r>
      <w:r w:rsidR="00FE4786" w:rsidRPr="00037990">
        <w:rPr>
          <w:rFonts w:asciiTheme="minorHAnsi" w:hAnsiTheme="minorHAnsi"/>
          <w:noProof/>
        </w:rPr>
        <mc:AlternateContent>
          <mc:Choice Requires="wps">
            <w:drawing>
              <wp:anchor distT="0" distB="274320" distL="114300" distR="114300" simplePos="0" relativeHeight="251657728" behindDoc="1" locked="0" layoutInCell="1" allowOverlap="1" wp14:anchorId="1363591D" wp14:editId="655E60A2">
                <wp:simplePos x="0" y="0"/>
                <wp:positionH relativeFrom="column">
                  <wp:posOffset>38100</wp:posOffset>
                </wp:positionH>
                <wp:positionV relativeFrom="paragraph">
                  <wp:posOffset>-137795</wp:posOffset>
                </wp:positionV>
                <wp:extent cx="6772275" cy="11334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1334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41B82B3" id="Rectangle 11" o:spid="_x0000_s1026" style="position:absolute;margin-left:3pt;margin-top:-10.85pt;width:533.25pt;height:89.25pt;z-index:-25165875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" strokeweight="1pt"/>
            </w:pict>
          </mc:Fallback>
        </mc:AlternateContent>
      </w:r>
      <w:r w:rsidR="00C4340E" w:rsidRPr="00037990">
        <w:rPr>
          <w:rFonts w:asciiTheme="minorHAnsi" w:hAnsiTheme="minorHAnsi"/>
        </w:rPr>
        <w:t xml:space="preserve">      </w:t>
      </w:r>
      <w:r w:rsidR="008B5565" w:rsidRPr="00037990">
        <w:rPr>
          <w:rFonts w:asciiTheme="minorHAnsi" w:hAnsiTheme="minorHAnsi"/>
          <w:noProof/>
        </w:rPr>
        <w:drawing>
          <wp:inline distT="0" distB="0" distL="0" distR="0" wp14:anchorId="70AE2268" wp14:editId="636ADDC6">
            <wp:extent cx="953034" cy="962025"/>
            <wp:effectExtent l="0" t="0" r="0" b="0"/>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034" cy="962025"/>
                    </a:xfrm>
                    <a:prstGeom prst="rect">
                      <a:avLst/>
                    </a:prstGeom>
                    <a:noFill/>
                    <a:ln>
                      <a:noFill/>
                    </a:ln>
                  </pic:spPr>
                </pic:pic>
              </a:graphicData>
            </a:graphic>
          </wp:inline>
        </w:drawing>
      </w:r>
    </w:p>
    <w:p w14:paraId="6782F8BB" w14:textId="77777777" w:rsidR="00C4340E" w:rsidRPr="00037990" w:rsidRDefault="008B5565" w:rsidP="00FE4786">
      <w:pPr>
        <w:jc w:val="center"/>
        <w:rPr>
          <w:rStyle w:val="TitleChar"/>
          <w:rFonts w:asciiTheme="minorHAnsi" w:hAnsiTheme="minorHAnsi"/>
          <w:color w:val="E36C0A"/>
          <w:sz w:val="20"/>
          <w:szCs w:val="20"/>
        </w:rPr>
      </w:pPr>
      <w:r w:rsidRPr="00037990">
        <w:rPr>
          <w:rFonts w:asciiTheme="minorHAnsi" w:hAnsiTheme="minorHAnsi"/>
          <w:noProof/>
        </w:rPr>
        <mc:AlternateContent>
          <mc:Choice Requires="wps">
            <w:drawing>
              <wp:anchor distT="0" distB="0" distL="114300" distR="114300" simplePos="0" relativeHeight="251656704" behindDoc="1" locked="0" layoutInCell="1" allowOverlap="1" wp14:anchorId="15CAE7A6" wp14:editId="2425824E">
                <wp:simplePos x="0" y="0"/>
                <wp:positionH relativeFrom="column">
                  <wp:posOffset>38100</wp:posOffset>
                </wp:positionH>
                <wp:positionV relativeFrom="paragraph">
                  <wp:posOffset>-4445</wp:posOffset>
                </wp:positionV>
                <wp:extent cx="6772275" cy="2476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47650"/>
                        </a:xfrm>
                        <a:prstGeom prst="rect">
                          <a:avLst/>
                        </a:prstGeom>
                        <a:solidFill>
                          <a:srgbClr val="FFFFFF"/>
                        </a:solidFill>
                        <a:ln w="12700">
                          <a:solidFill>
                            <a:srgbClr val="000000"/>
                          </a:solidFill>
                          <a:miter lim="800000"/>
                          <a:headEnd/>
                          <a:tailEnd/>
                        </a:ln>
                      </wps:spPr>
                      <wps:txbx>
                        <w:txbxContent>
                          <w:p w14:paraId="66E89366" w14:textId="41F5D943" w:rsidR="005276C5" w:rsidRPr="00573EED" w:rsidRDefault="005276C5"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350BF3">
                              <w:rPr>
                                <w:rFonts w:ascii="Calibri" w:hAnsi="Calibri"/>
                                <w:caps/>
                                <w:sz w:val="18"/>
                                <w:szCs w:val="16"/>
                              </w:rPr>
                              <w:t>march</w:t>
                            </w:r>
                            <w:bookmarkStart w:id="0" w:name="_GoBack"/>
                            <w:bookmarkEnd w:id="0"/>
                            <w:r>
                              <w:rPr>
                                <w:rFonts w:ascii="Calibri" w:hAnsi="Calibri"/>
                                <w:caps/>
                                <w:sz w:val="18"/>
                                <w:szCs w:val="16"/>
                              </w:rPr>
                              <w:t xml:space="preserve"> 201</w:t>
                            </w:r>
                            <w:r w:rsidR="00350BF3">
                              <w:rPr>
                                <w:rFonts w:ascii="Calibri" w:hAnsi="Calibri"/>
                                <w:caps/>
                                <w:sz w:val="18"/>
                                <w:szCs w:val="16"/>
                              </w:rPr>
                              <w:t>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pt;margin-top:-.35pt;width:533.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" strokeweight="1pt">
                <v:textbox inset=",0,,0">
                  <w:txbxContent>
                    <w:p w14:paraId="66E89366" w14:textId="41F5D943" w:rsidR="005276C5" w:rsidRPr="00573EED" w:rsidRDefault="005276C5"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350BF3">
                        <w:rPr>
                          <w:rFonts w:ascii="Calibri" w:hAnsi="Calibri"/>
                          <w:caps/>
                          <w:sz w:val="18"/>
                          <w:szCs w:val="16"/>
                        </w:rPr>
                        <w:t>march</w:t>
                      </w:r>
                      <w:bookmarkStart w:id="1" w:name="_GoBack"/>
                      <w:bookmarkEnd w:id="1"/>
                      <w:r>
                        <w:rPr>
                          <w:rFonts w:ascii="Calibri" w:hAnsi="Calibri"/>
                          <w:caps/>
                          <w:sz w:val="18"/>
                          <w:szCs w:val="16"/>
                        </w:rPr>
                        <w:t xml:space="preserve"> 201</w:t>
                      </w:r>
                      <w:r w:rsidR="00350BF3">
                        <w:rPr>
                          <w:rFonts w:ascii="Calibri" w:hAnsi="Calibri"/>
                          <w:caps/>
                          <w:sz w:val="18"/>
                          <w:szCs w:val="16"/>
                        </w:rPr>
                        <w:t>9</w:t>
                      </w:r>
                    </w:p>
                  </w:txbxContent>
                </v:textbox>
              </v:shape>
            </w:pict>
          </mc:Fallback>
        </mc:AlternateContent>
      </w:r>
    </w:p>
    <w:p w14:paraId="268D0869" w14:textId="77777777" w:rsidR="00C4340E" w:rsidRPr="00037990" w:rsidRDefault="00C4340E" w:rsidP="00F3713E">
      <w:pPr>
        <w:rPr>
          <w:rFonts w:asciiTheme="minorHAnsi" w:hAnsiTheme="minorHAnsi"/>
          <w:sz w:val="8"/>
          <w:szCs w:val="8"/>
        </w:rPr>
      </w:pPr>
    </w:p>
    <w:p w14:paraId="0B885BE5" w14:textId="77777777" w:rsidR="00F92418" w:rsidRDefault="00F92418" w:rsidP="0033451B">
      <w:pPr>
        <w:rPr>
          <w:rFonts w:asciiTheme="minorHAnsi" w:hAnsiTheme="minorHAnsi"/>
          <w:b/>
          <w:sz w:val="24"/>
          <w:szCs w:val="21"/>
        </w:rPr>
      </w:pPr>
    </w:p>
    <w:p w14:paraId="093A1911" w14:textId="77777777" w:rsidR="00530E96" w:rsidRDefault="00530E96" w:rsidP="00257FE5">
      <w:pPr>
        <w:spacing w:after="120"/>
        <w:rPr>
          <w:rFonts w:asciiTheme="majorHAnsi" w:hAnsiTheme="majorHAnsi"/>
          <w:b/>
          <w:color w:val="A86C2A" w:themeColor="accent6" w:themeShade="BF"/>
          <w:sz w:val="24"/>
          <w:szCs w:val="21"/>
        </w:rPr>
        <w:sectPr w:rsidR="00530E96" w:rsidSect="0038484E">
          <w:footerReference w:type="default" r:id="rId10"/>
          <w:pgSz w:w="12240" w:h="15840"/>
          <w:pgMar w:top="547" w:right="864" w:bottom="288" w:left="864" w:header="720" w:footer="720" w:gutter="0"/>
          <w:cols w:space="720"/>
          <w:docGrid w:linePitch="360"/>
        </w:sectPr>
      </w:pPr>
    </w:p>
    <w:p w14:paraId="1F2E32C1" w14:textId="77777777" w:rsidR="00640427" w:rsidRDefault="00640427" w:rsidP="00257FE5">
      <w:pPr>
        <w:spacing w:after="120"/>
        <w:rPr>
          <w:rFonts w:asciiTheme="majorHAnsi" w:hAnsiTheme="majorHAnsi"/>
          <w:b/>
          <w:color w:val="A86C2A" w:themeColor="accent6" w:themeShade="BF"/>
          <w:sz w:val="24"/>
          <w:szCs w:val="22"/>
        </w:rPr>
      </w:pPr>
    </w:p>
    <w:p w14:paraId="14E04F7C" w14:textId="77777777" w:rsidR="00257FE5" w:rsidRPr="003C4969" w:rsidRDefault="00262314" w:rsidP="00257FE5">
      <w:pPr>
        <w:spacing w:after="120"/>
        <w:rPr>
          <w:rFonts w:asciiTheme="majorHAnsi" w:hAnsiTheme="majorHAnsi"/>
          <w:b/>
          <w:color w:val="A86C2A" w:themeColor="accent6" w:themeShade="BF"/>
          <w:sz w:val="24"/>
          <w:szCs w:val="22"/>
        </w:rPr>
      </w:pPr>
      <w:r w:rsidRPr="003C4969">
        <w:rPr>
          <w:rFonts w:asciiTheme="majorHAnsi" w:hAnsiTheme="majorHAnsi"/>
          <w:b/>
          <w:color w:val="A86C2A" w:themeColor="accent6" w:themeShade="BF"/>
          <w:sz w:val="24"/>
          <w:szCs w:val="22"/>
        </w:rPr>
        <w:t>What is sudden unexpected infant death (SUID)?</w:t>
      </w:r>
    </w:p>
    <w:p w14:paraId="7C560543" w14:textId="77777777" w:rsidR="00257FE5" w:rsidRPr="003C4969" w:rsidRDefault="005C7653" w:rsidP="005F6B4C">
      <w:pPr>
        <w:spacing w:after="120"/>
        <w:rPr>
          <w:rFonts w:asciiTheme="minorHAnsi" w:hAnsiTheme="minorHAnsi"/>
          <w:sz w:val="21"/>
          <w:szCs w:val="21"/>
        </w:rPr>
      </w:pPr>
      <w:r w:rsidRPr="003C4969">
        <w:rPr>
          <w:rFonts w:asciiTheme="majorHAnsi" w:hAnsiTheme="majorHAnsi"/>
          <w:b/>
          <w:noProof/>
          <w:color w:val="A86C2A" w:themeColor="accent6" w:themeShade="BF"/>
          <w:sz w:val="21"/>
          <w:szCs w:val="21"/>
        </w:rPr>
        <mc:AlternateContent>
          <mc:Choice Requires="wps">
            <w:drawing>
              <wp:anchor distT="0" distB="0" distL="114300" distR="114300" simplePos="0" relativeHeight="251747840" behindDoc="0" locked="0" layoutInCell="1" allowOverlap="1" wp14:anchorId="4E04AA40" wp14:editId="35136A37">
                <wp:simplePos x="0" y="0"/>
                <wp:positionH relativeFrom="column">
                  <wp:posOffset>3562350</wp:posOffset>
                </wp:positionH>
                <wp:positionV relativeFrom="paragraph">
                  <wp:posOffset>388620</wp:posOffset>
                </wp:positionV>
                <wp:extent cx="1038225"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47675"/>
                        </a:xfrm>
                        <a:prstGeom prst="rect">
                          <a:avLst/>
                        </a:prstGeom>
                        <a:noFill/>
                        <a:ln w="9525">
                          <a:noFill/>
                          <a:miter lim="800000"/>
                          <a:headEnd/>
                          <a:tailEnd/>
                        </a:ln>
                      </wps:spPr>
                      <wps:txbx>
                        <w:txbxContent>
                          <w:p w14:paraId="5389BA57" w14:textId="77777777" w:rsidR="005276C5" w:rsidRPr="005C7653" w:rsidRDefault="005276C5" w:rsidP="005C7653">
                            <w:pPr>
                              <w:jc w:val="center"/>
                              <w:rPr>
                                <w:rFonts w:asciiTheme="minorHAnsi" w:hAnsiTheme="minorHAnsi"/>
                                <w:b/>
                              </w:rPr>
                            </w:pPr>
                            <w:r w:rsidRPr="005C7653">
                              <w:rPr>
                                <w:rFonts w:asciiTheme="minorHAnsi" w:hAnsiTheme="minorHAnsi"/>
                                <w:b/>
                              </w:rPr>
                              <w:t>Undetermined, 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E04AA40" id="Text Box 2" o:spid="_x0000_s1028" type="#_x0000_t202" style="position:absolute;margin-left:280.5pt;margin-top:30.6pt;width:81.75pt;height:35.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" filled="f" stroked="f">
                <v:textbox>
                  <w:txbxContent>
                    <w:p w14:paraId="5389BA57" w14:textId="77777777" w:rsidR="005276C5" w:rsidRPr="005C7653" w:rsidRDefault="005276C5" w:rsidP="005C7653">
                      <w:pPr>
                        <w:jc w:val="center"/>
                        <w:rPr>
                          <w:rFonts w:asciiTheme="minorHAnsi" w:hAnsiTheme="minorHAnsi"/>
                          <w:b/>
                        </w:rPr>
                      </w:pPr>
                      <w:r w:rsidRPr="005C7653">
                        <w:rPr>
                          <w:rFonts w:asciiTheme="minorHAnsi" w:hAnsiTheme="minorHAnsi"/>
                          <w:b/>
                        </w:rPr>
                        <w:t>Undetermined, 36%</w:t>
                      </w:r>
                    </w:p>
                  </w:txbxContent>
                </v:textbox>
              </v:shape>
            </w:pict>
          </mc:Fallback>
        </mc:AlternateContent>
      </w:r>
      <w:r w:rsidR="00262314" w:rsidRPr="003C4969">
        <w:rPr>
          <w:rFonts w:asciiTheme="minorHAnsi" w:hAnsiTheme="minorHAnsi"/>
          <w:sz w:val="21"/>
          <w:szCs w:val="21"/>
        </w:rPr>
        <w:t>Sudden unexpected infant death (</w:t>
      </w:r>
      <w:r w:rsidR="00765D2E" w:rsidRPr="003C4969">
        <w:rPr>
          <w:rFonts w:asciiTheme="minorHAnsi" w:hAnsiTheme="minorHAnsi"/>
          <w:sz w:val="21"/>
          <w:szCs w:val="21"/>
        </w:rPr>
        <w:t>SUID</w:t>
      </w:r>
      <w:r w:rsidR="00262314" w:rsidRPr="003C4969">
        <w:rPr>
          <w:rFonts w:asciiTheme="minorHAnsi" w:hAnsiTheme="minorHAnsi"/>
          <w:sz w:val="21"/>
          <w:szCs w:val="21"/>
        </w:rPr>
        <w:t>)</w:t>
      </w:r>
      <w:r w:rsidR="00A10713" w:rsidRPr="003C4969">
        <w:rPr>
          <w:rFonts w:asciiTheme="minorHAnsi" w:hAnsiTheme="minorHAnsi"/>
          <w:sz w:val="21"/>
          <w:szCs w:val="21"/>
        </w:rPr>
        <w:t xml:space="preserve"> is</w:t>
      </w:r>
      <w:r w:rsidR="000B5644" w:rsidRPr="003C4969">
        <w:rPr>
          <w:rFonts w:asciiTheme="minorHAnsi" w:hAnsiTheme="minorHAnsi"/>
          <w:sz w:val="21"/>
          <w:szCs w:val="21"/>
        </w:rPr>
        <w:t xml:space="preserve"> </w:t>
      </w:r>
      <w:r w:rsidR="00BE53B5" w:rsidRPr="003C4969">
        <w:rPr>
          <w:rFonts w:asciiTheme="minorHAnsi" w:hAnsiTheme="minorHAnsi"/>
          <w:sz w:val="21"/>
          <w:szCs w:val="21"/>
        </w:rPr>
        <w:t xml:space="preserve">the sudden and unexpected death of an infant under the age of 1 year </w:t>
      </w:r>
      <w:r w:rsidR="000B5644" w:rsidRPr="003C4969">
        <w:rPr>
          <w:rFonts w:asciiTheme="minorHAnsi" w:hAnsiTheme="minorHAnsi"/>
          <w:sz w:val="21"/>
          <w:szCs w:val="21"/>
        </w:rPr>
        <w:t xml:space="preserve">where a cause is not immediately known before investigation. </w:t>
      </w:r>
      <w:r w:rsidR="00F94094" w:rsidRPr="003C4969">
        <w:rPr>
          <w:rFonts w:asciiTheme="minorHAnsi" w:hAnsiTheme="minorHAnsi"/>
          <w:sz w:val="21"/>
          <w:szCs w:val="21"/>
        </w:rPr>
        <w:t>Nationally, there are about 3,500 sudden unexpected infant deaths annually.</w:t>
      </w:r>
      <w:r w:rsidR="00707362" w:rsidRPr="003C4969">
        <w:rPr>
          <w:rStyle w:val="EndnoteReference"/>
          <w:rFonts w:asciiTheme="minorHAnsi" w:hAnsiTheme="minorHAnsi"/>
          <w:sz w:val="21"/>
          <w:szCs w:val="21"/>
        </w:rPr>
        <w:endnoteReference w:id="1"/>
      </w:r>
      <w:r w:rsidR="008E0919" w:rsidRPr="003C4969">
        <w:rPr>
          <w:rFonts w:asciiTheme="minorHAnsi" w:hAnsiTheme="minorHAnsi"/>
          <w:sz w:val="21"/>
          <w:szCs w:val="21"/>
        </w:rPr>
        <w:t xml:space="preserve"> </w:t>
      </w:r>
      <w:r w:rsidR="00046480" w:rsidRPr="003C4969">
        <w:rPr>
          <w:rFonts w:asciiTheme="minorHAnsi" w:hAnsiTheme="minorHAnsi"/>
          <w:sz w:val="21"/>
          <w:szCs w:val="21"/>
        </w:rPr>
        <w:t>Often these deaths occur during sleep.</w:t>
      </w:r>
      <w:r w:rsidR="00F01E35" w:rsidRPr="003C4969">
        <w:rPr>
          <w:rFonts w:asciiTheme="minorHAnsi" w:hAnsiTheme="minorHAnsi"/>
          <w:sz w:val="21"/>
          <w:szCs w:val="21"/>
        </w:rPr>
        <w:t xml:space="preserve"> </w:t>
      </w:r>
      <w:r w:rsidR="003B0E0B" w:rsidRPr="003C4969">
        <w:rPr>
          <w:rFonts w:asciiTheme="minorHAnsi" w:hAnsiTheme="minorHAnsi"/>
          <w:sz w:val="21"/>
          <w:szCs w:val="21"/>
        </w:rPr>
        <w:t>The following causes of death are classified as SUID:</w:t>
      </w:r>
    </w:p>
    <w:p w14:paraId="0B14C48B" w14:textId="73EB9A8D" w:rsidR="003B0E0B" w:rsidRPr="003C4969" w:rsidRDefault="003B0E0B" w:rsidP="005F6B4C">
      <w:pPr>
        <w:pStyle w:val="ListParagraph"/>
        <w:numPr>
          <w:ilvl w:val="0"/>
          <w:numId w:val="5"/>
        </w:numPr>
        <w:rPr>
          <w:rFonts w:asciiTheme="minorHAnsi" w:hAnsiTheme="minorHAnsi"/>
          <w:sz w:val="21"/>
          <w:szCs w:val="21"/>
        </w:rPr>
      </w:pPr>
      <w:r w:rsidRPr="003C4969">
        <w:rPr>
          <w:rFonts w:asciiTheme="minorHAnsi" w:hAnsiTheme="minorHAnsi"/>
          <w:sz w:val="21"/>
          <w:szCs w:val="21"/>
        </w:rPr>
        <w:t>Accidental suffocation and strangulation in bed (ASSB)</w:t>
      </w:r>
    </w:p>
    <w:p w14:paraId="50F1526C" w14:textId="14057205" w:rsidR="009735BA" w:rsidRPr="003C4969" w:rsidRDefault="006726C0" w:rsidP="00B20E16">
      <w:pPr>
        <w:pStyle w:val="ListParagraph"/>
        <w:numPr>
          <w:ilvl w:val="0"/>
          <w:numId w:val="5"/>
        </w:numPr>
        <w:rPr>
          <w:rFonts w:asciiTheme="minorHAnsi" w:hAnsiTheme="minorHAnsi"/>
          <w:sz w:val="21"/>
          <w:szCs w:val="21"/>
        </w:rPr>
      </w:pPr>
      <w:r w:rsidRPr="003C4969">
        <w:rPr>
          <w:rFonts w:asciiTheme="minorHAnsi" w:hAnsiTheme="minorHAnsi"/>
          <w:noProof/>
          <w:sz w:val="21"/>
          <w:szCs w:val="21"/>
        </w:rPr>
        <mc:AlternateContent>
          <mc:Choice Requires="wps">
            <w:drawing>
              <wp:anchor distT="0" distB="0" distL="114300" distR="114300" simplePos="0" relativeHeight="251694592" behindDoc="0" locked="0" layoutInCell="1" allowOverlap="1" wp14:anchorId="4FCFAF09" wp14:editId="2FF3D7E6">
                <wp:simplePos x="0" y="0"/>
                <wp:positionH relativeFrom="column">
                  <wp:posOffset>3869055</wp:posOffset>
                </wp:positionH>
                <wp:positionV relativeFrom="paragraph">
                  <wp:posOffset>8890</wp:posOffset>
                </wp:positionV>
                <wp:extent cx="2790825" cy="2857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5750"/>
                        </a:xfrm>
                        <a:prstGeom prst="rect">
                          <a:avLst/>
                        </a:prstGeom>
                        <a:noFill/>
                        <a:ln w="9525">
                          <a:noFill/>
                          <a:miter lim="800000"/>
                          <a:headEnd/>
                          <a:tailEnd/>
                        </a:ln>
                      </wps:spPr>
                      <wps:txbx>
                        <w:txbxContent>
                          <w:p w14:paraId="57AF1C72" w14:textId="77777777" w:rsidR="005276C5" w:rsidRPr="00872748" w:rsidRDefault="005276C5">
                            <w:pPr>
                              <w:rPr>
                                <w:rFonts w:asciiTheme="minorHAnsi" w:hAnsiTheme="minorHAnsi"/>
                                <w:i/>
                                <w:sz w:val="16"/>
                                <w:szCs w:val="16"/>
                              </w:rPr>
                            </w:pPr>
                            <w:r w:rsidRPr="00872748">
                              <w:rPr>
                                <w:rFonts w:asciiTheme="minorHAnsi" w:hAnsiTheme="minorHAnsi"/>
                                <w:i/>
                                <w:sz w:val="16"/>
                                <w:szCs w:val="16"/>
                              </w:rPr>
                              <w:t>Source: MA Registry of Vital Records &amp; Statistics, 2011-2015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FCFAF09" id="_x0000_s1029" type="#_x0000_t202" style="position:absolute;left:0;text-align:left;margin-left:304.65pt;margin-top:.7pt;width:219.7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" filled="f" stroked="f">
                <v:textbox>
                  <w:txbxContent>
                    <w:p w14:paraId="57AF1C72" w14:textId="77777777" w:rsidR="005276C5" w:rsidRPr="00872748" w:rsidRDefault="005276C5">
                      <w:pPr>
                        <w:rPr>
                          <w:rFonts w:asciiTheme="minorHAnsi" w:hAnsiTheme="minorHAnsi"/>
                          <w:i/>
                          <w:sz w:val="16"/>
                          <w:szCs w:val="16"/>
                        </w:rPr>
                      </w:pPr>
                      <w:r w:rsidRPr="00872748">
                        <w:rPr>
                          <w:rFonts w:asciiTheme="minorHAnsi" w:hAnsiTheme="minorHAnsi"/>
                          <w:i/>
                          <w:sz w:val="16"/>
                          <w:szCs w:val="16"/>
                        </w:rPr>
                        <w:t>Source: MA Registry of Vital Records &amp; Statistics, 2011-2015</w:t>
                      </w:r>
                    </w:p>
                  </w:txbxContent>
                </v:textbox>
              </v:shape>
            </w:pict>
          </mc:Fallback>
        </mc:AlternateContent>
      </w:r>
      <w:r w:rsidR="00121896" w:rsidRPr="003C4969">
        <w:rPr>
          <w:rFonts w:asciiTheme="minorHAnsi" w:hAnsiTheme="minorHAnsi"/>
          <w:sz w:val="21"/>
          <w:szCs w:val="21"/>
        </w:rPr>
        <w:t>Sudden infant death syndrome (SIDS)</w:t>
      </w:r>
    </w:p>
    <w:p w14:paraId="348E8F94" w14:textId="4CE54E9B" w:rsidR="003B0E0B" w:rsidRPr="003C4969" w:rsidRDefault="003B0E0B" w:rsidP="00B20E16">
      <w:pPr>
        <w:pStyle w:val="ListParagraph"/>
        <w:numPr>
          <w:ilvl w:val="0"/>
          <w:numId w:val="5"/>
        </w:numPr>
        <w:rPr>
          <w:rFonts w:asciiTheme="minorHAnsi" w:hAnsiTheme="minorHAnsi"/>
          <w:sz w:val="21"/>
          <w:szCs w:val="21"/>
        </w:rPr>
      </w:pPr>
      <w:r w:rsidRPr="003C4969">
        <w:rPr>
          <w:rFonts w:asciiTheme="minorHAnsi" w:hAnsiTheme="minorHAnsi"/>
          <w:sz w:val="21"/>
          <w:szCs w:val="21"/>
        </w:rPr>
        <w:t>Undetermined cause</w:t>
      </w:r>
    </w:p>
    <w:p w14:paraId="5C26EF10" w14:textId="77777777" w:rsidR="00FF0060" w:rsidRPr="003C4969" w:rsidRDefault="00FF0060" w:rsidP="005F6B4C">
      <w:pPr>
        <w:pStyle w:val="ListParagraph"/>
        <w:rPr>
          <w:rFonts w:asciiTheme="minorHAnsi" w:hAnsiTheme="minorHAnsi"/>
          <w:sz w:val="21"/>
          <w:szCs w:val="21"/>
        </w:rPr>
      </w:pPr>
    </w:p>
    <w:p w14:paraId="5CAE31E5" w14:textId="535E1EB8" w:rsidR="00DB5016" w:rsidRPr="003C4969" w:rsidRDefault="008A581E" w:rsidP="005F6B4C">
      <w:pPr>
        <w:rPr>
          <w:rFonts w:asciiTheme="minorHAnsi" w:hAnsiTheme="minorHAnsi"/>
          <w:sz w:val="21"/>
          <w:szCs w:val="21"/>
        </w:rPr>
      </w:pPr>
      <w:r w:rsidRPr="003C4969">
        <w:rPr>
          <w:rFonts w:asciiTheme="minorHAnsi" w:hAnsiTheme="minorHAnsi"/>
          <w:sz w:val="21"/>
          <w:szCs w:val="21"/>
        </w:rPr>
        <w:t>A</w:t>
      </w:r>
      <w:r w:rsidR="009D093A" w:rsidRPr="003C4969">
        <w:rPr>
          <w:rFonts w:asciiTheme="minorHAnsi" w:hAnsiTheme="minorHAnsi"/>
          <w:sz w:val="21"/>
          <w:szCs w:val="21"/>
        </w:rPr>
        <w:t>ll three of these types of deaths are associated with similar risk factor</w:t>
      </w:r>
      <w:r w:rsidR="00E63AEA" w:rsidRPr="003C4969">
        <w:rPr>
          <w:rFonts w:asciiTheme="minorHAnsi" w:hAnsiTheme="minorHAnsi"/>
          <w:sz w:val="21"/>
          <w:szCs w:val="21"/>
        </w:rPr>
        <w:t xml:space="preserve">s </w:t>
      </w:r>
      <w:r w:rsidR="005C342F" w:rsidRPr="003C4969">
        <w:rPr>
          <w:rFonts w:asciiTheme="minorHAnsi" w:hAnsiTheme="minorHAnsi"/>
          <w:sz w:val="21"/>
          <w:szCs w:val="21"/>
        </w:rPr>
        <w:t>and</w:t>
      </w:r>
      <w:r w:rsidR="00E63AEA" w:rsidRPr="003C4969">
        <w:rPr>
          <w:rFonts w:asciiTheme="minorHAnsi" w:hAnsiTheme="minorHAnsi"/>
          <w:sz w:val="21"/>
          <w:szCs w:val="21"/>
        </w:rPr>
        <w:t xml:space="preserve"> </w:t>
      </w:r>
      <w:r w:rsidR="00121896" w:rsidRPr="003C4969">
        <w:rPr>
          <w:rFonts w:asciiTheme="minorHAnsi" w:hAnsiTheme="minorHAnsi"/>
          <w:sz w:val="21"/>
          <w:szCs w:val="21"/>
        </w:rPr>
        <w:t xml:space="preserve">are </w:t>
      </w:r>
      <w:r w:rsidR="00E63AEA" w:rsidRPr="003C4969">
        <w:rPr>
          <w:rFonts w:asciiTheme="minorHAnsi" w:hAnsiTheme="minorHAnsi"/>
          <w:sz w:val="21"/>
          <w:szCs w:val="21"/>
        </w:rPr>
        <w:t>grouped together</w:t>
      </w:r>
      <w:r w:rsidR="005C342F" w:rsidRPr="003C4969">
        <w:rPr>
          <w:rFonts w:asciiTheme="minorHAnsi" w:hAnsiTheme="minorHAnsi"/>
          <w:sz w:val="21"/>
          <w:szCs w:val="21"/>
        </w:rPr>
        <w:t xml:space="preserve"> to </w:t>
      </w:r>
      <w:r w:rsidR="009A5138" w:rsidRPr="003C4969">
        <w:rPr>
          <w:rFonts w:asciiTheme="minorHAnsi" w:hAnsiTheme="minorHAnsi"/>
          <w:sz w:val="21"/>
          <w:szCs w:val="21"/>
        </w:rPr>
        <w:t xml:space="preserve">better </w:t>
      </w:r>
      <w:r w:rsidR="005C342F" w:rsidRPr="003C4969">
        <w:rPr>
          <w:rFonts w:asciiTheme="minorHAnsi" w:hAnsiTheme="minorHAnsi"/>
          <w:sz w:val="21"/>
          <w:szCs w:val="21"/>
        </w:rPr>
        <w:t xml:space="preserve">understand the magnitude of the problem and </w:t>
      </w:r>
      <w:r w:rsidR="00342398" w:rsidRPr="003C4969">
        <w:rPr>
          <w:rFonts w:asciiTheme="minorHAnsi" w:hAnsiTheme="minorHAnsi"/>
          <w:sz w:val="21"/>
          <w:szCs w:val="21"/>
        </w:rPr>
        <w:t xml:space="preserve">the </w:t>
      </w:r>
      <w:r w:rsidR="00204D38" w:rsidRPr="003C4969">
        <w:rPr>
          <w:rFonts w:asciiTheme="minorHAnsi" w:hAnsiTheme="minorHAnsi"/>
          <w:sz w:val="21"/>
          <w:szCs w:val="21"/>
        </w:rPr>
        <w:t xml:space="preserve">circumstances </w:t>
      </w:r>
      <w:r w:rsidR="00977C85" w:rsidRPr="003C4969">
        <w:rPr>
          <w:rFonts w:asciiTheme="minorHAnsi" w:hAnsiTheme="minorHAnsi"/>
          <w:sz w:val="21"/>
          <w:szCs w:val="21"/>
        </w:rPr>
        <w:t xml:space="preserve">of </w:t>
      </w:r>
      <w:r w:rsidR="009A5138" w:rsidRPr="003C4969">
        <w:rPr>
          <w:rFonts w:asciiTheme="minorHAnsi" w:hAnsiTheme="minorHAnsi"/>
          <w:sz w:val="21"/>
          <w:szCs w:val="21"/>
        </w:rPr>
        <w:t>these deaths.</w:t>
      </w:r>
      <w:r w:rsidR="007F5B55" w:rsidRPr="003C4969">
        <w:rPr>
          <w:rFonts w:asciiTheme="minorHAnsi" w:hAnsiTheme="minorHAnsi"/>
          <w:sz w:val="21"/>
          <w:szCs w:val="21"/>
        </w:rPr>
        <w:t xml:space="preserve"> </w:t>
      </w:r>
      <w:r w:rsidRPr="003C4969">
        <w:rPr>
          <w:rFonts w:asciiTheme="minorHAnsi" w:hAnsiTheme="minorHAnsi"/>
          <w:sz w:val="21"/>
          <w:szCs w:val="21"/>
        </w:rPr>
        <w:t xml:space="preserve">A sudden unexpected infant death may be classified as accidental suffocation and strangulation in bed if </w:t>
      </w:r>
      <w:r w:rsidR="00DC056F" w:rsidRPr="003C4969">
        <w:rPr>
          <w:rFonts w:asciiTheme="minorHAnsi" w:hAnsiTheme="minorHAnsi"/>
          <w:sz w:val="21"/>
          <w:szCs w:val="21"/>
        </w:rPr>
        <w:t>the circumstances surrounding</w:t>
      </w:r>
      <w:r w:rsidRPr="003C4969">
        <w:rPr>
          <w:rFonts w:asciiTheme="minorHAnsi" w:hAnsiTheme="minorHAnsi"/>
          <w:sz w:val="21"/>
          <w:szCs w:val="21"/>
        </w:rPr>
        <w:t xml:space="preserve"> the death provide enough evidence </w:t>
      </w:r>
      <w:r w:rsidR="00DC056F" w:rsidRPr="003C4969">
        <w:rPr>
          <w:rFonts w:asciiTheme="minorHAnsi" w:hAnsiTheme="minorHAnsi"/>
          <w:sz w:val="21"/>
          <w:szCs w:val="21"/>
        </w:rPr>
        <w:t>to determine that the death was caused by suffocation and if no other contributing illnesses</w:t>
      </w:r>
      <w:r w:rsidR="00237ECA" w:rsidRPr="003C4969">
        <w:rPr>
          <w:rFonts w:asciiTheme="minorHAnsi" w:hAnsiTheme="minorHAnsi"/>
          <w:sz w:val="21"/>
          <w:szCs w:val="21"/>
        </w:rPr>
        <w:t xml:space="preserve"> or </w:t>
      </w:r>
      <w:r w:rsidR="00D850C3" w:rsidRPr="003C4969">
        <w:rPr>
          <w:rFonts w:asciiTheme="minorHAnsi" w:hAnsiTheme="minorHAnsi"/>
          <w:sz w:val="21"/>
          <w:szCs w:val="21"/>
        </w:rPr>
        <w:t xml:space="preserve">congenital </w:t>
      </w:r>
      <w:r w:rsidR="00237ECA" w:rsidRPr="003C4969">
        <w:rPr>
          <w:rFonts w:asciiTheme="minorHAnsi" w:hAnsiTheme="minorHAnsi"/>
          <w:sz w:val="21"/>
          <w:szCs w:val="21"/>
        </w:rPr>
        <w:t>factors</w:t>
      </w:r>
      <w:r w:rsidR="00DC056F" w:rsidRPr="003C4969">
        <w:rPr>
          <w:rFonts w:asciiTheme="minorHAnsi" w:hAnsiTheme="minorHAnsi"/>
          <w:sz w:val="21"/>
          <w:szCs w:val="21"/>
        </w:rPr>
        <w:t xml:space="preserve"> were present. An infant may suffocate </w:t>
      </w:r>
      <w:r w:rsidR="00DB5016" w:rsidRPr="003C4969">
        <w:rPr>
          <w:rFonts w:asciiTheme="minorHAnsi" w:hAnsiTheme="minorHAnsi"/>
          <w:sz w:val="21"/>
          <w:szCs w:val="21"/>
        </w:rPr>
        <w:t xml:space="preserve">or be strangled </w:t>
      </w:r>
      <w:r w:rsidR="00727A6E" w:rsidRPr="003C4969">
        <w:rPr>
          <w:rFonts w:asciiTheme="minorHAnsi" w:hAnsiTheme="minorHAnsi"/>
          <w:sz w:val="21"/>
          <w:szCs w:val="21"/>
        </w:rPr>
        <w:t>due to being covered with bedding</w:t>
      </w:r>
      <w:r w:rsidR="00DB5016" w:rsidRPr="003C4969">
        <w:rPr>
          <w:rFonts w:asciiTheme="minorHAnsi" w:hAnsiTheme="minorHAnsi"/>
          <w:sz w:val="21"/>
          <w:szCs w:val="21"/>
        </w:rPr>
        <w:t xml:space="preserve">, </w:t>
      </w:r>
      <w:r w:rsidR="00727A6E" w:rsidRPr="003C4969">
        <w:rPr>
          <w:rFonts w:asciiTheme="minorHAnsi" w:hAnsiTheme="minorHAnsi"/>
          <w:sz w:val="21"/>
          <w:szCs w:val="21"/>
        </w:rPr>
        <w:t>another person or animal</w:t>
      </w:r>
      <w:r w:rsidR="00DB5016" w:rsidRPr="003C4969">
        <w:rPr>
          <w:rFonts w:asciiTheme="minorHAnsi" w:hAnsiTheme="minorHAnsi"/>
          <w:sz w:val="21"/>
          <w:szCs w:val="21"/>
        </w:rPr>
        <w:t>, becoming wedged in a couch or alongside a bed or crib, or becoming entangled in bedding or cords around the sleep area</w:t>
      </w:r>
      <w:r w:rsidR="00727A6E" w:rsidRPr="003C4969">
        <w:rPr>
          <w:rFonts w:asciiTheme="minorHAnsi" w:hAnsiTheme="minorHAnsi"/>
          <w:sz w:val="21"/>
          <w:szCs w:val="21"/>
        </w:rPr>
        <w:t>.</w:t>
      </w:r>
    </w:p>
    <w:p w14:paraId="21BD0C6A" w14:textId="77777777" w:rsidR="00DB5016" w:rsidRPr="003C4969" w:rsidRDefault="00DB5016" w:rsidP="005F6B4C">
      <w:pPr>
        <w:rPr>
          <w:rFonts w:asciiTheme="minorHAnsi" w:hAnsiTheme="minorHAnsi"/>
          <w:sz w:val="21"/>
          <w:szCs w:val="21"/>
        </w:rPr>
      </w:pPr>
    </w:p>
    <w:p w14:paraId="6C91F966" w14:textId="778CA403" w:rsidR="003B0E0B" w:rsidRPr="003C4969" w:rsidRDefault="006C310E" w:rsidP="005F6B4C">
      <w:pPr>
        <w:rPr>
          <w:rFonts w:asciiTheme="minorHAnsi" w:hAnsiTheme="minorHAnsi"/>
          <w:sz w:val="21"/>
          <w:szCs w:val="21"/>
        </w:rPr>
      </w:pPr>
      <w:r w:rsidRPr="003C4969">
        <w:rPr>
          <w:rFonts w:asciiTheme="minorHAnsi" w:hAnsiTheme="minorHAnsi"/>
          <w:noProof/>
          <w:sz w:val="21"/>
          <w:szCs w:val="21"/>
        </w:rPr>
        <mc:AlternateContent>
          <mc:Choice Requires="wps">
            <w:drawing>
              <wp:anchor distT="0" distB="0" distL="114300" distR="114300" simplePos="0" relativeHeight="251696640" behindDoc="0" locked="0" layoutInCell="1" allowOverlap="1" wp14:anchorId="1706EB12" wp14:editId="5DCD1904">
                <wp:simplePos x="0" y="0"/>
                <wp:positionH relativeFrom="column">
                  <wp:posOffset>3777615</wp:posOffset>
                </wp:positionH>
                <wp:positionV relativeFrom="paragraph">
                  <wp:posOffset>1605915</wp:posOffset>
                </wp:positionV>
                <wp:extent cx="2790825" cy="2857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5750"/>
                        </a:xfrm>
                        <a:prstGeom prst="rect">
                          <a:avLst/>
                        </a:prstGeom>
                        <a:noFill/>
                        <a:ln w="9525">
                          <a:noFill/>
                          <a:miter lim="800000"/>
                          <a:headEnd/>
                          <a:tailEnd/>
                        </a:ln>
                      </wps:spPr>
                      <wps:txbx>
                        <w:txbxContent>
                          <w:p w14:paraId="6C70C913" w14:textId="77777777" w:rsidR="005276C5" w:rsidRPr="00872748" w:rsidRDefault="005276C5" w:rsidP="00EF755A">
                            <w:pPr>
                              <w:rPr>
                                <w:rFonts w:asciiTheme="minorHAnsi" w:hAnsiTheme="minorHAnsi"/>
                                <w:i/>
                                <w:sz w:val="16"/>
                                <w:szCs w:val="16"/>
                              </w:rPr>
                            </w:pPr>
                            <w:r w:rsidRPr="00872748">
                              <w:rPr>
                                <w:rFonts w:asciiTheme="minorHAnsi" w:hAnsiTheme="minorHAnsi"/>
                                <w:i/>
                                <w:sz w:val="16"/>
                                <w:szCs w:val="16"/>
                              </w:rPr>
                              <w:t>Source: MA Registry of Vital Records &amp; Statistics, 2011-2015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7.45pt;margin-top:126.45pt;width:219.75pt;height: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" filled="f" stroked="f">
                <v:textbox>
                  <w:txbxContent>
                    <w:p w14:paraId="6C70C913" w14:textId="77777777" w:rsidR="005276C5" w:rsidRPr="00872748" w:rsidRDefault="005276C5" w:rsidP="00EF755A">
                      <w:pPr>
                        <w:rPr>
                          <w:rFonts w:asciiTheme="minorHAnsi" w:hAnsiTheme="minorHAnsi"/>
                          <w:i/>
                          <w:sz w:val="16"/>
                          <w:szCs w:val="16"/>
                        </w:rPr>
                      </w:pPr>
                      <w:r w:rsidRPr="00872748">
                        <w:rPr>
                          <w:rFonts w:asciiTheme="minorHAnsi" w:hAnsiTheme="minorHAnsi"/>
                          <w:i/>
                          <w:sz w:val="16"/>
                          <w:szCs w:val="16"/>
                        </w:rPr>
                        <w:t>Source: MA Registry of Vital Records &amp; Statistics, 2011-2015</w:t>
                      </w:r>
                    </w:p>
                  </w:txbxContent>
                </v:textbox>
              </v:shape>
            </w:pict>
          </mc:Fallback>
        </mc:AlternateContent>
      </w:r>
      <w:r w:rsidR="00502F26" w:rsidRPr="003C4969">
        <w:rPr>
          <w:rFonts w:asciiTheme="minorHAnsi" w:hAnsiTheme="minorHAnsi"/>
          <w:sz w:val="21"/>
          <w:szCs w:val="21"/>
        </w:rPr>
        <w:t>B</w:t>
      </w:r>
      <w:r w:rsidR="00DC056F" w:rsidRPr="003C4969">
        <w:rPr>
          <w:rFonts w:asciiTheme="minorHAnsi" w:hAnsiTheme="minorHAnsi"/>
          <w:sz w:val="21"/>
          <w:szCs w:val="21"/>
        </w:rPr>
        <w:t xml:space="preserve">ecause </w:t>
      </w:r>
      <w:r w:rsidR="00D850C3" w:rsidRPr="003C4969">
        <w:rPr>
          <w:rFonts w:asciiTheme="minorHAnsi" w:hAnsiTheme="minorHAnsi"/>
          <w:sz w:val="21"/>
          <w:szCs w:val="21"/>
        </w:rPr>
        <w:t>SUID typically</w:t>
      </w:r>
      <w:r w:rsidR="00DC056F" w:rsidRPr="003C4969">
        <w:rPr>
          <w:rFonts w:asciiTheme="minorHAnsi" w:hAnsiTheme="minorHAnsi"/>
          <w:sz w:val="21"/>
          <w:szCs w:val="21"/>
        </w:rPr>
        <w:t xml:space="preserve"> occur</w:t>
      </w:r>
      <w:r w:rsidR="00D850C3" w:rsidRPr="003C4969">
        <w:rPr>
          <w:rFonts w:asciiTheme="minorHAnsi" w:hAnsiTheme="minorHAnsi"/>
          <w:sz w:val="21"/>
          <w:szCs w:val="21"/>
        </w:rPr>
        <w:t>s</w:t>
      </w:r>
      <w:r w:rsidR="00DC056F" w:rsidRPr="003C4969">
        <w:rPr>
          <w:rFonts w:asciiTheme="minorHAnsi" w:hAnsiTheme="minorHAnsi"/>
          <w:sz w:val="21"/>
          <w:szCs w:val="21"/>
        </w:rPr>
        <w:t xml:space="preserve"> during sleep, </w:t>
      </w:r>
      <w:r w:rsidR="00727A6E" w:rsidRPr="003C4969">
        <w:rPr>
          <w:rFonts w:asciiTheme="minorHAnsi" w:hAnsiTheme="minorHAnsi"/>
          <w:sz w:val="21"/>
          <w:szCs w:val="21"/>
        </w:rPr>
        <w:t xml:space="preserve">in many cases </w:t>
      </w:r>
      <w:r w:rsidR="00DC056F" w:rsidRPr="003C4969">
        <w:rPr>
          <w:rFonts w:asciiTheme="minorHAnsi" w:hAnsiTheme="minorHAnsi"/>
          <w:sz w:val="21"/>
          <w:szCs w:val="21"/>
        </w:rPr>
        <w:t>there is not enough known about the circumstan</w:t>
      </w:r>
      <w:r w:rsidR="00D850C3" w:rsidRPr="003C4969">
        <w:rPr>
          <w:rFonts w:asciiTheme="minorHAnsi" w:hAnsiTheme="minorHAnsi"/>
          <w:sz w:val="21"/>
          <w:szCs w:val="21"/>
        </w:rPr>
        <w:t>ces of the death to determine</w:t>
      </w:r>
      <w:r w:rsidR="00DC056F" w:rsidRPr="003C4969">
        <w:rPr>
          <w:rFonts w:asciiTheme="minorHAnsi" w:hAnsiTheme="minorHAnsi"/>
          <w:sz w:val="21"/>
          <w:szCs w:val="21"/>
        </w:rPr>
        <w:t xml:space="preserve"> the </w:t>
      </w:r>
      <w:r w:rsidR="00D850C3" w:rsidRPr="003C4969">
        <w:rPr>
          <w:rFonts w:asciiTheme="minorHAnsi" w:hAnsiTheme="minorHAnsi"/>
          <w:sz w:val="21"/>
          <w:szCs w:val="21"/>
        </w:rPr>
        <w:t>cause</w:t>
      </w:r>
      <w:r w:rsidR="00C966E6" w:rsidRPr="003C4969">
        <w:rPr>
          <w:rFonts w:asciiTheme="minorHAnsi" w:hAnsiTheme="minorHAnsi"/>
          <w:sz w:val="21"/>
          <w:szCs w:val="21"/>
        </w:rPr>
        <w:t>.</w:t>
      </w:r>
      <w:r w:rsidR="00CC193B" w:rsidRPr="003C4969">
        <w:rPr>
          <w:rFonts w:asciiTheme="minorHAnsi" w:hAnsiTheme="minorHAnsi"/>
          <w:sz w:val="21"/>
          <w:szCs w:val="21"/>
        </w:rPr>
        <w:t xml:space="preserve"> When all other natural and accidental causes are ruled out, the death is classified as SIDS or undetermined cause; the</w:t>
      </w:r>
      <w:r w:rsidR="00796797" w:rsidRPr="003C4969">
        <w:rPr>
          <w:rFonts w:asciiTheme="minorHAnsi" w:hAnsiTheme="minorHAnsi"/>
          <w:sz w:val="21"/>
          <w:szCs w:val="21"/>
        </w:rPr>
        <w:t xml:space="preserve"> final determination of the cause and manner of death may vary based</w:t>
      </w:r>
      <w:r w:rsidR="00CC193B" w:rsidRPr="003C4969">
        <w:rPr>
          <w:rFonts w:asciiTheme="minorHAnsi" w:hAnsiTheme="minorHAnsi"/>
          <w:sz w:val="21"/>
          <w:szCs w:val="21"/>
        </w:rPr>
        <w:t xml:space="preserve"> on the diagnostic preferences of the</w:t>
      </w:r>
      <w:r w:rsidR="00796797" w:rsidRPr="003C4969">
        <w:rPr>
          <w:rFonts w:asciiTheme="minorHAnsi" w:hAnsiTheme="minorHAnsi"/>
          <w:sz w:val="21"/>
          <w:szCs w:val="21"/>
        </w:rPr>
        <w:t xml:space="preserve"> pathologist conducting the autopsy</w:t>
      </w:r>
      <w:r w:rsidR="00CC193B" w:rsidRPr="003C4969">
        <w:rPr>
          <w:rFonts w:asciiTheme="minorHAnsi" w:hAnsiTheme="minorHAnsi"/>
          <w:sz w:val="21"/>
          <w:szCs w:val="21"/>
        </w:rPr>
        <w:t xml:space="preserve">. </w:t>
      </w:r>
      <w:r w:rsidR="007F5B55" w:rsidRPr="003C4969">
        <w:rPr>
          <w:rFonts w:asciiTheme="minorHAnsi" w:hAnsiTheme="minorHAnsi"/>
          <w:sz w:val="21"/>
          <w:szCs w:val="21"/>
        </w:rPr>
        <w:t xml:space="preserve">In Massachusetts, </w:t>
      </w:r>
      <w:r w:rsidR="00431E49" w:rsidRPr="003C4969">
        <w:rPr>
          <w:rFonts w:asciiTheme="minorHAnsi" w:hAnsiTheme="minorHAnsi"/>
          <w:sz w:val="21"/>
          <w:szCs w:val="21"/>
        </w:rPr>
        <w:t xml:space="preserve">the </w:t>
      </w:r>
      <w:r w:rsidR="00F02AD8" w:rsidRPr="003C4969">
        <w:rPr>
          <w:rFonts w:asciiTheme="minorHAnsi" w:hAnsiTheme="minorHAnsi"/>
          <w:sz w:val="21"/>
          <w:szCs w:val="21"/>
        </w:rPr>
        <w:t>majority of SUID ca</w:t>
      </w:r>
      <w:r w:rsidR="00FD2DD0" w:rsidRPr="003C4969">
        <w:rPr>
          <w:rFonts w:asciiTheme="minorHAnsi" w:hAnsiTheme="minorHAnsi"/>
          <w:sz w:val="21"/>
          <w:szCs w:val="21"/>
        </w:rPr>
        <w:t>ses are classified as SIDS (</w:t>
      </w:r>
      <w:r w:rsidR="009A2D0E" w:rsidRPr="003C4969">
        <w:rPr>
          <w:rFonts w:asciiTheme="minorHAnsi" w:hAnsiTheme="minorHAnsi"/>
          <w:sz w:val="21"/>
          <w:szCs w:val="21"/>
        </w:rPr>
        <w:t>Figure 1</w:t>
      </w:r>
      <w:r w:rsidR="00FD2DD0" w:rsidRPr="003C4969">
        <w:rPr>
          <w:rFonts w:asciiTheme="minorHAnsi" w:hAnsiTheme="minorHAnsi"/>
          <w:sz w:val="21"/>
          <w:szCs w:val="21"/>
        </w:rPr>
        <w:t>)</w:t>
      </w:r>
      <w:r w:rsidR="00F02AD8" w:rsidRPr="003C4969">
        <w:rPr>
          <w:rFonts w:asciiTheme="minorHAnsi" w:hAnsiTheme="minorHAnsi"/>
          <w:sz w:val="21"/>
          <w:szCs w:val="21"/>
        </w:rPr>
        <w:t>.</w:t>
      </w:r>
    </w:p>
    <w:p w14:paraId="3719B56B" w14:textId="0DDCF712" w:rsidR="009676FB" w:rsidRDefault="009676FB" w:rsidP="003D4D17">
      <w:pPr>
        <w:spacing w:after="120"/>
        <w:rPr>
          <w:rFonts w:asciiTheme="majorHAnsi" w:hAnsiTheme="majorHAnsi"/>
          <w:b/>
          <w:color w:val="A86C2A" w:themeColor="accent6" w:themeShade="BF"/>
          <w:sz w:val="24"/>
          <w:szCs w:val="21"/>
        </w:rPr>
      </w:pPr>
    </w:p>
    <w:p w14:paraId="70518AFB" w14:textId="5E65842D" w:rsidR="004B4951" w:rsidRDefault="004B4951" w:rsidP="003D4D17">
      <w:pPr>
        <w:spacing w:after="120"/>
        <w:rPr>
          <w:rFonts w:asciiTheme="majorHAnsi" w:hAnsiTheme="majorHAnsi"/>
          <w:b/>
          <w:color w:val="A86C2A" w:themeColor="accent6" w:themeShade="BF"/>
          <w:sz w:val="24"/>
          <w:szCs w:val="21"/>
        </w:rPr>
      </w:pPr>
    </w:p>
    <w:p w14:paraId="034DB978" w14:textId="70FF21FC" w:rsidR="004B4951" w:rsidRDefault="00640427" w:rsidP="003D4D17">
      <w:pPr>
        <w:spacing w:after="120"/>
        <w:rPr>
          <w:rFonts w:asciiTheme="majorHAnsi" w:hAnsiTheme="majorHAnsi"/>
          <w:b/>
          <w:color w:val="A86C2A" w:themeColor="accent6" w:themeShade="BF"/>
          <w:sz w:val="24"/>
          <w:szCs w:val="21"/>
        </w:rPr>
      </w:pPr>
      <w:r w:rsidRPr="004B4951">
        <w:rPr>
          <w:rFonts w:asciiTheme="minorHAnsi" w:hAnsiTheme="minorHAnsi"/>
          <w:noProof/>
          <w:sz w:val="22"/>
          <w:szCs w:val="22"/>
        </w:rPr>
        <w:lastRenderedPageBreak/>
        <w:drawing>
          <wp:anchor distT="0" distB="0" distL="114300" distR="114300" simplePos="0" relativeHeight="251683328" behindDoc="1" locked="0" layoutInCell="1" allowOverlap="1" wp14:anchorId="40F2E262" wp14:editId="48FE315F">
            <wp:simplePos x="0" y="0"/>
            <wp:positionH relativeFrom="column">
              <wp:posOffset>-116205</wp:posOffset>
            </wp:positionH>
            <wp:positionV relativeFrom="paragraph">
              <wp:posOffset>191135</wp:posOffset>
            </wp:positionV>
            <wp:extent cx="3400425" cy="2181225"/>
            <wp:effectExtent l="0" t="0" r="9525" b="9525"/>
            <wp:wrapTight wrapText="bothSides">
              <wp:wrapPolygon edited="0">
                <wp:start x="0" y="0"/>
                <wp:lineTo x="0" y="21506"/>
                <wp:lineTo x="21539" y="21506"/>
                <wp:lineTo x="21539"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7D32681" w14:textId="77777777" w:rsidR="003C4969" w:rsidRDefault="003C4969" w:rsidP="003D4D17">
      <w:pPr>
        <w:spacing w:after="120"/>
        <w:rPr>
          <w:rFonts w:asciiTheme="majorHAnsi" w:hAnsiTheme="majorHAnsi"/>
          <w:b/>
          <w:color w:val="A86C2A" w:themeColor="accent6" w:themeShade="BF"/>
          <w:sz w:val="24"/>
          <w:szCs w:val="21"/>
        </w:rPr>
      </w:pPr>
    </w:p>
    <w:p w14:paraId="57D0F4DA" w14:textId="77777777" w:rsidR="00D3072C" w:rsidRPr="00431E49" w:rsidRDefault="00D224B1" w:rsidP="003D4D17">
      <w:pPr>
        <w:spacing w:after="120"/>
        <w:rPr>
          <w:rFonts w:asciiTheme="majorHAnsi" w:hAnsiTheme="majorHAnsi"/>
          <w:b/>
          <w:color w:val="A86C2A" w:themeColor="accent6" w:themeShade="BF"/>
          <w:sz w:val="24"/>
          <w:szCs w:val="21"/>
        </w:rPr>
      </w:pPr>
      <w:r w:rsidRPr="006718E7">
        <w:rPr>
          <w:rFonts w:asciiTheme="majorHAnsi" w:hAnsiTheme="majorHAnsi"/>
          <w:b/>
          <w:color w:val="A86C2A" w:themeColor="accent6" w:themeShade="BF"/>
          <w:sz w:val="24"/>
          <w:szCs w:val="21"/>
        </w:rPr>
        <w:t>S</w:t>
      </w:r>
      <w:r w:rsidR="00DB47C3">
        <w:rPr>
          <w:rFonts w:asciiTheme="majorHAnsi" w:hAnsiTheme="majorHAnsi"/>
          <w:b/>
          <w:color w:val="A86C2A" w:themeColor="accent6" w:themeShade="BF"/>
          <w:sz w:val="24"/>
          <w:szCs w:val="21"/>
        </w:rPr>
        <w:t xml:space="preserve">udden </w:t>
      </w:r>
      <w:r w:rsidRPr="006718E7">
        <w:rPr>
          <w:rFonts w:asciiTheme="majorHAnsi" w:hAnsiTheme="majorHAnsi"/>
          <w:b/>
          <w:color w:val="A86C2A" w:themeColor="accent6" w:themeShade="BF"/>
          <w:sz w:val="24"/>
          <w:szCs w:val="21"/>
        </w:rPr>
        <w:t>U</w:t>
      </w:r>
      <w:r w:rsidR="00DB47C3">
        <w:rPr>
          <w:rFonts w:asciiTheme="majorHAnsi" w:hAnsiTheme="majorHAnsi"/>
          <w:b/>
          <w:color w:val="A86C2A" w:themeColor="accent6" w:themeShade="BF"/>
          <w:sz w:val="24"/>
          <w:szCs w:val="21"/>
        </w:rPr>
        <w:t>nexpected Infant Death</w:t>
      </w:r>
      <w:r w:rsidRPr="006718E7">
        <w:rPr>
          <w:rFonts w:asciiTheme="majorHAnsi" w:hAnsiTheme="majorHAnsi"/>
          <w:b/>
          <w:color w:val="A86C2A" w:themeColor="accent6" w:themeShade="BF"/>
          <w:sz w:val="24"/>
          <w:szCs w:val="21"/>
        </w:rPr>
        <w:t xml:space="preserve"> in Massachusetts</w:t>
      </w:r>
    </w:p>
    <w:p w14:paraId="064E3B40" w14:textId="77777777" w:rsidR="00563A24" w:rsidRPr="003D4D17" w:rsidRDefault="00563A24" w:rsidP="003D4D17">
      <w:pPr>
        <w:spacing w:after="120"/>
        <w:rPr>
          <w:rFonts w:asciiTheme="majorHAnsi" w:hAnsiTheme="majorHAnsi"/>
          <w:b/>
          <w:color w:val="A86C2A" w:themeColor="accent6" w:themeShade="BF"/>
          <w:sz w:val="24"/>
          <w:szCs w:val="21"/>
        </w:rPr>
      </w:pPr>
      <w:r>
        <w:rPr>
          <w:rFonts w:asciiTheme="majorHAnsi" w:hAnsiTheme="majorHAnsi"/>
          <w:i/>
          <w:color w:val="A86C2A" w:themeColor="accent6" w:themeShade="BF"/>
          <w:sz w:val="24"/>
        </w:rPr>
        <w:t xml:space="preserve">Magnitude of SUID in Massachusetts </w:t>
      </w:r>
    </w:p>
    <w:p w14:paraId="0243A786" w14:textId="094A92F1" w:rsidR="00B425E1" w:rsidRPr="004B4951" w:rsidRDefault="008702D0" w:rsidP="005F6B4C">
      <w:pPr>
        <w:rPr>
          <w:rFonts w:asciiTheme="minorHAnsi" w:hAnsiTheme="minorHAnsi"/>
          <w:sz w:val="22"/>
          <w:szCs w:val="22"/>
        </w:rPr>
      </w:pPr>
      <w:r w:rsidRPr="003C4969">
        <w:rPr>
          <w:rFonts w:asciiTheme="minorHAnsi" w:hAnsiTheme="minorHAnsi"/>
          <w:sz w:val="21"/>
          <w:szCs w:val="21"/>
        </w:rPr>
        <w:t xml:space="preserve">In Massachusetts, </w:t>
      </w:r>
      <w:r w:rsidR="00551948" w:rsidRPr="003C4969">
        <w:rPr>
          <w:rFonts w:asciiTheme="minorHAnsi" w:hAnsiTheme="minorHAnsi"/>
          <w:sz w:val="21"/>
          <w:szCs w:val="21"/>
        </w:rPr>
        <w:t>SUI</w:t>
      </w:r>
      <w:r w:rsidRPr="003C4969">
        <w:rPr>
          <w:rFonts w:asciiTheme="minorHAnsi" w:hAnsiTheme="minorHAnsi"/>
          <w:sz w:val="21"/>
          <w:szCs w:val="21"/>
        </w:rPr>
        <w:t>D is the leading cause of death</w:t>
      </w:r>
      <w:r w:rsidR="00551948" w:rsidRPr="003C4969">
        <w:rPr>
          <w:rFonts w:asciiTheme="minorHAnsi" w:hAnsiTheme="minorHAnsi"/>
          <w:sz w:val="21"/>
          <w:szCs w:val="21"/>
        </w:rPr>
        <w:t xml:space="preserve"> among </w:t>
      </w:r>
      <w:r w:rsidRPr="003C4969">
        <w:rPr>
          <w:rFonts w:asciiTheme="minorHAnsi" w:hAnsiTheme="minorHAnsi"/>
          <w:sz w:val="21"/>
          <w:szCs w:val="21"/>
        </w:rPr>
        <w:t>infant</w:t>
      </w:r>
      <w:r w:rsidR="0063594C" w:rsidRPr="003C4969">
        <w:rPr>
          <w:rFonts w:asciiTheme="minorHAnsi" w:hAnsiTheme="minorHAnsi"/>
          <w:sz w:val="21"/>
          <w:szCs w:val="21"/>
        </w:rPr>
        <w:t>s</w:t>
      </w:r>
      <w:r w:rsidRPr="003C4969">
        <w:rPr>
          <w:rFonts w:asciiTheme="minorHAnsi" w:hAnsiTheme="minorHAnsi"/>
          <w:sz w:val="21"/>
          <w:szCs w:val="21"/>
        </w:rPr>
        <w:t xml:space="preserve"> </w:t>
      </w:r>
      <w:r w:rsidR="00F655A6">
        <w:rPr>
          <w:rFonts w:asciiTheme="minorHAnsi" w:hAnsiTheme="minorHAnsi"/>
          <w:sz w:val="21"/>
          <w:szCs w:val="21"/>
        </w:rPr>
        <w:t xml:space="preserve">between the ages of </w:t>
      </w:r>
      <w:r w:rsidR="00831D1E" w:rsidRPr="003C4969">
        <w:rPr>
          <w:rFonts w:asciiTheme="minorHAnsi" w:hAnsiTheme="minorHAnsi"/>
          <w:sz w:val="21"/>
          <w:szCs w:val="21"/>
        </w:rPr>
        <w:t xml:space="preserve">1-11 months </w:t>
      </w:r>
      <w:r w:rsidR="004E1EFD" w:rsidRPr="003C4969">
        <w:rPr>
          <w:rFonts w:asciiTheme="minorHAnsi" w:hAnsiTheme="minorHAnsi"/>
          <w:sz w:val="21"/>
          <w:szCs w:val="21"/>
        </w:rPr>
        <w:t>and</w:t>
      </w:r>
      <w:r w:rsidR="00551948" w:rsidRPr="003C4969">
        <w:rPr>
          <w:rFonts w:asciiTheme="minorHAnsi" w:hAnsiTheme="minorHAnsi"/>
          <w:sz w:val="21"/>
          <w:szCs w:val="21"/>
        </w:rPr>
        <w:t xml:space="preserve"> the 3</w:t>
      </w:r>
      <w:r w:rsidR="00551948" w:rsidRPr="003C4969">
        <w:rPr>
          <w:rFonts w:asciiTheme="minorHAnsi" w:hAnsiTheme="minorHAnsi"/>
          <w:sz w:val="21"/>
          <w:szCs w:val="21"/>
          <w:vertAlign w:val="superscript"/>
        </w:rPr>
        <w:t>rd</w:t>
      </w:r>
      <w:r w:rsidR="00551948" w:rsidRPr="003C4969">
        <w:rPr>
          <w:rFonts w:asciiTheme="minorHAnsi" w:hAnsiTheme="minorHAnsi"/>
          <w:sz w:val="21"/>
          <w:szCs w:val="21"/>
        </w:rPr>
        <w:t xml:space="preserve"> leading cause of death among all infa</w:t>
      </w:r>
      <w:r w:rsidR="007F66EA" w:rsidRPr="003C4969">
        <w:rPr>
          <w:rFonts w:asciiTheme="minorHAnsi" w:hAnsiTheme="minorHAnsi"/>
          <w:sz w:val="21"/>
          <w:szCs w:val="21"/>
        </w:rPr>
        <w:t>nts</w:t>
      </w:r>
      <w:r w:rsidR="00F655A6">
        <w:rPr>
          <w:rFonts w:asciiTheme="minorHAnsi" w:hAnsiTheme="minorHAnsi"/>
          <w:sz w:val="21"/>
          <w:szCs w:val="21"/>
        </w:rPr>
        <w:t xml:space="preserve"> under one year of age</w:t>
      </w:r>
      <w:r w:rsidR="00831D1E" w:rsidRPr="003C4969">
        <w:rPr>
          <w:rFonts w:asciiTheme="minorHAnsi" w:hAnsiTheme="minorHAnsi"/>
          <w:sz w:val="21"/>
          <w:szCs w:val="21"/>
        </w:rPr>
        <w:t>.</w:t>
      </w:r>
      <w:r w:rsidR="00F655A6">
        <w:rPr>
          <w:rStyle w:val="FootnoteReference"/>
          <w:rFonts w:asciiTheme="minorHAnsi" w:hAnsiTheme="minorHAnsi"/>
          <w:sz w:val="21"/>
          <w:szCs w:val="21"/>
        </w:rPr>
        <w:footnoteReference w:id="1"/>
      </w:r>
      <w:r w:rsidR="00831D1E" w:rsidRPr="003C4969">
        <w:rPr>
          <w:rFonts w:asciiTheme="minorHAnsi" w:hAnsiTheme="minorHAnsi"/>
          <w:sz w:val="21"/>
          <w:szCs w:val="21"/>
        </w:rPr>
        <w:t xml:space="preserve"> </w:t>
      </w:r>
      <w:r w:rsidR="008E0919" w:rsidRPr="003C4969">
        <w:rPr>
          <w:rFonts w:asciiTheme="minorHAnsi" w:hAnsiTheme="minorHAnsi"/>
          <w:sz w:val="21"/>
          <w:szCs w:val="21"/>
        </w:rPr>
        <w:t>D</w:t>
      </w:r>
      <w:r w:rsidR="00262314" w:rsidRPr="003C4969">
        <w:rPr>
          <w:rFonts w:asciiTheme="minorHAnsi" w:hAnsiTheme="minorHAnsi"/>
          <w:sz w:val="21"/>
          <w:szCs w:val="21"/>
        </w:rPr>
        <w:t xml:space="preserve">uring the 5-year </w:t>
      </w:r>
      <w:r w:rsidR="003B7AFD" w:rsidRPr="003C4969">
        <w:rPr>
          <w:rFonts w:asciiTheme="minorHAnsi" w:hAnsiTheme="minorHAnsi"/>
          <w:sz w:val="21"/>
          <w:szCs w:val="21"/>
        </w:rPr>
        <w:t>period of</w:t>
      </w:r>
      <w:r w:rsidR="00D52FFB" w:rsidRPr="003C4969">
        <w:rPr>
          <w:rFonts w:asciiTheme="minorHAnsi" w:hAnsiTheme="minorHAnsi"/>
          <w:sz w:val="21"/>
          <w:szCs w:val="21"/>
        </w:rPr>
        <w:t xml:space="preserve"> </w:t>
      </w:r>
      <w:r w:rsidR="008E0919" w:rsidRPr="003C4969">
        <w:rPr>
          <w:rFonts w:asciiTheme="minorHAnsi" w:hAnsiTheme="minorHAnsi"/>
          <w:sz w:val="21"/>
          <w:szCs w:val="21"/>
        </w:rPr>
        <w:t>2011-2015</w:t>
      </w:r>
      <w:r w:rsidR="00585C79" w:rsidRPr="003C4969">
        <w:rPr>
          <w:rFonts w:asciiTheme="minorHAnsi" w:hAnsiTheme="minorHAnsi"/>
          <w:sz w:val="21"/>
          <w:szCs w:val="21"/>
        </w:rPr>
        <w:t>, there were a total of 163</w:t>
      </w:r>
      <w:r w:rsidR="008E0919" w:rsidRPr="003C4969">
        <w:rPr>
          <w:rFonts w:asciiTheme="minorHAnsi" w:hAnsiTheme="minorHAnsi"/>
          <w:sz w:val="21"/>
          <w:szCs w:val="21"/>
        </w:rPr>
        <w:t xml:space="preserve"> SUID cases in Massachusetts</w:t>
      </w:r>
      <w:r w:rsidR="00585C79" w:rsidRPr="003C4969">
        <w:rPr>
          <w:rFonts w:asciiTheme="minorHAnsi" w:hAnsiTheme="minorHAnsi"/>
          <w:sz w:val="21"/>
          <w:szCs w:val="21"/>
        </w:rPr>
        <w:t xml:space="preserve"> – an average of 33</w:t>
      </w:r>
      <w:r w:rsidR="00D67D5D" w:rsidRPr="003C4969">
        <w:rPr>
          <w:rFonts w:asciiTheme="minorHAnsi" w:hAnsiTheme="minorHAnsi"/>
          <w:sz w:val="21"/>
          <w:szCs w:val="21"/>
        </w:rPr>
        <w:t xml:space="preserve"> </w:t>
      </w:r>
      <w:r w:rsidR="009A49C5" w:rsidRPr="003C4969">
        <w:rPr>
          <w:rFonts w:asciiTheme="minorHAnsi" w:hAnsiTheme="minorHAnsi"/>
          <w:sz w:val="21"/>
          <w:szCs w:val="21"/>
        </w:rPr>
        <w:t>cases per year</w:t>
      </w:r>
      <w:r w:rsidR="00151C43" w:rsidRPr="003C4969">
        <w:rPr>
          <w:rFonts w:asciiTheme="minorHAnsi" w:hAnsiTheme="minorHAnsi"/>
          <w:sz w:val="21"/>
          <w:szCs w:val="21"/>
        </w:rPr>
        <w:t xml:space="preserve"> </w:t>
      </w:r>
      <w:r w:rsidR="00D67D5D" w:rsidRPr="003C4969">
        <w:rPr>
          <w:rFonts w:asciiTheme="minorHAnsi" w:hAnsiTheme="minorHAnsi"/>
          <w:sz w:val="21"/>
          <w:szCs w:val="21"/>
        </w:rPr>
        <w:t>(F</w:t>
      </w:r>
      <w:r w:rsidR="00BB2672" w:rsidRPr="003C4969">
        <w:rPr>
          <w:rFonts w:asciiTheme="minorHAnsi" w:hAnsiTheme="minorHAnsi"/>
          <w:sz w:val="21"/>
          <w:szCs w:val="21"/>
        </w:rPr>
        <w:t>igure 2</w:t>
      </w:r>
      <w:r w:rsidR="008E0919" w:rsidRPr="003C4969">
        <w:rPr>
          <w:rFonts w:asciiTheme="minorHAnsi" w:hAnsiTheme="minorHAnsi"/>
          <w:sz w:val="21"/>
          <w:szCs w:val="21"/>
        </w:rPr>
        <w:t>)</w:t>
      </w:r>
      <w:r w:rsidR="009A49C5" w:rsidRPr="003C4969">
        <w:rPr>
          <w:rFonts w:asciiTheme="minorHAnsi" w:hAnsiTheme="minorHAnsi"/>
          <w:noProof/>
          <w:sz w:val="21"/>
          <w:szCs w:val="21"/>
        </w:rPr>
        <w:t>.</w:t>
      </w:r>
    </w:p>
    <w:p w14:paraId="787E65AA" w14:textId="5CCD69AF" w:rsidR="00357AD4" w:rsidRDefault="00640427" w:rsidP="008870CF">
      <w:pPr>
        <w:spacing w:after="120"/>
        <w:jc w:val="both"/>
        <w:rPr>
          <w:rFonts w:asciiTheme="majorHAnsi" w:hAnsiTheme="majorHAnsi"/>
          <w:i/>
          <w:color w:val="A86C2A" w:themeColor="accent6" w:themeShade="BF"/>
          <w:sz w:val="24"/>
        </w:rPr>
      </w:pPr>
      <w:r w:rsidRPr="003C4969">
        <w:rPr>
          <w:rFonts w:asciiTheme="minorHAnsi" w:hAnsiTheme="minorHAnsi"/>
          <w:noProof/>
          <w:sz w:val="21"/>
          <w:szCs w:val="21"/>
        </w:rPr>
        <w:drawing>
          <wp:anchor distT="0" distB="0" distL="114300" distR="114300" simplePos="0" relativeHeight="251680256" behindDoc="1" locked="0" layoutInCell="1" allowOverlap="1" wp14:anchorId="1BE37CC4" wp14:editId="30F301AC">
            <wp:simplePos x="0" y="0"/>
            <wp:positionH relativeFrom="column">
              <wp:posOffset>-123825</wp:posOffset>
            </wp:positionH>
            <wp:positionV relativeFrom="paragraph">
              <wp:posOffset>187960</wp:posOffset>
            </wp:positionV>
            <wp:extent cx="3219450" cy="2295525"/>
            <wp:effectExtent l="0" t="0" r="19050" b="9525"/>
            <wp:wrapTight wrapText="bothSides">
              <wp:wrapPolygon edited="0">
                <wp:start x="0" y="0"/>
                <wp:lineTo x="0" y="21510"/>
                <wp:lineTo x="21600" y="21510"/>
                <wp:lineTo x="21600"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5772209" w14:textId="77777777" w:rsidR="00357AD4" w:rsidRDefault="00E24A1A" w:rsidP="008870CF">
      <w:pPr>
        <w:spacing w:after="120"/>
        <w:jc w:val="both"/>
        <w:rPr>
          <w:rFonts w:asciiTheme="minorHAnsi" w:hAnsiTheme="minorHAnsi"/>
          <w:sz w:val="24"/>
          <w:szCs w:val="24"/>
        </w:rPr>
      </w:pPr>
      <w:r>
        <w:rPr>
          <w:rFonts w:asciiTheme="majorHAnsi" w:hAnsiTheme="majorHAnsi"/>
          <w:i/>
          <w:color w:val="A86C2A" w:themeColor="accent6" w:themeShade="BF"/>
          <w:sz w:val="24"/>
        </w:rPr>
        <w:lastRenderedPageBreak/>
        <w:t xml:space="preserve">SUID by Massachusetts District of Residence </w:t>
      </w:r>
    </w:p>
    <w:p w14:paraId="7661AF0C" w14:textId="08169BF7" w:rsidR="00E24A1A" w:rsidRPr="003C4969" w:rsidRDefault="006726C0" w:rsidP="005F6B4C">
      <w:pPr>
        <w:spacing w:after="120"/>
        <w:rPr>
          <w:rFonts w:asciiTheme="majorHAnsi" w:hAnsiTheme="majorHAnsi"/>
          <w:color w:val="A86C2A" w:themeColor="accent6" w:themeShade="BF"/>
          <w:sz w:val="21"/>
          <w:szCs w:val="21"/>
        </w:rPr>
      </w:pPr>
      <w:r w:rsidRPr="003C4969">
        <w:rPr>
          <w:rFonts w:asciiTheme="majorHAnsi" w:hAnsiTheme="majorHAnsi"/>
          <w:b/>
          <w:noProof/>
          <w:color w:val="A86C2A" w:themeColor="accent6" w:themeShade="BF"/>
          <w:sz w:val="21"/>
          <w:szCs w:val="21"/>
        </w:rPr>
        <w:drawing>
          <wp:anchor distT="0" distB="0" distL="114300" distR="114300" simplePos="0" relativeHeight="251686400" behindDoc="1" locked="0" layoutInCell="1" allowOverlap="1" wp14:anchorId="37FFDA15" wp14:editId="306C2DBB">
            <wp:simplePos x="0" y="0"/>
            <wp:positionH relativeFrom="column">
              <wp:posOffset>-243840</wp:posOffset>
            </wp:positionH>
            <wp:positionV relativeFrom="paragraph">
              <wp:posOffset>1406525</wp:posOffset>
            </wp:positionV>
            <wp:extent cx="3067050" cy="3108960"/>
            <wp:effectExtent l="0" t="0" r="19050" b="15240"/>
            <wp:wrapTight wrapText="bothSides">
              <wp:wrapPolygon edited="0">
                <wp:start x="0" y="0"/>
                <wp:lineTo x="0" y="21574"/>
                <wp:lineTo x="21600" y="21574"/>
                <wp:lineTo x="21600"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9A3023" w:rsidRPr="003C4969">
        <w:rPr>
          <w:rFonts w:asciiTheme="minorHAnsi" w:hAnsiTheme="minorHAnsi"/>
          <w:sz w:val="21"/>
          <w:szCs w:val="21"/>
        </w:rPr>
        <w:t>During the 10</w:t>
      </w:r>
      <w:r w:rsidR="001500F7" w:rsidRPr="003C4969">
        <w:rPr>
          <w:rFonts w:asciiTheme="minorHAnsi" w:hAnsiTheme="minorHAnsi"/>
          <w:sz w:val="21"/>
          <w:szCs w:val="21"/>
        </w:rPr>
        <w:t xml:space="preserve">-year period </w:t>
      </w:r>
      <w:r w:rsidR="009A3023" w:rsidRPr="003C4969">
        <w:rPr>
          <w:rFonts w:asciiTheme="minorHAnsi" w:hAnsiTheme="minorHAnsi"/>
          <w:sz w:val="21"/>
          <w:szCs w:val="21"/>
        </w:rPr>
        <w:t>of 2006</w:t>
      </w:r>
      <w:r w:rsidR="001500F7" w:rsidRPr="003C4969">
        <w:rPr>
          <w:rFonts w:asciiTheme="minorHAnsi" w:hAnsiTheme="minorHAnsi"/>
          <w:sz w:val="21"/>
          <w:szCs w:val="21"/>
        </w:rPr>
        <w:t>-2015, the</w:t>
      </w:r>
      <w:r w:rsidR="00EF4F51" w:rsidRPr="003C4969">
        <w:rPr>
          <w:rFonts w:asciiTheme="minorHAnsi" w:hAnsiTheme="minorHAnsi"/>
          <w:sz w:val="21"/>
          <w:szCs w:val="21"/>
        </w:rPr>
        <w:t xml:space="preserve"> average annual</w:t>
      </w:r>
      <w:r w:rsidR="001500F7" w:rsidRPr="003C4969">
        <w:rPr>
          <w:rFonts w:asciiTheme="minorHAnsi" w:hAnsiTheme="minorHAnsi"/>
          <w:sz w:val="21"/>
          <w:szCs w:val="21"/>
        </w:rPr>
        <w:t xml:space="preserve"> Massachusetts SUID rate </w:t>
      </w:r>
      <w:r w:rsidR="00881C55" w:rsidRPr="003C4969">
        <w:rPr>
          <w:rFonts w:asciiTheme="minorHAnsi" w:hAnsiTheme="minorHAnsi"/>
          <w:sz w:val="21"/>
          <w:szCs w:val="21"/>
        </w:rPr>
        <w:t xml:space="preserve">was </w:t>
      </w:r>
      <w:r w:rsidR="00FA0B05" w:rsidRPr="003C4969">
        <w:rPr>
          <w:rFonts w:asciiTheme="minorHAnsi" w:hAnsiTheme="minorHAnsi"/>
          <w:sz w:val="21"/>
          <w:szCs w:val="21"/>
        </w:rPr>
        <w:t>49.4</w:t>
      </w:r>
      <w:r w:rsidR="00B4658F" w:rsidRPr="003C4969">
        <w:rPr>
          <w:rFonts w:asciiTheme="minorHAnsi" w:hAnsiTheme="minorHAnsi"/>
          <w:sz w:val="21"/>
          <w:szCs w:val="21"/>
        </w:rPr>
        <w:t xml:space="preserve"> per 100,000</w:t>
      </w:r>
      <w:r w:rsidR="009B2292">
        <w:rPr>
          <w:rFonts w:asciiTheme="minorHAnsi" w:hAnsiTheme="minorHAnsi"/>
          <w:sz w:val="21"/>
          <w:szCs w:val="21"/>
        </w:rPr>
        <w:t xml:space="preserve"> (95% CI</w:t>
      </w:r>
      <w:r w:rsidR="00C52785" w:rsidRPr="003C4969">
        <w:rPr>
          <w:rFonts w:asciiTheme="minorHAnsi" w:hAnsiTheme="minorHAnsi"/>
          <w:sz w:val="21"/>
          <w:szCs w:val="21"/>
        </w:rPr>
        <w:t xml:space="preserve"> </w:t>
      </w:r>
      <w:r w:rsidR="009B2292">
        <w:rPr>
          <w:rFonts w:asciiTheme="minorHAnsi" w:hAnsiTheme="minorHAnsi"/>
          <w:sz w:val="21"/>
          <w:szCs w:val="21"/>
        </w:rPr>
        <w:t>[</w:t>
      </w:r>
      <w:r w:rsidR="00C52785" w:rsidRPr="003C4969">
        <w:rPr>
          <w:rFonts w:asciiTheme="minorHAnsi" w:hAnsiTheme="minorHAnsi"/>
          <w:sz w:val="21"/>
          <w:szCs w:val="21"/>
        </w:rPr>
        <w:t>44.3, 54.5</w:t>
      </w:r>
      <w:r w:rsidR="009B2292">
        <w:rPr>
          <w:rFonts w:asciiTheme="minorHAnsi" w:hAnsiTheme="minorHAnsi"/>
          <w:sz w:val="21"/>
          <w:szCs w:val="21"/>
        </w:rPr>
        <w:t>]</w:t>
      </w:r>
      <w:r w:rsidR="00571EBA" w:rsidRPr="003C4969">
        <w:rPr>
          <w:rFonts w:asciiTheme="minorHAnsi" w:hAnsiTheme="minorHAnsi"/>
          <w:sz w:val="21"/>
          <w:szCs w:val="21"/>
        </w:rPr>
        <w:t>)</w:t>
      </w:r>
      <w:r w:rsidR="00B4658F" w:rsidRPr="003C4969">
        <w:rPr>
          <w:rFonts w:asciiTheme="minorHAnsi" w:hAnsiTheme="minorHAnsi"/>
          <w:sz w:val="21"/>
          <w:szCs w:val="21"/>
        </w:rPr>
        <w:t xml:space="preserve"> infants less than one year of age. </w:t>
      </w:r>
      <w:r w:rsidR="009C66DD" w:rsidRPr="003C4969">
        <w:rPr>
          <w:rFonts w:asciiTheme="minorHAnsi" w:hAnsiTheme="minorHAnsi"/>
          <w:sz w:val="21"/>
          <w:szCs w:val="21"/>
        </w:rPr>
        <w:t xml:space="preserve">The SUID rate in the Northwest district, which </w:t>
      </w:r>
      <w:r w:rsidR="003533AB" w:rsidRPr="003C4969">
        <w:rPr>
          <w:rFonts w:asciiTheme="minorHAnsi" w:hAnsiTheme="minorHAnsi"/>
          <w:sz w:val="21"/>
          <w:szCs w:val="21"/>
        </w:rPr>
        <w:t>includes Franklin and Hampshire counties</w:t>
      </w:r>
      <w:r w:rsidR="009C66DD" w:rsidRPr="003C4969">
        <w:rPr>
          <w:rFonts w:asciiTheme="minorHAnsi" w:hAnsiTheme="minorHAnsi"/>
          <w:sz w:val="21"/>
          <w:szCs w:val="21"/>
        </w:rPr>
        <w:t>,</w:t>
      </w:r>
      <w:r w:rsidR="003533AB" w:rsidRPr="003C4969">
        <w:rPr>
          <w:rFonts w:asciiTheme="minorHAnsi" w:hAnsiTheme="minorHAnsi"/>
          <w:sz w:val="21"/>
          <w:szCs w:val="21"/>
        </w:rPr>
        <w:t xml:space="preserve"> </w:t>
      </w:r>
      <w:r w:rsidR="009C66DD" w:rsidRPr="003C4969">
        <w:rPr>
          <w:rFonts w:asciiTheme="minorHAnsi" w:hAnsiTheme="minorHAnsi"/>
          <w:sz w:val="21"/>
          <w:szCs w:val="21"/>
        </w:rPr>
        <w:t>was</w:t>
      </w:r>
      <w:r w:rsidR="003533AB" w:rsidRPr="003C4969">
        <w:rPr>
          <w:rFonts w:asciiTheme="minorHAnsi" w:hAnsiTheme="minorHAnsi"/>
          <w:sz w:val="21"/>
          <w:szCs w:val="21"/>
        </w:rPr>
        <w:t xml:space="preserve"> </w:t>
      </w:r>
      <w:r w:rsidR="001F791D" w:rsidRPr="003C4969">
        <w:rPr>
          <w:rFonts w:asciiTheme="minorHAnsi" w:hAnsiTheme="minorHAnsi"/>
          <w:sz w:val="21"/>
          <w:szCs w:val="21"/>
        </w:rPr>
        <w:t xml:space="preserve">significantly </w:t>
      </w:r>
      <w:r w:rsidR="003533AB" w:rsidRPr="003C4969">
        <w:rPr>
          <w:rFonts w:asciiTheme="minorHAnsi" w:hAnsiTheme="minorHAnsi"/>
          <w:sz w:val="21"/>
          <w:szCs w:val="21"/>
        </w:rPr>
        <w:t>higher than the state rate</w:t>
      </w:r>
      <w:r w:rsidR="00D00B18" w:rsidRPr="003C4969">
        <w:rPr>
          <w:rFonts w:asciiTheme="minorHAnsi" w:hAnsiTheme="minorHAnsi"/>
          <w:sz w:val="21"/>
          <w:szCs w:val="21"/>
        </w:rPr>
        <w:t xml:space="preserve"> </w:t>
      </w:r>
      <w:r w:rsidR="006F637F" w:rsidRPr="003C4969">
        <w:rPr>
          <w:rFonts w:asciiTheme="minorHAnsi" w:hAnsiTheme="minorHAnsi"/>
          <w:sz w:val="21"/>
          <w:szCs w:val="21"/>
        </w:rPr>
        <w:t>(</w:t>
      </w:r>
      <w:r w:rsidR="00716384" w:rsidRPr="003C4969">
        <w:rPr>
          <w:rFonts w:asciiTheme="minorHAnsi" w:hAnsiTheme="minorHAnsi"/>
          <w:sz w:val="21"/>
          <w:szCs w:val="21"/>
        </w:rPr>
        <w:t>Figure 3)</w:t>
      </w:r>
      <w:r w:rsidR="003533AB" w:rsidRPr="003C4969">
        <w:rPr>
          <w:rFonts w:asciiTheme="minorHAnsi" w:hAnsiTheme="minorHAnsi"/>
          <w:sz w:val="21"/>
          <w:szCs w:val="21"/>
        </w:rPr>
        <w:t>.</w:t>
      </w:r>
      <w:r w:rsidR="009C66DD" w:rsidRPr="003C4969">
        <w:rPr>
          <w:rFonts w:asciiTheme="minorHAnsi" w:hAnsiTheme="minorHAnsi"/>
          <w:sz w:val="21"/>
          <w:szCs w:val="21"/>
        </w:rPr>
        <w:t xml:space="preserve"> While other district</w:t>
      </w:r>
      <w:r w:rsidR="00716384" w:rsidRPr="003C4969">
        <w:rPr>
          <w:rFonts w:asciiTheme="minorHAnsi" w:hAnsiTheme="minorHAnsi"/>
          <w:sz w:val="21"/>
          <w:szCs w:val="21"/>
        </w:rPr>
        <w:t>s</w:t>
      </w:r>
      <w:r w:rsidR="009C66DD" w:rsidRPr="003C4969">
        <w:rPr>
          <w:rFonts w:asciiTheme="minorHAnsi" w:hAnsiTheme="minorHAnsi"/>
          <w:sz w:val="21"/>
          <w:szCs w:val="21"/>
        </w:rPr>
        <w:t xml:space="preserve"> had rates that differed from the state rate,</w:t>
      </w:r>
      <w:r w:rsidR="00E751AD" w:rsidRPr="003C4969">
        <w:rPr>
          <w:rFonts w:asciiTheme="minorHAnsi" w:hAnsiTheme="minorHAnsi"/>
          <w:sz w:val="21"/>
          <w:szCs w:val="21"/>
        </w:rPr>
        <w:t xml:space="preserve"> </w:t>
      </w:r>
      <w:r w:rsidR="00A07645" w:rsidRPr="003C4969">
        <w:rPr>
          <w:rFonts w:asciiTheme="minorHAnsi" w:hAnsiTheme="minorHAnsi"/>
          <w:sz w:val="21"/>
          <w:szCs w:val="21"/>
        </w:rPr>
        <w:t>those</w:t>
      </w:r>
      <w:r w:rsidR="009C66DD" w:rsidRPr="003C4969">
        <w:rPr>
          <w:rFonts w:asciiTheme="minorHAnsi" w:hAnsiTheme="minorHAnsi"/>
          <w:sz w:val="21"/>
          <w:szCs w:val="21"/>
        </w:rPr>
        <w:t xml:space="preserve"> </w:t>
      </w:r>
      <w:r w:rsidR="00A07645" w:rsidRPr="003C4969">
        <w:rPr>
          <w:rFonts w:asciiTheme="minorHAnsi" w:hAnsiTheme="minorHAnsi"/>
          <w:sz w:val="21"/>
          <w:szCs w:val="21"/>
        </w:rPr>
        <w:t>differences were not statistically significant.</w:t>
      </w:r>
    </w:p>
    <w:p w14:paraId="1C856243" w14:textId="77777777" w:rsidR="003F4A52" w:rsidRPr="00431E49" w:rsidRDefault="00F103E7" w:rsidP="00431E49">
      <w:pPr>
        <w:spacing w:after="120"/>
        <w:jc w:val="both"/>
        <w:rPr>
          <w:rFonts w:asciiTheme="majorHAnsi" w:hAnsiTheme="majorHAnsi"/>
          <w:i/>
          <w:color w:val="A86C2A" w:themeColor="accent6" w:themeShade="BF"/>
          <w:sz w:val="24"/>
        </w:rPr>
      </w:pPr>
      <w:r>
        <w:rPr>
          <w:rFonts w:asciiTheme="majorHAnsi" w:hAnsiTheme="majorHAnsi"/>
          <w:i/>
          <w:color w:val="A86C2A" w:themeColor="accent6" w:themeShade="BF"/>
          <w:sz w:val="24"/>
        </w:rPr>
        <w:t xml:space="preserve">Trends in SUID in Massachusetts </w:t>
      </w:r>
      <w:r w:rsidR="00486F85">
        <w:rPr>
          <w:rFonts w:asciiTheme="majorHAnsi" w:hAnsiTheme="majorHAnsi"/>
          <w:i/>
          <w:color w:val="A86C2A" w:themeColor="accent6" w:themeShade="BF"/>
          <w:sz w:val="24"/>
        </w:rPr>
        <w:t>and the US</w:t>
      </w:r>
    </w:p>
    <w:p w14:paraId="44176467" w14:textId="77777777" w:rsidR="00F103E7" w:rsidRPr="003C4969" w:rsidRDefault="00386631" w:rsidP="005F6B4C">
      <w:pPr>
        <w:pStyle w:val="PlainText"/>
        <w:rPr>
          <w:rFonts w:asciiTheme="minorHAnsi" w:hAnsiTheme="minorHAnsi"/>
          <w:sz w:val="21"/>
        </w:rPr>
      </w:pPr>
      <w:r w:rsidRPr="003C4969">
        <w:rPr>
          <w:rFonts w:asciiTheme="minorHAnsi" w:hAnsiTheme="minorHAnsi"/>
          <w:sz w:val="21"/>
        </w:rPr>
        <w:t>The rate of SUID in Massachusetts is significantly lower than th</w:t>
      </w:r>
      <w:r w:rsidR="00376BD9" w:rsidRPr="003C4969">
        <w:rPr>
          <w:rFonts w:asciiTheme="minorHAnsi" w:hAnsiTheme="minorHAnsi"/>
          <w:sz w:val="21"/>
        </w:rPr>
        <w:t>e national rate: in 2015, the Massachusetts</w:t>
      </w:r>
      <w:r w:rsidRPr="003C4969">
        <w:rPr>
          <w:rFonts w:asciiTheme="minorHAnsi" w:hAnsiTheme="minorHAnsi"/>
          <w:sz w:val="21"/>
        </w:rPr>
        <w:t xml:space="preserve"> SUID rate was 53.2 deaths per </w:t>
      </w:r>
      <w:r w:rsidR="00601C54" w:rsidRPr="003C4969">
        <w:rPr>
          <w:rFonts w:asciiTheme="minorHAnsi" w:hAnsiTheme="minorHAnsi"/>
          <w:sz w:val="21"/>
        </w:rPr>
        <w:t>100,000 infants compared to 92.2</w:t>
      </w:r>
      <w:r w:rsidRPr="003C4969">
        <w:rPr>
          <w:rFonts w:asciiTheme="minorHAnsi" w:hAnsiTheme="minorHAnsi"/>
          <w:sz w:val="21"/>
        </w:rPr>
        <w:t xml:space="preserve"> per 100,000 infants nationally (Figure 4). </w:t>
      </w:r>
      <w:r w:rsidR="00F103E7" w:rsidRPr="003C4969">
        <w:rPr>
          <w:rFonts w:asciiTheme="minorHAnsi" w:hAnsiTheme="minorHAnsi"/>
          <w:sz w:val="21"/>
        </w:rPr>
        <w:t xml:space="preserve">During the 10-year period of 2006-2015, there were no statistically significant </w:t>
      </w:r>
      <w:r w:rsidR="00F273BF" w:rsidRPr="003C4969">
        <w:rPr>
          <w:rFonts w:asciiTheme="minorHAnsi" w:hAnsiTheme="minorHAnsi"/>
          <w:sz w:val="21"/>
        </w:rPr>
        <w:t>trends</w:t>
      </w:r>
      <w:r w:rsidR="00F103E7" w:rsidRPr="003C4969">
        <w:rPr>
          <w:rFonts w:asciiTheme="minorHAnsi" w:hAnsiTheme="minorHAnsi"/>
          <w:sz w:val="21"/>
        </w:rPr>
        <w:t xml:space="preserve"> in the Massachusetts </w:t>
      </w:r>
      <w:r w:rsidRPr="003C4969">
        <w:rPr>
          <w:rFonts w:asciiTheme="minorHAnsi" w:hAnsiTheme="minorHAnsi"/>
          <w:sz w:val="21"/>
        </w:rPr>
        <w:t>or the national SUID</w:t>
      </w:r>
      <w:r w:rsidR="00F103E7" w:rsidRPr="003C4969">
        <w:rPr>
          <w:rFonts w:asciiTheme="minorHAnsi" w:hAnsiTheme="minorHAnsi"/>
          <w:sz w:val="21"/>
        </w:rPr>
        <w:t xml:space="preserve"> rate. </w:t>
      </w:r>
    </w:p>
    <w:p w14:paraId="5073A8DF" w14:textId="0034AED9" w:rsidR="00376EFC" w:rsidRPr="003C4969" w:rsidRDefault="00BB1CA0" w:rsidP="005F6B4C">
      <w:pPr>
        <w:spacing w:after="120"/>
        <w:rPr>
          <w:rFonts w:asciiTheme="minorHAnsi" w:hAnsiTheme="minorHAnsi"/>
          <w:sz w:val="21"/>
          <w:szCs w:val="21"/>
        </w:rPr>
      </w:pPr>
      <w:r w:rsidRPr="003C4969">
        <w:rPr>
          <w:rFonts w:asciiTheme="minorHAnsi" w:hAnsiTheme="minorHAnsi"/>
          <w:noProof/>
          <w:sz w:val="21"/>
          <w:szCs w:val="21"/>
        </w:rPr>
        <w:lastRenderedPageBreak/>
        <w:drawing>
          <wp:anchor distT="0" distB="0" distL="114300" distR="114300" simplePos="0" relativeHeight="251685376" behindDoc="1" locked="0" layoutInCell="1" allowOverlap="1" wp14:anchorId="294EC058" wp14:editId="121AA0F7">
            <wp:simplePos x="0" y="0"/>
            <wp:positionH relativeFrom="column">
              <wp:posOffset>-167640</wp:posOffset>
            </wp:positionH>
            <wp:positionV relativeFrom="paragraph">
              <wp:posOffset>134620</wp:posOffset>
            </wp:positionV>
            <wp:extent cx="3459480" cy="2255520"/>
            <wp:effectExtent l="0" t="0" r="26670" b="11430"/>
            <wp:wrapTight wrapText="bothSides">
              <wp:wrapPolygon edited="0">
                <wp:start x="0" y="0"/>
                <wp:lineTo x="0" y="21527"/>
                <wp:lineTo x="21648" y="21527"/>
                <wp:lineTo x="21648"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386631" w:rsidRPr="003C4969">
        <w:rPr>
          <w:rFonts w:asciiTheme="minorHAnsi" w:hAnsiTheme="minorHAnsi"/>
          <w:sz w:val="21"/>
          <w:szCs w:val="21"/>
        </w:rPr>
        <w:t>Due to the small number of SUI</w:t>
      </w:r>
      <w:r w:rsidR="00630D65" w:rsidRPr="003C4969">
        <w:rPr>
          <w:rFonts w:asciiTheme="minorHAnsi" w:hAnsiTheme="minorHAnsi"/>
          <w:sz w:val="21"/>
          <w:szCs w:val="21"/>
        </w:rPr>
        <w:t>D cases in Massachusetts, the</w:t>
      </w:r>
      <w:r w:rsidR="00386631" w:rsidRPr="003C4969">
        <w:rPr>
          <w:rFonts w:asciiTheme="minorHAnsi" w:hAnsiTheme="minorHAnsi"/>
          <w:sz w:val="21"/>
          <w:szCs w:val="21"/>
        </w:rPr>
        <w:t xml:space="preserve"> rate </w:t>
      </w:r>
      <w:r w:rsidR="001F791D" w:rsidRPr="003C4969">
        <w:rPr>
          <w:rFonts w:asciiTheme="minorHAnsi" w:hAnsiTheme="minorHAnsi"/>
          <w:sz w:val="21"/>
          <w:szCs w:val="21"/>
        </w:rPr>
        <w:t xml:space="preserve">can fluctuate </w:t>
      </w:r>
      <w:r w:rsidR="00386631" w:rsidRPr="003C4969">
        <w:rPr>
          <w:rFonts w:asciiTheme="minorHAnsi" w:hAnsiTheme="minorHAnsi"/>
          <w:sz w:val="21"/>
          <w:szCs w:val="21"/>
        </w:rPr>
        <w:t xml:space="preserve">from year to year. A three-year rolling average annual rate is also presented to minimize the annual fluctuations and better visualize any trends in the rate (Figure 5). </w:t>
      </w:r>
      <w:r w:rsidR="000F2B07" w:rsidRPr="003C4969">
        <w:rPr>
          <w:rFonts w:asciiTheme="minorHAnsi" w:hAnsiTheme="minorHAnsi"/>
          <w:sz w:val="21"/>
          <w:szCs w:val="21"/>
        </w:rPr>
        <w:t>While</w:t>
      </w:r>
      <w:r w:rsidR="00804127" w:rsidRPr="003C4969">
        <w:rPr>
          <w:rFonts w:asciiTheme="minorHAnsi" w:hAnsiTheme="minorHAnsi"/>
          <w:sz w:val="21"/>
          <w:szCs w:val="21"/>
        </w:rPr>
        <w:t xml:space="preserve"> the 3-year rolling average annual SUID rate </w:t>
      </w:r>
      <w:r w:rsidR="00E0014A" w:rsidRPr="003C4969">
        <w:rPr>
          <w:rFonts w:asciiTheme="minorHAnsi" w:hAnsiTheme="minorHAnsi"/>
          <w:sz w:val="21"/>
          <w:szCs w:val="21"/>
        </w:rPr>
        <w:t>indicates a potential downward trend</w:t>
      </w:r>
      <w:r w:rsidR="00C81DEC" w:rsidRPr="003C4969">
        <w:rPr>
          <w:rFonts w:asciiTheme="minorHAnsi" w:hAnsiTheme="minorHAnsi"/>
          <w:sz w:val="21"/>
          <w:szCs w:val="21"/>
        </w:rPr>
        <w:t xml:space="preserve"> since 2007-2009</w:t>
      </w:r>
      <w:r w:rsidR="00804127" w:rsidRPr="003C4969">
        <w:rPr>
          <w:rFonts w:asciiTheme="minorHAnsi" w:hAnsiTheme="minorHAnsi"/>
          <w:sz w:val="21"/>
          <w:szCs w:val="21"/>
        </w:rPr>
        <w:t xml:space="preserve">, </w:t>
      </w:r>
      <w:r w:rsidR="00E0014A" w:rsidRPr="003C4969">
        <w:rPr>
          <w:rFonts w:asciiTheme="minorHAnsi" w:hAnsiTheme="minorHAnsi"/>
          <w:sz w:val="21"/>
          <w:szCs w:val="21"/>
        </w:rPr>
        <w:t>the changes in the rate are not statistically significant.</w:t>
      </w:r>
    </w:p>
    <w:p w14:paraId="3961B22A" w14:textId="7BA83F3E" w:rsidR="003C4969" w:rsidRDefault="00BB1CA0" w:rsidP="00D50C81">
      <w:pPr>
        <w:spacing w:after="120"/>
        <w:rPr>
          <w:rFonts w:asciiTheme="majorHAnsi" w:hAnsiTheme="majorHAnsi"/>
          <w:b/>
          <w:color w:val="A86C2A" w:themeColor="accent6" w:themeShade="BF"/>
          <w:sz w:val="24"/>
        </w:rPr>
      </w:pPr>
      <w:r w:rsidRPr="003C4969">
        <w:rPr>
          <w:rFonts w:asciiTheme="majorHAnsi" w:hAnsiTheme="majorHAnsi"/>
          <w:i/>
          <w:noProof/>
          <w:color w:val="A86C2A" w:themeColor="accent6" w:themeShade="BF"/>
          <w:sz w:val="21"/>
          <w:szCs w:val="21"/>
        </w:rPr>
        <w:drawing>
          <wp:anchor distT="0" distB="0" distL="114300" distR="114300" simplePos="0" relativeHeight="251682304" behindDoc="1" locked="0" layoutInCell="1" allowOverlap="1" wp14:anchorId="74C05D39" wp14:editId="2AC9E997">
            <wp:simplePos x="0" y="0"/>
            <wp:positionH relativeFrom="column">
              <wp:posOffset>-53340</wp:posOffset>
            </wp:positionH>
            <wp:positionV relativeFrom="paragraph">
              <wp:posOffset>38735</wp:posOffset>
            </wp:positionV>
            <wp:extent cx="2973705" cy="2712720"/>
            <wp:effectExtent l="0" t="0" r="17145" b="11430"/>
            <wp:wrapTight wrapText="bothSides">
              <wp:wrapPolygon edited="0">
                <wp:start x="0" y="0"/>
                <wp:lineTo x="0" y="21539"/>
                <wp:lineTo x="21586" y="21539"/>
                <wp:lineTo x="21586"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9D35CD">
        <w:rPr>
          <w:rFonts w:asciiTheme="minorHAnsi" w:hAnsiTheme="minorHAnsi"/>
          <w:noProof/>
          <w:sz w:val="23"/>
          <w:szCs w:val="23"/>
        </w:rPr>
        <mc:AlternateContent>
          <mc:Choice Requires="wps">
            <w:drawing>
              <wp:anchor distT="0" distB="0" distL="114300" distR="114300" simplePos="0" relativeHeight="251698688" behindDoc="0" locked="0" layoutInCell="1" allowOverlap="1" wp14:anchorId="4E5DDFA4" wp14:editId="0D6D2641">
                <wp:simplePos x="0" y="0"/>
                <wp:positionH relativeFrom="column">
                  <wp:posOffset>118110</wp:posOffset>
                </wp:positionH>
                <wp:positionV relativeFrom="paragraph">
                  <wp:posOffset>-361315</wp:posOffset>
                </wp:positionV>
                <wp:extent cx="2790825" cy="285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5750"/>
                        </a:xfrm>
                        <a:prstGeom prst="rect">
                          <a:avLst/>
                        </a:prstGeom>
                        <a:noFill/>
                        <a:ln w="9525">
                          <a:noFill/>
                          <a:miter lim="800000"/>
                          <a:headEnd/>
                          <a:tailEnd/>
                        </a:ln>
                      </wps:spPr>
                      <wps:txbx>
                        <w:txbxContent>
                          <w:p w14:paraId="2663ACF1" w14:textId="77777777" w:rsidR="005276C5" w:rsidRPr="00872748" w:rsidRDefault="005276C5" w:rsidP="00EF755A">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Vital Records &amp; Statistics, 2006</w:t>
                            </w:r>
                            <w:r w:rsidRPr="00872748">
                              <w:rPr>
                                <w:rFonts w:asciiTheme="minorHAnsi" w:hAnsiTheme="minorHAnsi"/>
                                <w:i/>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E5DDFA4" id="_x0000_s1031" type="#_x0000_t202" style="position:absolute;margin-left:9.3pt;margin-top:-28.45pt;width:219.75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" filled="f" stroked="f">
                <v:textbox>
                  <w:txbxContent>
                    <w:p w14:paraId="2663ACF1" w14:textId="77777777" w:rsidR="005276C5" w:rsidRPr="00872748" w:rsidRDefault="005276C5" w:rsidP="00EF755A">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Vital Records &amp; Statistics, 2006</w:t>
                      </w:r>
                      <w:r w:rsidRPr="00872748">
                        <w:rPr>
                          <w:rFonts w:asciiTheme="minorHAnsi" w:hAnsiTheme="minorHAnsi"/>
                          <w:i/>
                          <w:sz w:val="16"/>
                          <w:szCs w:val="16"/>
                        </w:rPr>
                        <w:t>-2015</w:t>
                      </w:r>
                    </w:p>
                  </w:txbxContent>
                </v:textbox>
              </v:shape>
            </w:pict>
          </mc:Fallback>
        </mc:AlternateContent>
      </w:r>
    </w:p>
    <w:p w14:paraId="00224A9B" w14:textId="008F1D8C" w:rsidR="00357506" w:rsidRDefault="00BB1CA0" w:rsidP="00D50C81">
      <w:pPr>
        <w:spacing w:after="120"/>
        <w:rPr>
          <w:rFonts w:asciiTheme="majorHAnsi" w:hAnsiTheme="majorHAnsi"/>
          <w:b/>
          <w:color w:val="A86C2A" w:themeColor="accent6" w:themeShade="BF"/>
          <w:sz w:val="24"/>
        </w:rPr>
      </w:pPr>
      <w:r w:rsidRPr="007344D7">
        <w:rPr>
          <w:rFonts w:asciiTheme="minorHAnsi" w:hAnsiTheme="minorHAnsi"/>
          <w:noProof/>
          <w:sz w:val="22"/>
          <w:szCs w:val="22"/>
        </w:rPr>
        <mc:AlternateContent>
          <mc:Choice Requires="wps">
            <w:drawing>
              <wp:anchor distT="0" distB="0" distL="114300" distR="114300" simplePos="0" relativeHeight="251702784" behindDoc="0" locked="0" layoutInCell="1" allowOverlap="1" wp14:anchorId="3C6E4837" wp14:editId="2F614D67">
                <wp:simplePos x="0" y="0"/>
                <wp:positionH relativeFrom="column">
                  <wp:posOffset>-3560445</wp:posOffset>
                </wp:positionH>
                <wp:positionV relativeFrom="paragraph">
                  <wp:posOffset>57150</wp:posOffset>
                </wp:positionV>
                <wp:extent cx="2914650" cy="2190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9075"/>
                        </a:xfrm>
                        <a:prstGeom prst="rect">
                          <a:avLst/>
                        </a:prstGeom>
                        <a:noFill/>
                        <a:ln w="9525">
                          <a:noFill/>
                          <a:miter lim="800000"/>
                          <a:headEnd/>
                          <a:tailEnd/>
                        </a:ln>
                      </wps:spPr>
                      <wps:txbx>
                        <w:txbxContent>
                          <w:p w14:paraId="4C2FD322" w14:textId="77777777" w:rsidR="005276C5" w:rsidRPr="00872748" w:rsidRDefault="005276C5" w:rsidP="00EF755A">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Vital Records &amp; Statistics, 2006</w:t>
                            </w:r>
                            <w:r w:rsidRPr="00872748">
                              <w:rPr>
                                <w:rFonts w:asciiTheme="minorHAnsi" w:hAnsiTheme="minorHAnsi"/>
                                <w:i/>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C6E4837" id="_x0000_s1032" type="#_x0000_t202" style="position:absolute;margin-left:-280.35pt;margin-top:4.5pt;width:229.5pt;height:17.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" filled="f" stroked="f">
                <v:textbox>
                  <w:txbxContent>
                    <w:p w14:paraId="4C2FD322" w14:textId="77777777" w:rsidR="005276C5" w:rsidRPr="00872748" w:rsidRDefault="005276C5" w:rsidP="00EF755A">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Vital Records &amp; Statistics, 2006</w:t>
                      </w:r>
                      <w:r w:rsidRPr="00872748">
                        <w:rPr>
                          <w:rFonts w:asciiTheme="minorHAnsi" w:hAnsiTheme="minorHAnsi"/>
                          <w:i/>
                          <w:sz w:val="16"/>
                          <w:szCs w:val="16"/>
                        </w:rPr>
                        <w:t>-2015</w:t>
                      </w:r>
                    </w:p>
                  </w:txbxContent>
                </v:textbox>
              </v:shape>
            </w:pict>
          </mc:Fallback>
        </mc:AlternateContent>
      </w:r>
      <w:r w:rsidR="001565F3">
        <w:rPr>
          <w:rFonts w:asciiTheme="majorHAnsi" w:hAnsiTheme="majorHAnsi"/>
          <w:b/>
          <w:color w:val="A86C2A" w:themeColor="accent6" w:themeShade="BF"/>
          <w:sz w:val="24"/>
        </w:rPr>
        <w:t>Risk and Protective Factors Associate</w:t>
      </w:r>
      <w:r w:rsidR="00B071DB">
        <w:rPr>
          <w:rFonts w:asciiTheme="majorHAnsi" w:hAnsiTheme="majorHAnsi"/>
          <w:b/>
          <w:color w:val="A86C2A" w:themeColor="accent6" w:themeShade="BF"/>
          <w:sz w:val="24"/>
        </w:rPr>
        <w:t>d</w:t>
      </w:r>
      <w:r w:rsidR="001565F3">
        <w:rPr>
          <w:rFonts w:asciiTheme="majorHAnsi" w:hAnsiTheme="majorHAnsi"/>
          <w:b/>
          <w:color w:val="A86C2A" w:themeColor="accent6" w:themeShade="BF"/>
          <w:sz w:val="24"/>
        </w:rPr>
        <w:t xml:space="preserve"> with SUID </w:t>
      </w:r>
    </w:p>
    <w:p w14:paraId="3E94DCBF" w14:textId="416B3BF6" w:rsidR="00357506" w:rsidRPr="003C4969" w:rsidRDefault="00BB1CA0" w:rsidP="005F6B4C">
      <w:pPr>
        <w:rPr>
          <w:rFonts w:asciiTheme="minorHAnsi" w:hAnsiTheme="minorHAnsi"/>
          <w:sz w:val="21"/>
          <w:szCs w:val="21"/>
        </w:rPr>
      </w:pPr>
      <w:r w:rsidRPr="003C4969">
        <w:rPr>
          <w:rFonts w:asciiTheme="minorHAnsi" w:hAnsiTheme="minorHAnsi"/>
          <w:noProof/>
          <w:sz w:val="21"/>
          <w:szCs w:val="21"/>
        </w:rPr>
        <mc:AlternateContent>
          <mc:Choice Requires="wps">
            <w:drawing>
              <wp:anchor distT="0" distB="0" distL="114300" distR="114300" simplePos="0" relativeHeight="251719168" behindDoc="0" locked="0" layoutInCell="1" allowOverlap="1" wp14:anchorId="22162CB0" wp14:editId="25A32E51">
                <wp:simplePos x="0" y="0"/>
                <wp:positionH relativeFrom="column">
                  <wp:posOffset>-3643630</wp:posOffset>
                </wp:positionH>
                <wp:positionV relativeFrom="paragraph">
                  <wp:posOffset>3709670</wp:posOffset>
                </wp:positionV>
                <wp:extent cx="3200400" cy="3429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w="9525">
                          <a:noFill/>
                          <a:miter lim="800000"/>
                          <a:headEnd/>
                          <a:tailEnd/>
                        </a:ln>
                      </wps:spPr>
                      <wps:txbx>
                        <w:txbxContent>
                          <w:p w14:paraId="27F29D4F" w14:textId="77777777" w:rsidR="005276C5" w:rsidRPr="00872748" w:rsidRDefault="005276C5" w:rsidP="00823BE6">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 xml:space="preserve">Vital Records &amp; Statistics and National Center for Health Statistics, 2006- </w:t>
                            </w:r>
                            <w:r w:rsidRPr="00872748">
                              <w:rPr>
                                <w:rFonts w:asciiTheme="minorHAnsi" w:hAnsiTheme="minorHAnsi"/>
                                <w:i/>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2162CB0" id="_x0000_s1033" type="#_x0000_t202" style="position:absolute;margin-left:-286.9pt;margin-top:292.1pt;width:252pt;height:2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" filled="f" stroked="f">
                <v:textbox>
                  <w:txbxContent>
                    <w:p w14:paraId="27F29D4F" w14:textId="77777777" w:rsidR="005276C5" w:rsidRPr="00872748" w:rsidRDefault="005276C5" w:rsidP="00823BE6">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 xml:space="preserve">Vital Records &amp; Statistics and National Center for Health Statistics, 2006- </w:t>
                      </w:r>
                      <w:r w:rsidRPr="00872748">
                        <w:rPr>
                          <w:rFonts w:asciiTheme="minorHAnsi" w:hAnsiTheme="minorHAnsi"/>
                          <w:i/>
                          <w:sz w:val="16"/>
                          <w:szCs w:val="16"/>
                        </w:rPr>
                        <w:t>2015</w:t>
                      </w:r>
                    </w:p>
                  </w:txbxContent>
                </v:textbox>
              </v:shape>
            </w:pict>
          </mc:Fallback>
        </mc:AlternateContent>
      </w:r>
      <w:r w:rsidR="00357506" w:rsidRPr="003C4969">
        <w:rPr>
          <w:rFonts w:asciiTheme="minorHAnsi" w:hAnsiTheme="minorHAnsi"/>
          <w:sz w:val="21"/>
          <w:szCs w:val="21"/>
        </w:rPr>
        <w:t>Risk factors associated with SUID include so</w:t>
      </w:r>
      <w:r w:rsidR="00C5789C" w:rsidRPr="003C4969">
        <w:rPr>
          <w:rFonts w:asciiTheme="minorHAnsi" w:hAnsiTheme="minorHAnsi"/>
          <w:sz w:val="21"/>
          <w:szCs w:val="21"/>
        </w:rPr>
        <w:t xml:space="preserve">cio-economic factors, </w:t>
      </w:r>
      <w:r w:rsidR="00357506" w:rsidRPr="003C4969">
        <w:rPr>
          <w:rFonts w:asciiTheme="minorHAnsi" w:hAnsiTheme="minorHAnsi"/>
          <w:sz w:val="21"/>
          <w:szCs w:val="21"/>
        </w:rPr>
        <w:t>genetic factors</w:t>
      </w:r>
      <w:r w:rsidR="00F01512" w:rsidRPr="003C4969">
        <w:rPr>
          <w:rFonts w:asciiTheme="minorHAnsi" w:hAnsiTheme="minorHAnsi"/>
          <w:sz w:val="21"/>
          <w:szCs w:val="21"/>
        </w:rPr>
        <w:t xml:space="preserve"> and health at the time of birth and death</w:t>
      </w:r>
      <w:r w:rsidR="00357506" w:rsidRPr="003C4969">
        <w:rPr>
          <w:rFonts w:asciiTheme="minorHAnsi" w:hAnsiTheme="minorHAnsi"/>
          <w:sz w:val="21"/>
          <w:szCs w:val="21"/>
        </w:rPr>
        <w:t>, and</w:t>
      </w:r>
      <w:r w:rsidR="00F01512" w:rsidRPr="003C4969">
        <w:rPr>
          <w:rFonts w:asciiTheme="minorHAnsi" w:hAnsiTheme="minorHAnsi"/>
          <w:sz w:val="21"/>
          <w:szCs w:val="21"/>
        </w:rPr>
        <w:t xml:space="preserve"> caregiver </w:t>
      </w:r>
      <w:r w:rsidR="00357506" w:rsidRPr="003C4969">
        <w:rPr>
          <w:rFonts w:asciiTheme="minorHAnsi" w:hAnsiTheme="minorHAnsi"/>
          <w:sz w:val="21"/>
          <w:szCs w:val="21"/>
        </w:rPr>
        <w:t>behaviors</w:t>
      </w:r>
      <w:r w:rsidR="00F01512" w:rsidRPr="003C4969">
        <w:rPr>
          <w:rFonts w:asciiTheme="minorHAnsi" w:hAnsiTheme="minorHAnsi"/>
          <w:sz w:val="21"/>
          <w:szCs w:val="21"/>
        </w:rPr>
        <w:t>. Caregiver</w:t>
      </w:r>
      <w:r w:rsidR="00357506" w:rsidRPr="003C4969">
        <w:rPr>
          <w:rFonts w:asciiTheme="minorHAnsi" w:hAnsiTheme="minorHAnsi"/>
          <w:sz w:val="21"/>
          <w:szCs w:val="21"/>
        </w:rPr>
        <w:t xml:space="preserve"> behaviors associated with SUID include placing an infant to sleep in a non-supine position</w:t>
      </w:r>
      <w:r w:rsidR="000A0A96" w:rsidRPr="003C4969">
        <w:rPr>
          <w:rFonts w:asciiTheme="minorHAnsi" w:hAnsiTheme="minorHAnsi"/>
          <w:sz w:val="21"/>
          <w:szCs w:val="21"/>
        </w:rPr>
        <w:t xml:space="preserve"> (placing an infant to sleep</w:t>
      </w:r>
      <w:r w:rsidR="00B04AE3" w:rsidRPr="003C4969">
        <w:rPr>
          <w:rFonts w:asciiTheme="minorHAnsi" w:hAnsiTheme="minorHAnsi"/>
          <w:sz w:val="21"/>
          <w:szCs w:val="21"/>
        </w:rPr>
        <w:t xml:space="preserve"> on their stomach or side</w:t>
      </w:r>
      <w:r w:rsidR="000A0A96" w:rsidRPr="003C4969">
        <w:rPr>
          <w:rFonts w:asciiTheme="minorHAnsi" w:hAnsiTheme="minorHAnsi"/>
          <w:sz w:val="21"/>
          <w:szCs w:val="21"/>
        </w:rPr>
        <w:t>)</w:t>
      </w:r>
      <w:r w:rsidR="00357506" w:rsidRPr="003C4969">
        <w:rPr>
          <w:rFonts w:asciiTheme="minorHAnsi" w:hAnsiTheme="minorHAnsi"/>
          <w:sz w:val="21"/>
          <w:szCs w:val="21"/>
        </w:rPr>
        <w:t xml:space="preserve">; exposure to secondhand smoke; </w:t>
      </w:r>
      <w:r w:rsidR="008310A9" w:rsidRPr="003C4969">
        <w:rPr>
          <w:rFonts w:asciiTheme="minorHAnsi" w:hAnsiTheme="minorHAnsi"/>
          <w:sz w:val="21"/>
          <w:szCs w:val="21"/>
        </w:rPr>
        <w:t xml:space="preserve">placing </w:t>
      </w:r>
      <w:r w:rsidR="00357506" w:rsidRPr="003C4969">
        <w:rPr>
          <w:rFonts w:asciiTheme="minorHAnsi" w:hAnsiTheme="minorHAnsi"/>
          <w:sz w:val="21"/>
          <w:szCs w:val="21"/>
        </w:rPr>
        <w:t>an infant</w:t>
      </w:r>
      <w:r w:rsidR="008310A9" w:rsidRPr="003C4969">
        <w:rPr>
          <w:rFonts w:asciiTheme="minorHAnsi" w:hAnsiTheme="minorHAnsi"/>
          <w:sz w:val="21"/>
          <w:szCs w:val="21"/>
        </w:rPr>
        <w:t xml:space="preserve"> to sleep</w:t>
      </w:r>
      <w:r w:rsidR="00357506" w:rsidRPr="003C4969">
        <w:rPr>
          <w:rFonts w:asciiTheme="minorHAnsi" w:hAnsiTheme="minorHAnsi"/>
          <w:sz w:val="21"/>
          <w:szCs w:val="21"/>
        </w:rPr>
        <w:t xml:space="preserve"> on a soft surface such as a couch or adult bed; soft bedding such as pillows or blankets; and bed sharing, especially where an infant is sleeping with another child or an adult who is fatigued or impaired</w:t>
      </w:r>
      <w:r w:rsidR="00C0342A" w:rsidRPr="003C4969">
        <w:rPr>
          <w:rFonts w:asciiTheme="minorHAnsi" w:hAnsiTheme="minorHAnsi"/>
          <w:sz w:val="21"/>
          <w:szCs w:val="21"/>
        </w:rPr>
        <w:t>.</w:t>
      </w:r>
      <w:r w:rsidR="00357506" w:rsidRPr="003C4969">
        <w:rPr>
          <w:rStyle w:val="EndnoteReference"/>
          <w:rFonts w:asciiTheme="minorHAnsi" w:hAnsiTheme="minorHAnsi"/>
          <w:sz w:val="21"/>
          <w:szCs w:val="21"/>
        </w:rPr>
        <w:endnoteReference w:id="2"/>
      </w:r>
      <w:r w:rsidR="00357506" w:rsidRPr="003C4969">
        <w:rPr>
          <w:rFonts w:asciiTheme="minorHAnsi" w:hAnsiTheme="minorHAnsi"/>
          <w:sz w:val="21"/>
          <w:szCs w:val="21"/>
        </w:rPr>
        <w:t xml:space="preserve"> There is evidence that maternal stress during pregnancy, which may be due to socio-economic factors such as poverty, exposure to racism, violence, and/or other trauma, may affect fetal development and result in vulnerabilities</w:t>
      </w:r>
      <w:r w:rsidR="00AC7062" w:rsidRPr="003C4969">
        <w:rPr>
          <w:rFonts w:asciiTheme="minorHAnsi" w:hAnsiTheme="minorHAnsi"/>
          <w:sz w:val="21"/>
          <w:szCs w:val="21"/>
        </w:rPr>
        <w:t xml:space="preserve"> – such as preterm birth </w:t>
      </w:r>
      <w:r w:rsidR="004D1D2E" w:rsidRPr="003C4969">
        <w:rPr>
          <w:rFonts w:asciiTheme="minorHAnsi" w:hAnsiTheme="minorHAnsi"/>
          <w:sz w:val="21"/>
          <w:szCs w:val="21"/>
        </w:rPr>
        <w:t xml:space="preserve">or low birth weight </w:t>
      </w:r>
      <w:r w:rsidR="00AC7062" w:rsidRPr="003C4969">
        <w:rPr>
          <w:rFonts w:asciiTheme="minorHAnsi" w:hAnsiTheme="minorHAnsi"/>
          <w:sz w:val="21"/>
          <w:szCs w:val="21"/>
        </w:rPr>
        <w:t>–</w:t>
      </w:r>
      <w:r w:rsidR="00357506" w:rsidRPr="003C4969">
        <w:rPr>
          <w:rFonts w:asciiTheme="minorHAnsi" w:hAnsiTheme="minorHAnsi"/>
          <w:sz w:val="21"/>
          <w:szCs w:val="21"/>
        </w:rPr>
        <w:t xml:space="preserve"> that may increase the risk of SUID</w:t>
      </w:r>
      <w:r w:rsidR="00254247">
        <w:rPr>
          <w:rFonts w:asciiTheme="minorHAnsi" w:hAnsiTheme="minorHAnsi"/>
          <w:sz w:val="21"/>
          <w:szCs w:val="21"/>
        </w:rPr>
        <w:t>.</w:t>
      </w:r>
      <w:r w:rsidR="00CB58DC">
        <w:rPr>
          <w:rFonts w:asciiTheme="minorHAnsi" w:hAnsiTheme="minorHAnsi"/>
          <w:sz w:val="21"/>
          <w:szCs w:val="21"/>
        </w:rPr>
        <w:t xml:space="preserve"> </w:t>
      </w:r>
      <w:r w:rsidR="00357506" w:rsidRPr="003C4969">
        <w:rPr>
          <w:rStyle w:val="EndnoteReference"/>
          <w:rFonts w:asciiTheme="minorHAnsi" w:hAnsiTheme="minorHAnsi"/>
          <w:sz w:val="21"/>
          <w:szCs w:val="21"/>
        </w:rPr>
        <w:endnoteReference w:id="3"/>
      </w:r>
      <w:r w:rsidR="00254247" w:rsidRPr="00254247">
        <w:rPr>
          <w:rFonts w:asciiTheme="minorHAnsi" w:hAnsiTheme="minorHAnsi"/>
          <w:sz w:val="21"/>
          <w:szCs w:val="21"/>
          <w:vertAlign w:val="superscript"/>
        </w:rPr>
        <w:t>,</w:t>
      </w:r>
      <w:r w:rsidR="003F3B9C" w:rsidRPr="003C4969">
        <w:rPr>
          <w:rStyle w:val="EndnoteReference"/>
          <w:rFonts w:asciiTheme="minorHAnsi" w:hAnsiTheme="minorHAnsi"/>
          <w:sz w:val="21"/>
          <w:szCs w:val="21"/>
        </w:rPr>
        <w:endnoteReference w:id="4"/>
      </w:r>
      <w:r w:rsidR="009D3796" w:rsidRPr="003C4969">
        <w:rPr>
          <w:rFonts w:asciiTheme="minorHAnsi" w:hAnsiTheme="minorHAnsi"/>
          <w:sz w:val="21"/>
          <w:szCs w:val="21"/>
        </w:rPr>
        <w:t xml:space="preserve"> </w:t>
      </w:r>
      <w:r w:rsidR="00357506" w:rsidRPr="003C4969">
        <w:rPr>
          <w:rFonts w:asciiTheme="minorHAnsi" w:hAnsiTheme="minorHAnsi"/>
          <w:sz w:val="21"/>
          <w:szCs w:val="21"/>
        </w:rPr>
        <w:t>Unstable</w:t>
      </w:r>
      <w:r w:rsidR="00934049" w:rsidRPr="003C4969">
        <w:rPr>
          <w:rFonts w:asciiTheme="minorHAnsi" w:hAnsiTheme="minorHAnsi"/>
          <w:sz w:val="21"/>
          <w:szCs w:val="21"/>
        </w:rPr>
        <w:t>, unsafe,</w:t>
      </w:r>
      <w:r w:rsidR="00357506" w:rsidRPr="003C4969">
        <w:rPr>
          <w:rFonts w:asciiTheme="minorHAnsi" w:hAnsiTheme="minorHAnsi"/>
          <w:sz w:val="21"/>
          <w:szCs w:val="21"/>
        </w:rPr>
        <w:t xml:space="preserve"> or crowded living situations</w:t>
      </w:r>
      <w:r w:rsidR="00934049" w:rsidRPr="003C4969">
        <w:rPr>
          <w:rFonts w:asciiTheme="minorHAnsi" w:hAnsiTheme="minorHAnsi"/>
          <w:sz w:val="21"/>
          <w:szCs w:val="21"/>
        </w:rPr>
        <w:t xml:space="preserve"> may</w:t>
      </w:r>
      <w:r w:rsidR="00357506" w:rsidRPr="003C4969">
        <w:rPr>
          <w:rFonts w:asciiTheme="minorHAnsi" w:hAnsiTheme="minorHAnsi"/>
          <w:sz w:val="21"/>
          <w:szCs w:val="21"/>
        </w:rPr>
        <w:t xml:space="preserve"> make it difficult for families to adopt safe infant sleep practices. A</w:t>
      </w:r>
      <w:r w:rsidR="00CF66A6" w:rsidRPr="003C4969">
        <w:rPr>
          <w:rFonts w:asciiTheme="minorHAnsi" w:hAnsiTheme="minorHAnsi"/>
          <w:sz w:val="21"/>
          <w:szCs w:val="21"/>
        </w:rPr>
        <w:t xml:space="preserve"> lack of or inadequate </w:t>
      </w:r>
      <w:r w:rsidR="00330D0B" w:rsidRPr="003C4969">
        <w:rPr>
          <w:rFonts w:asciiTheme="minorHAnsi" w:hAnsiTheme="minorHAnsi"/>
          <w:sz w:val="21"/>
          <w:szCs w:val="21"/>
        </w:rPr>
        <w:t>prenatal care</w:t>
      </w:r>
      <w:r w:rsidR="00357506" w:rsidRPr="003C4969">
        <w:rPr>
          <w:rFonts w:asciiTheme="minorHAnsi" w:hAnsiTheme="minorHAnsi"/>
          <w:sz w:val="21"/>
          <w:szCs w:val="21"/>
        </w:rPr>
        <w:t xml:space="preserve"> may also be a risk factor for SUID</w:t>
      </w:r>
      <w:r w:rsidR="009D3796" w:rsidRPr="003C4969">
        <w:rPr>
          <w:rFonts w:asciiTheme="minorHAnsi" w:hAnsiTheme="minorHAnsi"/>
          <w:sz w:val="21"/>
          <w:szCs w:val="21"/>
        </w:rPr>
        <w:t>.</w:t>
      </w:r>
      <w:r w:rsidR="00001E07" w:rsidRPr="003C4969">
        <w:rPr>
          <w:rStyle w:val="EndnoteReference"/>
          <w:rFonts w:asciiTheme="minorHAnsi" w:hAnsiTheme="minorHAnsi"/>
          <w:sz w:val="21"/>
          <w:szCs w:val="21"/>
        </w:rPr>
        <w:endnoteReference w:id="5"/>
      </w:r>
      <w:r w:rsidR="00357506" w:rsidRPr="003C4969">
        <w:rPr>
          <w:rFonts w:asciiTheme="minorHAnsi" w:hAnsiTheme="minorHAnsi"/>
          <w:sz w:val="21"/>
          <w:szCs w:val="21"/>
        </w:rPr>
        <w:t xml:space="preserve">  Breastfeeding is protective against SUID</w:t>
      </w:r>
      <w:r w:rsidR="009D3796" w:rsidRPr="003C4969">
        <w:rPr>
          <w:rFonts w:asciiTheme="minorHAnsi" w:hAnsiTheme="minorHAnsi"/>
          <w:sz w:val="21"/>
          <w:szCs w:val="21"/>
        </w:rPr>
        <w:t>.</w:t>
      </w:r>
      <w:r w:rsidR="00C43DAC" w:rsidRPr="003C4969">
        <w:rPr>
          <w:rStyle w:val="EndnoteReference"/>
          <w:rFonts w:asciiTheme="minorHAnsi" w:hAnsiTheme="minorHAnsi"/>
          <w:sz w:val="21"/>
          <w:szCs w:val="21"/>
        </w:rPr>
        <w:endnoteReference w:id="6"/>
      </w:r>
      <w:r w:rsidR="00357506" w:rsidRPr="003C4969">
        <w:rPr>
          <w:rFonts w:asciiTheme="minorHAnsi" w:hAnsiTheme="minorHAnsi"/>
          <w:sz w:val="21"/>
          <w:szCs w:val="21"/>
        </w:rPr>
        <w:t xml:space="preserve"> </w:t>
      </w:r>
    </w:p>
    <w:p w14:paraId="36269219" w14:textId="174D86C0" w:rsidR="003C4969" w:rsidRDefault="003C4969" w:rsidP="005F6B4C">
      <w:pPr>
        <w:spacing w:after="120"/>
        <w:rPr>
          <w:rFonts w:asciiTheme="majorHAnsi" w:hAnsiTheme="majorHAnsi"/>
          <w:i/>
          <w:color w:val="A86C2A" w:themeColor="accent6" w:themeShade="BF"/>
          <w:sz w:val="24"/>
        </w:rPr>
      </w:pPr>
    </w:p>
    <w:p w14:paraId="3A2C5358" w14:textId="7EC6530B" w:rsidR="00E27A3F" w:rsidRPr="00E27A3F" w:rsidRDefault="00E27A3F" w:rsidP="005F6B4C">
      <w:pPr>
        <w:spacing w:after="120"/>
        <w:rPr>
          <w:rFonts w:asciiTheme="majorHAnsi" w:hAnsiTheme="majorHAnsi"/>
          <w:i/>
          <w:color w:val="A86C2A" w:themeColor="accent6" w:themeShade="BF"/>
          <w:sz w:val="24"/>
        </w:rPr>
      </w:pPr>
      <w:r>
        <w:rPr>
          <w:rFonts w:asciiTheme="majorHAnsi" w:hAnsiTheme="majorHAnsi"/>
          <w:i/>
          <w:color w:val="A86C2A" w:themeColor="accent6" w:themeShade="BF"/>
          <w:sz w:val="24"/>
        </w:rPr>
        <w:lastRenderedPageBreak/>
        <w:t>Risk and Protective Factor</w:t>
      </w:r>
      <w:r w:rsidR="00DD3C81">
        <w:rPr>
          <w:rFonts w:asciiTheme="majorHAnsi" w:hAnsiTheme="majorHAnsi"/>
          <w:i/>
          <w:color w:val="A86C2A" w:themeColor="accent6" w:themeShade="BF"/>
          <w:sz w:val="24"/>
        </w:rPr>
        <w:t>s</w:t>
      </w:r>
      <w:r>
        <w:rPr>
          <w:rFonts w:asciiTheme="majorHAnsi" w:hAnsiTheme="majorHAnsi"/>
          <w:i/>
          <w:color w:val="A86C2A" w:themeColor="accent6" w:themeShade="BF"/>
          <w:sz w:val="24"/>
        </w:rPr>
        <w:t xml:space="preserve"> in the Sleep Environment</w:t>
      </w:r>
    </w:p>
    <w:p w14:paraId="4F9FB429" w14:textId="366CAF07" w:rsidR="002F30D2" w:rsidRPr="00D22B2A" w:rsidRDefault="00AC5524" w:rsidP="005F6B4C">
      <w:pPr>
        <w:spacing w:after="120"/>
        <w:rPr>
          <w:rFonts w:asciiTheme="minorHAnsi" w:hAnsiTheme="minorHAnsi"/>
          <w:sz w:val="21"/>
          <w:szCs w:val="21"/>
        </w:rPr>
      </w:pPr>
      <w:r w:rsidRPr="00D22B2A">
        <w:rPr>
          <w:rFonts w:asciiTheme="minorHAnsi" w:hAnsiTheme="minorHAnsi"/>
          <w:sz w:val="21"/>
          <w:szCs w:val="21"/>
        </w:rPr>
        <w:t xml:space="preserve">The </w:t>
      </w:r>
      <w:r w:rsidR="001F791D" w:rsidRPr="00D22B2A">
        <w:rPr>
          <w:rFonts w:asciiTheme="minorHAnsi" w:hAnsiTheme="minorHAnsi"/>
          <w:sz w:val="21"/>
          <w:szCs w:val="21"/>
        </w:rPr>
        <w:t xml:space="preserve">Massachusetts </w:t>
      </w:r>
      <w:r w:rsidRPr="00D22B2A">
        <w:rPr>
          <w:rFonts w:asciiTheme="minorHAnsi" w:hAnsiTheme="minorHAnsi"/>
          <w:sz w:val="21"/>
          <w:szCs w:val="21"/>
        </w:rPr>
        <w:t>Pregnancy Risk Assessment Monitoring System (PRAMS) is a survey completed by mothers with infants between the ages of 2-6 months.</w:t>
      </w:r>
      <w:r w:rsidR="003F75F7" w:rsidRPr="00D22B2A">
        <w:rPr>
          <w:rFonts w:asciiTheme="minorHAnsi" w:hAnsiTheme="minorHAnsi"/>
          <w:sz w:val="21"/>
          <w:szCs w:val="21"/>
        </w:rPr>
        <w:t xml:space="preserve"> In 2015, 85.8%</w:t>
      </w:r>
      <w:r w:rsidR="00740A38" w:rsidRPr="00D22B2A">
        <w:rPr>
          <w:rFonts w:asciiTheme="minorHAnsi" w:hAnsiTheme="minorHAnsi"/>
          <w:sz w:val="21"/>
          <w:szCs w:val="21"/>
        </w:rPr>
        <w:t xml:space="preserve"> (95% CI</w:t>
      </w:r>
      <w:r w:rsidR="008E6FC5" w:rsidRPr="00D22B2A">
        <w:rPr>
          <w:rFonts w:asciiTheme="minorHAnsi" w:hAnsiTheme="minorHAnsi"/>
          <w:sz w:val="21"/>
          <w:szCs w:val="21"/>
        </w:rPr>
        <w:t xml:space="preserve"> </w:t>
      </w:r>
      <w:r w:rsidR="00740A38" w:rsidRPr="00D22B2A">
        <w:rPr>
          <w:rFonts w:asciiTheme="minorHAnsi" w:hAnsiTheme="minorHAnsi"/>
          <w:sz w:val="21"/>
          <w:szCs w:val="21"/>
        </w:rPr>
        <w:t>[83.5%, 87.9%])</w:t>
      </w:r>
      <w:r w:rsidR="003F75F7" w:rsidRPr="00D22B2A">
        <w:rPr>
          <w:rFonts w:asciiTheme="minorHAnsi" w:hAnsiTheme="minorHAnsi"/>
          <w:sz w:val="21"/>
          <w:szCs w:val="21"/>
        </w:rPr>
        <w:t xml:space="preserve"> of mothers responding to the survey reported the most common sleep </w:t>
      </w:r>
      <w:r w:rsidR="00F56CD1" w:rsidRPr="00D22B2A">
        <w:rPr>
          <w:rFonts w:asciiTheme="minorHAnsi" w:hAnsiTheme="minorHAnsi"/>
          <w:sz w:val="21"/>
          <w:szCs w:val="21"/>
        </w:rPr>
        <w:t>position for their infants was the supine (back) position (</w:t>
      </w:r>
      <w:r w:rsidR="003F75F7" w:rsidRPr="00D22B2A">
        <w:rPr>
          <w:rFonts w:asciiTheme="minorHAnsi" w:hAnsiTheme="minorHAnsi"/>
          <w:sz w:val="21"/>
          <w:szCs w:val="21"/>
        </w:rPr>
        <w:t xml:space="preserve">Figure </w:t>
      </w:r>
      <w:r w:rsidR="0094102A" w:rsidRPr="00D22B2A">
        <w:rPr>
          <w:rFonts w:asciiTheme="minorHAnsi" w:hAnsiTheme="minorHAnsi"/>
          <w:sz w:val="21"/>
          <w:szCs w:val="21"/>
        </w:rPr>
        <w:t>6</w:t>
      </w:r>
      <w:r w:rsidR="003F75F7" w:rsidRPr="00D22B2A">
        <w:rPr>
          <w:rFonts w:asciiTheme="minorHAnsi" w:hAnsiTheme="minorHAnsi"/>
          <w:sz w:val="21"/>
          <w:szCs w:val="21"/>
        </w:rPr>
        <w:t>).</w:t>
      </w:r>
      <w:r w:rsidR="00381E80" w:rsidRPr="00D22B2A">
        <w:rPr>
          <w:rFonts w:asciiTheme="minorHAnsi" w:hAnsiTheme="minorHAnsi"/>
          <w:sz w:val="21"/>
          <w:szCs w:val="21"/>
        </w:rPr>
        <w:t xml:space="preserve"> </w:t>
      </w:r>
    </w:p>
    <w:p w14:paraId="3CCF6CED" w14:textId="2EA880DD" w:rsidR="00845DC9" w:rsidRPr="00D22B2A" w:rsidRDefault="002E6636" w:rsidP="005F6B4C">
      <w:pPr>
        <w:spacing w:after="120"/>
        <w:rPr>
          <w:rFonts w:asciiTheme="minorHAnsi" w:hAnsiTheme="minorHAnsi"/>
          <w:sz w:val="21"/>
          <w:szCs w:val="21"/>
        </w:rPr>
      </w:pPr>
      <w:r w:rsidRPr="00D22B2A">
        <w:rPr>
          <w:rFonts w:asciiTheme="majorHAnsi" w:hAnsiTheme="majorHAnsi"/>
          <w:b/>
          <w:noProof/>
          <w:color w:val="A86C2A" w:themeColor="accent6" w:themeShade="BF"/>
          <w:sz w:val="21"/>
          <w:szCs w:val="21"/>
        </w:rPr>
        <w:drawing>
          <wp:anchor distT="0" distB="0" distL="114300" distR="114300" simplePos="0" relativeHeight="251721216" behindDoc="1" locked="0" layoutInCell="1" allowOverlap="1" wp14:anchorId="3AC02A49" wp14:editId="3B308E90">
            <wp:simplePos x="0" y="0"/>
            <wp:positionH relativeFrom="column">
              <wp:posOffset>-167640</wp:posOffset>
            </wp:positionH>
            <wp:positionV relativeFrom="paragraph">
              <wp:posOffset>945515</wp:posOffset>
            </wp:positionV>
            <wp:extent cx="3166110" cy="2255520"/>
            <wp:effectExtent l="0" t="0" r="15240" b="11430"/>
            <wp:wrapTight wrapText="bothSides">
              <wp:wrapPolygon edited="0">
                <wp:start x="0" y="0"/>
                <wp:lineTo x="0" y="21527"/>
                <wp:lineTo x="21574" y="21527"/>
                <wp:lineTo x="21574" y="0"/>
                <wp:lineTo x="0" y="0"/>
              </wp:wrapPolygon>
            </wp:wrapTight>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DA4EF3" w:rsidRPr="00D22B2A">
        <w:rPr>
          <w:rFonts w:asciiTheme="minorHAnsi" w:hAnsiTheme="minorHAnsi"/>
          <w:sz w:val="21"/>
          <w:szCs w:val="21"/>
        </w:rPr>
        <w:t xml:space="preserve">The percent of mothers in Massachusetts reporting the supine position as the most </w:t>
      </w:r>
      <w:r w:rsidR="00B41DC5" w:rsidRPr="00D22B2A">
        <w:rPr>
          <w:rFonts w:asciiTheme="minorHAnsi" w:hAnsiTheme="minorHAnsi"/>
          <w:sz w:val="21"/>
          <w:szCs w:val="21"/>
        </w:rPr>
        <w:t>common infant sleep position</w:t>
      </w:r>
      <w:r w:rsidR="00DA4EF3" w:rsidRPr="00D22B2A">
        <w:rPr>
          <w:rFonts w:asciiTheme="minorHAnsi" w:hAnsiTheme="minorHAnsi"/>
          <w:sz w:val="21"/>
          <w:szCs w:val="21"/>
        </w:rPr>
        <w:t xml:space="preserve"> increased from 74.1%</w:t>
      </w:r>
      <w:r w:rsidR="0040634C" w:rsidRPr="00D22B2A">
        <w:rPr>
          <w:rFonts w:asciiTheme="minorHAnsi" w:hAnsiTheme="minorHAnsi"/>
          <w:sz w:val="21"/>
          <w:szCs w:val="21"/>
        </w:rPr>
        <w:t xml:space="preserve"> </w:t>
      </w:r>
      <w:r w:rsidR="002E7BFC" w:rsidRPr="00D22B2A">
        <w:rPr>
          <w:rFonts w:asciiTheme="minorHAnsi" w:hAnsiTheme="minorHAnsi"/>
          <w:sz w:val="21"/>
          <w:szCs w:val="21"/>
        </w:rPr>
        <w:t>(95% CI</w:t>
      </w:r>
      <w:r w:rsidR="0040634C" w:rsidRPr="00D22B2A">
        <w:rPr>
          <w:rFonts w:asciiTheme="minorHAnsi" w:hAnsiTheme="minorHAnsi"/>
          <w:sz w:val="21"/>
          <w:szCs w:val="21"/>
        </w:rPr>
        <w:t xml:space="preserve"> </w:t>
      </w:r>
      <w:r w:rsidR="002E7BFC" w:rsidRPr="00D22B2A">
        <w:rPr>
          <w:rFonts w:asciiTheme="minorHAnsi" w:hAnsiTheme="minorHAnsi"/>
          <w:sz w:val="21"/>
          <w:szCs w:val="21"/>
        </w:rPr>
        <w:t>[</w:t>
      </w:r>
      <w:r w:rsidR="0040634C" w:rsidRPr="00D22B2A">
        <w:rPr>
          <w:rFonts w:asciiTheme="minorHAnsi" w:hAnsiTheme="minorHAnsi"/>
          <w:sz w:val="21"/>
          <w:szCs w:val="21"/>
        </w:rPr>
        <w:t>71.1%, 77.0%</w:t>
      </w:r>
      <w:r w:rsidR="002E7BFC" w:rsidRPr="00D22B2A">
        <w:rPr>
          <w:rFonts w:asciiTheme="minorHAnsi" w:hAnsiTheme="minorHAnsi"/>
          <w:sz w:val="21"/>
          <w:szCs w:val="21"/>
        </w:rPr>
        <w:t>]</w:t>
      </w:r>
      <w:r w:rsidR="0040634C" w:rsidRPr="00D22B2A">
        <w:rPr>
          <w:rFonts w:asciiTheme="minorHAnsi" w:hAnsiTheme="minorHAnsi"/>
          <w:sz w:val="21"/>
          <w:szCs w:val="21"/>
        </w:rPr>
        <w:t xml:space="preserve">) </w:t>
      </w:r>
      <w:r w:rsidR="00DA4EF3" w:rsidRPr="00D22B2A">
        <w:rPr>
          <w:rFonts w:asciiTheme="minorHAnsi" w:hAnsiTheme="minorHAnsi"/>
          <w:sz w:val="21"/>
          <w:szCs w:val="21"/>
        </w:rPr>
        <w:t xml:space="preserve"> in 2007 to 85.8% in 2015 – an average annual increase of</w:t>
      </w:r>
      <w:r w:rsidR="007A3779" w:rsidRPr="00D22B2A">
        <w:rPr>
          <w:rFonts w:asciiTheme="minorHAnsi" w:hAnsiTheme="minorHAnsi"/>
          <w:sz w:val="21"/>
          <w:szCs w:val="21"/>
        </w:rPr>
        <w:t xml:space="preserve"> 1.8% </w:t>
      </w:r>
      <w:r w:rsidR="00497D53" w:rsidRPr="00D22B2A">
        <w:rPr>
          <w:rFonts w:asciiTheme="minorHAnsi" w:hAnsiTheme="minorHAnsi"/>
          <w:sz w:val="21"/>
          <w:szCs w:val="21"/>
        </w:rPr>
        <w:t>(Figure 6</w:t>
      </w:r>
      <w:r w:rsidR="00A03684" w:rsidRPr="00D22B2A">
        <w:rPr>
          <w:rFonts w:asciiTheme="minorHAnsi" w:hAnsiTheme="minorHAnsi"/>
          <w:sz w:val="21"/>
          <w:szCs w:val="21"/>
        </w:rPr>
        <w:t>)</w:t>
      </w:r>
      <w:r w:rsidR="007A3779" w:rsidRPr="00D22B2A">
        <w:rPr>
          <w:rFonts w:asciiTheme="minorHAnsi" w:hAnsiTheme="minorHAnsi"/>
          <w:sz w:val="21"/>
          <w:szCs w:val="21"/>
        </w:rPr>
        <w:t>.</w:t>
      </w:r>
      <w:r w:rsidR="007A7B28" w:rsidRPr="00D22B2A">
        <w:rPr>
          <w:rFonts w:asciiTheme="minorHAnsi" w:hAnsiTheme="minorHAnsi"/>
          <w:sz w:val="21"/>
          <w:szCs w:val="21"/>
        </w:rPr>
        <w:t xml:space="preserve"> </w:t>
      </w:r>
    </w:p>
    <w:p w14:paraId="7C928661" w14:textId="4E8883C1" w:rsidR="005A2F9C" w:rsidRPr="00D22B2A" w:rsidRDefault="001B1756" w:rsidP="005F6B4C">
      <w:pPr>
        <w:spacing w:after="120"/>
        <w:rPr>
          <w:rFonts w:asciiTheme="minorHAnsi" w:hAnsiTheme="minorHAnsi"/>
          <w:sz w:val="21"/>
          <w:szCs w:val="21"/>
        </w:rPr>
      </w:pPr>
      <w:r w:rsidRPr="00D22B2A">
        <w:rPr>
          <w:rFonts w:asciiTheme="minorHAnsi" w:hAnsiTheme="minorHAnsi"/>
          <w:noProof/>
          <w:sz w:val="21"/>
          <w:szCs w:val="21"/>
        </w:rPr>
        <w:drawing>
          <wp:anchor distT="0" distB="0" distL="114300" distR="114300" simplePos="0" relativeHeight="251726336" behindDoc="1" locked="0" layoutInCell="1" allowOverlap="1" wp14:anchorId="4E1FD3CE" wp14:editId="5B0BF39D">
            <wp:simplePos x="0" y="0"/>
            <wp:positionH relativeFrom="column">
              <wp:posOffset>-78105</wp:posOffset>
            </wp:positionH>
            <wp:positionV relativeFrom="paragraph">
              <wp:posOffset>796925</wp:posOffset>
            </wp:positionV>
            <wp:extent cx="3276600" cy="2581275"/>
            <wp:effectExtent l="0" t="0" r="19050" b="9525"/>
            <wp:wrapTight wrapText="bothSides">
              <wp:wrapPolygon edited="0">
                <wp:start x="0" y="0"/>
                <wp:lineTo x="0" y="21520"/>
                <wp:lineTo x="21600" y="21520"/>
                <wp:lineTo x="21600" y="0"/>
                <wp:lineTo x="0" y="0"/>
              </wp:wrapPolygon>
            </wp:wrapTight>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7A7B28" w:rsidRPr="00D22B2A">
        <w:rPr>
          <w:rFonts w:asciiTheme="minorHAnsi" w:hAnsiTheme="minorHAnsi"/>
          <w:sz w:val="21"/>
          <w:szCs w:val="21"/>
        </w:rPr>
        <w:t>In 2015, 46</w:t>
      </w:r>
      <w:r w:rsidR="00B013D1" w:rsidRPr="00D22B2A">
        <w:rPr>
          <w:rFonts w:asciiTheme="minorHAnsi" w:hAnsiTheme="minorHAnsi"/>
          <w:sz w:val="21"/>
          <w:szCs w:val="21"/>
        </w:rPr>
        <w:t>.0</w:t>
      </w:r>
      <w:r w:rsidR="007A7B28" w:rsidRPr="00D22B2A">
        <w:rPr>
          <w:rFonts w:asciiTheme="minorHAnsi" w:hAnsiTheme="minorHAnsi"/>
          <w:sz w:val="21"/>
          <w:szCs w:val="21"/>
        </w:rPr>
        <w:t xml:space="preserve">% </w:t>
      </w:r>
      <w:r w:rsidR="00627265" w:rsidRPr="00D22B2A">
        <w:rPr>
          <w:rFonts w:asciiTheme="minorHAnsi" w:hAnsiTheme="minorHAnsi"/>
          <w:sz w:val="21"/>
          <w:szCs w:val="21"/>
        </w:rPr>
        <w:t>(95% CI</w:t>
      </w:r>
      <w:r w:rsidR="00584ABE" w:rsidRPr="00D22B2A">
        <w:rPr>
          <w:rFonts w:asciiTheme="minorHAnsi" w:hAnsiTheme="minorHAnsi"/>
          <w:sz w:val="21"/>
          <w:szCs w:val="21"/>
        </w:rPr>
        <w:t xml:space="preserve"> </w:t>
      </w:r>
      <w:r w:rsidR="00627265" w:rsidRPr="00D22B2A">
        <w:rPr>
          <w:rFonts w:asciiTheme="minorHAnsi" w:hAnsiTheme="minorHAnsi"/>
          <w:sz w:val="21"/>
          <w:szCs w:val="21"/>
        </w:rPr>
        <w:t>[</w:t>
      </w:r>
      <w:r w:rsidR="00584ABE" w:rsidRPr="00D22B2A">
        <w:rPr>
          <w:rFonts w:asciiTheme="minorHAnsi" w:hAnsiTheme="minorHAnsi"/>
          <w:sz w:val="21"/>
          <w:szCs w:val="21"/>
        </w:rPr>
        <w:t>42.6%, 49.4%</w:t>
      </w:r>
      <w:r w:rsidR="00627265" w:rsidRPr="00D22B2A">
        <w:rPr>
          <w:rFonts w:asciiTheme="minorHAnsi" w:hAnsiTheme="minorHAnsi"/>
          <w:sz w:val="21"/>
          <w:szCs w:val="21"/>
        </w:rPr>
        <w:t>]</w:t>
      </w:r>
      <w:r w:rsidR="00584ABE" w:rsidRPr="00D22B2A">
        <w:rPr>
          <w:rFonts w:asciiTheme="minorHAnsi" w:hAnsiTheme="minorHAnsi"/>
          <w:sz w:val="21"/>
          <w:szCs w:val="21"/>
        </w:rPr>
        <w:t xml:space="preserve">) </w:t>
      </w:r>
      <w:r w:rsidR="007A7B28" w:rsidRPr="00D22B2A">
        <w:rPr>
          <w:rFonts w:asciiTheme="minorHAnsi" w:hAnsiTheme="minorHAnsi"/>
          <w:sz w:val="21"/>
          <w:szCs w:val="21"/>
        </w:rPr>
        <w:t>of mothers reported bed sharing less than one time per week or never; 37.7%</w:t>
      </w:r>
      <w:r w:rsidR="007037CE" w:rsidRPr="00D22B2A">
        <w:rPr>
          <w:rFonts w:asciiTheme="minorHAnsi" w:hAnsiTheme="minorHAnsi"/>
          <w:sz w:val="21"/>
          <w:szCs w:val="21"/>
        </w:rPr>
        <w:t xml:space="preserve"> </w:t>
      </w:r>
      <w:r w:rsidR="00627265" w:rsidRPr="00D22B2A">
        <w:rPr>
          <w:rFonts w:asciiTheme="minorHAnsi" w:hAnsiTheme="minorHAnsi"/>
          <w:sz w:val="21"/>
          <w:szCs w:val="21"/>
        </w:rPr>
        <w:t>(95% CI</w:t>
      </w:r>
      <w:r w:rsidR="007037CE" w:rsidRPr="00D22B2A">
        <w:rPr>
          <w:rFonts w:asciiTheme="minorHAnsi" w:hAnsiTheme="minorHAnsi"/>
          <w:sz w:val="21"/>
          <w:szCs w:val="21"/>
        </w:rPr>
        <w:t xml:space="preserve"> </w:t>
      </w:r>
      <w:r w:rsidR="00627265" w:rsidRPr="00D22B2A">
        <w:rPr>
          <w:rFonts w:asciiTheme="minorHAnsi" w:hAnsiTheme="minorHAnsi"/>
          <w:sz w:val="21"/>
          <w:szCs w:val="21"/>
        </w:rPr>
        <w:t>[</w:t>
      </w:r>
      <w:r w:rsidR="007037CE" w:rsidRPr="00D22B2A">
        <w:rPr>
          <w:rFonts w:asciiTheme="minorHAnsi" w:hAnsiTheme="minorHAnsi"/>
          <w:sz w:val="21"/>
          <w:szCs w:val="21"/>
        </w:rPr>
        <w:t>34.6%, 41.0%</w:t>
      </w:r>
      <w:r w:rsidR="00627265" w:rsidRPr="00D22B2A">
        <w:rPr>
          <w:rFonts w:asciiTheme="minorHAnsi" w:hAnsiTheme="minorHAnsi"/>
          <w:sz w:val="21"/>
          <w:szCs w:val="21"/>
        </w:rPr>
        <w:t>]</w:t>
      </w:r>
      <w:r w:rsidR="007037CE" w:rsidRPr="00D22B2A">
        <w:rPr>
          <w:rFonts w:asciiTheme="minorHAnsi" w:hAnsiTheme="minorHAnsi"/>
          <w:sz w:val="21"/>
          <w:szCs w:val="21"/>
        </w:rPr>
        <w:t>)</w:t>
      </w:r>
      <w:r w:rsidR="007A7B28" w:rsidRPr="00D22B2A">
        <w:rPr>
          <w:rFonts w:asciiTheme="minorHAnsi" w:hAnsiTheme="minorHAnsi"/>
          <w:sz w:val="21"/>
          <w:szCs w:val="21"/>
        </w:rPr>
        <w:t xml:space="preserve"> reported bed sharing 5 or more ti</w:t>
      </w:r>
      <w:r w:rsidR="00242AAF" w:rsidRPr="00D22B2A">
        <w:rPr>
          <w:rFonts w:asciiTheme="minorHAnsi" w:hAnsiTheme="minorHAnsi"/>
          <w:sz w:val="21"/>
          <w:szCs w:val="21"/>
        </w:rPr>
        <w:t>mes per week or always (Figure 7</w:t>
      </w:r>
      <w:r w:rsidR="007A7B28" w:rsidRPr="00D22B2A">
        <w:rPr>
          <w:rFonts w:asciiTheme="minorHAnsi" w:hAnsiTheme="minorHAnsi"/>
          <w:sz w:val="21"/>
          <w:szCs w:val="21"/>
        </w:rPr>
        <w:t>).</w:t>
      </w:r>
    </w:p>
    <w:p w14:paraId="1C3A1F9E" w14:textId="41B9E324" w:rsidR="002E6636" w:rsidRDefault="00D22B2A" w:rsidP="007769AD">
      <w:pPr>
        <w:spacing w:after="120"/>
        <w:rPr>
          <w:rFonts w:asciiTheme="majorHAnsi" w:hAnsiTheme="majorHAnsi"/>
          <w:i/>
          <w:color w:val="A86C2A" w:themeColor="accent6" w:themeShade="BF"/>
          <w:sz w:val="24"/>
        </w:rPr>
      </w:pPr>
      <w:r w:rsidRPr="007344D7">
        <w:rPr>
          <w:rFonts w:asciiTheme="minorHAnsi" w:hAnsiTheme="minorHAnsi"/>
          <w:noProof/>
          <w:sz w:val="22"/>
          <w:szCs w:val="22"/>
        </w:rPr>
        <mc:AlternateContent>
          <mc:Choice Requires="wps">
            <w:drawing>
              <wp:anchor distT="0" distB="0" distL="114300" distR="114300" simplePos="0" relativeHeight="251734528" behindDoc="0" locked="0" layoutInCell="1" allowOverlap="1" wp14:anchorId="646C66C1" wp14:editId="5941590B">
                <wp:simplePos x="0" y="0"/>
                <wp:positionH relativeFrom="column">
                  <wp:posOffset>3855720</wp:posOffset>
                </wp:positionH>
                <wp:positionV relativeFrom="paragraph">
                  <wp:posOffset>-208915</wp:posOffset>
                </wp:positionV>
                <wp:extent cx="2790825" cy="2857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5750"/>
                        </a:xfrm>
                        <a:prstGeom prst="rect">
                          <a:avLst/>
                        </a:prstGeom>
                        <a:noFill/>
                        <a:ln w="9525">
                          <a:noFill/>
                          <a:miter lim="800000"/>
                          <a:headEnd/>
                          <a:tailEnd/>
                        </a:ln>
                      </wps:spPr>
                      <wps:txbx>
                        <w:txbxContent>
                          <w:p w14:paraId="30ED57A9" w14:textId="77777777" w:rsidR="005276C5" w:rsidRPr="00872748" w:rsidRDefault="005276C5" w:rsidP="002E6636">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Vital Records &amp; Statistics, 2011-</w:t>
                            </w:r>
                            <w:r w:rsidRPr="00872748">
                              <w:rPr>
                                <w:rFonts w:asciiTheme="minorHAnsi" w:hAnsiTheme="minorHAnsi"/>
                                <w:i/>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46C66C1" id="_x0000_s1034" type="#_x0000_t202" style="position:absolute;margin-left:303.6pt;margin-top:-16.45pt;width:219.75pt;height:2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" filled="f" stroked="f">
                <v:textbox>
                  <w:txbxContent>
                    <w:p w14:paraId="30ED57A9" w14:textId="77777777" w:rsidR="005276C5" w:rsidRPr="00872748" w:rsidRDefault="005276C5" w:rsidP="002E6636">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Vital Records &amp; Statistics, 2011-</w:t>
                      </w:r>
                      <w:r w:rsidRPr="00872748">
                        <w:rPr>
                          <w:rFonts w:asciiTheme="minorHAnsi" w:hAnsiTheme="minorHAnsi"/>
                          <w:i/>
                          <w:sz w:val="16"/>
                          <w:szCs w:val="16"/>
                        </w:rPr>
                        <w:t>2015</w:t>
                      </w:r>
                    </w:p>
                  </w:txbxContent>
                </v:textbox>
              </v:shape>
            </w:pict>
          </mc:Fallback>
        </mc:AlternateContent>
      </w:r>
      <w:r w:rsidR="005A6E84" w:rsidRPr="00762EF3">
        <w:rPr>
          <w:rFonts w:asciiTheme="minorHAnsi" w:hAnsiTheme="minorHAnsi"/>
          <w:noProof/>
          <w:sz w:val="23"/>
          <w:szCs w:val="23"/>
        </w:rPr>
        <mc:AlternateContent>
          <mc:Choice Requires="wps">
            <w:drawing>
              <wp:anchor distT="0" distB="0" distL="114300" distR="114300" simplePos="0" relativeHeight="251706880" behindDoc="0" locked="0" layoutInCell="1" allowOverlap="1" wp14:anchorId="6D08A005" wp14:editId="1E0908DA">
                <wp:simplePos x="0" y="0"/>
                <wp:positionH relativeFrom="column">
                  <wp:posOffset>-171450</wp:posOffset>
                </wp:positionH>
                <wp:positionV relativeFrom="paragraph">
                  <wp:posOffset>2553970</wp:posOffset>
                </wp:positionV>
                <wp:extent cx="3257550" cy="2857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85750"/>
                        </a:xfrm>
                        <a:prstGeom prst="rect">
                          <a:avLst/>
                        </a:prstGeom>
                        <a:noFill/>
                        <a:ln w="9525">
                          <a:noFill/>
                          <a:miter lim="800000"/>
                          <a:headEnd/>
                          <a:tailEnd/>
                        </a:ln>
                      </wps:spPr>
                      <wps:txbx>
                        <w:txbxContent>
                          <w:p w14:paraId="504EF1BC" w14:textId="77777777" w:rsidR="005276C5" w:rsidRPr="00872748" w:rsidRDefault="005276C5" w:rsidP="0044612B">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Pregnancy Risk Assessment Monitoring System,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D08A005" id="_x0000_s1035" type="#_x0000_t202" style="position:absolute;margin-left:-13.5pt;margin-top:201.1pt;width:256.5pt;height: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" filled="f" stroked="f">
                <v:textbox>
                  <w:txbxContent>
                    <w:p w14:paraId="504EF1BC" w14:textId="77777777" w:rsidR="005276C5" w:rsidRPr="00872748" w:rsidRDefault="005276C5" w:rsidP="0044612B">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Pregnancy Risk Assessment Monitoring System, 2015</w:t>
                      </w:r>
                    </w:p>
                  </w:txbxContent>
                </v:textbox>
              </v:shape>
            </w:pict>
          </mc:Fallback>
        </mc:AlternateContent>
      </w:r>
    </w:p>
    <w:p w14:paraId="323E6238" w14:textId="7829D44A" w:rsidR="00547CA7" w:rsidRPr="005A2F9C" w:rsidRDefault="005A2F9C" w:rsidP="007769AD">
      <w:pPr>
        <w:spacing w:after="120"/>
        <w:rPr>
          <w:rFonts w:asciiTheme="majorHAnsi" w:hAnsiTheme="majorHAnsi"/>
          <w:i/>
          <w:color w:val="A86C2A" w:themeColor="accent6" w:themeShade="BF"/>
          <w:sz w:val="24"/>
        </w:rPr>
      </w:pPr>
      <w:r>
        <w:rPr>
          <w:rFonts w:asciiTheme="majorHAnsi" w:hAnsiTheme="majorHAnsi"/>
          <w:i/>
          <w:color w:val="A86C2A" w:themeColor="accent6" w:themeShade="BF"/>
          <w:sz w:val="24"/>
        </w:rPr>
        <w:lastRenderedPageBreak/>
        <w:t>Risk and Protective Factors at Birth</w:t>
      </w:r>
    </w:p>
    <w:p w14:paraId="1E4AD1D1" w14:textId="77777777" w:rsidR="005A2F9C" w:rsidRPr="009C5A94" w:rsidRDefault="007615D3" w:rsidP="009C5A94">
      <w:pPr>
        <w:spacing w:after="120"/>
        <w:rPr>
          <w:rFonts w:asciiTheme="minorHAnsi" w:hAnsiTheme="minorHAnsi"/>
          <w:sz w:val="22"/>
          <w:szCs w:val="22"/>
        </w:rPr>
      </w:pPr>
      <w:r w:rsidRPr="00D22B2A">
        <w:rPr>
          <w:rFonts w:asciiTheme="minorHAnsi" w:hAnsiTheme="minorHAnsi"/>
          <w:noProof/>
          <w:sz w:val="21"/>
          <w:szCs w:val="21"/>
        </w:rPr>
        <mc:AlternateContent>
          <mc:Choice Requires="wps">
            <w:drawing>
              <wp:anchor distT="0" distB="0" distL="114300" distR="114300" simplePos="0" relativeHeight="251730432" behindDoc="0" locked="0" layoutInCell="1" allowOverlap="1" wp14:anchorId="53F06BDF" wp14:editId="496734EF">
                <wp:simplePos x="0" y="0"/>
                <wp:positionH relativeFrom="column">
                  <wp:posOffset>3765550</wp:posOffset>
                </wp:positionH>
                <wp:positionV relativeFrom="paragraph">
                  <wp:posOffset>1233170</wp:posOffset>
                </wp:positionV>
                <wp:extent cx="2905125" cy="28575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5750"/>
                        </a:xfrm>
                        <a:prstGeom prst="rect">
                          <a:avLst/>
                        </a:prstGeom>
                        <a:noFill/>
                        <a:ln w="9525">
                          <a:noFill/>
                          <a:miter lim="800000"/>
                          <a:headEnd/>
                          <a:tailEnd/>
                        </a:ln>
                      </wps:spPr>
                      <wps:txbx>
                        <w:txbxContent>
                          <w:p w14:paraId="332A69E2" w14:textId="77777777" w:rsidR="005276C5" w:rsidRPr="00872748" w:rsidRDefault="005276C5" w:rsidP="007615D3">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Registry of Vital Records &amp; Statistics,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3F06BDF" id="_x0000_s1036" type="#_x0000_t202" style="position:absolute;margin-left:296.5pt;margin-top:97.1pt;width:228.75pt;height:2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" filled="f" stroked="f">
                <v:textbox>
                  <w:txbxContent>
                    <w:p w14:paraId="332A69E2" w14:textId="77777777" w:rsidR="005276C5" w:rsidRPr="00872748" w:rsidRDefault="005276C5" w:rsidP="007615D3">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Registry of Vital Records &amp; Statistics, 2015</w:t>
                      </w:r>
                    </w:p>
                  </w:txbxContent>
                </v:textbox>
              </v:shape>
            </w:pict>
          </mc:Fallback>
        </mc:AlternateContent>
      </w:r>
      <w:r w:rsidR="00845DC9" w:rsidRPr="00D22B2A">
        <w:rPr>
          <w:rFonts w:asciiTheme="minorHAnsi" w:hAnsiTheme="minorHAnsi"/>
          <w:sz w:val="21"/>
          <w:szCs w:val="21"/>
        </w:rPr>
        <w:t xml:space="preserve">As described above, </w:t>
      </w:r>
      <w:r w:rsidR="00636D2D" w:rsidRPr="00D22B2A">
        <w:rPr>
          <w:rFonts w:asciiTheme="minorHAnsi" w:hAnsiTheme="minorHAnsi"/>
          <w:sz w:val="21"/>
          <w:szCs w:val="21"/>
        </w:rPr>
        <w:t>factors present at birth, such as being preterm</w:t>
      </w:r>
      <w:r w:rsidR="00E5246A" w:rsidRPr="00D22B2A">
        <w:rPr>
          <w:rFonts w:asciiTheme="minorHAnsi" w:hAnsiTheme="minorHAnsi"/>
          <w:sz w:val="21"/>
          <w:szCs w:val="21"/>
        </w:rPr>
        <w:t xml:space="preserve"> or low birthweight and prenatal smoking exposure</w:t>
      </w:r>
      <w:r w:rsidR="00636D2D" w:rsidRPr="00D22B2A">
        <w:rPr>
          <w:rFonts w:asciiTheme="minorHAnsi" w:hAnsiTheme="minorHAnsi"/>
          <w:sz w:val="21"/>
          <w:szCs w:val="21"/>
        </w:rPr>
        <w:t>, may also increase the risk of SUID.</w:t>
      </w:r>
      <w:r w:rsidR="00625C76" w:rsidRPr="00D22B2A">
        <w:rPr>
          <w:rFonts w:asciiTheme="minorHAnsi" w:hAnsiTheme="minorHAnsi"/>
          <w:sz w:val="21"/>
          <w:szCs w:val="21"/>
        </w:rPr>
        <w:t xml:space="preserve"> Breastfe</w:t>
      </w:r>
      <w:r w:rsidR="00C735F7" w:rsidRPr="00D22B2A">
        <w:rPr>
          <w:rFonts w:asciiTheme="minorHAnsi" w:hAnsiTheme="minorHAnsi"/>
          <w:sz w:val="21"/>
          <w:szCs w:val="21"/>
        </w:rPr>
        <w:t>eding and access to adequate prenatal care may protect against SUID</w:t>
      </w:r>
      <w:r w:rsidR="00625C76" w:rsidRPr="00D22B2A">
        <w:rPr>
          <w:rFonts w:asciiTheme="minorHAnsi" w:hAnsiTheme="minorHAnsi"/>
          <w:sz w:val="21"/>
          <w:szCs w:val="21"/>
        </w:rPr>
        <w:t>.</w:t>
      </w:r>
      <w:r w:rsidR="00636D2D" w:rsidRPr="00D22B2A">
        <w:rPr>
          <w:rFonts w:asciiTheme="minorHAnsi" w:hAnsiTheme="minorHAnsi"/>
          <w:sz w:val="21"/>
          <w:szCs w:val="21"/>
        </w:rPr>
        <w:t xml:space="preserve"> </w:t>
      </w:r>
      <w:r w:rsidR="000F00C2" w:rsidRPr="00D22B2A">
        <w:rPr>
          <w:rFonts w:asciiTheme="minorHAnsi" w:hAnsiTheme="minorHAnsi"/>
          <w:sz w:val="21"/>
          <w:szCs w:val="21"/>
        </w:rPr>
        <w:t>Select</w:t>
      </w:r>
      <w:r w:rsidR="00A07A90" w:rsidRPr="00D22B2A">
        <w:rPr>
          <w:rFonts w:asciiTheme="minorHAnsi" w:hAnsiTheme="minorHAnsi"/>
          <w:sz w:val="21"/>
          <w:szCs w:val="21"/>
        </w:rPr>
        <w:t>ed</w:t>
      </w:r>
      <w:r w:rsidR="000F00C2" w:rsidRPr="00D22B2A">
        <w:rPr>
          <w:rFonts w:asciiTheme="minorHAnsi" w:hAnsiTheme="minorHAnsi"/>
          <w:sz w:val="21"/>
          <w:szCs w:val="21"/>
        </w:rPr>
        <w:t xml:space="preserve"> </w:t>
      </w:r>
      <w:r w:rsidR="004E3DDF" w:rsidRPr="00D22B2A">
        <w:rPr>
          <w:rFonts w:asciiTheme="minorHAnsi" w:hAnsiTheme="minorHAnsi"/>
          <w:sz w:val="21"/>
          <w:szCs w:val="21"/>
        </w:rPr>
        <w:t>SUID r</w:t>
      </w:r>
      <w:r w:rsidR="00547CA7" w:rsidRPr="00D22B2A">
        <w:rPr>
          <w:rFonts w:asciiTheme="minorHAnsi" w:hAnsiTheme="minorHAnsi"/>
          <w:sz w:val="21"/>
          <w:szCs w:val="21"/>
        </w:rPr>
        <w:t>isk and protective factors</w:t>
      </w:r>
      <w:r w:rsidR="005C423F" w:rsidRPr="00D22B2A">
        <w:rPr>
          <w:rFonts w:asciiTheme="minorHAnsi" w:hAnsiTheme="minorHAnsi"/>
          <w:sz w:val="21"/>
          <w:szCs w:val="21"/>
        </w:rPr>
        <w:t xml:space="preserve"> among Massachusetts</w:t>
      </w:r>
      <w:r w:rsidR="004E3DDF" w:rsidRPr="00D22B2A">
        <w:rPr>
          <w:rFonts w:asciiTheme="minorHAnsi" w:hAnsiTheme="minorHAnsi"/>
          <w:sz w:val="21"/>
          <w:szCs w:val="21"/>
        </w:rPr>
        <w:t xml:space="preserve"> infants</w:t>
      </w:r>
      <w:r w:rsidR="00636D2D" w:rsidRPr="00D22B2A">
        <w:rPr>
          <w:rFonts w:asciiTheme="minorHAnsi" w:hAnsiTheme="minorHAnsi"/>
          <w:sz w:val="21"/>
          <w:szCs w:val="21"/>
        </w:rPr>
        <w:t xml:space="preserve"> at the time of birth</w:t>
      </w:r>
      <w:r w:rsidR="00547CA7" w:rsidRPr="0053599E">
        <w:rPr>
          <w:rFonts w:asciiTheme="minorHAnsi" w:hAnsiTheme="minorHAnsi"/>
          <w:sz w:val="22"/>
          <w:szCs w:val="22"/>
        </w:rPr>
        <w:t xml:space="preserve"> </w:t>
      </w:r>
      <w:r w:rsidR="00CB155E" w:rsidRPr="0053599E">
        <w:rPr>
          <w:rFonts w:asciiTheme="minorHAnsi" w:hAnsiTheme="minorHAnsi"/>
          <w:sz w:val="22"/>
          <w:szCs w:val="22"/>
        </w:rPr>
        <w:t>are presented in Figure 8</w:t>
      </w:r>
      <w:r w:rsidR="00547CA7" w:rsidRPr="0053599E">
        <w:rPr>
          <w:rFonts w:asciiTheme="minorHAnsi" w:hAnsiTheme="minorHAnsi"/>
          <w:sz w:val="22"/>
          <w:szCs w:val="22"/>
        </w:rPr>
        <w:t>.</w:t>
      </w:r>
      <w:r w:rsidR="00544C22" w:rsidRPr="0053599E">
        <w:rPr>
          <w:rFonts w:asciiTheme="minorHAnsi" w:hAnsiTheme="minorHAnsi"/>
          <w:sz w:val="22"/>
          <w:szCs w:val="22"/>
        </w:rPr>
        <w:t xml:space="preserve"> </w:t>
      </w:r>
    </w:p>
    <w:tbl>
      <w:tblPr>
        <w:tblStyle w:val="LightList-Accent3"/>
        <w:tblpPr w:leftFromText="180" w:rightFromText="180" w:vertAnchor="text" w:horzAnchor="margin" w:tblpXSpec="right" w:tblpY="122"/>
        <w:tblOverlap w:val="never"/>
        <w:tblW w:w="0" w:type="auto"/>
        <w:tblLook w:val="04A0" w:firstRow="1" w:lastRow="0" w:firstColumn="1" w:lastColumn="0" w:noHBand="0" w:noVBand="1"/>
      </w:tblPr>
      <w:tblGrid>
        <w:gridCol w:w="3222"/>
        <w:gridCol w:w="1512"/>
      </w:tblGrid>
      <w:tr w:rsidR="00BB1CA0" w14:paraId="79C30E2B" w14:textId="77777777" w:rsidTr="00F63DA9">
        <w:trPr>
          <w:cnfStyle w:val="100000000000" w:firstRow="1" w:lastRow="0" w:firstColumn="0" w:lastColumn="0" w:oddVBand="0" w:evenVBand="0" w:oddHBand="0"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4734" w:type="dxa"/>
            <w:gridSpan w:val="2"/>
            <w:tcBorders>
              <w:bottom w:val="nil"/>
            </w:tcBorders>
            <w:vAlign w:val="center"/>
          </w:tcPr>
          <w:p w14:paraId="681B48C1" w14:textId="77777777" w:rsidR="00BB1CA0" w:rsidRPr="000C0B42" w:rsidRDefault="00BB1CA0" w:rsidP="00BB1CA0">
            <w:pPr>
              <w:spacing w:after="120"/>
              <w:jc w:val="center"/>
              <w:rPr>
                <w:rFonts w:asciiTheme="minorHAnsi" w:hAnsiTheme="minorHAnsi"/>
              </w:rPr>
            </w:pPr>
            <w:r w:rsidRPr="000C0B42">
              <w:rPr>
                <w:rFonts w:asciiTheme="minorHAnsi" w:hAnsiTheme="minorHAnsi"/>
                <w:bCs w:val="0"/>
                <w:color w:val="auto"/>
              </w:rPr>
              <w:t xml:space="preserve">Figure 8: </w:t>
            </w:r>
            <w:r w:rsidRPr="000C0B42">
              <w:rPr>
                <w:rFonts w:asciiTheme="minorHAnsi" w:hAnsiTheme="minorHAnsi"/>
                <w:color w:val="auto"/>
              </w:rPr>
              <w:t>Risk &amp; Protective Factors Associated with SUID at the Time of Birth, MA Infants, 2015 (n=71,484)</w:t>
            </w:r>
          </w:p>
        </w:tc>
      </w:tr>
      <w:tr w:rsidR="00BB1CA0" w14:paraId="1B2D388F" w14:textId="77777777" w:rsidTr="00BB1CA0">
        <w:trPr>
          <w:cnfStyle w:val="000000100000" w:firstRow="0" w:lastRow="0" w:firstColumn="0" w:lastColumn="0" w:oddVBand="0" w:evenVBand="0" w:oddHBand="1" w:evenHBand="0" w:firstRowFirstColumn="0" w:firstRowLastColumn="0" w:lastRowFirstColumn="0" w:lastRowLastColumn="0"/>
          <w:trHeight w:hRule="exact" w:val="281"/>
        </w:trPr>
        <w:tc>
          <w:tcPr>
            <w:cnfStyle w:val="001000000000" w:firstRow="0" w:lastRow="0" w:firstColumn="1" w:lastColumn="0" w:oddVBand="0" w:evenVBand="0" w:oddHBand="0" w:evenHBand="0" w:firstRowFirstColumn="0" w:firstRowLastColumn="0" w:lastRowFirstColumn="0" w:lastRowLastColumn="0"/>
            <w:tcW w:w="3222" w:type="dxa"/>
            <w:tcBorders>
              <w:top w:val="nil"/>
              <w:left w:val="nil"/>
              <w:bottom w:val="nil"/>
              <w:right w:val="nil"/>
            </w:tcBorders>
            <w:shd w:val="clear" w:color="auto" w:fill="E7EEEE" w:themeFill="accent3" w:themeFillTint="33"/>
            <w:vAlign w:val="center"/>
          </w:tcPr>
          <w:p w14:paraId="4B0383B4" w14:textId="77777777" w:rsidR="00BB1CA0" w:rsidRPr="00900339" w:rsidRDefault="00BB1CA0" w:rsidP="00BB1CA0">
            <w:pPr>
              <w:spacing w:after="120"/>
              <w:rPr>
                <w:rFonts w:asciiTheme="minorHAnsi" w:hAnsiTheme="minorHAnsi"/>
                <w:i/>
              </w:rPr>
            </w:pPr>
            <w:r w:rsidRPr="00900339">
              <w:rPr>
                <w:rFonts w:asciiTheme="minorHAnsi" w:hAnsiTheme="minorHAnsi"/>
                <w:i/>
              </w:rPr>
              <w:t>Risk Factor</w:t>
            </w:r>
          </w:p>
        </w:tc>
        <w:tc>
          <w:tcPr>
            <w:tcW w:w="1512" w:type="dxa"/>
            <w:tcBorders>
              <w:top w:val="nil"/>
              <w:left w:val="nil"/>
              <w:bottom w:val="nil"/>
              <w:right w:val="nil"/>
            </w:tcBorders>
            <w:shd w:val="clear" w:color="auto" w:fill="E7EEEE" w:themeFill="accent3" w:themeFillTint="33"/>
            <w:vAlign w:val="center"/>
          </w:tcPr>
          <w:p w14:paraId="60E0626F" w14:textId="77777777" w:rsidR="00BB1CA0" w:rsidRPr="00900339" w:rsidRDefault="00BB1CA0" w:rsidP="00BB1CA0">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i/>
              </w:rPr>
            </w:pPr>
            <w:r w:rsidRPr="00900339">
              <w:rPr>
                <w:rFonts w:asciiTheme="minorHAnsi" w:hAnsiTheme="minorHAnsi"/>
                <w:b/>
                <w:i/>
              </w:rPr>
              <w:t>% reporting</w:t>
            </w:r>
          </w:p>
        </w:tc>
      </w:tr>
      <w:tr w:rsidR="00BB1CA0" w14:paraId="3DD1477E" w14:textId="77777777" w:rsidTr="00BB1CA0">
        <w:trPr>
          <w:trHeight w:hRule="exact" w:val="281"/>
        </w:trPr>
        <w:tc>
          <w:tcPr>
            <w:cnfStyle w:val="001000000000" w:firstRow="0" w:lastRow="0" w:firstColumn="1" w:lastColumn="0" w:oddVBand="0" w:evenVBand="0" w:oddHBand="0" w:evenHBand="0" w:firstRowFirstColumn="0" w:firstRowLastColumn="0" w:lastRowFirstColumn="0" w:lastRowLastColumn="0"/>
            <w:tcW w:w="3222" w:type="dxa"/>
            <w:tcBorders>
              <w:top w:val="nil"/>
              <w:left w:val="nil"/>
              <w:bottom w:val="nil"/>
              <w:right w:val="nil"/>
            </w:tcBorders>
            <w:vAlign w:val="center"/>
          </w:tcPr>
          <w:p w14:paraId="30DF7F92" w14:textId="77777777" w:rsidR="00BB1CA0" w:rsidRPr="00900339" w:rsidRDefault="00BB1CA0" w:rsidP="00BB1CA0">
            <w:pPr>
              <w:spacing w:after="120"/>
              <w:rPr>
                <w:rFonts w:asciiTheme="minorHAnsi" w:hAnsiTheme="minorHAnsi"/>
                <w:b w:val="0"/>
              </w:rPr>
            </w:pPr>
            <w:r w:rsidRPr="00900339">
              <w:rPr>
                <w:rFonts w:asciiTheme="minorHAnsi" w:hAnsiTheme="minorHAnsi"/>
                <w:b w:val="0"/>
              </w:rPr>
              <w:t>Low birthweight</w:t>
            </w:r>
          </w:p>
        </w:tc>
        <w:tc>
          <w:tcPr>
            <w:tcW w:w="1512" w:type="dxa"/>
            <w:tcBorders>
              <w:top w:val="nil"/>
              <w:left w:val="nil"/>
              <w:bottom w:val="nil"/>
              <w:right w:val="nil"/>
            </w:tcBorders>
            <w:vAlign w:val="center"/>
          </w:tcPr>
          <w:p w14:paraId="092DD1AB" w14:textId="77777777" w:rsidR="00BB1CA0" w:rsidRPr="00900339" w:rsidRDefault="00BB1CA0" w:rsidP="00BB1CA0">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00339">
              <w:rPr>
                <w:rFonts w:asciiTheme="minorHAnsi" w:hAnsiTheme="minorHAnsi"/>
              </w:rPr>
              <w:t>7.5%</w:t>
            </w:r>
          </w:p>
        </w:tc>
      </w:tr>
      <w:tr w:rsidR="00BB1CA0" w14:paraId="1F42D93F" w14:textId="77777777" w:rsidTr="00BB1CA0">
        <w:trPr>
          <w:cnfStyle w:val="000000100000" w:firstRow="0" w:lastRow="0" w:firstColumn="0" w:lastColumn="0" w:oddVBand="0" w:evenVBand="0" w:oddHBand="1" w:evenHBand="0" w:firstRowFirstColumn="0" w:firstRowLastColumn="0" w:lastRowFirstColumn="0" w:lastRowLastColumn="0"/>
          <w:trHeight w:hRule="exact" w:val="281"/>
        </w:trPr>
        <w:tc>
          <w:tcPr>
            <w:cnfStyle w:val="001000000000" w:firstRow="0" w:lastRow="0" w:firstColumn="1" w:lastColumn="0" w:oddVBand="0" w:evenVBand="0" w:oddHBand="0" w:evenHBand="0" w:firstRowFirstColumn="0" w:firstRowLastColumn="0" w:lastRowFirstColumn="0" w:lastRowLastColumn="0"/>
            <w:tcW w:w="3222" w:type="dxa"/>
            <w:tcBorders>
              <w:top w:val="nil"/>
              <w:left w:val="nil"/>
              <w:bottom w:val="nil"/>
              <w:right w:val="nil"/>
            </w:tcBorders>
            <w:vAlign w:val="center"/>
          </w:tcPr>
          <w:p w14:paraId="20B0735C" w14:textId="77777777" w:rsidR="00BB1CA0" w:rsidRPr="00900339" w:rsidRDefault="00BB1CA0" w:rsidP="00BB1CA0">
            <w:pPr>
              <w:spacing w:after="120"/>
              <w:rPr>
                <w:rFonts w:asciiTheme="minorHAnsi" w:hAnsiTheme="minorHAnsi"/>
                <w:b w:val="0"/>
              </w:rPr>
            </w:pPr>
            <w:r w:rsidRPr="00900339">
              <w:rPr>
                <w:rFonts w:asciiTheme="minorHAnsi" w:hAnsiTheme="minorHAnsi"/>
                <w:b w:val="0"/>
              </w:rPr>
              <w:t>Preterm</w:t>
            </w:r>
          </w:p>
        </w:tc>
        <w:tc>
          <w:tcPr>
            <w:tcW w:w="1512" w:type="dxa"/>
            <w:tcBorders>
              <w:top w:val="nil"/>
              <w:left w:val="nil"/>
              <w:bottom w:val="nil"/>
              <w:right w:val="nil"/>
            </w:tcBorders>
            <w:vAlign w:val="center"/>
          </w:tcPr>
          <w:p w14:paraId="2C4647F2" w14:textId="77777777" w:rsidR="00BB1CA0" w:rsidRPr="00900339" w:rsidRDefault="00BB1CA0" w:rsidP="00BB1CA0">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00339">
              <w:rPr>
                <w:rFonts w:asciiTheme="minorHAnsi" w:hAnsiTheme="minorHAnsi"/>
              </w:rPr>
              <w:t>8.4%</w:t>
            </w:r>
          </w:p>
        </w:tc>
      </w:tr>
      <w:tr w:rsidR="00BB1CA0" w14:paraId="70B0B565" w14:textId="77777777" w:rsidTr="00BB1CA0">
        <w:trPr>
          <w:trHeight w:hRule="exact" w:val="281"/>
        </w:trPr>
        <w:tc>
          <w:tcPr>
            <w:cnfStyle w:val="001000000000" w:firstRow="0" w:lastRow="0" w:firstColumn="1" w:lastColumn="0" w:oddVBand="0" w:evenVBand="0" w:oddHBand="0" w:evenHBand="0" w:firstRowFirstColumn="0" w:firstRowLastColumn="0" w:lastRowFirstColumn="0" w:lastRowLastColumn="0"/>
            <w:tcW w:w="3222" w:type="dxa"/>
            <w:tcBorders>
              <w:top w:val="nil"/>
              <w:left w:val="nil"/>
              <w:bottom w:val="nil"/>
              <w:right w:val="nil"/>
            </w:tcBorders>
            <w:vAlign w:val="center"/>
          </w:tcPr>
          <w:p w14:paraId="6295008E" w14:textId="77777777" w:rsidR="00BB1CA0" w:rsidRPr="00900339" w:rsidRDefault="00BB1CA0" w:rsidP="00BB1CA0">
            <w:pPr>
              <w:spacing w:after="120"/>
              <w:rPr>
                <w:rFonts w:asciiTheme="minorHAnsi" w:hAnsiTheme="minorHAnsi"/>
                <w:b w:val="0"/>
              </w:rPr>
            </w:pPr>
            <w:r w:rsidRPr="00900339">
              <w:rPr>
                <w:rFonts w:asciiTheme="minorHAnsi" w:hAnsiTheme="minorHAnsi"/>
                <w:b w:val="0"/>
              </w:rPr>
              <w:t>Prenatal smoking</w:t>
            </w:r>
          </w:p>
        </w:tc>
        <w:tc>
          <w:tcPr>
            <w:tcW w:w="1512" w:type="dxa"/>
            <w:tcBorders>
              <w:top w:val="nil"/>
              <w:left w:val="nil"/>
              <w:bottom w:val="nil"/>
              <w:right w:val="nil"/>
            </w:tcBorders>
            <w:vAlign w:val="center"/>
          </w:tcPr>
          <w:p w14:paraId="09432A0C" w14:textId="77777777" w:rsidR="00BB1CA0" w:rsidRPr="00900339" w:rsidRDefault="00BB1CA0" w:rsidP="00BB1CA0">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00339">
              <w:rPr>
                <w:rFonts w:asciiTheme="minorHAnsi" w:hAnsiTheme="minorHAnsi"/>
              </w:rPr>
              <w:t>5.9%</w:t>
            </w:r>
          </w:p>
        </w:tc>
      </w:tr>
      <w:tr w:rsidR="00BB1CA0" w14:paraId="48F6331F" w14:textId="77777777" w:rsidTr="00BB1CA0">
        <w:trPr>
          <w:cnfStyle w:val="000000100000" w:firstRow="0" w:lastRow="0" w:firstColumn="0" w:lastColumn="0" w:oddVBand="0" w:evenVBand="0" w:oddHBand="1" w:evenHBand="0" w:firstRowFirstColumn="0" w:firstRowLastColumn="0" w:lastRowFirstColumn="0" w:lastRowLastColumn="0"/>
          <w:trHeight w:hRule="exact" w:val="281"/>
        </w:trPr>
        <w:tc>
          <w:tcPr>
            <w:cnfStyle w:val="001000000000" w:firstRow="0" w:lastRow="0" w:firstColumn="1" w:lastColumn="0" w:oddVBand="0" w:evenVBand="0" w:oddHBand="0" w:evenHBand="0" w:firstRowFirstColumn="0" w:firstRowLastColumn="0" w:lastRowFirstColumn="0" w:lastRowLastColumn="0"/>
            <w:tcW w:w="3222" w:type="dxa"/>
            <w:tcBorders>
              <w:top w:val="nil"/>
              <w:left w:val="nil"/>
              <w:bottom w:val="nil"/>
              <w:right w:val="nil"/>
            </w:tcBorders>
            <w:shd w:val="clear" w:color="auto" w:fill="E7EEEE" w:themeFill="accent3" w:themeFillTint="33"/>
            <w:vAlign w:val="center"/>
          </w:tcPr>
          <w:p w14:paraId="462BD5E2" w14:textId="77777777" w:rsidR="00BB1CA0" w:rsidRPr="00900339" w:rsidRDefault="00BB1CA0" w:rsidP="00BB1CA0">
            <w:pPr>
              <w:spacing w:after="120"/>
              <w:rPr>
                <w:rFonts w:asciiTheme="minorHAnsi" w:hAnsiTheme="minorHAnsi"/>
                <w:i/>
              </w:rPr>
            </w:pPr>
            <w:r w:rsidRPr="00900339">
              <w:rPr>
                <w:rFonts w:asciiTheme="minorHAnsi" w:hAnsiTheme="minorHAnsi"/>
                <w:i/>
              </w:rPr>
              <w:t>Protective Factor</w:t>
            </w:r>
          </w:p>
        </w:tc>
        <w:tc>
          <w:tcPr>
            <w:tcW w:w="1512" w:type="dxa"/>
            <w:tcBorders>
              <w:top w:val="nil"/>
              <w:left w:val="nil"/>
              <w:bottom w:val="nil"/>
              <w:right w:val="nil"/>
            </w:tcBorders>
            <w:shd w:val="clear" w:color="auto" w:fill="E7EEEE" w:themeFill="accent3" w:themeFillTint="33"/>
            <w:vAlign w:val="center"/>
          </w:tcPr>
          <w:p w14:paraId="1AB9120D" w14:textId="77777777" w:rsidR="00BB1CA0" w:rsidRPr="00900339" w:rsidRDefault="00BB1CA0" w:rsidP="00BB1CA0">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i/>
              </w:rPr>
            </w:pPr>
            <w:r w:rsidRPr="00900339">
              <w:rPr>
                <w:rFonts w:asciiTheme="minorHAnsi" w:hAnsiTheme="minorHAnsi"/>
                <w:b/>
                <w:i/>
              </w:rPr>
              <w:t>% reporting</w:t>
            </w:r>
          </w:p>
        </w:tc>
      </w:tr>
      <w:tr w:rsidR="00BB1CA0" w14:paraId="374D3C81" w14:textId="77777777" w:rsidTr="00BB1CA0">
        <w:trPr>
          <w:trHeight w:hRule="exact" w:val="263"/>
        </w:trPr>
        <w:tc>
          <w:tcPr>
            <w:cnfStyle w:val="001000000000" w:firstRow="0" w:lastRow="0" w:firstColumn="1" w:lastColumn="0" w:oddVBand="0" w:evenVBand="0" w:oddHBand="0" w:evenHBand="0" w:firstRowFirstColumn="0" w:firstRowLastColumn="0" w:lastRowFirstColumn="0" w:lastRowLastColumn="0"/>
            <w:tcW w:w="3222" w:type="dxa"/>
            <w:tcBorders>
              <w:top w:val="nil"/>
              <w:left w:val="nil"/>
              <w:bottom w:val="nil"/>
              <w:right w:val="nil"/>
            </w:tcBorders>
            <w:vAlign w:val="center"/>
          </w:tcPr>
          <w:p w14:paraId="28140128" w14:textId="77777777" w:rsidR="00BB1CA0" w:rsidRPr="00900339" w:rsidRDefault="00BB1CA0" w:rsidP="00BB1CA0">
            <w:pPr>
              <w:spacing w:after="120"/>
              <w:rPr>
                <w:rFonts w:asciiTheme="minorHAnsi" w:hAnsiTheme="minorHAnsi"/>
                <w:b w:val="0"/>
              </w:rPr>
            </w:pPr>
            <w:r w:rsidRPr="00900339">
              <w:rPr>
                <w:rFonts w:asciiTheme="minorHAnsi" w:hAnsiTheme="minorHAnsi"/>
                <w:b w:val="0"/>
              </w:rPr>
              <w:t>Adequate prenatal care</w:t>
            </w:r>
          </w:p>
        </w:tc>
        <w:tc>
          <w:tcPr>
            <w:tcW w:w="1512" w:type="dxa"/>
            <w:tcBorders>
              <w:top w:val="nil"/>
              <w:left w:val="nil"/>
              <w:bottom w:val="nil"/>
              <w:right w:val="nil"/>
            </w:tcBorders>
            <w:vAlign w:val="center"/>
          </w:tcPr>
          <w:p w14:paraId="227D2DA8" w14:textId="77777777" w:rsidR="00BB1CA0" w:rsidRPr="00900339" w:rsidRDefault="00BB1CA0" w:rsidP="00BB1CA0">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00339">
              <w:rPr>
                <w:rFonts w:asciiTheme="minorHAnsi" w:hAnsiTheme="minorHAnsi"/>
              </w:rPr>
              <w:t>81.8%</w:t>
            </w:r>
          </w:p>
        </w:tc>
      </w:tr>
      <w:tr w:rsidR="00BB1CA0" w14:paraId="41AF7340" w14:textId="77777777" w:rsidTr="00BB1CA0">
        <w:trPr>
          <w:cnfStyle w:val="000000100000" w:firstRow="0" w:lastRow="0" w:firstColumn="0" w:lastColumn="0" w:oddVBand="0" w:evenVBand="0" w:oddHBand="1" w:evenHBand="0" w:firstRowFirstColumn="0" w:firstRowLastColumn="0" w:lastRowFirstColumn="0" w:lastRowLastColumn="0"/>
          <w:trHeight w:hRule="exact" w:val="333"/>
        </w:trPr>
        <w:tc>
          <w:tcPr>
            <w:cnfStyle w:val="001000000000" w:firstRow="0" w:lastRow="0" w:firstColumn="1" w:lastColumn="0" w:oddVBand="0" w:evenVBand="0" w:oddHBand="0" w:evenHBand="0" w:firstRowFirstColumn="0" w:firstRowLastColumn="0" w:lastRowFirstColumn="0" w:lastRowLastColumn="0"/>
            <w:tcW w:w="3222" w:type="dxa"/>
            <w:tcBorders>
              <w:top w:val="nil"/>
              <w:left w:val="nil"/>
              <w:bottom w:val="nil"/>
              <w:right w:val="nil"/>
            </w:tcBorders>
            <w:vAlign w:val="center"/>
          </w:tcPr>
          <w:p w14:paraId="2916FCBA" w14:textId="77777777" w:rsidR="00BB1CA0" w:rsidRPr="00900339" w:rsidRDefault="00BB1CA0" w:rsidP="00BB1CA0">
            <w:pPr>
              <w:spacing w:after="120"/>
              <w:rPr>
                <w:rFonts w:asciiTheme="minorHAnsi" w:hAnsiTheme="minorHAnsi"/>
                <w:b w:val="0"/>
              </w:rPr>
            </w:pPr>
            <w:r w:rsidRPr="00900339">
              <w:rPr>
                <w:rFonts w:asciiTheme="minorHAnsi" w:hAnsiTheme="minorHAnsi"/>
                <w:b w:val="0"/>
              </w:rPr>
              <w:t>Breastfeeding</w:t>
            </w:r>
          </w:p>
        </w:tc>
        <w:tc>
          <w:tcPr>
            <w:tcW w:w="1512" w:type="dxa"/>
            <w:tcBorders>
              <w:top w:val="nil"/>
              <w:left w:val="nil"/>
              <w:bottom w:val="nil"/>
              <w:right w:val="nil"/>
            </w:tcBorders>
            <w:vAlign w:val="center"/>
          </w:tcPr>
          <w:p w14:paraId="71EA3991" w14:textId="77777777" w:rsidR="00BB1CA0" w:rsidRPr="00900339" w:rsidRDefault="00BB1CA0" w:rsidP="00BB1CA0">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00339">
              <w:rPr>
                <w:rFonts w:asciiTheme="minorHAnsi" w:hAnsiTheme="minorHAnsi"/>
              </w:rPr>
              <w:t>87.0%</w:t>
            </w:r>
          </w:p>
        </w:tc>
      </w:tr>
    </w:tbl>
    <w:p w14:paraId="425BBEFC" w14:textId="134BAD3B" w:rsidR="006F389B" w:rsidRDefault="00BB1CA0" w:rsidP="00691911">
      <w:pPr>
        <w:rPr>
          <w:rFonts w:asciiTheme="majorHAnsi" w:hAnsiTheme="majorHAnsi"/>
          <w:b/>
          <w:color w:val="A86C2A" w:themeColor="accent6" w:themeShade="BF"/>
          <w:sz w:val="24"/>
        </w:rPr>
      </w:pPr>
      <w:r w:rsidRPr="007344D7">
        <w:rPr>
          <w:rFonts w:asciiTheme="minorHAnsi" w:hAnsiTheme="minorHAnsi"/>
          <w:noProof/>
          <w:sz w:val="22"/>
          <w:szCs w:val="22"/>
        </w:rPr>
        <mc:AlternateContent>
          <mc:Choice Requires="wps">
            <w:drawing>
              <wp:anchor distT="0" distB="0" distL="114300" distR="114300" simplePos="0" relativeHeight="251749888" behindDoc="0" locked="0" layoutInCell="1" allowOverlap="1" wp14:anchorId="04CEA723" wp14:editId="5736AB2A">
                <wp:simplePos x="0" y="0"/>
                <wp:positionH relativeFrom="column">
                  <wp:posOffset>0</wp:posOffset>
                </wp:positionH>
                <wp:positionV relativeFrom="paragraph">
                  <wp:posOffset>1946910</wp:posOffset>
                </wp:positionV>
                <wp:extent cx="2790825" cy="2286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28600"/>
                        </a:xfrm>
                        <a:prstGeom prst="rect">
                          <a:avLst/>
                        </a:prstGeom>
                        <a:noFill/>
                        <a:ln w="9525">
                          <a:noFill/>
                          <a:miter lim="800000"/>
                          <a:headEnd/>
                          <a:tailEnd/>
                        </a:ln>
                      </wps:spPr>
                      <wps:txbx>
                        <w:txbxContent>
                          <w:p w14:paraId="4DD86B96" w14:textId="77777777" w:rsidR="00761CDA" w:rsidRPr="00872748" w:rsidRDefault="00761CDA" w:rsidP="00761CDA">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 xml:space="preserve">Vital Records &amp; Statistics, </w:t>
                            </w:r>
                            <w:r w:rsidRPr="00872748">
                              <w:rPr>
                                <w:rFonts w:asciiTheme="minorHAnsi" w:hAnsiTheme="minorHAnsi"/>
                                <w:i/>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4CEA723" id="_x0000_s1037" type="#_x0000_t202" style="position:absolute;margin-left:0;margin-top:153.3pt;width:219.75pt;height:1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" filled="f" stroked="f">
                <v:textbox>
                  <w:txbxContent>
                    <w:p w14:paraId="4DD86B96" w14:textId="77777777" w:rsidR="00761CDA" w:rsidRPr="00872748" w:rsidRDefault="00761CDA" w:rsidP="00761CDA">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 xml:space="preserve">Vital Records &amp; Statistics, </w:t>
                      </w:r>
                      <w:r w:rsidRPr="00872748">
                        <w:rPr>
                          <w:rFonts w:asciiTheme="minorHAnsi" w:hAnsiTheme="minorHAnsi"/>
                          <w:i/>
                          <w:sz w:val="16"/>
                          <w:szCs w:val="16"/>
                        </w:rPr>
                        <w:t>2015</w:t>
                      </w:r>
                    </w:p>
                  </w:txbxContent>
                </v:textbox>
              </v:shape>
            </w:pict>
          </mc:Fallback>
        </mc:AlternateContent>
      </w:r>
    </w:p>
    <w:p w14:paraId="54BAA2B6" w14:textId="77777777" w:rsidR="00E9155B" w:rsidRDefault="00E9155B" w:rsidP="00691911">
      <w:pPr>
        <w:rPr>
          <w:rFonts w:asciiTheme="majorHAnsi" w:hAnsiTheme="majorHAnsi"/>
          <w:b/>
          <w:color w:val="A86C2A" w:themeColor="accent6" w:themeShade="BF"/>
          <w:sz w:val="24"/>
        </w:rPr>
      </w:pPr>
    </w:p>
    <w:p w14:paraId="1700FFCE" w14:textId="254CCF9E" w:rsidR="004A5503" w:rsidRPr="00672604" w:rsidRDefault="00691911" w:rsidP="00B87906">
      <w:pPr>
        <w:spacing w:after="120"/>
        <w:rPr>
          <w:rFonts w:asciiTheme="majorHAnsi" w:hAnsiTheme="majorHAnsi"/>
          <w:b/>
          <w:color w:val="A86C2A" w:themeColor="accent6" w:themeShade="BF"/>
          <w:sz w:val="24"/>
        </w:rPr>
      </w:pPr>
      <w:r>
        <w:rPr>
          <w:rFonts w:asciiTheme="majorHAnsi" w:hAnsiTheme="majorHAnsi"/>
          <w:b/>
          <w:color w:val="A86C2A" w:themeColor="accent6" w:themeShade="BF"/>
          <w:sz w:val="24"/>
        </w:rPr>
        <w:t>I</w:t>
      </w:r>
      <w:r w:rsidR="000F2B58">
        <w:rPr>
          <w:rFonts w:asciiTheme="majorHAnsi" w:hAnsiTheme="majorHAnsi"/>
          <w:b/>
          <w:color w:val="A86C2A" w:themeColor="accent6" w:themeShade="BF"/>
          <w:sz w:val="24"/>
        </w:rPr>
        <w:t xml:space="preserve">nequities in </w:t>
      </w:r>
      <w:r w:rsidR="000F2B58" w:rsidRPr="006718E7">
        <w:rPr>
          <w:rFonts w:asciiTheme="majorHAnsi" w:hAnsiTheme="majorHAnsi"/>
          <w:b/>
          <w:color w:val="A86C2A" w:themeColor="accent6" w:themeShade="BF"/>
          <w:sz w:val="24"/>
        </w:rPr>
        <w:t>SUID in Massachusetts</w:t>
      </w:r>
    </w:p>
    <w:p w14:paraId="1C623397" w14:textId="0B2AE949" w:rsidR="0040101D" w:rsidRPr="00390E76" w:rsidRDefault="00ED0BBC" w:rsidP="009F3707">
      <w:pPr>
        <w:pStyle w:val="PlainText"/>
        <w:spacing w:after="120"/>
        <w:rPr>
          <w:rFonts w:asciiTheme="majorHAnsi" w:hAnsiTheme="majorHAnsi"/>
          <w:noProof/>
        </w:rPr>
      </w:pPr>
      <w:r>
        <w:rPr>
          <w:rFonts w:asciiTheme="majorHAnsi" w:hAnsiTheme="majorHAnsi"/>
          <w:i/>
          <w:color w:val="A86C2A" w:themeColor="accent6" w:themeShade="BF"/>
          <w:sz w:val="24"/>
        </w:rPr>
        <w:t xml:space="preserve">SUID </w:t>
      </w:r>
      <w:r w:rsidR="0021018C">
        <w:rPr>
          <w:rFonts w:asciiTheme="majorHAnsi" w:hAnsiTheme="majorHAnsi"/>
          <w:i/>
          <w:color w:val="A86C2A" w:themeColor="accent6" w:themeShade="BF"/>
          <w:sz w:val="24"/>
        </w:rPr>
        <w:t xml:space="preserve">Rates </w:t>
      </w:r>
      <w:r>
        <w:rPr>
          <w:rFonts w:asciiTheme="majorHAnsi" w:hAnsiTheme="majorHAnsi"/>
          <w:i/>
          <w:color w:val="A86C2A" w:themeColor="accent6" w:themeShade="BF"/>
          <w:sz w:val="24"/>
        </w:rPr>
        <w:t>by Race/Ethnicity</w:t>
      </w:r>
    </w:p>
    <w:p w14:paraId="7E61F2B5" w14:textId="20DC8446" w:rsidR="009F13B6" w:rsidRPr="00D22B2A" w:rsidRDefault="001B1756" w:rsidP="005F6B4C">
      <w:pPr>
        <w:rPr>
          <w:rFonts w:asciiTheme="minorHAnsi" w:hAnsiTheme="minorHAnsi"/>
          <w:sz w:val="21"/>
          <w:szCs w:val="21"/>
        </w:rPr>
      </w:pPr>
      <w:r w:rsidRPr="00D22B2A">
        <w:rPr>
          <w:rFonts w:asciiTheme="minorHAnsi" w:hAnsiTheme="minorHAnsi"/>
          <w:noProof/>
          <w:sz w:val="21"/>
          <w:szCs w:val="21"/>
        </w:rPr>
        <mc:AlternateContent>
          <mc:Choice Requires="wps">
            <w:drawing>
              <wp:anchor distT="0" distB="0" distL="114300" distR="114300" simplePos="0" relativeHeight="251728384" behindDoc="0" locked="0" layoutInCell="1" allowOverlap="1" wp14:anchorId="0DD8AD18" wp14:editId="7D8F84B4">
                <wp:simplePos x="0" y="0"/>
                <wp:positionH relativeFrom="column">
                  <wp:posOffset>-3583305</wp:posOffset>
                </wp:positionH>
                <wp:positionV relativeFrom="paragraph">
                  <wp:posOffset>319405</wp:posOffset>
                </wp:positionV>
                <wp:extent cx="3105150" cy="25717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noFill/>
                        <a:ln w="9525">
                          <a:noFill/>
                          <a:miter lim="800000"/>
                          <a:headEnd/>
                          <a:tailEnd/>
                        </a:ln>
                      </wps:spPr>
                      <wps:txbx>
                        <w:txbxContent>
                          <w:p w14:paraId="745A90BA" w14:textId="77777777" w:rsidR="005276C5" w:rsidRPr="00872748" w:rsidRDefault="005276C5" w:rsidP="007615D3">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Pregnancy Risk Assessment Monitoring System, 2007-2015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DD8AD18" id="_x0000_s1038" type="#_x0000_t202" style="position:absolute;margin-left:-282.15pt;margin-top:25.15pt;width:244.5pt;height:20.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" filled="f" stroked="f">
                <v:textbox>
                  <w:txbxContent>
                    <w:p w14:paraId="745A90BA" w14:textId="77777777" w:rsidR="005276C5" w:rsidRPr="00872748" w:rsidRDefault="005276C5" w:rsidP="007615D3">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Pregnancy Risk Assessment Monitoring System, 2007-2015</w:t>
                      </w:r>
                    </w:p>
                  </w:txbxContent>
                </v:textbox>
              </v:shape>
            </w:pict>
          </mc:Fallback>
        </mc:AlternateContent>
      </w:r>
      <w:r w:rsidR="005F65B4" w:rsidRPr="00D22B2A">
        <w:rPr>
          <w:rFonts w:asciiTheme="minorHAnsi" w:hAnsiTheme="minorHAnsi"/>
          <w:sz w:val="21"/>
          <w:szCs w:val="21"/>
        </w:rPr>
        <w:t xml:space="preserve">The </w:t>
      </w:r>
      <w:r w:rsidR="00C561C4" w:rsidRPr="00D22B2A">
        <w:rPr>
          <w:rFonts w:asciiTheme="minorHAnsi" w:hAnsiTheme="minorHAnsi"/>
          <w:sz w:val="21"/>
          <w:szCs w:val="21"/>
        </w:rPr>
        <w:t xml:space="preserve">average annual </w:t>
      </w:r>
      <w:r w:rsidR="005F65B4" w:rsidRPr="00D22B2A">
        <w:rPr>
          <w:rFonts w:asciiTheme="minorHAnsi" w:hAnsiTheme="minorHAnsi"/>
          <w:sz w:val="21"/>
          <w:szCs w:val="21"/>
        </w:rPr>
        <w:t>rate of SUID among Black non-His</w:t>
      </w:r>
      <w:r w:rsidR="00C561C4" w:rsidRPr="00D22B2A">
        <w:rPr>
          <w:rFonts w:asciiTheme="minorHAnsi" w:hAnsiTheme="minorHAnsi"/>
          <w:sz w:val="21"/>
          <w:szCs w:val="21"/>
        </w:rPr>
        <w:t>panic infants in Massachusetts wa</w:t>
      </w:r>
      <w:r w:rsidR="005F65B4" w:rsidRPr="00D22B2A">
        <w:rPr>
          <w:rFonts w:asciiTheme="minorHAnsi" w:hAnsiTheme="minorHAnsi"/>
          <w:sz w:val="21"/>
          <w:szCs w:val="21"/>
        </w:rPr>
        <w:t xml:space="preserve">s </w:t>
      </w:r>
      <w:r w:rsidR="00A07A2B" w:rsidRPr="00D22B2A">
        <w:rPr>
          <w:rFonts w:asciiTheme="minorHAnsi" w:hAnsiTheme="minorHAnsi"/>
          <w:sz w:val="21"/>
          <w:szCs w:val="21"/>
        </w:rPr>
        <w:t xml:space="preserve">more than </w:t>
      </w:r>
      <w:r w:rsidR="005F65B4" w:rsidRPr="00D22B2A">
        <w:rPr>
          <w:rFonts w:asciiTheme="minorHAnsi" w:hAnsiTheme="minorHAnsi"/>
          <w:sz w:val="21"/>
          <w:szCs w:val="21"/>
        </w:rPr>
        <w:t>twice the rat</w:t>
      </w:r>
      <w:r w:rsidR="00C561C4" w:rsidRPr="00D22B2A">
        <w:rPr>
          <w:rFonts w:asciiTheme="minorHAnsi" w:hAnsiTheme="minorHAnsi"/>
          <w:sz w:val="21"/>
          <w:szCs w:val="21"/>
        </w:rPr>
        <w:t xml:space="preserve">e </w:t>
      </w:r>
      <w:r w:rsidR="00A07A2B" w:rsidRPr="00D22B2A">
        <w:rPr>
          <w:rFonts w:asciiTheme="minorHAnsi" w:hAnsiTheme="minorHAnsi"/>
          <w:sz w:val="21"/>
          <w:szCs w:val="21"/>
        </w:rPr>
        <w:t xml:space="preserve">among </w:t>
      </w:r>
      <w:r w:rsidR="0030451E" w:rsidRPr="00D22B2A">
        <w:rPr>
          <w:rFonts w:asciiTheme="minorHAnsi" w:hAnsiTheme="minorHAnsi"/>
          <w:sz w:val="21"/>
          <w:szCs w:val="21"/>
        </w:rPr>
        <w:t>White non-Hispanic infants</w:t>
      </w:r>
      <w:r w:rsidR="00A857B9" w:rsidRPr="00D22B2A">
        <w:rPr>
          <w:rFonts w:asciiTheme="minorHAnsi" w:hAnsiTheme="minorHAnsi"/>
          <w:sz w:val="21"/>
          <w:szCs w:val="21"/>
        </w:rPr>
        <w:t xml:space="preserve"> and 1.7 times the rate </w:t>
      </w:r>
      <w:r w:rsidR="00A07A2B" w:rsidRPr="00D22B2A">
        <w:rPr>
          <w:rFonts w:asciiTheme="minorHAnsi" w:hAnsiTheme="minorHAnsi"/>
          <w:sz w:val="21"/>
          <w:szCs w:val="21"/>
        </w:rPr>
        <w:t xml:space="preserve">among </w:t>
      </w:r>
      <w:r w:rsidR="00A857B9" w:rsidRPr="00D22B2A">
        <w:rPr>
          <w:rFonts w:asciiTheme="minorHAnsi" w:hAnsiTheme="minorHAnsi"/>
          <w:sz w:val="21"/>
          <w:szCs w:val="21"/>
        </w:rPr>
        <w:t>Hispanic infants</w:t>
      </w:r>
      <w:r w:rsidR="00C561C4" w:rsidRPr="00D22B2A">
        <w:rPr>
          <w:rFonts w:asciiTheme="minorHAnsi" w:hAnsiTheme="minorHAnsi"/>
          <w:sz w:val="21"/>
          <w:szCs w:val="21"/>
        </w:rPr>
        <w:t xml:space="preserve"> during the 5-ye</w:t>
      </w:r>
      <w:r w:rsidR="00C77B11" w:rsidRPr="00D22B2A">
        <w:rPr>
          <w:rFonts w:asciiTheme="minorHAnsi" w:hAnsiTheme="minorHAnsi"/>
          <w:sz w:val="21"/>
          <w:szCs w:val="21"/>
        </w:rPr>
        <w:t xml:space="preserve">ar period of 2011-2015 (Figure </w:t>
      </w:r>
      <w:r w:rsidR="003B5625" w:rsidRPr="00D22B2A">
        <w:rPr>
          <w:rFonts w:asciiTheme="minorHAnsi" w:hAnsiTheme="minorHAnsi"/>
          <w:sz w:val="21"/>
          <w:szCs w:val="21"/>
        </w:rPr>
        <w:t>9</w:t>
      </w:r>
      <w:r w:rsidR="00C561C4" w:rsidRPr="00D22B2A">
        <w:rPr>
          <w:rFonts w:asciiTheme="minorHAnsi" w:hAnsiTheme="minorHAnsi"/>
          <w:sz w:val="21"/>
          <w:szCs w:val="21"/>
        </w:rPr>
        <w:t>).</w:t>
      </w:r>
      <w:r w:rsidR="005F65B4" w:rsidRPr="00D22B2A">
        <w:rPr>
          <w:rFonts w:asciiTheme="minorHAnsi" w:hAnsiTheme="minorHAnsi"/>
          <w:sz w:val="21"/>
          <w:szCs w:val="21"/>
        </w:rPr>
        <w:t xml:space="preserve"> Due to</w:t>
      </w:r>
      <w:r w:rsidR="001D4FC9" w:rsidRPr="00D22B2A">
        <w:rPr>
          <w:rFonts w:asciiTheme="minorHAnsi" w:hAnsiTheme="minorHAnsi"/>
          <w:sz w:val="21"/>
          <w:szCs w:val="21"/>
        </w:rPr>
        <w:t xml:space="preserve"> the low number of </w:t>
      </w:r>
      <w:r w:rsidR="003671A2" w:rsidRPr="00D22B2A">
        <w:rPr>
          <w:rFonts w:asciiTheme="minorHAnsi" w:hAnsiTheme="minorHAnsi"/>
          <w:sz w:val="21"/>
          <w:szCs w:val="21"/>
        </w:rPr>
        <w:t>cases among Asian infants, a rate cannot be calculated for that group.</w:t>
      </w:r>
      <w:r w:rsidR="00A55B58" w:rsidRPr="00D22B2A">
        <w:rPr>
          <w:rFonts w:asciiTheme="minorHAnsi" w:hAnsiTheme="minorHAnsi"/>
          <w:sz w:val="21"/>
          <w:szCs w:val="21"/>
        </w:rPr>
        <w:t xml:space="preserve"> While the SUID rate among Black non-Hispanic infants is disproportionately high, </w:t>
      </w:r>
      <w:r w:rsidR="00577C61" w:rsidRPr="00D22B2A">
        <w:rPr>
          <w:rFonts w:asciiTheme="minorHAnsi" w:hAnsiTheme="minorHAnsi"/>
          <w:sz w:val="21"/>
          <w:szCs w:val="21"/>
        </w:rPr>
        <w:t xml:space="preserve">the majority </w:t>
      </w:r>
      <w:r w:rsidR="00891C6F" w:rsidRPr="00D22B2A">
        <w:rPr>
          <w:rFonts w:asciiTheme="minorHAnsi" w:hAnsiTheme="minorHAnsi"/>
          <w:sz w:val="21"/>
          <w:szCs w:val="21"/>
        </w:rPr>
        <w:t xml:space="preserve">of </w:t>
      </w:r>
      <w:r w:rsidR="001673CC" w:rsidRPr="00D22B2A">
        <w:rPr>
          <w:rFonts w:asciiTheme="minorHAnsi" w:hAnsiTheme="minorHAnsi"/>
          <w:sz w:val="21"/>
          <w:szCs w:val="21"/>
        </w:rPr>
        <w:t>SUID</w:t>
      </w:r>
      <w:r w:rsidR="00926A3B" w:rsidRPr="00D22B2A">
        <w:rPr>
          <w:rFonts w:asciiTheme="minorHAnsi" w:hAnsiTheme="minorHAnsi"/>
          <w:sz w:val="21"/>
          <w:szCs w:val="21"/>
        </w:rPr>
        <w:t xml:space="preserve"> </w:t>
      </w:r>
      <w:r w:rsidR="00577C61" w:rsidRPr="00D22B2A">
        <w:rPr>
          <w:rFonts w:asciiTheme="minorHAnsi" w:hAnsiTheme="minorHAnsi"/>
          <w:sz w:val="21"/>
          <w:szCs w:val="21"/>
        </w:rPr>
        <w:t>cases in the state occur</w:t>
      </w:r>
      <w:r w:rsidR="00337496" w:rsidRPr="00D22B2A">
        <w:rPr>
          <w:rFonts w:asciiTheme="minorHAnsi" w:hAnsiTheme="minorHAnsi"/>
          <w:sz w:val="21"/>
          <w:szCs w:val="21"/>
        </w:rPr>
        <w:t xml:space="preserve"> amon</w:t>
      </w:r>
      <w:r w:rsidR="00577C61" w:rsidRPr="00D22B2A">
        <w:rPr>
          <w:rFonts w:asciiTheme="minorHAnsi" w:hAnsiTheme="minorHAnsi"/>
          <w:sz w:val="21"/>
          <w:szCs w:val="21"/>
        </w:rPr>
        <w:t>g White non-Hispanic infants (62</w:t>
      </w:r>
      <w:r w:rsidR="00A07A2B" w:rsidRPr="00D22B2A">
        <w:rPr>
          <w:rFonts w:asciiTheme="minorHAnsi" w:hAnsiTheme="minorHAnsi"/>
          <w:sz w:val="21"/>
          <w:szCs w:val="21"/>
        </w:rPr>
        <w:t>% of all SUIDs</w:t>
      </w:r>
      <w:r w:rsidR="00337496" w:rsidRPr="00D22B2A">
        <w:rPr>
          <w:rFonts w:asciiTheme="minorHAnsi" w:hAnsiTheme="minorHAnsi"/>
          <w:sz w:val="21"/>
          <w:szCs w:val="21"/>
        </w:rPr>
        <w:t>)</w:t>
      </w:r>
      <w:r w:rsidR="009F13B6" w:rsidRPr="00D22B2A">
        <w:rPr>
          <w:rFonts w:asciiTheme="minorHAnsi" w:hAnsiTheme="minorHAnsi"/>
          <w:sz w:val="21"/>
          <w:szCs w:val="21"/>
        </w:rPr>
        <w:t xml:space="preserve">. </w:t>
      </w:r>
      <w:r w:rsidR="00577C61" w:rsidRPr="00D22B2A">
        <w:rPr>
          <w:rFonts w:asciiTheme="minorHAnsi" w:hAnsiTheme="minorHAnsi"/>
          <w:sz w:val="21"/>
          <w:szCs w:val="21"/>
        </w:rPr>
        <w:t xml:space="preserve"> </w:t>
      </w:r>
    </w:p>
    <w:p w14:paraId="0EA8F534" w14:textId="2A3A2AD1" w:rsidR="008B53D6" w:rsidRPr="00856F2B" w:rsidRDefault="00BB1CA0" w:rsidP="009F13B6">
      <w:pPr>
        <w:jc w:val="both"/>
        <w:rPr>
          <w:rFonts w:asciiTheme="minorHAnsi" w:hAnsiTheme="minorHAnsi"/>
          <w:sz w:val="24"/>
          <w:szCs w:val="24"/>
        </w:rPr>
      </w:pPr>
      <w:r w:rsidRPr="0053599E">
        <w:rPr>
          <w:rFonts w:asciiTheme="majorHAnsi" w:hAnsiTheme="majorHAnsi"/>
          <w:noProof/>
          <w:sz w:val="22"/>
          <w:szCs w:val="22"/>
        </w:rPr>
        <w:drawing>
          <wp:anchor distT="0" distB="0" distL="114300" distR="114300" simplePos="0" relativeHeight="251684352" behindDoc="1" locked="0" layoutInCell="1" allowOverlap="1" wp14:anchorId="436BD47E" wp14:editId="49B91B23">
            <wp:simplePos x="0" y="0"/>
            <wp:positionH relativeFrom="column">
              <wp:posOffset>0</wp:posOffset>
            </wp:positionH>
            <wp:positionV relativeFrom="paragraph">
              <wp:posOffset>212725</wp:posOffset>
            </wp:positionV>
            <wp:extent cx="3169920" cy="2118360"/>
            <wp:effectExtent l="0" t="0" r="11430" b="15240"/>
            <wp:wrapTight wrapText="bothSides">
              <wp:wrapPolygon edited="0">
                <wp:start x="0" y="0"/>
                <wp:lineTo x="0" y="21561"/>
                <wp:lineTo x="21548" y="21561"/>
                <wp:lineTo x="21548"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02D391A7" w14:textId="14895AD0" w:rsidR="0053599E" w:rsidRDefault="00AC693B" w:rsidP="007162F9">
      <w:pPr>
        <w:pStyle w:val="PlainText"/>
        <w:rPr>
          <w:rFonts w:asciiTheme="majorHAnsi" w:hAnsiTheme="majorHAnsi"/>
          <w:i/>
          <w:color w:val="A86C2A" w:themeColor="accent6" w:themeShade="BF"/>
          <w:sz w:val="24"/>
        </w:rPr>
      </w:pPr>
      <w:r w:rsidRPr="007344D7">
        <w:rPr>
          <w:rFonts w:asciiTheme="minorHAnsi" w:hAnsiTheme="minorHAnsi"/>
          <w:noProof/>
          <w:szCs w:val="22"/>
        </w:rPr>
        <mc:AlternateContent>
          <mc:Choice Requires="wps">
            <w:drawing>
              <wp:anchor distT="0" distB="0" distL="114300" distR="114300" simplePos="0" relativeHeight="251737600" behindDoc="0" locked="0" layoutInCell="1" allowOverlap="1" wp14:anchorId="392ACC62" wp14:editId="6F906F88">
                <wp:simplePos x="0" y="0"/>
                <wp:positionH relativeFrom="column">
                  <wp:posOffset>666750</wp:posOffset>
                </wp:positionH>
                <wp:positionV relativeFrom="paragraph">
                  <wp:posOffset>1589404</wp:posOffset>
                </wp:positionV>
                <wp:extent cx="466725" cy="2381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noFill/>
                        <a:ln w="9525">
                          <a:noFill/>
                          <a:miter lim="800000"/>
                          <a:headEnd/>
                          <a:tailEnd/>
                        </a:ln>
                      </wps:spPr>
                      <wps:txbx>
                        <w:txbxContent>
                          <w:p w14:paraId="3BBF5362" w14:textId="77777777" w:rsidR="005276C5" w:rsidRPr="0068174A" w:rsidRDefault="005276C5" w:rsidP="0068174A">
                            <w:pPr>
                              <w:rPr>
                                <w:rFonts w:asciiTheme="minorHAnsi" w:hAnsiTheme="minorHAnsi"/>
                                <w:b/>
                                <w:i/>
                                <w:sz w:val="22"/>
                                <w:szCs w:val="22"/>
                              </w:rPr>
                            </w:pPr>
                            <w:r w:rsidRPr="0068174A">
                              <w:rPr>
                                <w:rFonts w:asciiTheme="minorHAnsi" w:hAnsiTheme="minorHAnsi"/>
                                <w:b/>
                                <w:i/>
                                <w:sz w:val="22"/>
                                <w:szCs w:val="22"/>
                              </w:rPr>
                              <w:t>n&lt;5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92ACC62" id="_x0000_s1039" type="#_x0000_t202" style="position:absolute;margin-left:52.5pt;margin-top:125.15pt;width:36.75pt;height:18.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" filled="f" stroked="f">
                <v:textbox>
                  <w:txbxContent>
                    <w:p w14:paraId="3BBF5362" w14:textId="77777777" w:rsidR="005276C5" w:rsidRPr="0068174A" w:rsidRDefault="005276C5" w:rsidP="0068174A">
                      <w:pPr>
                        <w:rPr>
                          <w:rFonts w:asciiTheme="minorHAnsi" w:hAnsiTheme="minorHAnsi"/>
                          <w:b/>
                          <w:i/>
                          <w:sz w:val="22"/>
                          <w:szCs w:val="22"/>
                        </w:rPr>
                      </w:pPr>
                      <w:r w:rsidRPr="0068174A">
                        <w:rPr>
                          <w:rFonts w:asciiTheme="minorHAnsi" w:hAnsiTheme="minorHAnsi"/>
                          <w:b/>
                          <w:i/>
                          <w:sz w:val="22"/>
                          <w:szCs w:val="22"/>
                        </w:rPr>
                        <w:t>n&lt;5</w:t>
                      </w:r>
                    </w:p>
                  </w:txbxContent>
                </v:textbox>
              </v:shape>
            </w:pict>
          </mc:Fallback>
        </mc:AlternateContent>
      </w:r>
      <w:r w:rsidR="00BB1CA0" w:rsidRPr="0053599E">
        <w:rPr>
          <w:rFonts w:asciiTheme="minorHAnsi" w:hAnsiTheme="minorHAnsi"/>
          <w:noProof/>
          <w:szCs w:val="22"/>
        </w:rPr>
        <mc:AlternateContent>
          <mc:Choice Requires="wps">
            <w:drawing>
              <wp:anchor distT="0" distB="0" distL="114300" distR="114300" simplePos="0" relativeHeight="251741696" behindDoc="0" locked="0" layoutInCell="1" allowOverlap="1" wp14:anchorId="39BBF0F3" wp14:editId="08DE9B6A">
                <wp:simplePos x="0" y="0"/>
                <wp:positionH relativeFrom="column">
                  <wp:posOffset>-3545205</wp:posOffset>
                </wp:positionH>
                <wp:positionV relativeFrom="paragraph">
                  <wp:posOffset>2313940</wp:posOffset>
                </wp:positionV>
                <wp:extent cx="2905125" cy="2857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5750"/>
                        </a:xfrm>
                        <a:prstGeom prst="rect">
                          <a:avLst/>
                        </a:prstGeom>
                        <a:noFill/>
                        <a:ln w="9525">
                          <a:noFill/>
                          <a:miter lim="800000"/>
                          <a:headEnd/>
                          <a:tailEnd/>
                        </a:ln>
                      </wps:spPr>
                      <wps:txbx>
                        <w:txbxContent>
                          <w:p w14:paraId="1FD71D87" w14:textId="77777777" w:rsidR="005276C5" w:rsidRPr="00872748" w:rsidRDefault="005276C5" w:rsidP="00C35D99">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Pregnancy Risk Assessment Monitoring System,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9BBF0F3" id="_x0000_s1040" type="#_x0000_t202" style="position:absolute;margin-left:-279.15pt;margin-top:182.2pt;width:228.75pt;height:2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" filled="f" stroked="f">
                <v:textbox>
                  <w:txbxContent>
                    <w:p w14:paraId="1FD71D87" w14:textId="77777777" w:rsidR="005276C5" w:rsidRPr="00872748" w:rsidRDefault="005276C5" w:rsidP="00C35D99">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Pregnancy Risk Assessment Monitoring System, 2015</w:t>
                      </w:r>
                    </w:p>
                  </w:txbxContent>
                </v:textbox>
              </v:shape>
            </w:pict>
          </mc:Fallback>
        </mc:AlternateContent>
      </w:r>
      <w:r w:rsidR="007162F9">
        <w:rPr>
          <w:rFonts w:asciiTheme="majorHAnsi" w:hAnsiTheme="majorHAnsi"/>
          <w:i/>
          <w:color w:val="A86C2A" w:themeColor="accent6" w:themeShade="BF"/>
          <w:sz w:val="24"/>
        </w:rPr>
        <w:t xml:space="preserve"> </w:t>
      </w:r>
    </w:p>
    <w:p w14:paraId="09876B45" w14:textId="77777777" w:rsidR="0015611D" w:rsidRDefault="0015611D" w:rsidP="007162F9">
      <w:pPr>
        <w:pStyle w:val="PlainText"/>
        <w:rPr>
          <w:rFonts w:asciiTheme="majorHAnsi" w:hAnsiTheme="majorHAnsi"/>
          <w:i/>
          <w:color w:val="A86C2A" w:themeColor="accent6" w:themeShade="BF"/>
          <w:sz w:val="24"/>
        </w:rPr>
        <w:sectPr w:rsidR="0015611D" w:rsidSect="006726C0">
          <w:type w:val="continuous"/>
          <w:pgSz w:w="12240" w:h="15840"/>
          <w:pgMar w:top="576" w:right="1008" w:bottom="576" w:left="1008" w:header="720" w:footer="720" w:gutter="0"/>
          <w:cols w:num="2" w:space="720"/>
          <w:docGrid w:linePitch="360"/>
        </w:sectPr>
      </w:pPr>
    </w:p>
    <w:p w14:paraId="638C8B5A" w14:textId="77777777" w:rsidR="00761CDA" w:rsidRDefault="00761CDA" w:rsidP="00BC32FC">
      <w:pPr>
        <w:pStyle w:val="PlainText"/>
        <w:rPr>
          <w:rFonts w:asciiTheme="majorHAnsi" w:hAnsiTheme="majorHAnsi"/>
          <w:i/>
          <w:color w:val="A86C2A" w:themeColor="accent6" w:themeShade="BF"/>
          <w:sz w:val="24"/>
        </w:rPr>
      </w:pPr>
    </w:p>
    <w:p w14:paraId="21CAEF76" w14:textId="77777777" w:rsidR="00761CDA" w:rsidRDefault="00761CDA" w:rsidP="00BC32FC">
      <w:pPr>
        <w:pStyle w:val="PlainText"/>
        <w:rPr>
          <w:rFonts w:asciiTheme="majorHAnsi" w:hAnsiTheme="majorHAnsi"/>
          <w:i/>
          <w:color w:val="A86C2A" w:themeColor="accent6" w:themeShade="BF"/>
          <w:sz w:val="24"/>
        </w:rPr>
      </w:pPr>
    </w:p>
    <w:p w14:paraId="2706B0E8" w14:textId="2B645B4C" w:rsidR="007162F9" w:rsidRPr="002E1D90" w:rsidRDefault="007162F9" w:rsidP="00733295">
      <w:pPr>
        <w:pStyle w:val="PlainText"/>
        <w:spacing w:after="120"/>
        <w:rPr>
          <w:rFonts w:asciiTheme="majorHAnsi" w:hAnsiTheme="majorHAnsi"/>
          <w:i/>
          <w:color w:val="A86C2A" w:themeColor="accent6" w:themeShade="BF"/>
          <w:sz w:val="24"/>
        </w:rPr>
      </w:pPr>
      <w:r>
        <w:rPr>
          <w:rFonts w:asciiTheme="majorHAnsi" w:hAnsiTheme="majorHAnsi"/>
          <w:i/>
          <w:color w:val="A86C2A" w:themeColor="accent6" w:themeShade="BF"/>
          <w:sz w:val="24"/>
        </w:rPr>
        <w:lastRenderedPageBreak/>
        <w:t>Risk and Protective Factors Associated with SUID by Race/Ethnicity</w:t>
      </w:r>
    </w:p>
    <w:p w14:paraId="46BD7ECC" w14:textId="5A6A6970" w:rsidR="00AB4FD1" w:rsidRPr="00D22B2A" w:rsidRDefault="00183021" w:rsidP="00220D39">
      <w:pPr>
        <w:rPr>
          <w:rFonts w:asciiTheme="minorHAnsi" w:hAnsiTheme="minorHAnsi"/>
          <w:sz w:val="21"/>
          <w:szCs w:val="21"/>
        </w:rPr>
      </w:pPr>
      <w:r w:rsidRPr="00D22B2A">
        <w:rPr>
          <w:rFonts w:asciiTheme="minorHAnsi" w:hAnsiTheme="minorHAnsi"/>
          <w:sz w:val="21"/>
          <w:szCs w:val="21"/>
        </w:rPr>
        <w:t>Because r</w:t>
      </w:r>
      <w:r w:rsidR="00D2292B" w:rsidRPr="00D22B2A">
        <w:rPr>
          <w:rFonts w:asciiTheme="minorHAnsi" w:hAnsiTheme="minorHAnsi"/>
          <w:sz w:val="21"/>
          <w:szCs w:val="21"/>
        </w:rPr>
        <w:t>isk and protective factors associated with SUID</w:t>
      </w:r>
      <w:r w:rsidRPr="00D22B2A">
        <w:rPr>
          <w:rFonts w:asciiTheme="minorHAnsi" w:hAnsiTheme="minorHAnsi"/>
          <w:sz w:val="21"/>
          <w:szCs w:val="21"/>
        </w:rPr>
        <w:t xml:space="preserve"> vary widely across racial/ethnic groups</w:t>
      </w:r>
      <w:r w:rsidR="00CB6C04" w:rsidRPr="00D22B2A">
        <w:rPr>
          <w:rFonts w:asciiTheme="minorHAnsi" w:hAnsiTheme="minorHAnsi"/>
          <w:sz w:val="21"/>
          <w:szCs w:val="21"/>
        </w:rPr>
        <w:t xml:space="preserve"> and because socio-economic inequities</w:t>
      </w:r>
      <w:r w:rsidR="00D0714D" w:rsidRPr="00D22B2A">
        <w:rPr>
          <w:rFonts w:asciiTheme="minorHAnsi" w:hAnsiTheme="minorHAnsi"/>
          <w:sz w:val="21"/>
          <w:szCs w:val="21"/>
        </w:rPr>
        <w:t xml:space="preserve"> such as poverty</w:t>
      </w:r>
      <w:r w:rsidR="00CB6C04" w:rsidRPr="00D22B2A">
        <w:rPr>
          <w:rFonts w:asciiTheme="minorHAnsi" w:hAnsiTheme="minorHAnsi"/>
          <w:sz w:val="21"/>
          <w:szCs w:val="21"/>
        </w:rPr>
        <w:t xml:space="preserve"> </w:t>
      </w:r>
      <w:r w:rsidR="00D0714D" w:rsidRPr="00D22B2A">
        <w:rPr>
          <w:rFonts w:asciiTheme="minorHAnsi" w:hAnsiTheme="minorHAnsi"/>
          <w:sz w:val="21"/>
          <w:szCs w:val="21"/>
        </w:rPr>
        <w:t xml:space="preserve">and lack of access to resources such as health care </w:t>
      </w:r>
      <w:r w:rsidR="00CB6C04" w:rsidRPr="00D22B2A">
        <w:rPr>
          <w:rFonts w:asciiTheme="minorHAnsi" w:hAnsiTheme="minorHAnsi"/>
          <w:sz w:val="21"/>
          <w:szCs w:val="21"/>
        </w:rPr>
        <w:t xml:space="preserve">are </w:t>
      </w:r>
      <w:r w:rsidR="00990714" w:rsidRPr="00D22B2A">
        <w:rPr>
          <w:rFonts w:asciiTheme="minorHAnsi" w:hAnsiTheme="minorHAnsi"/>
          <w:sz w:val="21"/>
          <w:szCs w:val="21"/>
        </w:rPr>
        <w:t>concentrated in groups that have historically experienced discrimination</w:t>
      </w:r>
      <w:r w:rsidR="00CB6C04" w:rsidRPr="00D22B2A">
        <w:rPr>
          <w:rFonts w:asciiTheme="minorHAnsi" w:hAnsiTheme="minorHAnsi"/>
          <w:sz w:val="21"/>
          <w:szCs w:val="21"/>
        </w:rPr>
        <w:t>,</w:t>
      </w:r>
      <w:r w:rsidR="00FF09C5" w:rsidRPr="00D22B2A">
        <w:rPr>
          <w:rFonts w:asciiTheme="minorHAnsi" w:hAnsiTheme="minorHAnsi"/>
          <w:sz w:val="21"/>
          <w:szCs w:val="21"/>
        </w:rPr>
        <w:t xml:space="preserve"> </w:t>
      </w:r>
      <w:r w:rsidR="00EC1B92" w:rsidRPr="00D22B2A">
        <w:rPr>
          <w:rFonts w:asciiTheme="minorHAnsi" w:hAnsiTheme="minorHAnsi"/>
          <w:sz w:val="21"/>
          <w:szCs w:val="21"/>
        </w:rPr>
        <w:t>it is not possible to link one</w:t>
      </w:r>
      <w:r w:rsidR="00EC3806" w:rsidRPr="00D22B2A">
        <w:rPr>
          <w:rFonts w:asciiTheme="minorHAnsi" w:hAnsiTheme="minorHAnsi"/>
          <w:sz w:val="21"/>
          <w:szCs w:val="21"/>
        </w:rPr>
        <w:t xml:space="preserve"> specific</w:t>
      </w:r>
      <w:r w:rsidR="00EC1B92" w:rsidRPr="00D22B2A">
        <w:rPr>
          <w:rFonts w:asciiTheme="minorHAnsi" w:hAnsiTheme="minorHAnsi"/>
          <w:sz w:val="21"/>
          <w:szCs w:val="21"/>
        </w:rPr>
        <w:t xml:space="preserve"> health behavior or risk factor to the </w:t>
      </w:r>
      <w:r w:rsidR="00B83F85" w:rsidRPr="00D22B2A">
        <w:rPr>
          <w:rFonts w:asciiTheme="minorHAnsi" w:hAnsiTheme="minorHAnsi"/>
          <w:sz w:val="21"/>
          <w:szCs w:val="21"/>
        </w:rPr>
        <w:t xml:space="preserve">racial/ethnic </w:t>
      </w:r>
      <w:r w:rsidR="00EC1B92" w:rsidRPr="00D22B2A">
        <w:rPr>
          <w:rFonts w:asciiTheme="minorHAnsi" w:hAnsiTheme="minorHAnsi"/>
          <w:sz w:val="21"/>
          <w:szCs w:val="21"/>
        </w:rPr>
        <w:t>inequities in SUID</w:t>
      </w:r>
      <w:r w:rsidR="00FF09C5" w:rsidRPr="00D22B2A">
        <w:rPr>
          <w:rFonts w:asciiTheme="minorHAnsi" w:hAnsiTheme="minorHAnsi"/>
          <w:sz w:val="21"/>
          <w:szCs w:val="21"/>
        </w:rPr>
        <w:t xml:space="preserve">. </w:t>
      </w:r>
    </w:p>
    <w:p w14:paraId="6EB63761" w14:textId="77777777" w:rsidR="00AB4FD1" w:rsidRDefault="00AB4FD1" w:rsidP="00220D39">
      <w:pPr>
        <w:rPr>
          <w:rFonts w:asciiTheme="minorHAnsi" w:hAnsiTheme="minorHAnsi"/>
          <w:sz w:val="22"/>
          <w:szCs w:val="22"/>
        </w:rPr>
      </w:pPr>
    </w:p>
    <w:p w14:paraId="52377D6F" w14:textId="3D41100E" w:rsidR="00256A44" w:rsidRPr="00256A44" w:rsidRDefault="00256A44" w:rsidP="00220D39">
      <w:pPr>
        <w:spacing w:after="120"/>
        <w:rPr>
          <w:rFonts w:asciiTheme="majorHAnsi" w:hAnsiTheme="majorHAnsi"/>
          <w:i/>
          <w:color w:val="A86C2A" w:themeColor="accent6" w:themeShade="BF"/>
          <w:sz w:val="24"/>
        </w:rPr>
      </w:pPr>
      <w:r>
        <w:rPr>
          <w:rFonts w:asciiTheme="majorHAnsi" w:hAnsiTheme="majorHAnsi"/>
          <w:i/>
          <w:color w:val="A86C2A" w:themeColor="accent6" w:themeShade="BF"/>
          <w:sz w:val="24"/>
        </w:rPr>
        <w:t xml:space="preserve">Risk and Protective Factors in the Sleep Environment by Race/Ethnicity </w:t>
      </w:r>
    </w:p>
    <w:p w14:paraId="226611B2" w14:textId="73E5E940" w:rsidR="00733295" w:rsidRDefault="0075588F" w:rsidP="00733295">
      <w:pPr>
        <w:rPr>
          <w:rFonts w:asciiTheme="minorHAnsi" w:hAnsiTheme="minorHAnsi"/>
          <w:sz w:val="21"/>
          <w:szCs w:val="21"/>
        </w:rPr>
      </w:pPr>
      <w:r w:rsidRPr="00D22B2A">
        <w:rPr>
          <w:rFonts w:asciiTheme="minorHAnsi" w:hAnsiTheme="minorHAnsi"/>
          <w:sz w:val="21"/>
          <w:szCs w:val="21"/>
        </w:rPr>
        <w:t>Parenting practices and behaviors are shaped by a broad range of social, environmental, and economic conditions, which occur in the context of larger societal structures. While infant sleep positioning and sleep location may play a role in the inequities in SUID, following recommended infant sleep practices is determined by more than just personal choice</w:t>
      </w:r>
      <w:r w:rsidR="004424B8">
        <w:rPr>
          <w:rFonts w:asciiTheme="minorHAnsi" w:hAnsiTheme="minorHAnsi"/>
          <w:sz w:val="21"/>
          <w:szCs w:val="21"/>
        </w:rPr>
        <w:t>; circumstances such as housing and access to care, among others, also play a role</w:t>
      </w:r>
      <w:r w:rsidRPr="00D22B2A">
        <w:rPr>
          <w:rFonts w:asciiTheme="minorHAnsi" w:hAnsiTheme="minorHAnsi"/>
          <w:sz w:val="21"/>
          <w:szCs w:val="21"/>
        </w:rPr>
        <w:t xml:space="preserve">. </w:t>
      </w:r>
      <w:r w:rsidR="00AB4FD1" w:rsidRPr="00D22B2A">
        <w:rPr>
          <w:rFonts w:asciiTheme="minorHAnsi" w:hAnsiTheme="minorHAnsi"/>
          <w:sz w:val="21"/>
          <w:szCs w:val="21"/>
        </w:rPr>
        <w:t>Black non-Hispanic and Hispanic mothers are more likely</w:t>
      </w:r>
      <w:r w:rsidR="00CE6981" w:rsidRPr="00D22B2A">
        <w:rPr>
          <w:rFonts w:asciiTheme="minorHAnsi" w:hAnsiTheme="minorHAnsi"/>
          <w:sz w:val="21"/>
          <w:szCs w:val="21"/>
        </w:rPr>
        <w:t xml:space="preserve"> to</w:t>
      </w:r>
      <w:r w:rsidR="00AB4FD1" w:rsidRPr="00D22B2A">
        <w:rPr>
          <w:rFonts w:asciiTheme="minorHAnsi" w:hAnsiTheme="minorHAnsi"/>
          <w:sz w:val="21"/>
          <w:szCs w:val="21"/>
        </w:rPr>
        <w:t xml:space="preserve"> report placing their infants to sleep in a non</w:t>
      </w:r>
      <w:r w:rsidR="00FE0103" w:rsidRPr="00D22B2A">
        <w:rPr>
          <w:rFonts w:asciiTheme="minorHAnsi" w:hAnsiTheme="minorHAnsi"/>
          <w:sz w:val="21"/>
          <w:szCs w:val="21"/>
        </w:rPr>
        <w:t>-supine</w:t>
      </w:r>
      <w:r w:rsidR="00AB4FD1" w:rsidRPr="00D22B2A">
        <w:rPr>
          <w:rFonts w:asciiTheme="minorHAnsi" w:hAnsiTheme="minorHAnsi"/>
          <w:sz w:val="21"/>
          <w:szCs w:val="21"/>
        </w:rPr>
        <w:t xml:space="preserve"> position such as on the infant’s stomach or side compared to White non-Hispanic and Asian non-Hispanic mothers</w:t>
      </w:r>
      <w:r w:rsidR="003B5625" w:rsidRPr="00D22B2A">
        <w:rPr>
          <w:rFonts w:asciiTheme="minorHAnsi" w:hAnsiTheme="minorHAnsi"/>
          <w:sz w:val="21"/>
          <w:szCs w:val="21"/>
        </w:rPr>
        <w:t xml:space="preserve"> (Figure 10</w:t>
      </w:r>
      <w:r w:rsidR="001F67AA" w:rsidRPr="00D22B2A">
        <w:rPr>
          <w:rFonts w:asciiTheme="minorHAnsi" w:hAnsiTheme="minorHAnsi"/>
          <w:sz w:val="21"/>
          <w:szCs w:val="21"/>
        </w:rPr>
        <w:t>)</w:t>
      </w:r>
      <w:r w:rsidR="00A33E65" w:rsidRPr="00D22B2A">
        <w:rPr>
          <w:rFonts w:asciiTheme="minorHAnsi" w:hAnsiTheme="minorHAnsi"/>
          <w:sz w:val="21"/>
          <w:szCs w:val="21"/>
        </w:rPr>
        <w:t>. Fifty-nine percent (59</w:t>
      </w:r>
      <w:r w:rsidR="0015511A" w:rsidRPr="00D22B2A">
        <w:rPr>
          <w:rFonts w:asciiTheme="minorHAnsi" w:hAnsiTheme="minorHAnsi"/>
          <w:sz w:val="21"/>
          <w:szCs w:val="21"/>
        </w:rPr>
        <w:t>.4</w:t>
      </w:r>
      <w:r w:rsidR="00A33E65" w:rsidRPr="00D22B2A">
        <w:rPr>
          <w:rFonts w:asciiTheme="minorHAnsi" w:hAnsiTheme="minorHAnsi"/>
          <w:sz w:val="21"/>
          <w:szCs w:val="21"/>
        </w:rPr>
        <w:t>%</w:t>
      </w:r>
      <w:r w:rsidR="00EC0B3B">
        <w:rPr>
          <w:rFonts w:asciiTheme="minorHAnsi" w:hAnsiTheme="minorHAnsi"/>
          <w:sz w:val="21"/>
          <w:szCs w:val="21"/>
        </w:rPr>
        <w:t>; 95% CI [52.9%, 65.5%]</w:t>
      </w:r>
      <w:r w:rsidR="00A33E65" w:rsidRPr="00D22B2A">
        <w:rPr>
          <w:rFonts w:asciiTheme="minorHAnsi" w:hAnsiTheme="minorHAnsi"/>
          <w:sz w:val="21"/>
          <w:szCs w:val="21"/>
        </w:rPr>
        <w:t xml:space="preserve">) of Asian non-Hispanic and </w:t>
      </w:r>
      <w:r w:rsidR="00F2739A" w:rsidRPr="00D22B2A">
        <w:rPr>
          <w:rFonts w:asciiTheme="minorHAnsi" w:hAnsiTheme="minorHAnsi"/>
          <w:sz w:val="21"/>
          <w:szCs w:val="21"/>
        </w:rPr>
        <w:t>54</w:t>
      </w:r>
      <w:r w:rsidR="0015511A" w:rsidRPr="00D22B2A">
        <w:rPr>
          <w:rFonts w:asciiTheme="minorHAnsi" w:hAnsiTheme="minorHAnsi"/>
          <w:sz w:val="21"/>
          <w:szCs w:val="21"/>
        </w:rPr>
        <w:t>.0</w:t>
      </w:r>
      <w:r w:rsidR="00F2739A" w:rsidRPr="00D22B2A">
        <w:rPr>
          <w:rFonts w:asciiTheme="minorHAnsi" w:hAnsiTheme="minorHAnsi"/>
          <w:sz w:val="21"/>
          <w:szCs w:val="21"/>
        </w:rPr>
        <w:t>%</w:t>
      </w:r>
      <w:r w:rsidR="00EC0B3B">
        <w:rPr>
          <w:rFonts w:asciiTheme="minorHAnsi" w:hAnsiTheme="minorHAnsi"/>
          <w:sz w:val="21"/>
          <w:szCs w:val="21"/>
        </w:rPr>
        <w:t xml:space="preserve"> (95% CI [</w:t>
      </w:r>
      <w:r w:rsidR="00715D53" w:rsidRPr="00D22B2A">
        <w:rPr>
          <w:rFonts w:asciiTheme="minorHAnsi" w:hAnsiTheme="minorHAnsi"/>
          <w:sz w:val="21"/>
          <w:szCs w:val="21"/>
        </w:rPr>
        <w:t>46.6%, 61.3%</w:t>
      </w:r>
      <w:r w:rsidR="00EC0B3B">
        <w:rPr>
          <w:rFonts w:asciiTheme="minorHAnsi" w:hAnsiTheme="minorHAnsi"/>
          <w:sz w:val="21"/>
          <w:szCs w:val="21"/>
        </w:rPr>
        <w:t>]</w:t>
      </w:r>
      <w:r w:rsidR="00715D53" w:rsidRPr="00D22B2A">
        <w:rPr>
          <w:rFonts w:asciiTheme="minorHAnsi" w:hAnsiTheme="minorHAnsi"/>
          <w:sz w:val="21"/>
          <w:szCs w:val="21"/>
        </w:rPr>
        <w:t xml:space="preserve">) </w:t>
      </w:r>
      <w:r w:rsidR="00F2739A" w:rsidRPr="00D22B2A">
        <w:rPr>
          <w:rFonts w:asciiTheme="minorHAnsi" w:hAnsiTheme="minorHAnsi"/>
          <w:sz w:val="21"/>
          <w:szCs w:val="21"/>
        </w:rPr>
        <w:t xml:space="preserve"> of </w:t>
      </w:r>
      <w:r w:rsidR="000B3EDE" w:rsidRPr="00D22B2A">
        <w:rPr>
          <w:rFonts w:asciiTheme="minorHAnsi" w:hAnsiTheme="minorHAnsi"/>
          <w:sz w:val="21"/>
          <w:szCs w:val="21"/>
        </w:rPr>
        <w:t>Black non-Hispanic mothers in Massachusetts</w:t>
      </w:r>
      <w:r w:rsidR="00A33E65" w:rsidRPr="00D22B2A">
        <w:rPr>
          <w:rFonts w:asciiTheme="minorHAnsi" w:hAnsiTheme="minorHAnsi"/>
          <w:sz w:val="21"/>
          <w:szCs w:val="21"/>
        </w:rPr>
        <w:t xml:space="preserve"> report bed sharing with their infants 5 or</w:t>
      </w:r>
      <w:r w:rsidR="00650C37" w:rsidRPr="00D22B2A">
        <w:rPr>
          <w:rFonts w:asciiTheme="minorHAnsi" w:hAnsiTheme="minorHAnsi"/>
          <w:sz w:val="21"/>
          <w:szCs w:val="21"/>
        </w:rPr>
        <w:t xml:space="preserve"> more times per week or always; </w:t>
      </w:r>
      <w:r w:rsidR="00A33E65" w:rsidRPr="00D22B2A">
        <w:rPr>
          <w:rFonts w:asciiTheme="minorHAnsi" w:hAnsiTheme="minorHAnsi"/>
          <w:sz w:val="21"/>
          <w:szCs w:val="21"/>
        </w:rPr>
        <w:t xml:space="preserve">this is </w:t>
      </w:r>
      <w:r w:rsidR="00704DAE" w:rsidRPr="00D22B2A">
        <w:rPr>
          <w:rFonts w:asciiTheme="minorHAnsi" w:hAnsiTheme="minorHAnsi"/>
          <w:sz w:val="21"/>
          <w:szCs w:val="21"/>
        </w:rPr>
        <w:t xml:space="preserve">significantly </w:t>
      </w:r>
      <w:r w:rsidR="00A33E65" w:rsidRPr="00D22B2A">
        <w:rPr>
          <w:rFonts w:asciiTheme="minorHAnsi" w:hAnsiTheme="minorHAnsi"/>
          <w:sz w:val="21"/>
          <w:szCs w:val="21"/>
        </w:rPr>
        <w:t xml:space="preserve">higher </w:t>
      </w:r>
      <w:r w:rsidR="00704DAE" w:rsidRPr="00D22B2A">
        <w:rPr>
          <w:rFonts w:asciiTheme="minorHAnsi" w:hAnsiTheme="minorHAnsi"/>
          <w:sz w:val="21"/>
          <w:szCs w:val="21"/>
        </w:rPr>
        <w:t>than</w:t>
      </w:r>
      <w:r w:rsidR="00A33E65" w:rsidRPr="00D22B2A">
        <w:rPr>
          <w:rFonts w:asciiTheme="minorHAnsi" w:hAnsiTheme="minorHAnsi"/>
          <w:sz w:val="21"/>
          <w:szCs w:val="21"/>
        </w:rPr>
        <w:t xml:space="preserve"> White non-Hispanic mothers</w:t>
      </w:r>
      <w:r w:rsidR="00A92C04" w:rsidRPr="00D22B2A">
        <w:rPr>
          <w:rFonts w:asciiTheme="minorHAnsi" w:hAnsiTheme="minorHAnsi"/>
          <w:sz w:val="21"/>
          <w:szCs w:val="21"/>
        </w:rPr>
        <w:t xml:space="preserve"> (Figure 1</w:t>
      </w:r>
      <w:r w:rsidR="003B5625" w:rsidRPr="00D22B2A">
        <w:rPr>
          <w:rFonts w:asciiTheme="minorHAnsi" w:hAnsiTheme="minorHAnsi"/>
          <w:sz w:val="21"/>
          <w:szCs w:val="21"/>
        </w:rPr>
        <w:t>0</w:t>
      </w:r>
      <w:r w:rsidR="00EB2B2F" w:rsidRPr="00D22B2A">
        <w:rPr>
          <w:rFonts w:asciiTheme="minorHAnsi" w:hAnsiTheme="minorHAnsi"/>
          <w:sz w:val="21"/>
          <w:szCs w:val="21"/>
        </w:rPr>
        <w:t>)</w:t>
      </w:r>
      <w:r w:rsidR="00AB4FD1" w:rsidRPr="00D22B2A">
        <w:rPr>
          <w:rFonts w:asciiTheme="minorHAnsi" w:hAnsiTheme="minorHAnsi"/>
          <w:sz w:val="21"/>
          <w:szCs w:val="21"/>
        </w:rPr>
        <w:t xml:space="preserve">. </w:t>
      </w:r>
    </w:p>
    <w:p w14:paraId="5CD4A9CD" w14:textId="77777777" w:rsidR="00733295" w:rsidRDefault="00733295" w:rsidP="00733295">
      <w:pPr>
        <w:rPr>
          <w:rFonts w:asciiTheme="minorHAnsi" w:hAnsiTheme="minorHAnsi"/>
          <w:sz w:val="21"/>
          <w:szCs w:val="21"/>
        </w:rPr>
      </w:pPr>
    </w:p>
    <w:p w14:paraId="68A695D9" w14:textId="3368CCAB" w:rsidR="006364DE" w:rsidRPr="006364DE" w:rsidRDefault="00567BEB" w:rsidP="00567BEB">
      <w:pPr>
        <w:spacing w:after="120"/>
        <w:rPr>
          <w:rFonts w:asciiTheme="majorHAnsi" w:hAnsiTheme="majorHAnsi"/>
          <w:i/>
          <w:color w:val="A86C2A" w:themeColor="accent6" w:themeShade="BF"/>
          <w:sz w:val="24"/>
        </w:rPr>
      </w:pPr>
      <w:r>
        <w:rPr>
          <w:rFonts w:asciiTheme="minorHAnsi" w:hAnsiTheme="minorHAnsi"/>
          <w:noProof/>
          <w:sz w:val="24"/>
          <w:szCs w:val="24"/>
        </w:rPr>
        <w:lastRenderedPageBreak/>
        <w:drawing>
          <wp:anchor distT="0" distB="0" distL="114300" distR="114300" simplePos="0" relativeHeight="251735552" behindDoc="1" locked="0" layoutInCell="1" allowOverlap="1" wp14:anchorId="2A646284" wp14:editId="13930A01">
            <wp:simplePos x="0" y="0"/>
            <wp:positionH relativeFrom="column">
              <wp:posOffset>-17145</wp:posOffset>
            </wp:positionH>
            <wp:positionV relativeFrom="paragraph">
              <wp:posOffset>88265</wp:posOffset>
            </wp:positionV>
            <wp:extent cx="3057525" cy="2943225"/>
            <wp:effectExtent l="0" t="0" r="9525" b="9525"/>
            <wp:wrapTight wrapText="bothSides">
              <wp:wrapPolygon edited="0">
                <wp:start x="0" y="0"/>
                <wp:lineTo x="0" y="21530"/>
                <wp:lineTo x="21533" y="21530"/>
                <wp:lineTo x="21533"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6364DE">
        <w:rPr>
          <w:rFonts w:asciiTheme="majorHAnsi" w:hAnsiTheme="majorHAnsi"/>
          <w:i/>
          <w:color w:val="A86C2A" w:themeColor="accent6" w:themeShade="BF"/>
          <w:sz w:val="24"/>
        </w:rPr>
        <w:t xml:space="preserve">Risk and Protective Factors at Birth by Race/Ethnicity </w:t>
      </w:r>
    </w:p>
    <w:p w14:paraId="457000BC" w14:textId="1B613685" w:rsidR="00567BEB" w:rsidRDefault="000A6999" w:rsidP="00567BEB">
      <w:pPr>
        <w:rPr>
          <w:rFonts w:asciiTheme="majorHAnsi" w:hAnsiTheme="majorHAnsi"/>
          <w:b/>
          <w:color w:val="A86C2A" w:themeColor="accent6" w:themeShade="BF"/>
          <w:sz w:val="24"/>
        </w:rPr>
      </w:pPr>
      <w:r w:rsidRPr="00D22B2A">
        <w:rPr>
          <w:rFonts w:asciiTheme="minorHAnsi" w:hAnsiTheme="minorHAnsi"/>
          <w:sz w:val="21"/>
          <w:szCs w:val="21"/>
        </w:rPr>
        <w:t>White non-Hisp</w:t>
      </w:r>
      <w:r w:rsidR="00BF4FE5" w:rsidRPr="00D22B2A">
        <w:rPr>
          <w:rFonts w:asciiTheme="minorHAnsi" w:hAnsiTheme="minorHAnsi"/>
          <w:sz w:val="21"/>
          <w:szCs w:val="21"/>
        </w:rPr>
        <w:t>anic mothers report higher percentages</w:t>
      </w:r>
      <w:r w:rsidRPr="00D22B2A">
        <w:rPr>
          <w:rFonts w:asciiTheme="minorHAnsi" w:hAnsiTheme="minorHAnsi"/>
          <w:sz w:val="21"/>
          <w:szCs w:val="21"/>
        </w:rPr>
        <w:t xml:space="preserve"> of prenatal smoking co</w:t>
      </w:r>
      <w:r w:rsidR="0037145C" w:rsidRPr="00D22B2A">
        <w:rPr>
          <w:rFonts w:asciiTheme="minorHAnsi" w:hAnsiTheme="minorHAnsi"/>
          <w:sz w:val="21"/>
          <w:szCs w:val="21"/>
        </w:rPr>
        <w:t>m</w:t>
      </w:r>
      <w:r w:rsidR="00374667" w:rsidRPr="00D22B2A">
        <w:rPr>
          <w:rFonts w:asciiTheme="minorHAnsi" w:hAnsiTheme="minorHAnsi"/>
          <w:sz w:val="21"/>
          <w:szCs w:val="21"/>
        </w:rPr>
        <w:t xml:space="preserve">pared to other groups. </w:t>
      </w:r>
      <w:r w:rsidR="009E7F12" w:rsidRPr="00D22B2A">
        <w:rPr>
          <w:rFonts w:asciiTheme="minorHAnsi" w:hAnsiTheme="minorHAnsi"/>
          <w:sz w:val="21"/>
          <w:szCs w:val="21"/>
        </w:rPr>
        <w:t>The percent of low birthweight and preterm infants also differs b</w:t>
      </w:r>
      <w:r w:rsidR="00363BA9" w:rsidRPr="00D22B2A">
        <w:rPr>
          <w:rFonts w:asciiTheme="minorHAnsi" w:hAnsiTheme="minorHAnsi"/>
          <w:sz w:val="21"/>
          <w:szCs w:val="21"/>
        </w:rPr>
        <w:t>y racial/ethnic group (Figure 11</w:t>
      </w:r>
      <w:r w:rsidR="009E7F12" w:rsidRPr="00D22B2A">
        <w:rPr>
          <w:rFonts w:asciiTheme="minorHAnsi" w:hAnsiTheme="minorHAnsi"/>
          <w:sz w:val="21"/>
          <w:szCs w:val="21"/>
        </w:rPr>
        <w:t>).</w:t>
      </w:r>
      <w:r w:rsidR="002E6AD8" w:rsidRPr="00D22B2A">
        <w:rPr>
          <w:rFonts w:asciiTheme="minorHAnsi" w:hAnsiTheme="minorHAnsi"/>
          <w:sz w:val="21"/>
          <w:szCs w:val="21"/>
        </w:rPr>
        <w:t xml:space="preserve"> </w:t>
      </w:r>
      <w:r w:rsidR="007C7B60" w:rsidRPr="00D22B2A">
        <w:rPr>
          <w:rFonts w:asciiTheme="minorHAnsi" w:hAnsiTheme="minorHAnsi"/>
          <w:sz w:val="21"/>
          <w:szCs w:val="21"/>
        </w:rPr>
        <w:t>Breastfeeding</w:t>
      </w:r>
      <w:r w:rsidR="001A0CB5" w:rsidRPr="00D22B2A">
        <w:rPr>
          <w:rFonts w:asciiTheme="minorHAnsi" w:hAnsiTheme="minorHAnsi"/>
          <w:sz w:val="21"/>
          <w:szCs w:val="21"/>
        </w:rPr>
        <w:t xml:space="preserve"> at time of</w:t>
      </w:r>
      <w:r w:rsidR="003E34FE" w:rsidRPr="00D22B2A">
        <w:rPr>
          <w:rFonts w:asciiTheme="minorHAnsi" w:hAnsiTheme="minorHAnsi"/>
          <w:sz w:val="21"/>
          <w:szCs w:val="21"/>
        </w:rPr>
        <w:t xml:space="preserve"> discharge from the hospital is</w:t>
      </w:r>
      <w:r w:rsidR="001A0CB5" w:rsidRPr="00D22B2A">
        <w:rPr>
          <w:rFonts w:asciiTheme="minorHAnsi" w:hAnsiTheme="minorHAnsi"/>
          <w:sz w:val="21"/>
          <w:szCs w:val="21"/>
        </w:rPr>
        <w:t xml:space="preserve"> similar among all racial/ethnic groups.</w:t>
      </w:r>
      <w:r w:rsidR="006F3C1A" w:rsidRPr="00D22B2A">
        <w:rPr>
          <w:rFonts w:asciiTheme="minorHAnsi" w:hAnsiTheme="minorHAnsi"/>
          <w:sz w:val="21"/>
          <w:szCs w:val="21"/>
        </w:rPr>
        <w:t xml:space="preserve"> </w:t>
      </w:r>
      <w:r w:rsidR="001D6920" w:rsidRPr="00D22B2A">
        <w:rPr>
          <w:rFonts w:asciiTheme="minorHAnsi" w:hAnsiTheme="minorHAnsi"/>
          <w:sz w:val="21"/>
          <w:szCs w:val="21"/>
        </w:rPr>
        <w:t>White</w:t>
      </w:r>
      <w:r w:rsidR="00AA7412" w:rsidRPr="00D22B2A">
        <w:rPr>
          <w:rFonts w:asciiTheme="minorHAnsi" w:hAnsiTheme="minorHAnsi"/>
          <w:sz w:val="21"/>
          <w:szCs w:val="21"/>
        </w:rPr>
        <w:t xml:space="preserve"> non-Hispanic</w:t>
      </w:r>
      <w:r w:rsidR="001D0C6F" w:rsidRPr="00D22B2A">
        <w:rPr>
          <w:rFonts w:asciiTheme="minorHAnsi" w:hAnsiTheme="minorHAnsi"/>
          <w:sz w:val="21"/>
          <w:szCs w:val="21"/>
        </w:rPr>
        <w:t xml:space="preserve"> and Asian mothers a</w:t>
      </w:r>
      <w:r w:rsidR="001D6920" w:rsidRPr="00D22B2A">
        <w:rPr>
          <w:rFonts w:asciiTheme="minorHAnsi" w:hAnsiTheme="minorHAnsi"/>
          <w:sz w:val="21"/>
          <w:szCs w:val="21"/>
        </w:rPr>
        <w:t>re more likely to receive adequate prenatal care</w:t>
      </w:r>
      <w:r w:rsidR="001D0C6F" w:rsidRPr="00D22B2A">
        <w:rPr>
          <w:rFonts w:asciiTheme="minorHAnsi" w:hAnsiTheme="minorHAnsi"/>
          <w:sz w:val="21"/>
          <w:szCs w:val="21"/>
        </w:rPr>
        <w:t xml:space="preserve"> </w:t>
      </w:r>
      <w:r w:rsidR="00AA7412" w:rsidRPr="00D22B2A">
        <w:rPr>
          <w:rFonts w:asciiTheme="minorHAnsi" w:hAnsiTheme="minorHAnsi"/>
          <w:sz w:val="21"/>
          <w:szCs w:val="21"/>
        </w:rPr>
        <w:t>compared to Hispanic</w:t>
      </w:r>
      <w:r w:rsidR="003F7105" w:rsidRPr="00D22B2A">
        <w:rPr>
          <w:rFonts w:asciiTheme="minorHAnsi" w:hAnsiTheme="minorHAnsi"/>
          <w:sz w:val="21"/>
          <w:szCs w:val="21"/>
        </w:rPr>
        <w:t xml:space="preserve"> </w:t>
      </w:r>
      <w:r w:rsidR="00733295">
        <w:rPr>
          <w:rFonts w:asciiTheme="minorHAnsi" w:hAnsiTheme="minorHAnsi"/>
          <w:sz w:val="21"/>
          <w:szCs w:val="21"/>
        </w:rPr>
        <w:t>and Black non-Hispanic mothe</w:t>
      </w:r>
      <w:r w:rsidR="00567BEB">
        <w:rPr>
          <w:rFonts w:asciiTheme="minorHAnsi" w:hAnsiTheme="minorHAnsi"/>
          <w:sz w:val="21"/>
          <w:szCs w:val="21"/>
        </w:rPr>
        <w:t>rs</w:t>
      </w:r>
      <w:r w:rsidR="005A1321">
        <w:rPr>
          <w:rFonts w:asciiTheme="minorHAnsi" w:hAnsiTheme="minorHAnsi"/>
          <w:sz w:val="21"/>
          <w:szCs w:val="21"/>
        </w:rPr>
        <w:t xml:space="preserve"> (Figure 11)</w:t>
      </w:r>
      <w:r w:rsidR="00567BEB">
        <w:rPr>
          <w:rFonts w:asciiTheme="minorHAnsi" w:hAnsiTheme="minorHAnsi"/>
          <w:sz w:val="21"/>
          <w:szCs w:val="21"/>
        </w:rPr>
        <w:t>.</w:t>
      </w:r>
    </w:p>
    <w:p w14:paraId="44F85C72" w14:textId="77777777" w:rsidR="00567BEB" w:rsidRDefault="00567BEB" w:rsidP="00567BEB">
      <w:pPr>
        <w:rPr>
          <w:rFonts w:asciiTheme="majorHAnsi" w:hAnsiTheme="majorHAnsi"/>
          <w:b/>
          <w:color w:val="A86C2A" w:themeColor="accent6" w:themeShade="BF"/>
          <w:sz w:val="24"/>
        </w:rPr>
      </w:pPr>
    </w:p>
    <w:tbl>
      <w:tblPr>
        <w:tblStyle w:val="LightList-Accent3"/>
        <w:tblpPr w:leftFromText="180" w:rightFromText="180" w:vertAnchor="text" w:horzAnchor="margin" w:tblpXSpec="right" w:tblpY="323"/>
        <w:tblOverlap w:val="never"/>
        <w:tblW w:w="5003" w:type="dxa"/>
        <w:tblLayout w:type="fixed"/>
        <w:tblLook w:val="04A0" w:firstRow="1" w:lastRow="0" w:firstColumn="1" w:lastColumn="0" w:noHBand="0" w:noVBand="1"/>
      </w:tblPr>
      <w:tblGrid>
        <w:gridCol w:w="1530"/>
        <w:gridCol w:w="792"/>
        <w:gridCol w:w="990"/>
        <w:gridCol w:w="810"/>
        <w:gridCol w:w="881"/>
      </w:tblGrid>
      <w:tr w:rsidR="00567BEB" w14:paraId="35094891" w14:textId="77777777" w:rsidTr="00567BEB">
        <w:trPr>
          <w:cnfStyle w:val="100000000000" w:firstRow="1" w:lastRow="0" w:firstColumn="0" w:lastColumn="0" w:oddVBand="0" w:evenVBand="0" w:oddHBand="0" w:evenHBand="0" w:firstRowFirstColumn="0" w:firstRowLastColumn="0" w:lastRowFirstColumn="0" w:lastRowLastColumn="0"/>
          <w:trHeight w:hRule="exact" w:val="917"/>
        </w:trPr>
        <w:tc>
          <w:tcPr>
            <w:cnfStyle w:val="001000000000" w:firstRow="0" w:lastRow="0" w:firstColumn="1" w:lastColumn="0" w:oddVBand="0" w:evenVBand="0" w:oddHBand="0" w:evenHBand="0" w:firstRowFirstColumn="0" w:firstRowLastColumn="0" w:lastRowFirstColumn="0" w:lastRowLastColumn="0"/>
            <w:tcW w:w="5003" w:type="dxa"/>
            <w:gridSpan w:val="5"/>
            <w:tcBorders>
              <w:bottom w:val="nil"/>
            </w:tcBorders>
            <w:vAlign w:val="center"/>
          </w:tcPr>
          <w:p w14:paraId="26375D76" w14:textId="4E5A72D1" w:rsidR="00567BEB" w:rsidRPr="00086EED" w:rsidRDefault="00567BEB" w:rsidP="00567BEB">
            <w:pPr>
              <w:spacing w:after="120"/>
              <w:jc w:val="center"/>
              <w:rPr>
                <w:rFonts w:asciiTheme="minorHAnsi" w:hAnsiTheme="minorHAnsi"/>
                <w:bCs w:val="0"/>
                <w:sz w:val="22"/>
                <w:szCs w:val="22"/>
              </w:rPr>
            </w:pPr>
            <w:r>
              <w:rPr>
                <w:rFonts w:asciiTheme="minorHAnsi" w:hAnsiTheme="minorHAnsi"/>
                <w:bCs w:val="0"/>
                <w:color w:val="auto"/>
                <w:sz w:val="22"/>
                <w:szCs w:val="22"/>
              </w:rPr>
              <w:t>Figure 11</w:t>
            </w:r>
            <w:r w:rsidRPr="00086EED">
              <w:rPr>
                <w:rFonts w:asciiTheme="minorHAnsi" w:hAnsiTheme="minorHAnsi"/>
                <w:bCs w:val="0"/>
                <w:color w:val="auto"/>
                <w:sz w:val="22"/>
                <w:szCs w:val="22"/>
              </w:rPr>
              <w:t xml:space="preserve">: </w:t>
            </w:r>
            <w:r w:rsidRPr="00086EED">
              <w:rPr>
                <w:rFonts w:asciiTheme="minorHAnsi" w:hAnsiTheme="minorHAnsi"/>
                <w:color w:val="auto"/>
                <w:sz w:val="22"/>
                <w:szCs w:val="22"/>
              </w:rPr>
              <w:t>Risk &amp; Protective Factors associated with SUID at the time of birth</w:t>
            </w:r>
            <w:r>
              <w:rPr>
                <w:rFonts w:asciiTheme="minorHAnsi" w:hAnsiTheme="minorHAnsi"/>
                <w:color w:val="auto"/>
                <w:sz w:val="22"/>
                <w:szCs w:val="22"/>
              </w:rPr>
              <w:t xml:space="preserve"> by Race/Ethnicity</w:t>
            </w:r>
            <w:r w:rsidRPr="00086EED">
              <w:rPr>
                <w:rFonts w:asciiTheme="minorHAnsi" w:hAnsiTheme="minorHAnsi"/>
                <w:color w:val="auto"/>
                <w:sz w:val="22"/>
                <w:szCs w:val="22"/>
              </w:rPr>
              <w:t>, MA</w:t>
            </w:r>
            <w:r w:rsidR="00BD6573">
              <w:rPr>
                <w:rFonts w:asciiTheme="minorHAnsi" w:hAnsiTheme="minorHAnsi"/>
                <w:color w:val="auto"/>
                <w:sz w:val="22"/>
                <w:szCs w:val="22"/>
              </w:rPr>
              <w:t xml:space="preserve"> I</w:t>
            </w:r>
            <w:r w:rsidRPr="00086EED">
              <w:rPr>
                <w:rFonts w:asciiTheme="minorHAnsi" w:hAnsiTheme="minorHAnsi"/>
                <w:color w:val="auto"/>
                <w:sz w:val="22"/>
                <w:szCs w:val="22"/>
              </w:rPr>
              <w:t>nfants, 2015</w:t>
            </w:r>
            <w:r>
              <w:rPr>
                <w:rFonts w:asciiTheme="minorHAnsi" w:hAnsiTheme="minorHAnsi"/>
                <w:color w:val="auto"/>
                <w:sz w:val="22"/>
                <w:szCs w:val="22"/>
              </w:rPr>
              <w:t xml:space="preserve"> (n=71,484)</w:t>
            </w:r>
          </w:p>
        </w:tc>
      </w:tr>
      <w:tr w:rsidR="00567BEB" w14:paraId="69020365" w14:textId="77777777" w:rsidTr="00567BEB">
        <w:trPr>
          <w:cnfStyle w:val="000000100000" w:firstRow="0" w:lastRow="0" w:firstColumn="0" w:lastColumn="0" w:oddVBand="0" w:evenVBand="0" w:oddHBand="1" w:evenHBand="0" w:firstRowFirstColumn="0" w:firstRowLastColumn="0" w:lastRowFirstColumn="0" w:lastRowLastColumn="0"/>
          <w:trHeight w:hRule="exact" w:val="289"/>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nil"/>
              <w:left w:val="nil"/>
              <w:right w:val="nil"/>
            </w:tcBorders>
            <w:shd w:val="clear" w:color="auto" w:fill="E7EEEE" w:themeFill="accent3" w:themeFillTint="33"/>
            <w:vAlign w:val="center"/>
          </w:tcPr>
          <w:p w14:paraId="4031AE34" w14:textId="77777777" w:rsidR="00567BEB" w:rsidRPr="00086EED" w:rsidRDefault="00567BEB" w:rsidP="00567BEB">
            <w:pPr>
              <w:spacing w:after="120"/>
              <w:rPr>
                <w:rFonts w:asciiTheme="minorHAnsi" w:hAnsiTheme="minorHAnsi"/>
                <w:b w:val="0"/>
                <w:i/>
                <w:sz w:val="22"/>
                <w:szCs w:val="22"/>
              </w:rPr>
            </w:pPr>
            <w:r w:rsidRPr="00086EED">
              <w:rPr>
                <w:rFonts w:asciiTheme="minorHAnsi" w:hAnsiTheme="minorHAnsi"/>
                <w:i/>
                <w:sz w:val="22"/>
                <w:szCs w:val="22"/>
              </w:rPr>
              <w:t>Risk Factor</w:t>
            </w:r>
          </w:p>
        </w:tc>
        <w:tc>
          <w:tcPr>
            <w:tcW w:w="3473" w:type="dxa"/>
            <w:gridSpan w:val="4"/>
            <w:tcBorders>
              <w:top w:val="nil"/>
              <w:left w:val="nil"/>
              <w:bottom w:val="nil"/>
              <w:right w:val="nil"/>
            </w:tcBorders>
            <w:shd w:val="clear" w:color="auto" w:fill="E7EEEE" w:themeFill="accent3" w:themeFillTint="33"/>
            <w:vAlign w:val="center"/>
          </w:tcPr>
          <w:p w14:paraId="4CF4DE53" w14:textId="77777777" w:rsidR="00567BEB"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i/>
                <w:sz w:val="22"/>
                <w:szCs w:val="22"/>
              </w:rPr>
            </w:pPr>
            <w:r>
              <w:rPr>
                <w:rFonts w:asciiTheme="minorHAnsi" w:hAnsiTheme="minorHAnsi"/>
                <w:b/>
                <w:i/>
                <w:sz w:val="22"/>
                <w:szCs w:val="22"/>
              </w:rPr>
              <w:t>Race/Ethnicity</w:t>
            </w:r>
          </w:p>
        </w:tc>
      </w:tr>
      <w:tr w:rsidR="00567BEB" w14:paraId="1CF6400F" w14:textId="77777777" w:rsidTr="00567BEB">
        <w:trPr>
          <w:trHeight w:hRule="exact" w:val="530"/>
        </w:trPr>
        <w:tc>
          <w:tcPr>
            <w:cnfStyle w:val="001000000000" w:firstRow="0" w:lastRow="0" w:firstColumn="1" w:lastColumn="0" w:oddVBand="0" w:evenVBand="0" w:oddHBand="0" w:evenHBand="0" w:firstRowFirstColumn="0" w:firstRowLastColumn="0" w:lastRowFirstColumn="0" w:lastRowLastColumn="0"/>
            <w:tcW w:w="1530" w:type="dxa"/>
            <w:vMerge/>
            <w:tcBorders>
              <w:left w:val="nil"/>
              <w:bottom w:val="nil"/>
              <w:right w:val="nil"/>
            </w:tcBorders>
            <w:shd w:val="clear" w:color="auto" w:fill="E7EEEE" w:themeFill="accent3" w:themeFillTint="33"/>
            <w:vAlign w:val="center"/>
          </w:tcPr>
          <w:p w14:paraId="0D493374" w14:textId="77777777" w:rsidR="00567BEB" w:rsidRPr="00086EED" w:rsidRDefault="00567BEB" w:rsidP="00567BEB">
            <w:pPr>
              <w:spacing w:after="120"/>
              <w:rPr>
                <w:rFonts w:asciiTheme="minorHAnsi" w:hAnsiTheme="minorHAnsi"/>
                <w:i/>
                <w:sz w:val="22"/>
                <w:szCs w:val="22"/>
              </w:rPr>
            </w:pPr>
          </w:p>
        </w:tc>
        <w:tc>
          <w:tcPr>
            <w:tcW w:w="792" w:type="dxa"/>
            <w:tcBorders>
              <w:top w:val="nil"/>
              <w:left w:val="nil"/>
              <w:bottom w:val="nil"/>
              <w:right w:val="nil"/>
            </w:tcBorders>
            <w:shd w:val="clear" w:color="auto" w:fill="E7EEEE" w:themeFill="accent3" w:themeFillTint="33"/>
            <w:vAlign w:val="center"/>
          </w:tcPr>
          <w:p w14:paraId="4C47A2FC" w14:textId="77777777" w:rsidR="00567BEB" w:rsidRPr="00086EED"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2"/>
                <w:szCs w:val="22"/>
              </w:rPr>
            </w:pPr>
            <w:r>
              <w:rPr>
                <w:rFonts w:asciiTheme="minorHAnsi" w:hAnsiTheme="minorHAnsi"/>
                <w:b/>
                <w:i/>
                <w:sz w:val="22"/>
                <w:szCs w:val="22"/>
              </w:rPr>
              <w:t>White NH</w:t>
            </w:r>
          </w:p>
        </w:tc>
        <w:tc>
          <w:tcPr>
            <w:tcW w:w="990" w:type="dxa"/>
            <w:tcBorders>
              <w:top w:val="nil"/>
              <w:left w:val="nil"/>
              <w:bottom w:val="nil"/>
              <w:right w:val="nil"/>
            </w:tcBorders>
            <w:shd w:val="clear" w:color="auto" w:fill="E7EEEE" w:themeFill="accent3" w:themeFillTint="33"/>
            <w:vAlign w:val="center"/>
          </w:tcPr>
          <w:p w14:paraId="73448013" w14:textId="77777777" w:rsidR="00567BEB" w:rsidRPr="00086EED"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2"/>
                <w:szCs w:val="22"/>
              </w:rPr>
            </w:pPr>
            <w:r>
              <w:rPr>
                <w:rFonts w:asciiTheme="minorHAnsi" w:hAnsiTheme="minorHAnsi"/>
                <w:b/>
                <w:i/>
                <w:sz w:val="22"/>
                <w:szCs w:val="22"/>
              </w:rPr>
              <w:t>Hispanic</w:t>
            </w:r>
          </w:p>
        </w:tc>
        <w:tc>
          <w:tcPr>
            <w:tcW w:w="810" w:type="dxa"/>
            <w:tcBorders>
              <w:top w:val="nil"/>
              <w:left w:val="nil"/>
              <w:bottom w:val="nil"/>
              <w:right w:val="nil"/>
            </w:tcBorders>
            <w:shd w:val="clear" w:color="auto" w:fill="E7EEEE" w:themeFill="accent3" w:themeFillTint="33"/>
            <w:vAlign w:val="center"/>
          </w:tcPr>
          <w:p w14:paraId="25F253A3" w14:textId="77777777" w:rsidR="00567BEB" w:rsidRPr="00086EED"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2"/>
                <w:szCs w:val="22"/>
              </w:rPr>
            </w:pPr>
            <w:r>
              <w:rPr>
                <w:rFonts w:asciiTheme="minorHAnsi" w:hAnsiTheme="minorHAnsi"/>
                <w:b/>
                <w:i/>
                <w:sz w:val="22"/>
                <w:szCs w:val="22"/>
              </w:rPr>
              <w:t>Black NH</w:t>
            </w:r>
          </w:p>
        </w:tc>
        <w:tc>
          <w:tcPr>
            <w:tcW w:w="881" w:type="dxa"/>
            <w:tcBorders>
              <w:top w:val="nil"/>
              <w:left w:val="nil"/>
              <w:bottom w:val="nil"/>
              <w:right w:val="nil"/>
            </w:tcBorders>
            <w:shd w:val="clear" w:color="auto" w:fill="E7EEEE" w:themeFill="accent3" w:themeFillTint="33"/>
            <w:vAlign w:val="center"/>
          </w:tcPr>
          <w:p w14:paraId="5C7F5BEB" w14:textId="77777777" w:rsidR="00567BEB" w:rsidRPr="00086EED"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2"/>
                <w:szCs w:val="22"/>
              </w:rPr>
            </w:pPr>
            <w:r>
              <w:rPr>
                <w:rFonts w:asciiTheme="minorHAnsi" w:hAnsiTheme="minorHAnsi"/>
                <w:b/>
                <w:i/>
                <w:sz w:val="22"/>
                <w:szCs w:val="22"/>
              </w:rPr>
              <w:t>Asian NH</w:t>
            </w:r>
          </w:p>
        </w:tc>
      </w:tr>
      <w:tr w:rsidR="00567BEB" w14:paraId="01CF790F" w14:textId="77777777" w:rsidTr="00567BEB">
        <w:trPr>
          <w:cnfStyle w:val="000000100000" w:firstRow="0" w:lastRow="0" w:firstColumn="0" w:lastColumn="0" w:oddVBand="0" w:evenVBand="0" w:oddHBand="1" w:evenHBand="0" w:firstRowFirstColumn="0" w:firstRowLastColumn="0" w:lastRowFirstColumn="0" w:lastRowLastColumn="0"/>
          <w:trHeight w:hRule="exact" w:val="555"/>
        </w:trPr>
        <w:tc>
          <w:tcPr>
            <w:cnfStyle w:val="001000000000" w:firstRow="0" w:lastRow="0" w:firstColumn="1" w:lastColumn="0" w:oddVBand="0" w:evenVBand="0" w:oddHBand="0" w:evenHBand="0" w:firstRowFirstColumn="0" w:firstRowLastColumn="0" w:lastRowFirstColumn="0" w:lastRowLastColumn="0"/>
            <w:tcW w:w="1530" w:type="dxa"/>
            <w:tcBorders>
              <w:top w:val="nil"/>
              <w:left w:val="nil"/>
              <w:bottom w:val="nil"/>
              <w:right w:val="nil"/>
            </w:tcBorders>
            <w:vAlign w:val="center"/>
          </w:tcPr>
          <w:p w14:paraId="2E043254" w14:textId="77777777" w:rsidR="00567BEB" w:rsidRPr="00086EED" w:rsidRDefault="00567BEB" w:rsidP="00567BEB">
            <w:pPr>
              <w:spacing w:after="120"/>
              <w:rPr>
                <w:rFonts w:asciiTheme="minorHAnsi" w:hAnsiTheme="minorHAnsi"/>
                <w:b w:val="0"/>
                <w:sz w:val="22"/>
                <w:szCs w:val="22"/>
              </w:rPr>
            </w:pPr>
            <w:r w:rsidRPr="00086EED">
              <w:rPr>
                <w:rFonts w:asciiTheme="minorHAnsi" w:hAnsiTheme="minorHAnsi"/>
                <w:b w:val="0"/>
                <w:sz w:val="22"/>
                <w:szCs w:val="22"/>
              </w:rPr>
              <w:t>Low birthweight</w:t>
            </w:r>
          </w:p>
        </w:tc>
        <w:tc>
          <w:tcPr>
            <w:tcW w:w="792" w:type="dxa"/>
            <w:tcBorders>
              <w:top w:val="nil"/>
              <w:left w:val="nil"/>
              <w:bottom w:val="nil"/>
              <w:right w:val="nil"/>
            </w:tcBorders>
            <w:vAlign w:val="center"/>
          </w:tcPr>
          <w:p w14:paraId="720B80CD"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6.5%</w:t>
            </w:r>
          </w:p>
        </w:tc>
        <w:tc>
          <w:tcPr>
            <w:tcW w:w="990" w:type="dxa"/>
            <w:tcBorders>
              <w:top w:val="nil"/>
              <w:left w:val="nil"/>
              <w:bottom w:val="nil"/>
              <w:right w:val="nil"/>
            </w:tcBorders>
            <w:vAlign w:val="center"/>
          </w:tcPr>
          <w:p w14:paraId="3E5932D5"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8.3%</w:t>
            </w:r>
          </w:p>
        </w:tc>
        <w:tc>
          <w:tcPr>
            <w:tcW w:w="810" w:type="dxa"/>
            <w:tcBorders>
              <w:top w:val="nil"/>
              <w:left w:val="nil"/>
              <w:bottom w:val="nil"/>
              <w:right w:val="nil"/>
            </w:tcBorders>
            <w:vAlign w:val="center"/>
          </w:tcPr>
          <w:p w14:paraId="7EFFE0AE"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10.6%</w:t>
            </w:r>
          </w:p>
        </w:tc>
        <w:tc>
          <w:tcPr>
            <w:tcW w:w="881" w:type="dxa"/>
            <w:tcBorders>
              <w:top w:val="nil"/>
              <w:left w:val="nil"/>
              <w:bottom w:val="nil"/>
              <w:right w:val="nil"/>
            </w:tcBorders>
            <w:vAlign w:val="center"/>
          </w:tcPr>
          <w:p w14:paraId="395B621B"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8.6%</w:t>
            </w:r>
          </w:p>
        </w:tc>
      </w:tr>
      <w:tr w:rsidR="00567BEB" w14:paraId="2F6D801D" w14:textId="77777777" w:rsidTr="00567BEB">
        <w:trPr>
          <w:trHeight w:hRule="exact" w:val="357"/>
        </w:trPr>
        <w:tc>
          <w:tcPr>
            <w:cnfStyle w:val="001000000000" w:firstRow="0" w:lastRow="0" w:firstColumn="1" w:lastColumn="0" w:oddVBand="0" w:evenVBand="0" w:oddHBand="0" w:evenHBand="0" w:firstRowFirstColumn="0" w:firstRowLastColumn="0" w:lastRowFirstColumn="0" w:lastRowLastColumn="0"/>
            <w:tcW w:w="1530" w:type="dxa"/>
            <w:tcBorders>
              <w:top w:val="nil"/>
              <w:left w:val="nil"/>
              <w:bottom w:val="nil"/>
              <w:right w:val="nil"/>
            </w:tcBorders>
            <w:vAlign w:val="center"/>
          </w:tcPr>
          <w:p w14:paraId="0F63E05C" w14:textId="77777777" w:rsidR="00567BEB" w:rsidRPr="00086EED" w:rsidRDefault="00567BEB" w:rsidP="00567BEB">
            <w:pPr>
              <w:spacing w:after="120"/>
              <w:rPr>
                <w:rFonts w:asciiTheme="minorHAnsi" w:hAnsiTheme="minorHAnsi"/>
                <w:b w:val="0"/>
                <w:sz w:val="22"/>
                <w:szCs w:val="22"/>
              </w:rPr>
            </w:pPr>
            <w:r w:rsidRPr="00086EED">
              <w:rPr>
                <w:rFonts w:asciiTheme="minorHAnsi" w:hAnsiTheme="minorHAnsi"/>
                <w:b w:val="0"/>
                <w:sz w:val="22"/>
                <w:szCs w:val="22"/>
              </w:rPr>
              <w:t>Preterm</w:t>
            </w:r>
          </w:p>
        </w:tc>
        <w:tc>
          <w:tcPr>
            <w:tcW w:w="792" w:type="dxa"/>
            <w:tcBorders>
              <w:top w:val="nil"/>
              <w:left w:val="nil"/>
              <w:bottom w:val="nil"/>
              <w:right w:val="nil"/>
            </w:tcBorders>
            <w:vAlign w:val="center"/>
          </w:tcPr>
          <w:p w14:paraId="05A2EDD6" w14:textId="77777777" w:rsidR="00567BEB" w:rsidRPr="00466EF5"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7.8%</w:t>
            </w:r>
          </w:p>
        </w:tc>
        <w:tc>
          <w:tcPr>
            <w:tcW w:w="990" w:type="dxa"/>
            <w:tcBorders>
              <w:top w:val="nil"/>
              <w:left w:val="nil"/>
              <w:bottom w:val="nil"/>
              <w:right w:val="nil"/>
            </w:tcBorders>
            <w:vAlign w:val="center"/>
          </w:tcPr>
          <w:p w14:paraId="568AEF00" w14:textId="77777777" w:rsidR="00567BEB" w:rsidRPr="00466EF5"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9.2%</w:t>
            </w:r>
          </w:p>
        </w:tc>
        <w:tc>
          <w:tcPr>
            <w:tcW w:w="810" w:type="dxa"/>
            <w:tcBorders>
              <w:top w:val="nil"/>
              <w:left w:val="nil"/>
              <w:bottom w:val="nil"/>
              <w:right w:val="nil"/>
            </w:tcBorders>
            <w:vAlign w:val="center"/>
          </w:tcPr>
          <w:p w14:paraId="2AFFBF0C" w14:textId="77777777" w:rsidR="00567BEB" w:rsidRPr="00466EF5"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10.4%</w:t>
            </w:r>
          </w:p>
        </w:tc>
        <w:tc>
          <w:tcPr>
            <w:tcW w:w="881" w:type="dxa"/>
            <w:tcBorders>
              <w:top w:val="nil"/>
              <w:left w:val="nil"/>
              <w:bottom w:val="nil"/>
              <w:right w:val="nil"/>
            </w:tcBorders>
            <w:vAlign w:val="center"/>
          </w:tcPr>
          <w:p w14:paraId="3051065A" w14:textId="77777777" w:rsidR="00567BEB" w:rsidRPr="00466EF5"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8.1%</w:t>
            </w:r>
          </w:p>
        </w:tc>
      </w:tr>
      <w:tr w:rsidR="00567BEB" w14:paraId="72990082" w14:textId="77777777" w:rsidTr="00567BEB">
        <w:trPr>
          <w:cnfStyle w:val="000000100000" w:firstRow="0" w:lastRow="0" w:firstColumn="0" w:lastColumn="0" w:oddVBand="0" w:evenVBand="0" w:oddHBand="1" w:evenHBand="0" w:firstRowFirstColumn="0" w:firstRowLastColumn="0" w:lastRowFirstColumn="0" w:lastRowLastColumn="0"/>
          <w:trHeight w:hRule="exact" w:val="289"/>
        </w:trPr>
        <w:tc>
          <w:tcPr>
            <w:cnfStyle w:val="001000000000" w:firstRow="0" w:lastRow="0" w:firstColumn="1" w:lastColumn="0" w:oddVBand="0" w:evenVBand="0" w:oddHBand="0" w:evenHBand="0" w:firstRowFirstColumn="0" w:firstRowLastColumn="0" w:lastRowFirstColumn="0" w:lastRowLastColumn="0"/>
            <w:tcW w:w="1530" w:type="dxa"/>
            <w:tcBorders>
              <w:top w:val="nil"/>
              <w:left w:val="nil"/>
              <w:bottom w:val="nil"/>
              <w:right w:val="nil"/>
            </w:tcBorders>
            <w:vAlign w:val="center"/>
          </w:tcPr>
          <w:p w14:paraId="16D8B513" w14:textId="77777777" w:rsidR="00567BEB" w:rsidRPr="00086EED" w:rsidRDefault="00567BEB" w:rsidP="00567BEB">
            <w:pPr>
              <w:spacing w:after="120"/>
              <w:rPr>
                <w:rFonts w:asciiTheme="minorHAnsi" w:hAnsiTheme="minorHAnsi"/>
                <w:b w:val="0"/>
                <w:sz w:val="22"/>
                <w:szCs w:val="22"/>
              </w:rPr>
            </w:pPr>
            <w:r w:rsidRPr="00086EED">
              <w:rPr>
                <w:rFonts w:asciiTheme="minorHAnsi" w:hAnsiTheme="minorHAnsi"/>
                <w:b w:val="0"/>
                <w:sz w:val="22"/>
                <w:szCs w:val="22"/>
              </w:rPr>
              <w:t>Prenatal smoking</w:t>
            </w:r>
          </w:p>
        </w:tc>
        <w:tc>
          <w:tcPr>
            <w:tcW w:w="792" w:type="dxa"/>
            <w:tcBorders>
              <w:top w:val="nil"/>
              <w:left w:val="nil"/>
              <w:bottom w:val="nil"/>
              <w:right w:val="nil"/>
            </w:tcBorders>
            <w:vAlign w:val="center"/>
          </w:tcPr>
          <w:p w14:paraId="12A759E5"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7.5%</w:t>
            </w:r>
          </w:p>
        </w:tc>
        <w:tc>
          <w:tcPr>
            <w:tcW w:w="990" w:type="dxa"/>
            <w:tcBorders>
              <w:top w:val="nil"/>
              <w:left w:val="nil"/>
              <w:bottom w:val="nil"/>
              <w:right w:val="nil"/>
            </w:tcBorders>
            <w:vAlign w:val="center"/>
          </w:tcPr>
          <w:p w14:paraId="39305E50"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3.9%</w:t>
            </w:r>
          </w:p>
        </w:tc>
        <w:tc>
          <w:tcPr>
            <w:tcW w:w="810" w:type="dxa"/>
            <w:tcBorders>
              <w:top w:val="nil"/>
              <w:left w:val="nil"/>
              <w:bottom w:val="nil"/>
              <w:right w:val="nil"/>
            </w:tcBorders>
            <w:vAlign w:val="center"/>
          </w:tcPr>
          <w:p w14:paraId="0F9EFEC7"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3.9%</w:t>
            </w:r>
          </w:p>
        </w:tc>
        <w:tc>
          <w:tcPr>
            <w:tcW w:w="881" w:type="dxa"/>
            <w:tcBorders>
              <w:top w:val="nil"/>
              <w:left w:val="nil"/>
              <w:bottom w:val="nil"/>
              <w:right w:val="nil"/>
            </w:tcBorders>
            <w:vAlign w:val="center"/>
          </w:tcPr>
          <w:p w14:paraId="61A0D85B"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1.1%</w:t>
            </w:r>
          </w:p>
        </w:tc>
      </w:tr>
      <w:tr w:rsidR="00567BEB" w14:paraId="36B95238" w14:textId="77777777" w:rsidTr="00567BEB">
        <w:trPr>
          <w:trHeight w:hRule="exact" w:val="510"/>
        </w:trPr>
        <w:tc>
          <w:tcPr>
            <w:cnfStyle w:val="001000000000" w:firstRow="0" w:lastRow="0" w:firstColumn="1" w:lastColumn="0" w:oddVBand="0" w:evenVBand="0" w:oddHBand="0" w:evenHBand="0" w:firstRowFirstColumn="0" w:firstRowLastColumn="0" w:lastRowFirstColumn="0" w:lastRowLastColumn="0"/>
            <w:tcW w:w="1530" w:type="dxa"/>
            <w:tcBorders>
              <w:top w:val="nil"/>
              <w:left w:val="nil"/>
              <w:bottom w:val="nil"/>
              <w:right w:val="nil"/>
            </w:tcBorders>
            <w:shd w:val="clear" w:color="auto" w:fill="E7EEEE" w:themeFill="accent3" w:themeFillTint="33"/>
            <w:vAlign w:val="center"/>
          </w:tcPr>
          <w:p w14:paraId="72B5792E" w14:textId="77777777" w:rsidR="00567BEB" w:rsidRPr="00086EED" w:rsidRDefault="00567BEB" w:rsidP="00567BEB">
            <w:pPr>
              <w:spacing w:after="120"/>
              <w:rPr>
                <w:rFonts w:asciiTheme="minorHAnsi" w:hAnsiTheme="minorHAnsi"/>
                <w:i/>
                <w:sz w:val="22"/>
                <w:szCs w:val="22"/>
              </w:rPr>
            </w:pPr>
            <w:r w:rsidRPr="00086EED">
              <w:rPr>
                <w:rFonts w:asciiTheme="minorHAnsi" w:hAnsiTheme="minorHAnsi"/>
                <w:i/>
                <w:sz w:val="22"/>
                <w:szCs w:val="22"/>
              </w:rPr>
              <w:t>Protective Factor</w:t>
            </w:r>
          </w:p>
        </w:tc>
        <w:tc>
          <w:tcPr>
            <w:tcW w:w="792" w:type="dxa"/>
            <w:tcBorders>
              <w:top w:val="nil"/>
              <w:left w:val="nil"/>
              <w:bottom w:val="nil"/>
              <w:right w:val="nil"/>
            </w:tcBorders>
            <w:shd w:val="clear" w:color="auto" w:fill="E7EEEE" w:themeFill="accent3" w:themeFillTint="33"/>
            <w:vAlign w:val="center"/>
          </w:tcPr>
          <w:p w14:paraId="36F6C097" w14:textId="77777777" w:rsidR="00567BEB" w:rsidRPr="00086EED"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2"/>
                <w:szCs w:val="22"/>
              </w:rPr>
            </w:pPr>
            <w:r>
              <w:rPr>
                <w:rFonts w:asciiTheme="minorHAnsi" w:hAnsiTheme="minorHAnsi"/>
                <w:b/>
                <w:i/>
                <w:sz w:val="22"/>
                <w:szCs w:val="22"/>
              </w:rPr>
              <w:t>White NH</w:t>
            </w:r>
          </w:p>
        </w:tc>
        <w:tc>
          <w:tcPr>
            <w:tcW w:w="990" w:type="dxa"/>
            <w:tcBorders>
              <w:top w:val="nil"/>
              <w:left w:val="nil"/>
              <w:bottom w:val="nil"/>
              <w:right w:val="nil"/>
            </w:tcBorders>
            <w:shd w:val="clear" w:color="auto" w:fill="E7EEEE" w:themeFill="accent3" w:themeFillTint="33"/>
            <w:vAlign w:val="center"/>
          </w:tcPr>
          <w:p w14:paraId="33472378" w14:textId="77777777" w:rsidR="00567BEB" w:rsidRPr="00086EED"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2"/>
                <w:szCs w:val="22"/>
              </w:rPr>
            </w:pPr>
            <w:r>
              <w:rPr>
                <w:rFonts w:asciiTheme="minorHAnsi" w:hAnsiTheme="minorHAnsi"/>
                <w:b/>
                <w:i/>
                <w:sz w:val="22"/>
                <w:szCs w:val="22"/>
              </w:rPr>
              <w:t>Hispanic</w:t>
            </w:r>
          </w:p>
        </w:tc>
        <w:tc>
          <w:tcPr>
            <w:tcW w:w="810" w:type="dxa"/>
            <w:tcBorders>
              <w:top w:val="nil"/>
              <w:left w:val="nil"/>
              <w:bottom w:val="nil"/>
              <w:right w:val="nil"/>
            </w:tcBorders>
            <w:shd w:val="clear" w:color="auto" w:fill="E7EEEE" w:themeFill="accent3" w:themeFillTint="33"/>
            <w:vAlign w:val="center"/>
          </w:tcPr>
          <w:p w14:paraId="4B28786D" w14:textId="77777777" w:rsidR="00567BEB" w:rsidRPr="00086EED"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2"/>
                <w:szCs w:val="22"/>
              </w:rPr>
            </w:pPr>
            <w:r>
              <w:rPr>
                <w:rFonts w:asciiTheme="minorHAnsi" w:hAnsiTheme="minorHAnsi"/>
                <w:b/>
                <w:i/>
                <w:sz w:val="22"/>
                <w:szCs w:val="22"/>
              </w:rPr>
              <w:t>Black NH</w:t>
            </w:r>
          </w:p>
        </w:tc>
        <w:tc>
          <w:tcPr>
            <w:tcW w:w="881" w:type="dxa"/>
            <w:tcBorders>
              <w:top w:val="nil"/>
              <w:left w:val="nil"/>
              <w:bottom w:val="nil"/>
              <w:right w:val="nil"/>
            </w:tcBorders>
            <w:shd w:val="clear" w:color="auto" w:fill="E7EEEE" w:themeFill="accent3" w:themeFillTint="33"/>
            <w:vAlign w:val="center"/>
          </w:tcPr>
          <w:p w14:paraId="6AA0D286" w14:textId="77777777" w:rsidR="00567BEB" w:rsidRPr="00086EED"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2"/>
                <w:szCs w:val="22"/>
              </w:rPr>
            </w:pPr>
            <w:r>
              <w:rPr>
                <w:rFonts w:asciiTheme="minorHAnsi" w:hAnsiTheme="minorHAnsi"/>
                <w:b/>
                <w:i/>
                <w:sz w:val="22"/>
                <w:szCs w:val="22"/>
              </w:rPr>
              <w:t>Asian NH</w:t>
            </w:r>
          </w:p>
        </w:tc>
      </w:tr>
      <w:tr w:rsidR="00567BEB" w14:paraId="43BC124A" w14:textId="77777777" w:rsidTr="00567BEB">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1530" w:type="dxa"/>
            <w:tcBorders>
              <w:top w:val="nil"/>
              <w:left w:val="nil"/>
              <w:bottom w:val="nil"/>
              <w:right w:val="nil"/>
            </w:tcBorders>
            <w:vAlign w:val="center"/>
          </w:tcPr>
          <w:p w14:paraId="7E940BA0" w14:textId="77777777" w:rsidR="00567BEB" w:rsidRPr="00086EED" w:rsidRDefault="00567BEB" w:rsidP="00567BEB">
            <w:pPr>
              <w:spacing w:after="120"/>
              <w:rPr>
                <w:rFonts w:asciiTheme="minorHAnsi" w:hAnsiTheme="minorHAnsi"/>
                <w:b w:val="0"/>
                <w:sz w:val="22"/>
                <w:szCs w:val="22"/>
              </w:rPr>
            </w:pPr>
            <w:r w:rsidRPr="00086EED">
              <w:rPr>
                <w:rFonts w:asciiTheme="minorHAnsi" w:hAnsiTheme="minorHAnsi"/>
                <w:b w:val="0"/>
                <w:sz w:val="22"/>
                <w:szCs w:val="22"/>
              </w:rPr>
              <w:t>Adequate prenatal care</w:t>
            </w:r>
          </w:p>
        </w:tc>
        <w:tc>
          <w:tcPr>
            <w:tcW w:w="792" w:type="dxa"/>
            <w:tcBorders>
              <w:top w:val="nil"/>
              <w:left w:val="nil"/>
              <w:bottom w:val="nil"/>
              <w:right w:val="nil"/>
            </w:tcBorders>
            <w:vAlign w:val="center"/>
          </w:tcPr>
          <w:p w14:paraId="108EFECD"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85.1%</w:t>
            </w:r>
          </w:p>
        </w:tc>
        <w:tc>
          <w:tcPr>
            <w:tcW w:w="990" w:type="dxa"/>
            <w:tcBorders>
              <w:top w:val="nil"/>
              <w:left w:val="nil"/>
              <w:bottom w:val="nil"/>
              <w:right w:val="nil"/>
            </w:tcBorders>
            <w:vAlign w:val="center"/>
          </w:tcPr>
          <w:p w14:paraId="58D1B3BF"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77.6%</w:t>
            </w:r>
          </w:p>
        </w:tc>
        <w:tc>
          <w:tcPr>
            <w:tcW w:w="810" w:type="dxa"/>
            <w:tcBorders>
              <w:top w:val="nil"/>
              <w:left w:val="nil"/>
              <w:bottom w:val="nil"/>
              <w:right w:val="nil"/>
            </w:tcBorders>
            <w:vAlign w:val="center"/>
          </w:tcPr>
          <w:p w14:paraId="7FE985D7"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69.3%</w:t>
            </w:r>
          </w:p>
        </w:tc>
        <w:tc>
          <w:tcPr>
            <w:tcW w:w="881" w:type="dxa"/>
            <w:tcBorders>
              <w:top w:val="nil"/>
              <w:left w:val="nil"/>
              <w:bottom w:val="nil"/>
              <w:right w:val="nil"/>
            </w:tcBorders>
            <w:vAlign w:val="center"/>
          </w:tcPr>
          <w:p w14:paraId="3CC0990B" w14:textId="77777777" w:rsidR="00567BEB" w:rsidRPr="00466EF5" w:rsidRDefault="00567BEB" w:rsidP="00567BE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82.8%</w:t>
            </w:r>
          </w:p>
        </w:tc>
      </w:tr>
      <w:tr w:rsidR="00567BEB" w14:paraId="1C8B6BE5" w14:textId="77777777" w:rsidTr="00567BEB">
        <w:trPr>
          <w:trHeight w:hRule="exact" w:val="316"/>
        </w:trPr>
        <w:tc>
          <w:tcPr>
            <w:cnfStyle w:val="001000000000" w:firstRow="0" w:lastRow="0" w:firstColumn="1" w:lastColumn="0" w:oddVBand="0" w:evenVBand="0" w:oddHBand="0" w:evenHBand="0" w:firstRowFirstColumn="0" w:firstRowLastColumn="0" w:lastRowFirstColumn="0" w:lastRowLastColumn="0"/>
            <w:tcW w:w="1530" w:type="dxa"/>
            <w:tcBorders>
              <w:top w:val="nil"/>
              <w:left w:val="nil"/>
              <w:bottom w:val="nil"/>
              <w:right w:val="nil"/>
            </w:tcBorders>
            <w:vAlign w:val="center"/>
          </w:tcPr>
          <w:p w14:paraId="21166BD0" w14:textId="77777777" w:rsidR="00567BEB" w:rsidRPr="00086EED" w:rsidRDefault="00567BEB" w:rsidP="00567BEB">
            <w:pPr>
              <w:spacing w:after="120"/>
              <w:rPr>
                <w:rFonts w:asciiTheme="minorHAnsi" w:hAnsiTheme="minorHAnsi"/>
                <w:b w:val="0"/>
                <w:sz w:val="22"/>
                <w:szCs w:val="22"/>
              </w:rPr>
            </w:pPr>
            <w:r w:rsidRPr="007344D7">
              <w:rPr>
                <w:rFonts w:asciiTheme="minorHAnsi" w:hAnsiTheme="minorHAnsi"/>
                <w:noProof/>
                <w:sz w:val="22"/>
                <w:szCs w:val="22"/>
              </w:rPr>
              <mc:AlternateContent>
                <mc:Choice Requires="wps">
                  <w:drawing>
                    <wp:anchor distT="0" distB="0" distL="114300" distR="114300" simplePos="0" relativeHeight="251751936" behindDoc="0" locked="0" layoutInCell="1" allowOverlap="1" wp14:anchorId="2BB6F594" wp14:editId="24F7E9E3">
                      <wp:simplePos x="0" y="0"/>
                      <wp:positionH relativeFrom="column">
                        <wp:posOffset>-1270</wp:posOffset>
                      </wp:positionH>
                      <wp:positionV relativeFrom="paragraph">
                        <wp:posOffset>191135</wp:posOffset>
                      </wp:positionV>
                      <wp:extent cx="2790825" cy="2857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5750"/>
                              </a:xfrm>
                              <a:prstGeom prst="rect">
                                <a:avLst/>
                              </a:prstGeom>
                              <a:noFill/>
                              <a:ln w="9525">
                                <a:noFill/>
                                <a:miter lim="800000"/>
                                <a:headEnd/>
                                <a:tailEnd/>
                              </a:ln>
                            </wps:spPr>
                            <wps:txbx>
                              <w:txbxContent>
                                <w:p w14:paraId="55EDFE08" w14:textId="77777777" w:rsidR="00567BEB" w:rsidRPr="00872748" w:rsidRDefault="00567BEB" w:rsidP="00567BEB">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 xml:space="preserve">Vital Records &amp; Statistics, </w:t>
                                  </w:r>
                                  <w:r w:rsidRPr="00872748">
                                    <w:rPr>
                                      <w:rFonts w:asciiTheme="minorHAnsi" w:hAnsiTheme="minorHAnsi"/>
                                      <w:i/>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BB6F594" id="_x0000_s1041" type="#_x0000_t202" style="position:absolute;margin-left:-.1pt;margin-top:15.05pt;width:219.75pt;height:2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" filled="f" stroked="f">
                      <v:textbox>
                        <w:txbxContent>
                          <w:p w14:paraId="55EDFE08" w14:textId="77777777" w:rsidR="00567BEB" w:rsidRPr="00872748" w:rsidRDefault="00567BEB" w:rsidP="00567BEB">
                            <w:pPr>
                              <w:rPr>
                                <w:rFonts w:asciiTheme="minorHAnsi" w:hAnsiTheme="minorHAnsi"/>
                                <w:i/>
                                <w:sz w:val="16"/>
                                <w:szCs w:val="16"/>
                              </w:rPr>
                            </w:pPr>
                            <w:r w:rsidRPr="00872748">
                              <w:rPr>
                                <w:rFonts w:asciiTheme="minorHAnsi" w:hAnsiTheme="minorHAnsi"/>
                                <w:i/>
                                <w:sz w:val="16"/>
                                <w:szCs w:val="16"/>
                              </w:rPr>
                              <w:t xml:space="preserve">Source: MA Registry of </w:t>
                            </w:r>
                            <w:r>
                              <w:rPr>
                                <w:rFonts w:asciiTheme="minorHAnsi" w:hAnsiTheme="minorHAnsi"/>
                                <w:i/>
                                <w:sz w:val="16"/>
                                <w:szCs w:val="16"/>
                              </w:rPr>
                              <w:t xml:space="preserve">Vital Records &amp; Statistics, </w:t>
                            </w:r>
                            <w:r w:rsidRPr="00872748">
                              <w:rPr>
                                <w:rFonts w:asciiTheme="minorHAnsi" w:hAnsiTheme="minorHAnsi"/>
                                <w:i/>
                                <w:sz w:val="16"/>
                                <w:szCs w:val="16"/>
                              </w:rPr>
                              <w:t>2015</w:t>
                            </w:r>
                          </w:p>
                        </w:txbxContent>
                      </v:textbox>
                    </v:shape>
                  </w:pict>
                </mc:Fallback>
              </mc:AlternateContent>
            </w:r>
            <w:r w:rsidRPr="00086EED">
              <w:rPr>
                <w:rFonts w:asciiTheme="minorHAnsi" w:hAnsiTheme="minorHAnsi"/>
                <w:b w:val="0"/>
                <w:sz w:val="22"/>
                <w:szCs w:val="22"/>
              </w:rPr>
              <w:t>Breastfeeding</w:t>
            </w:r>
          </w:p>
        </w:tc>
        <w:tc>
          <w:tcPr>
            <w:tcW w:w="792" w:type="dxa"/>
            <w:tcBorders>
              <w:top w:val="nil"/>
              <w:left w:val="nil"/>
              <w:bottom w:val="nil"/>
              <w:right w:val="nil"/>
            </w:tcBorders>
            <w:vAlign w:val="center"/>
          </w:tcPr>
          <w:p w14:paraId="7432D69D" w14:textId="77777777" w:rsidR="00567BEB" w:rsidRPr="00466EF5"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66EF5">
              <w:rPr>
                <w:rFonts w:asciiTheme="minorHAnsi" w:hAnsiTheme="minorHAnsi"/>
                <w:sz w:val="22"/>
                <w:szCs w:val="22"/>
              </w:rPr>
              <w:t>8</w:t>
            </w:r>
            <w:r>
              <w:rPr>
                <w:rFonts w:asciiTheme="minorHAnsi" w:hAnsiTheme="minorHAnsi"/>
                <w:sz w:val="22"/>
                <w:szCs w:val="22"/>
              </w:rPr>
              <w:t>6.2%</w:t>
            </w:r>
          </w:p>
        </w:tc>
        <w:tc>
          <w:tcPr>
            <w:tcW w:w="990" w:type="dxa"/>
            <w:tcBorders>
              <w:top w:val="nil"/>
              <w:left w:val="nil"/>
              <w:bottom w:val="nil"/>
              <w:right w:val="nil"/>
            </w:tcBorders>
            <w:vAlign w:val="center"/>
          </w:tcPr>
          <w:p w14:paraId="5D602CE2" w14:textId="77777777" w:rsidR="00567BEB" w:rsidRPr="00466EF5"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86.7%</w:t>
            </w:r>
          </w:p>
        </w:tc>
        <w:tc>
          <w:tcPr>
            <w:tcW w:w="810" w:type="dxa"/>
            <w:tcBorders>
              <w:top w:val="nil"/>
              <w:left w:val="nil"/>
              <w:bottom w:val="nil"/>
              <w:right w:val="nil"/>
            </w:tcBorders>
            <w:vAlign w:val="center"/>
          </w:tcPr>
          <w:p w14:paraId="4DA6D0DD" w14:textId="77777777" w:rsidR="00567BEB" w:rsidRPr="00466EF5"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87.9%</w:t>
            </w:r>
          </w:p>
        </w:tc>
        <w:tc>
          <w:tcPr>
            <w:tcW w:w="881" w:type="dxa"/>
            <w:tcBorders>
              <w:top w:val="nil"/>
              <w:left w:val="nil"/>
              <w:bottom w:val="nil"/>
              <w:right w:val="nil"/>
            </w:tcBorders>
            <w:vAlign w:val="center"/>
          </w:tcPr>
          <w:p w14:paraId="13A7844E" w14:textId="77777777" w:rsidR="00567BEB" w:rsidRPr="00466EF5" w:rsidRDefault="00567BEB" w:rsidP="00567BE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91.7%</w:t>
            </w:r>
          </w:p>
        </w:tc>
      </w:tr>
    </w:tbl>
    <w:p w14:paraId="570E9798" w14:textId="77777777" w:rsidR="00567BEB" w:rsidRDefault="00567BEB" w:rsidP="00807E7F">
      <w:pPr>
        <w:spacing w:after="120"/>
        <w:rPr>
          <w:rFonts w:asciiTheme="majorHAnsi" w:hAnsiTheme="majorHAnsi"/>
          <w:b/>
          <w:color w:val="A86C2A" w:themeColor="accent6" w:themeShade="BF"/>
          <w:sz w:val="24"/>
        </w:rPr>
      </w:pPr>
    </w:p>
    <w:p w14:paraId="65DA94C8" w14:textId="77777777" w:rsidR="00567BEB" w:rsidRDefault="00567BEB" w:rsidP="00807E7F">
      <w:pPr>
        <w:spacing w:after="120"/>
        <w:rPr>
          <w:rFonts w:asciiTheme="majorHAnsi" w:hAnsiTheme="majorHAnsi"/>
          <w:b/>
          <w:color w:val="A86C2A" w:themeColor="accent6" w:themeShade="BF"/>
          <w:sz w:val="24"/>
        </w:rPr>
      </w:pPr>
    </w:p>
    <w:p w14:paraId="79270E87" w14:textId="6D51B9A4" w:rsidR="00807E7F" w:rsidRDefault="00807E7F" w:rsidP="00807E7F">
      <w:pPr>
        <w:spacing w:after="120"/>
        <w:rPr>
          <w:rFonts w:asciiTheme="majorHAnsi" w:hAnsiTheme="majorHAnsi"/>
          <w:b/>
          <w:color w:val="A86C2A" w:themeColor="accent6" w:themeShade="BF"/>
          <w:sz w:val="24"/>
        </w:rPr>
      </w:pPr>
      <w:r>
        <w:rPr>
          <w:rFonts w:asciiTheme="majorHAnsi" w:hAnsiTheme="majorHAnsi"/>
          <w:b/>
          <w:color w:val="A86C2A" w:themeColor="accent6" w:themeShade="BF"/>
          <w:sz w:val="24"/>
        </w:rPr>
        <w:t>Preventing SUID and More Information</w:t>
      </w:r>
    </w:p>
    <w:p w14:paraId="6A6541CF" w14:textId="5655C4B9" w:rsidR="00807E7F" w:rsidRPr="00D22B2A" w:rsidRDefault="00807E7F" w:rsidP="00807E7F">
      <w:pPr>
        <w:rPr>
          <w:rFonts w:asciiTheme="minorHAnsi" w:hAnsiTheme="minorHAnsi"/>
          <w:sz w:val="21"/>
          <w:szCs w:val="21"/>
        </w:rPr>
      </w:pPr>
      <w:r w:rsidRPr="00D22B2A">
        <w:rPr>
          <w:rFonts w:asciiTheme="minorHAnsi" w:hAnsiTheme="minorHAnsi"/>
          <w:sz w:val="21"/>
          <w:szCs w:val="21"/>
        </w:rPr>
        <w:t xml:space="preserve">Programs that: promote prenatal and maternal health; encourage the adoption of infant safe sleep practices among new parents via parent education and overcoming barriers to safe sleep, such unstable housing;  and work toward decreasing inequities in access to health care may reduce the incidence of SUID. </w:t>
      </w:r>
    </w:p>
    <w:p w14:paraId="499A8A46" w14:textId="52674DD0" w:rsidR="00807E7F" w:rsidRPr="00D22B2A" w:rsidRDefault="00807E7F" w:rsidP="00807E7F">
      <w:pPr>
        <w:rPr>
          <w:sz w:val="21"/>
          <w:szCs w:val="21"/>
        </w:rPr>
      </w:pPr>
    </w:p>
    <w:p w14:paraId="4F7BAFB9" w14:textId="2471CF55" w:rsidR="00733295" w:rsidRDefault="00807E7F" w:rsidP="00807E7F">
      <w:pPr>
        <w:rPr>
          <w:rFonts w:asciiTheme="minorHAnsi" w:hAnsiTheme="minorHAnsi"/>
          <w:sz w:val="21"/>
          <w:szCs w:val="21"/>
        </w:rPr>
      </w:pPr>
      <w:r w:rsidRPr="00D22B2A">
        <w:rPr>
          <w:rFonts w:asciiTheme="minorHAnsi" w:hAnsiTheme="minorHAnsi"/>
          <w:sz w:val="21"/>
          <w:szCs w:val="21"/>
        </w:rPr>
        <w:t xml:space="preserve">For more information on infant safe sleep and prevention of sudden unexpected infant death, visit MDPH’s infant safe sleep website at: </w:t>
      </w:r>
      <w:hyperlink r:id="rId20" w:history="1">
        <w:r w:rsidR="004959BC" w:rsidRPr="009120C4">
          <w:rPr>
            <w:rStyle w:val="Hyperlink"/>
            <w:rFonts w:asciiTheme="minorHAnsi" w:hAnsiTheme="minorHAnsi" w:cs="Arial"/>
            <w:sz w:val="21"/>
            <w:szCs w:val="21"/>
          </w:rPr>
          <w:t>www.mass.gov/safesleep</w:t>
        </w:r>
      </w:hyperlink>
    </w:p>
    <w:p w14:paraId="2700198C" w14:textId="77777777" w:rsidR="004959BC" w:rsidRDefault="004959BC" w:rsidP="00807E7F">
      <w:pPr>
        <w:rPr>
          <w:rFonts w:asciiTheme="minorHAnsi" w:hAnsiTheme="minorHAnsi"/>
          <w:sz w:val="21"/>
          <w:szCs w:val="21"/>
        </w:rPr>
      </w:pPr>
    </w:p>
    <w:p w14:paraId="4134F0A1" w14:textId="77777777" w:rsidR="004959BC" w:rsidRPr="00733295" w:rsidRDefault="004959BC" w:rsidP="00807E7F">
      <w:pPr>
        <w:rPr>
          <w:rFonts w:asciiTheme="minorHAnsi" w:hAnsiTheme="minorHAnsi"/>
          <w:sz w:val="21"/>
          <w:szCs w:val="21"/>
        </w:rPr>
        <w:sectPr w:rsidR="004959BC" w:rsidRPr="00733295" w:rsidSect="00756B7C">
          <w:type w:val="continuous"/>
          <w:pgSz w:w="12240" w:h="15840"/>
          <w:pgMar w:top="547" w:right="864" w:bottom="288" w:left="864" w:header="720" w:footer="720" w:gutter="0"/>
          <w:cols w:num="2" w:space="720"/>
          <w:docGrid w:linePitch="360"/>
        </w:sectPr>
      </w:pPr>
    </w:p>
    <w:p w14:paraId="3C278088" w14:textId="4FC6C786" w:rsidR="00A371B1" w:rsidRDefault="00733295">
      <w:pPr>
        <w:rPr>
          <w:rFonts w:asciiTheme="minorHAnsi" w:hAnsiTheme="minorHAnsi"/>
          <w:b/>
          <w:sz w:val="16"/>
          <w:szCs w:val="16"/>
        </w:rPr>
      </w:pPr>
      <w:r w:rsidRPr="0053599E">
        <w:rPr>
          <w:rFonts w:asciiTheme="minorHAnsi" w:hAnsiTheme="minorHAnsi"/>
          <w:noProof/>
          <w:sz w:val="22"/>
          <w:szCs w:val="22"/>
        </w:rPr>
        <w:lastRenderedPageBreak/>
        <mc:AlternateContent>
          <mc:Choice Requires="wps">
            <w:drawing>
              <wp:anchor distT="0" distB="0" distL="114300" distR="114300" simplePos="0" relativeHeight="251743744" behindDoc="0" locked="0" layoutInCell="1" allowOverlap="1" wp14:anchorId="4FB7FC32" wp14:editId="54F741C1">
                <wp:simplePos x="0" y="0"/>
                <wp:positionH relativeFrom="column">
                  <wp:posOffset>-3164840</wp:posOffset>
                </wp:positionH>
                <wp:positionV relativeFrom="paragraph">
                  <wp:posOffset>489585</wp:posOffset>
                </wp:positionV>
                <wp:extent cx="2905125" cy="2857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5750"/>
                        </a:xfrm>
                        <a:prstGeom prst="rect">
                          <a:avLst/>
                        </a:prstGeom>
                        <a:noFill/>
                        <a:ln w="9525">
                          <a:noFill/>
                          <a:miter lim="800000"/>
                          <a:headEnd/>
                          <a:tailEnd/>
                        </a:ln>
                      </wps:spPr>
                      <wps:txbx>
                        <w:txbxContent>
                          <w:p w14:paraId="2F0B5969" w14:textId="77777777" w:rsidR="005276C5" w:rsidRPr="00872748" w:rsidRDefault="005276C5" w:rsidP="008242CE">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Pregnancy Risk Assessment Monitoring System,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FB7FC32" id="_x0000_s1042" type="#_x0000_t202" style="position:absolute;margin-left:-249.2pt;margin-top:38.55pt;width:228.75pt;height:2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" filled="f" stroked="f">
                <v:textbox>
                  <w:txbxContent>
                    <w:p w14:paraId="2F0B5969" w14:textId="77777777" w:rsidR="005276C5" w:rsidRPr="00872748" w:rsidRDefault="005276C5" w:rsidP="008242CE">
                      <w:pPr>
                        <w:rPr>
                          <w:rFonts w:asciiTheme="minorHAnsi" w:hAnsiTheme="minorHAnsi"/>
                          <w:i/>
                          <w:sz w:val="16"/>
                          <w:szCs w:val="16"/>
                        </w:rPr>
                      </w:pPr>
                      <w:r w:rsidRPr="00872748">
                        <w:rPr>
                          <w:rFonts w:asciiTheme="minorHAnsi" w:hAnsiTheme="minorHAnsi"/>
                          <w:i/>
                          <w:sz w:val="16"/>
                          <w:szCs w:val="16"/>
                        </w:rPr>
                        <w:t xml:space="preserve">Source: </w:t>
                      </w:r>
                      <w:r>
                        <w:rPr>
                          <w:rFonts w:asciiTheme="minorHAnsi" w:hAnsiTheme="minorHAnsi"/>
                          <w:i/>
                          <w:sz w:val="16"/>
                          <w:szCs w:val="16"/>
                        </w:rPr>
                        <w:t>MA Pregnancy Risk Assessment Monitoring System, 2015</w:t>
                      </w:r>
                    </w:p>
                  </w:txbxContent>
                </v:textbox>
              </v:shape>
            </w:pict>
          </mc:Fallback>
        </mc:AlternateContent>
      </w:r>
      <w:r w:rsidR="00A371B1">
        <w:rPr>
          <w:rFonts w:asciiTheme="minorHAnsi" w:hAnsiTheme="minorHAnsi"/>
          <w:b/>
          <w:sz w:val="16"/>
          <w:szCs w:val="16"/>
        </w:rPr>
        <w:br w:type="page"/>
      </w:r>
    </w:p>
    <w:p w14:paraId="6485C79D" w14:textId="20064DD7" w:rsidR="00807E7F" w:rsidRDefault="00807E7F" w:rsidP="00DB09AF">
      <w:pPr>
        <w:pBdr>
          <w:bottom w:val="single" w:sz="12" w:space="1" w:color="auto"/>
        </w:pBdr>
        <w:rPr>
          <w:rFonts w:asciiTheme="minorHAnsi" w:hAnsiTheme="minorHAnsi"/>
          <w:b/>
          <w:sz w:val="16"/>
          <w:szCs w:val="16"/>
        </w:rPr>
      </w:pPr>
    </w:p>
    <w:p w14:paraId="0FC70908" w14:textId="77777777" w:rsidR="006C610B" w:rsidRPr="008766E7" w:rsidRDefault="00570900" w:rsidP="003A55CC">
      <w:pPr>
        <w:rPr>
          <w:rFonts w:asciiTheme="minorHAnsi" w:hAnsiTheme="minorHAnsi"/>
          <w:b/>
        </w:rPr>
      </w:pPr>
      <w:r>
        <w:rPr>
          <w:rFonts w:asciiTheme="minorHAnsi" w:hAnsiTheme="minorHAnsi"/>
          <w:b/>
        </w:rPr>
        <w:t>Method Notes</w:t>
      </w:r>
    </w:p>
    <w:p w14:paraId="61B23918" w14:textId="77777777" w:rsidR="00BF6E45" w:rsidRDefault="00284BDC" w:rsidP="003A55CC">
      <w:pPr>
        <w:rPr>
          <w:rFonts w:asciiTheme="minorHAnsi" w:hAnsiTheme="minorHAnsi"/>
          <w:sz w:val="18"/>
          <w:szCs w:val="16"/>
        </w:rPr>
      </w:pPr>
      <w:r>
        <w:rPr>
          <w:rFonts w:asciiTheme="minorHAnsi" w:hAnsiTheme="minorHAnsi"/>
          <w:sz w:val="18"/>
          <w:szCs w:val="16"/>
        </w:rPr>
        <w:t>The definition of SUID in this data brief includes deaths of infants less than 12 months of age</w:t>
      </w:r>
      <w:r w:rsidR="00BF6E45">
        <w:rPr>
          <w:rFonts w:asciiTheme="minorHAnsi" w:hAnsiTheme="minorHAnsi"/>
          <w:sz w:val="18"/>
          <w:szCs w:val="16"/>
        </w:rPr>
        <w:t xml:space="preserve"> who were residents of Massachusetts at the time of birth and at the time of death</w:t>
      </w:r>
      <w:r w:rsidR="003F1F03">
        <w:rPr>
          <w:rFonts w:asciiTheme="minorHAnsi" w:hAnsiTheme="minorHAnsi"/>
          <w:sz w:val="18"/>
          <w:szCs w:val="16"/>
        </w:rPr>
        <w:t xml:space="preserve"> due to</w:t>
      </w:r>
      <w:r w:rsidR="000162F9">
        <w:rPr>
          <w:rFonts w:asciiTheme="minorHAnsi" w:hAnsiTheme="minorHAnsi"/>
          <w:sz w:val="18"/>
          <w:szCs w:val="16"/>
        </w:rPr>
        <w:t xml:space="preserve"> the following causes:</w:t>
      </w:r>
      <w:r w:rsidR="003F1F03">
        <w:rPr>
          <w:rFonts w:asciiTheme="minorHAnsi" w:hAnsiTheme="minorHAnsi"/>
          <w:sz w:val="18"/>
          <w:szCs w:val="16"/>
        </w:rPr>
        <w:t xml:space="preserve"> </w:t>
      </w:r>
    </w:p>
    <w:p w14:paraId="3B2401D4" w14:textId="777A5D0E" w:rsidR="00412465" w:rsidRPr="00412465" w:rsidRDefault="00412465" w:rsidP="00412465">
      <w:pPr>
        <w:pStyle w:val="ListParagraph"/>
        <w:numPr>
          <w:ilvl w:val="0"/>
          <w:numId w:val="7"/>
        </w:numPr>
        <w:rPr>
          <w:rFonts w:asciiTheme="minorHAnsi" w:hAnsiTheme="minorHAnsi"/>
          <w:sz w:val="18"/>
          <w:szCs w:val="16"/>
        </w:rPr>
      </w:pPr>
      <w:r w:rsidRPr="0080022C">
        <w:rPr>
          <w:rFonts w:asciiTheme="minorHAnsi" w:hAnsiTheme="minorHAnsi"/>
          <w:sz w:val="18"/>
          <w:szCs w:val="16"/>
        </w:rPr>
        <w:t>accidental suffocation and strangulation in bed (ASSB) – ICD-</w:t>
      </w:r>
      <w:r>
        <w:rPr>
          <w:rFonts w:asciiTheme="minorHAnsi" w:hAnsiTheme="minorHAnsi"/>
          <w:sz w:val="18"/>
          <w:szCs w:val="16"/>
        </w:rPr>
        <w:t>10 code W75</w:t>
      </w:r>
      <w:r w:rsidRPr="0080022C">
        <w:rPr>
          <w:rFonts w:asciiTheme="minorHAnsi" w:hAnsiTheme="minorHAnsi"/>
          <w:sz w:val="18"/>
          <w:szCs w:val="16"/>
        </w:rPr>
        <w:t xml:space="preserve"> </w:t>
      </w:r>
    </w:p>
    <w:p w14:paraId="0D45289C" w14:textId="77777777" w:rsidR="00BF6E45" w:rsidRPr="0080022C" w:rsidRDefault="003F1F03" w:rsidP="0080022C">
      <w:pPr>
        <w:pStyle w:val="ListParagraph"/>
        <w:numPr>
          <w:ilvl w:val="0"/>
          <w:numId w:val="7"/>
        </w:numPr>
        <w:rPr>
          <w:rFonts w:asciiTheme="minorHAnsi" w:hAnsiTheme="minorHAnsi"/>
          <w:sz w:val="18"/>
          <w:szCs w:val="16"/>
        </w:rPr>
      </w:pPr>
      <w:r w:rsidRPr="0080022C">
        <w:rPr>
          <w:rFonts w:asciiTheme="minorHAnsi" w:hAnsiTheme="minorHAnsi"/>
          <w:sz w:val="18"/>
          <w:szCs w:val="16"/>
        </w:rPr>
        <w:t>sudden infant death syndrome (SIDS)</w:t>
      </w:r>
      <w:r w:rsidR="008670A4">
        <w:rPr>
          <w:rFonts w:asciiTheme="minorHAnsi" w:hAnsiTheme="minorHAnsi"/>
          <w:sz w:val="18"/>
          <w:szCs w:val="16"/>
        </w:rPr>
        <w:t xml:space="preserve"> – I</w:t>
      </w:r>
      <w:r w:rsidR="000162F9" w:rsidRPr="0080022C">
        <w:rPr>
          <w:rFonts w:asciiTheme="minorHAnsi" w:hAnsiTheme="minorHAnsi"/>
          <w:sz w:val="18"/>
          <w:szCs w:val="16"/>
        </w:rPr>
        <w:t>CD-</w:t>
      </w:r>
      <w:r w:rsidR="008807A3">
        <w:rPr>
          <w:rFonts w:asciiTheme="minorHAnsi" w:hAnsiTheme="minorHAnsi"/>
          <w:sz w:val="18"/>
          <w:szCs w:val="16"/>
        </w:rPr>
        <w:t>10 code R95</w:t>
      </w:r>
    </w:p>
    <w:p w14:paraId="25DFF99F" w14:textId="77777777" w:rsidR="00BF6E45" w:rsidRPr="0080022C" w:rsidRDefault="000162F9" w:rsidP="0080022C">
      <w:pPr>
        <w:pStyle w:val="ListParagraph"/>
        <w:numPr>
          <w:ilvl w:val="0"/>
          <w:numId w:val="7"/>
        </w:numPr>
        <w:rPr>
          <w:rFonts w:asciiTheme="minorHAnsi" w:hAnsiTheme="minorHAnsi"/>
          <w:sz w:val="18"/>
          <w:szCs w:val="16"/>
        </w:rPr>
      </w:pPr>
      <w:r w:rsidRPr="0080022C">
        <w:rPr>
          <w:rFonts w:asciiTheme="minorHAnsi" w:hAnsiTheme="minorHAnsi"/>
          <w:sz w:val="18"/>
          <w:szCs w:val="16"/>
        </w:rPr>
        <w:t>undetermined causes – ICD-10 code R99</w:t>
      </w:r>
    </w:p>
    <w:p w14:paraId="1C781C3C" w14:textId="77777777" w:rsidR="009E4FFF" w:rsidRDefault="00B1681A" w:rsidP="003A55CC">
      <w:pPr>
        <w:rPr>
          <w:rFonts w:asciiTheme="minorHAnsi" w:hAnsiTheme="minorHAnsi"/>
          <w:sz w:val="18"/>
          <w:szCs w:val="16"/>
        </w:rPr>
      </w:pPr>
      <w:r>
        <w:rPr>
          <w:rFonts w:asciiTheme="minorHAnsi" w:hAnsiTheme="minorHAnsi"/>
          <w:sz w:val="18"/>
          <w:szCs w:val="16"/>
        </w:rPr>
        <w:t xml:space="preserve">SUID counts and rates for all years include </w:t>
      </w:r>
      <w:r w:rsidR="003A4FC3">
        <w:rPr>
          <w:rFonts w:asciiTheme="minorHAnsi" w:hAnsiTheme="minorHAnsi"/>
          <w:sz w:val="18"/>
          <w:szCs w:val="16"/>
        </w:rPr>
        <w:t xml:space="preserve">accidental, natural, </w:t>
      </w:r>
      <w:r w:rsidR="004D2F86">
        <w:rPr>
          <w:rFonts w:asciiTheme="minorHAnsi" w:hAnsiTheme="minorHAnsi"/>
          <w:sz w:val="18"/>
          <w:szCs w:val="16"/>
        </w:rPr>
        <w:t xml:space="preserve">undetermined, </w:t>
      </w:r>
      <w:r w:rsidR="003A4FC3">
        <w:rPr>
          <w:rFonts w:asciiTheme="minorHAnsi" w:hAnsiTheme="minorHAnsi"/>
          <w:sz w:val="18"/>
          <w:szCs w:val="16"/>
        </w:rPr>
        <w:t>and pending manner</w:t>
      </w:r>
      <w:r w:rsidR="00F20DDA">
        <w:rPr>
          <w:rFonts w:asciiTheme="minorHAnsi" w:hAnsiTheme="minorHAnsi"/>
          <w:sz w:val="18"/>
          <w:szCs w:val="16"/>
        </w:rPr>
        <w:t>s</w:t>
      </w:r>
      <w:r w:rsidR="003A4FC3">
        <w:rPr>
          <w:rFonts w:asciiTheme="minorHAnsi" w:hAnsiTheme="minorHAnsi"/>
          <w:sz w:val="18"/>
          <w:szCs w:val="16"/>
        </w:rPr>
        <w:t xml:space="preserve"> of death.</w:t>
      </w:r>
      <w:r w:rsidR="00A34FCC">
        <w:rPr>
          <w:rFonts w:asciiTheme="minorHAnsi" w:hAnsiTheme="minorHAnsi"/>
          <w:sz w:val="18"/>
          <w:szCs w:val="16"/>
        </w:rPr>
        <w:t xml:space="preserve"> </w:t>
      </w:r>
      <w:r w:rsidR="003A4FC3">
        <w:rPr>
          <w:rFonts w:asciiTheme="minorHAnsi" w:hAnsiTheme="minorHAnsi"/>
          <w:sz w:val="18"/>
          <w:szCs w:val="16"/>
        </w:rPr>
        <w:t xml:space="preserve">The inclusion of cases with a </w:t>
      </w:r>
      <w:r>
        <w:rPr>
          <w:rFonts w:asciiTheme="minorHAnsi" w:hAnsiTheme="minorHAnsi"/>
          <w:sz w:val="18"/>
          <w:szCs w:val="16"/>
        </w:rPr>
        <w:t xml:space="preserve">pending </w:t>
      </w:r>
      <w:r w:rsidR="003A4FC3">
        <w:rPr>
          <w:rFonts w:asciiTheme="minorHAnsi" w:hAnsiTheme="minorHAnsi"/>
          <w:sz w:val="18"/>
          <w:szCs w:val="16"/>
        </w:rPr>
        <w:t xml:space="preserve">manner of death </w:t>
      </w:r>
      <w:r>
        <w:rPr>
          <w:rFonts w:asciiTheme="minorHAnsi" w:hAnsiTheme="minorHAnsi"/>
          <w:sz w:val="18"/>
          <w:szCs w:val="16"/>
        </w:rPr>
        <w:t>at the time of data release</w:t>
      </w:r>
      <w:r w:rsidR="003A4FC3">
        <w:rPr>
          <w:rFonts w:asciiTheme="minorHAnsi" w:hAnsiTheme="minorHAnsi"/>
          <w:sz w:val="18"/>
          <w:szCs w:val="16"/>
        </w:rPr>
        <w:t xml:space="preserve"> means that </w:t>
      </w:r>
      <w:r w:rsidR="00376EB5">
        <w:rPr>
          <w:rFonts w:asciiTheme="minorHAnsi" w:hAnsiTheme="minorHAnsi"/>
          <w:sz w:val="18"/>
          <w:szCs w:val="16"/>
        </w:rPr>
        <w:t xml:space="preserve">counts may be </w:t>
      </w:r>
      <w:r w:rsidR="0057077F">
        <w:rPr>
          <w:rFonts w:asciiTheme="minorHAnsi" w:hAnsiTheme="minorHAnsi"/>
          <w:sz w:val="18"/>
          <w:szCs w:val="16"/>
        </w:rPr>
        <w:t>inflated for</w:t>
      </w:r>
      <w:r w:rsidR="00D34F11">
        <w:rPr>
          <w:rFonts w:asciiTheme="minorHAnsi" w:hAnsiTheme="minorHAnsi"/>
          <w:sz w:val="18"/>
          <w:szCs w:val="16"/>
        </w:rPr>
        <w:t xml:space="preserve"> more recent years where not all cases have a final determination of cause and manner. The percent of pending cas</w:t>
      </w:r>
      <w:r w:rsidR="004033FA">
        <w:rPr>
          <w:rFonts w:asciiTheme="minorHAnsi" w:hAnsiTheme="minorHAnsi"/>
          <w:sz w:val="18"/>
          <w:szCs w:val="16"/>
        </w:rPr>
        <w:t>es by year ranges from 0%</w:t>
      </w:r>
      <w:r w:rsidR="00EC3806">
        <w:rPr>
          <w:rFonts w:asciiTheme="minorHAnsi" w:hAnsiTheme="minorHAnsi"/>
          <w:sz w:val="18"/>
          <w:szCs w:val="16"/>
        </w:rPr>
        <w:t xml:space="preserve"> </w:t>
      </w:r>
      <w:r w:rsidR="003129DF">
        <w:rPr>
          <w:rFonts w:asciiTheme="minorHAnsi" w:hAnsiTheme="minorHAnsi"/>
          <w:sz w:val="18"/>
          <w:szCs w:val="16"/>
        </w:rPr>
        <w:t>in 2006 and 2007 to 19% and 21% in 2014 and 2015</w:t>
      </w:r>
      <w:r w:rsidR="00B11A0E">
        <w:rPr>
          <w:rFonts w:asciiTheme="minorHAnsi" w:hAnsiTheme="minorHAnsi"/>
          <w:sz w:val="18"/>
          <w:szCs w:val="16"/>
        </w:rPr>
        <w:t xml:space="preserve"> respectively</w:t>
      </w:r>
      <w:r>
        <w:rPr>
          <w:rFonts w:asciiTheme="minorHAnsi" w:hAnsiTheme="minorHAnsi"/>
          <w:sz w:val="18"/>
          <w:szCs w:val="16"/>
        </w:rPr>
        <w:t xml:space="preserve">. </w:t>
      </w:r>
      <w:r w:rsidR="00EF4AEB">
        <w:rPr>
          <w:rFonts w:asciiTheme="minorHAnsi" w:hAnsiTheme="minorHAnsi"/>
          <w:sz w:val="18"/>
          <w:szCs w:val="16"/>
        </w:rPr>
        <w:t xml:space="preserve">Data for recent years </w:t>
      </w:r>
      <w:r w:rsidR="007C2CCA">
        <w:rPr>
          <w:rFonts w:asciiTheme="minorHAnsi" w:hAnsiTheme="minorHAnsi"/>
          <w:sz w:val="18"/>
          <w:szCs w:val="16"/>
        </w:rPr>
        <w:t xml:space="preserve">will </w:t>
      </w:r>
      <w:r w:rsidR="00EF4AEB">
        <w:rPr>
          <w:rFonts w:asciiTheme="minorHAnsi" w:hAnsiTheme="minorHAnsi"/>
          <w:sz w:val="18"/>
          <w:szCs w:val="16"/>
        </w:rPr>
        <w:t xml:space="preserve">be revised to reflect </w:t>
      </w:r>
      <w:r w:rsidR="007C2CCA">
        <w:rPr>
          <w:rFonts w:asciiTheme="minorHAnsi" w:hAnsiTheme="minorHAnsi"/>
          <w:sz w:val="18"/>
          <w:szCs w:val="16"/>
        </w:rPr>
        <w:t>final determinations of cause and manner of</w:t>
      </w:r>
      <w:r w:rsidR="00F7671F">
        <w:rPr>
          <w:rFonts w:asciiTheme="minorHAnsi" w:hAnsiTheme="minorHAnsi"/>
          <w:sz w:val="18"/>
          <w:szCs w:val="16"/>
        </w:rPr>
        <w:t xml:space="preserve"> death until the percent of pending cases is below at least 12%. </w:t>
      </w:r>
      <w:r w:rsidR="00CC7194">
        <w:rPr>
          <w:rFonts w:asciiTheme="minorHAnsi" w:hAnsiTheme="minorHAnsi"/>
          <w:sz w:val="18"/>
          <w:szCs w:val="16"/>
        </w:rPr>
        <w:t xml:space="preserve">Data on </w:t>
      </w:r>
      <w:r w:rsidR="00285C15">
        <w:rPr>
          <w:rFonts w:asciiTheme="minorHAnsi" w:hAnsiTheme="minorHAnsi"/>
          <w:sz w:val="18"/>
          <w:szCs w:val="16"/>
        </w:rPr>
        <w:t xml:space="preserve">SUID counts and rates of </w:t>
      </w:r>
      <w:r w:rsidR="00CC7194">
        <w:rPr>
          <w:rFonts w:asciiTheme="minorHAnsi" w:hAnsiTheme="minorHAnsi"/>
          <w:sz w:val="18"/>
          <w:szCs w:val="16"/>
        </w:rPr>
        <w:t xml:space="preserve">Massachusetts </w:t>
      </w:r>
      <w:r w:rsidR="00D96DA8">
        <w:rPr>
          <w:rFonts w:asciiTheme="minorHAnsi" w:hAnsiTheme="minorHAnsi"/>
          <w:sz w:val="18"/>
          <w:szCs w:val="16"/>
        </w:rPr>
        <w:t>infants</w:t>
      </w:r>
      <w:r w:rsidR="00CC7194">
        <w:rPr>
          <w:rFonts w:asciiTheme="minorHAnsi" w:hAnsiTheme="minorHAnsi"/>
          <w:sz w:val="18"/>
          <w:szCs w:val="16"/>
        </w:rPr>
        <w:t xml:space="preserve"> is</w:t>
      </w:r>
      <w:r w:rsidR="00112F29">
        <w:rPr>
          <w:rFonts w:asciiTheme="minorHAnsi" w:hAnsiTheme="minorHAnsi"/>
          <w:sz w:val="18"/>
          <w:szCs w:val="16"/>
        </w:rPr>
        <w:t xml:space="preserve"> from the Massachusetts</w:t>
      </w:r>
      <w:r w:rsidR="009A6EE6">
        <w:rPr>
          <w:rFonts w:asciiTheme="minorHAnsi" w:hAnsiTheme="minorHAnsi"/>
          <w:sz w:val="18"/>
          <w:szCs w:val="16"/>
        </w:rPr>
        <w:t xml:space="preserve"> linked infant birth-death file. The data presented in this data brief </w:t>
      </w:r>
      <w:r w:rsidR="00C24E96">
        <w:rPr>
          <w:rFonts w:asciiTheme="minorHAnsi" w:hAnsiTheme="minorHAnsi"/>
          <w:sz w:val="18"/>
          <w:szCs w:val="16"/>
        </w:rPr>
        <w:t>may differ from previous</w:t>
      </w:r>
      <w:r w:rsidR="009A6EE6">
        <w:rPr>
          <w:rFonts w:asciiTheme="minorHAnsi" w:hAnsiTheme="minorHAnsi"/>
          <w:sz w:val="18"/>
          <w:szCs w:val="16"/>
        </w:rPr>
        <w:t xml:space="preserve"> SUID data released by </w:t>
      </w:r>
      <w:r w:rsidR="001529A9">
        <w:rPr>
          <w:rFonts w:asciiTheme="minorHAnsi" w:hAnsiTheme="minorHAnsi"/>
          <w:sz w:val="18"/>
          <w:szCs w:val="16"/>
        </w:rPr>
        <w:t>M</w:t>
      </w:r>
      <w:r w:rsidR="009A6EE6">
        <w:rPr>
          <w:rFonts w:asciiTheme="minorHAnsi" w:hAnsiTheme="minorHAnsi"/>
          <w:sz w:val="18"/>
          <w:szCs w:val="16"/>
        </w:rPr>
        <w:t>DPH</w:t>
      </w:r>
      <w:r w:rsidR="008441C0">
        <w:rPr>
          <w:rFonts w:asciiTheme="minorHAnsi" w:hAnsiTheme="minorHAnsi"/>
          <w:sz w:val="18"/>
          <w:szCs w:val="16"/>
        </w:rPr>
        <w:t>. SUID d</w:t>
      </w:r>
      <w:r w:rsidR="00C24E96">
        <w:rPr>
          <w:rFonts w:asciiTheme="minorHAnsi" w:hAnsiTheme="minorHAnsi"/>
          <w:sz w:val="18"/>
          <w:szCs w:val="16"/>
        </w:rPr>
        <w:t>ata previously released</w:t>
      </w:r>
      <w:r w:rsidR="009A6EE6">
        <w:rPr>
          <w:rFonts w:asciiTheme="minorHAnsi" w:hAnsiTheme="minorHAnsi"/>
          <w:sz w:val="18"/>
          <w:szCs w:val="16"/>
        </w:rPr>
        <w:t xml:space="preserve"> was from the </w:t>
      </w:r>
      <w:r w:rsidR="002F638D">
        <w:rPr>
          <w:rFonts w:asciiTheme="minorHAnsi" w:hAnsiTheme="minorHAnsi"/>
          <w:sz w:val="18"/>
          <w:szCs w:val="16"/>
        </w:rPr>
        <w:t>Massachusetts</w:t>
      </w:r>
      <w:r w:rsidR="008441C0">
        <w:rPr>
          <w:rFonts w:asciiTheme="minorHAnsi" w:hAnsiTheme="minorHAnsi"/>
          <w:sz w:val="18"/>
          <w:szCs w:val="16"/>
        </w:rPr>
        <w:t xml:space="preserve"> death file; </w:t>
      </w:r>
      <w:r w:rsidR="00D623D4">
        <w:rPr>
          <w:rFonts w:asciiTheme="minorHAnsi" w:hAnsiTheme="minorHAnsi"/>
          <w:sz w:val="18"/>
          <w:szCs w:val="16"/>
        </w:rPr>
        <w:t>was restricted to</w:t>
      </w:r>
      <w:r w:rsidR="00C24E96">
        <w:rPr>
          <w:rFonts w:asciiTheme="minorHAnsi" w:hAnsiTheme="minorHAnsi"/>
          <w:sz w:val="18"/>
          <w:szCs w:val="16"/>
        </w:rPr>
        <w:t xml:space="preserve"> residents at the time of death</w:t>
      </w:r>
      <w:r w:rsidR="008441C0">
        <w:rPr>
          <w:rFonts w:asciiTheme="minorHAnsi" w:hAnsiTheme="minorHAnsi"/>
          <w:sz w:val="18"/>
          <w:szCs w:val="16"/>
        </w:rPr>
        <w:t xml:space="preserve"> but </w:t>
      </w:r>
      <w:r w:rsidR="00D623D4">
        <w:rPr>
          <w:rFonts w:asciiTheme="minorHAnsi" w:hAnsiTheme="minorHAnsi"/>
          <w:sz w:val="18"/>
          <w:szCs w:val="16"/>
        </w:rPr>
        <w:t>not</w:t>
      </w:r>
      <w:r w:rsidR="008441C0">
        <w:rPr>
          <w:rFonts w:asciiTheme="minorHAnsi" w:hAnsiTheme="minorHAnsi"/>
          <w:sz w:val="18"/>
          <w:szCs w:val="16"/>
        </w:rPr>
        <w:t xml:space="preserve"> at the time of birth</w:t>
      </w:r>
      <w:r w:rsidR="00D623D4">
        <w:rPr>
          <w:rFonts w:asciiTheme="minorHAnsi" w:hAnsiTheme="minorHAnsi"/>
          <w:sz w:val="18"/>
          <w:szCs w:val="16"/>
        </w:rPr>
        <w:t xml:space="preserve"> and death</w:t>
      </w:r>
      <w:r w:rsidR="008441C0">
        <w:rPr>
          <w:rFonts w:asciiTheme="minorHAnsi" w:hAnsiTheme="minorHAnsi"/>
          <w:sz w:val="18"/>
          <w:szCs w:val="16"/>
        </w:rPr>
        <w:t xml:space="preserve">; </w:t>
      </w:r>
      <w:r w:rsidR="00EC734A">
        <w:rPr>
          <w:rFonts w:asciiTheme="minorHAnsi" w:hAnsiTheme="minorHAnsi"/>
          <w:sz w:val="18"/>
          <w:szCs w:val="16"/>
        </w:rPr>
        <w:t xml:space="preserve">excluded any cases with a pending manner of death; </w:t>
      </w:r>
      <w:r w:rsidR="008441C0">
        <w:rPr>
          <w:rFonts w:asciiTheme="minorHAnsi" w:hAnsiTheme="minorHAnsi"/>
          <w:sz w:val="18"/>
          <w:szCs w:val="16"/>
        </w:rPr>
        <w:t>an</w:t>
      </w:r>
      <w:r w:rsidR="004E7D21">
        <w:rPr>
          <w:rFonts w:asciiTheme="minorHAnsi" w:hAnsiTheme="minorHAnsi"/>
          <w:sz w:val="18"/>
          <w:szCs w:val="16"/>
        </w:rPr>
        <w:t>d included unspecified threat to breathing (ICD-10 code W84) in addition to the three causes of death listed above</w:t>
      </w:r>
      <w:r w:rsidR="00C24E96">
        <w:rPr>
          <w:rFonts w:asciiTheme="minorHAnsi" w:hAnsiTheme="minorHAnsi"/>
          <w:sz w:val="18"/>
          <w:szCs w:val="16"/>
        </w:rPr>
        <w:t>.</w:t>
      </w:r>
      <w:r w:rsidR="004E7D21">
        <w:rPr>
          <w:rFonts w:asciiTheme="minorHAnsi" w:hAnsiTheme="minorHAnsi"/>
          <w:sz w:val="18"/>
          <w:szCs w:val="16"/>
        </w:rPr>
        <w:t xml:space="preserve"> The Massachusetts SUID definition was revised in 2018 to more closely align with the SUID definition used by the Centers for Disease Control and Prevention</w:t>
      </w:r>
      <w:r w:rsidR="00362B6F">
        <w:rPr>
          <w:rFonts w:asciiTheme="minorHAnsi" w:hAnsiTheme="minorHAnsi"/>
          <w:sz w:val="18"/>
          <w:szCs w:val="16"/>
        </w:rPr>
        <w:t xml:space="preserve"> (CDC)</w:t>
      </w:r>
      <w:r w:rsidR="004E7D21">
        <w:rPr>
          <w:rFonts w:asciiTheme="minorHAnsi" w:hAnsiTheme="minorHAnsi"/>
          <w:sz w:val="18"/>
          <w:szCs w:val="16"/>
        </w:rPr>
        <w:t xml:space="preserve">. </w:t>
      </w:r>
      <w:r w:rsidR="005D616C">
        <w:rPr>
          <w:rFonts w:asciiTheme="minorHAnsi" w:hAnsiTheme="minorHAnsi"/>
          <w:sz w:val="18"/>
          <w:szCs w:val="16"/>
        </w:rPr>
        <w:t>For more information on classification</w:t>
      </w:r>
      <w:r w:rsidR="00D35389">
        <w:rPr>
          <w:rFonts w:asciiTheme="minorHAnsi" w:hAnsiTheme="minorHAnsi"/>
          <w:sz w:val="18"/>
          <w:szCs w:val="16"/>
        </w:rPr>
        <w:t xml:space="preserve"> and reporting</w:t>
      </w:r>
      <w:r w:rsidR="005D616C">
        <w:rPr>
          <w:rFonts w:asciiTheme="minorHAnsi" w:hAnsiTheme="minorHAnsi"/>
          <w:sz w:val="18"/>
          <w:szCs w:val="16"/>
        </w:rPr>
        <w:t xml:space="preserve"> of SUID cases, please see:</w:t>
      </w:r>
    </w:p>
    <w:p w14:paraId="46DFEA9C" w14:textId="00093CC5" w:rsidR="005D616C" w:rsidRPr="009E4FFF" w:rsidRDefault="005D616C" w:rsidP="009E4FFF">
      <w:pPr>
        <w:pStyle w:val="ListParagraph"/>
        <w:numPr>
          <w:ilvl w:val="0"/>
          <w:numId w:val="8"/>
        </w:numPr>
        <w:rPr>
          <w:rFonts w:asciiTheme="minorHAnsi" w:hAnsiTheme="minorHAnsi"/>
          <w:sz w:val="18"/>
          <w:szCs w:val="16"/>
        </w:rPr>
      </w:pPr>
      <w:r w:rsidRPr="009E4FFF">
        <w:rPr>
          <w:rFonts w:asciiTheme="minorHAnsi" w:hAnsiTheme="minorHAnsi"/>
          <w:color w:val="2A2A2A"/>
          <w:sz w:val="18"/>
          <w:szCs w:val="18"/>
          <w:shd w:val="clear" w:color="auto" w:fill="FFFFFF"/>
        </w:rPr>
        <w:t>Shapiro-Mendoza</w:t>
      </w:r>
      <w:r w:rsidR="004B0F97">
        <w:rPr>
          <w:rFonts w:asciiTheme="minorHAnsi" w:hAnsiTheme="minorHAnsi"/>
          <w:color w:val="2A2A2A"/>
          <w:sz w:val="18"/>
          <w:szCs w:val="18"/>
          <w:shd w:val="clear" w:color="auto" w:fill="FFFFFF"/>
        </w:rPr>
        <w:t xml:space="preserve"> CK, Tomashek KM, </w:t>
      </w:r>
      <w:r w:rsidRPr="009E4FFF">
        <w:rPr>
          <w:rFonts w:asciiTheme="minorHAnsi" w:hAnsiTheme="minorHAnsi"/>
          <w:color w:val="2A2A2A"/>
          <w:sz w:val="18"/>
          <w:szCs w:val="18"/>
          <w:shd w:val="clear" w:color="auto" w:fill="FFFFFF"/>
        </w:rPr>
        <w:t>Anderson</w:t>
      </w:r>
      <w:r w:rsidR="004B0F97">
        <w:rPr>
          <w:rFonts w:asciiTheme="minorHAnsi" w:hAnsiTheme="minorHAnsi"/>
          <w:color w:val="2A2A2A"/>
          <w:sz w:val="18"/>
          <w:szCs w:val="18"/>
          <w:shd w:val="clear" w:color="auto" w:fill="FFFFFF"/>
        </w:rPr>
        <w:t xml:space="preserve"> RN, &amp; </w:t>
      </w:r>
      <w:r w:rsidRPr="009E4FFF">
        <w:rPr>
          <w:rFonts w:asciiTheme="minorHAnsi" w:hAnsiTheme="minorHAnsi"/>
          <w:color w:val="2A2A2A"/>
          <w:sz w:val="18"/>
          <w:szCs w:val="18"/>
          <w:shd w:val="clear" w:color="auto" w:fill="FFFFFF"/>
        </w:rPr>
        <w:t>Wingo</w:t>
      </w:r>
      <w:r w:rsidR="004B0F97">
        <w:rPr>
          <w:rFonts w:asciiTheme="minorHAnsi" w:hAnsiTheme="minorHAnsi"/>
          <w:color w:val="2A2A2A"/>
          <w:sz w:val="18"/>
          <w:szCs w:val="18"/>
          <w:shd w:val="clear" w:color="auto" w:fill="FFFFFF"/>
        </w:rPr>
        <w:t xml:space="preserve"> J. (2006)</w:t>
      </w:r>
      <w:r w:rsidRPr="009E4FFF">
        <w:rPr>
          <w:rFonts w:asciiTheme="minorHAnsi" w:hAnsiTheme="minorHAnsi"/>
          <w:color w:val="2A2A2A"/>
          <w:sz w:val="18"/>
          <w:szCs w:val="18"/>
          <w:shd w:val="clear" w:color="auto" w:fill="FFFFFF"/>
        </w:rPr>
        <w:t xml:space="preserve"> Recent National Trends in Sudden, Unexpected Infant Deaths: More Evidence Supporting a Change in Classification or Reporting, </w:t>
      </w:r>
      <w:r w:rsidRPr="009E4FFF">
        <w:rPr>
          <w:rStyle w:val="Emphasis"/>
          <w:rFonts w:asciiTheme="minorHAnsi" w:hAnsiTheme="minorHAnsi"/>
          <w:color w:val="2A2A2A"/>
          <w:sz w:val="18"/>
          <w:szCs w:val="18"/>
          <w:bdr w:val="none" w:sz="0" w:space="0" w:color="auto" w:frame="1"/>
          <w:shd w:val="clear" w:color="auto" w:fill="FFFFFF"/>
        </w:rPr>
        <w:t>American Journal of Epidemiology</w:t>
      </w:r>
      <w:r w:rsidRPr="009E4FFF">
        <w:rPr>
          <w:rFonts w:asciiTheme="minorHAnsi" w:hAnsiTheme="minorHAnsi"/>
          <w:color w:val="2A2A2A"/>
          <w:sz w:val="18"/>
          <w:szCs w:val="18"/>
          <w:shd w:val="clear" w:color="auto" w:fill="FFFFFF"/>
        </w:rPr>
        <w:t>, 163</w:t>
      </w:r>
      <w:r w:rsidR="004B0F97">
        <w:rPr>
          <w:rFonts w:asciiTheme="minorHAnsi" w:hAnsiTheme="minorHAnsi"/>
          <w:color w:val="2A2A2A"/>
          <w:sz w:val="18"/>
          <w:szCs w:val="18"/>
          <w:shd w:val="clear" w:color="auto" w:fill="FFFFFF"/>
        </w:rPr>
        <w:t xml:space="preserve"> (8),</w:t>
      </w:r>
      <w:r w:rsidR="00D112F9">
        <w:rPr>
          <w:rFonts w:asciiTheme="minorHAnsi" w:hAnsiTheme="minorHAnsi"/>
          <w:color w:val="2A2A2A"/>
          <w:sz w:val="18"/>
          <w:szCs w:val="18"/>
          <w:shd w:val="clear" w:color="auto" w:fill="FFFFFF"/>
        </w:rPr>
        <w:t xml:space="preserve"> pp</w:t>
      </w:r>
      <w:r w:rsidRPr="009E4FFF">
        <w:rPr>
          <w:rFonts w:asciiTheme="minorHAnsi" w:hAnsiTheme="minorHAnsi"/>
          <w:color w:val="2A2A2A"/>
          <w:sz w:val="18"/>
          <w:szCs w:val="18"/>
          <w:shd w:val="clear" w:color="auto" w:fill="FFFFFF"/>
        </w:rPr>
        <w:t xml:space="preserve"> 762–769, </w:t>
      </w:r>
      <w:hyperlink r:id="rId21" w:history="1">
        <w:r w:rsidRPr="00EB3DBC">
          <w:rPr>
            <w:rStyle w:val="Hyperlink"/>
            <w:rFonts w:asciiTheme="minorHAnsi" w:hAnsiTheme="minorHAnsi"/>
            <w:color w:val="0088EE"/>
            <w:sz w:val="18"/>
            <w:szCs w:val="18"/>
            <w:bdr w:val="none" w:sz="0" w:space="0" w:color="auto" w:frame="1"/>
            <w:shd w:val="clear" w:color="auto" w:fill="FFFFFF"/>
          </w:rPr>
          <w:t>https://doi.org/10.1093/aje/kwj117</w:t>
        </w:r>
      </w:hyperlink>
    </w:p>
    <w:p w14:paraId="17384116" w14:textId="77777777" w:rsidR="00273887" w:rsidRPr="00B6698B" w:rsidRDefault="00273887" w:rsidP="003A55CC">
      <w:pPr>
        <w:rPr>
          <w:rFonts w:asciiTheme="minorHAnsi" w:hAnsiTheme="minorHAnsi"/>
          <w:sz w:val="18"/>
          <w:szCs w:val="16"/>
        </w:rPr>
      </w:pPr>
    </w:p>
    <w:p w14:paraId="6425975F" w14:textId="77777777" w:rsidR="00DB58D2" w:rsidRDefault="00DB58D2" w:rsidP="003A55CC">
      <w:pPr>
        <w:rPr>
          <w:rFonts w:asciiTheme="minorHAnsi" w:hAnsiTheme="minorHAnsi"/>
          <w:sz w:val="18"/>
        </w:rPr>
      </w:pPr>
      <w:r w:rsidRPr="00083092">
        <w:rPr>
          <w:rFonts w:asciiTheme="minorHAnsi" w:hAnsiTheme="minorHAnsi"/>
          <w:b/>
          <w:i/>
          <w:sz w:val="18"/>
        </w:rPr>
        <w:t>Figure</w:t>
      </w:r>
      <w:r w:rsidR="00AA1775" w:rsidRPr="00083092">
        <w:rPr>
          <w:rFonts w:asciiTheme="minorHAnsi" w:hAnsiTheme="minorHAnsi"/>
          <w:b/>
          <w:i/>
          <w:sz w:val="18"/>
        </w:rPr>
        <w:t>s</w:t>
      </w:r>
      <w:r w:rsidRPr="00083092">
        <w:rPr>
          <w:rFonts w:asciiTheme="minorHAnsi" w:hAnsiTheme="minorHAnsi"/>
          <w:b/>
          <w:i/>
          <w:sz w:val="18"/>
        </w:rPr>
        <w:t xml:space="preserve"> 1-5</w:t>
      </w:r>
      <w:r w:rsidR="00190563">
        <w:rPr>
          <w:rFonts w:asciiTheme="minorHAnsi" w:hAnsiTheme="minorHAnsi"/>
          <w:b/>
          <w:i/>
          <w:sz w:val="18"/>
        </w:rPr>
        <w:t xml:space="preserve"> &amp; 9</w:t>
      </w:r>
      <w:r w:rsidRPr="00083092">
        <w:rPr>
          <w:rFonts w:asciiTheme="minorHAnsi" w:hAnsiTheme="minorHAnsi"/>
          <w:b/>
          <w:i/>
          <w:sz w:val="18"/>
        </w:rPr>
        <w:t>:</w:t>
      </w:r>
      <w:r>
        <w:rPr>
          <w:rFonts w:asciiTheme="minorHAnsi" w:hAnsiTheme="minorHAnsi"/>
          <w:sz w:val="18"/>
        </w:rPr>
        <w:t xml:space="preserve"> </w:t>
      </w:r>
      <w:r w:rsidR="003A55CC">
        <w:rPr>
          <w:rFonts w:asciiTheme="minorHAnsi" w:hAnsiTheme="minorHAnsi"/>
          <w:sz w:val="18"/>
        </w:rPr>
        <w:t>Data for Massachusetts</w:t>
      </w:r>
      <w:r>
        <w:rPr>
          <w:rFonts w:asciiTheme="minorHAnsi" w:hAnsiTheme="minorHAnsi"/>
          <w:sz w:val="18"/>
        </w:rPr>
        <w:t xml:space="preserve"> infants</w:t>
      </w:r>
      <w:r w:rsidR="003A55CC">
        <w:rPr>
          <w:rFonts w:asciiTheme="minorHAnsi" w:hAnsiTheme="minorHAnsi"/>
          <w:sz w:val="18"/>
        </w:rPr>
        <w:t xml:space="preserve"> </w:t>
      </w:r>
      <w:r w:rsidR="00A814DC">
        <w:rPr>
          <w:rFonts w:asciiTheme="minorHAnsi" w:hAnsiTheme="minorHAnsi"/>
          <w:sz w:val="18"/>
        </w:rPr>
        <w:t>is</w:t>
      </w:r>
      <w:r>
        <w:rPr>
          <w:rFonts w:asciiTheme="minorHAnsi" w:hAnsiTheme="minorHAnsi"/>
          <w:sz w:val="18"/>
        </w:rPr>
        <w:t xml:space="preserve"> </w:t>
      </w:r>
      <w:r w:rsidR="00E9242C">
        <w:rPr>
          <w:rFonts w:asciiTheme="minorHAnsi" w:hAnsiTheme="minorHAnsi"/>
          <w:sz w:val="18"/>
        </w:rPr>
        <w:t>from the Massachusetts</w:t>
      </w:r>
      <w:r w:rsidR="003A55CC">
        <w:rPr>
          <w:rFonts w:asciiTheme="minorHAnsi" w:hAnsiTheme="minorHAnsi"/>
          <w:sz w:val="18"/>
        </w:rPr>
        <w:t xml:space="preserve"> linked infant birth-death file</w:t>
      </w:r>
      <w:r w:rsidR="009851D9">
        <w:rPr>
          <w:rFonts w:asciiTheme="minorHAnsi" w:hAnsiTheme="minorHAnsi"/>
          <w:sz w:val="18"/>
        </w:rPr>
        <w:t>s</w:t>
      </w:r>
      <w:r w:rsidR="003A55CC">
        <w:rPr>
          <w:rFonts w:asciiTheme="minorHAnsi" w:hAnsiTheme="minorHAnsi"/>
          <w:sz w:val="18"/>
        </w:rPr>
        <w:t xml:space="preserve">, Registry of Vital Records &amp; Statistics, </w:t>
      </w:r>
      <w:r w:rsidR="00E9242C">
        <w:rPr>
          <w:rFonts w:asciiTheme="minorHAnsi" w:hAnsiTheme="minorHAnsi"/>
          <w:sz w:val="18"/>
        </w:rPr>
        <w:t>MDPH</w:t>
      </w:r>
      <w:r w:rsidR="003A55CC">
        <w:rPr>
          <w:rFonts w:asciiTheme="minorHAnsi" w:hAnsiTheme="minorHAnsi"/>
          <w:sz w:val="18"/>
        </w:rPr>
        <w:t xml:space="preserve">. </w:t>
      </w:r>
      <w:r w:rsidR="00A9501F">
        <w:rPr>
          <w:rFonts w:asciiTheme="minorHAnsi" w:hAnsiTheme="minorHAnsi"/>
          <w:sz w:val="18"/>
        </w:rPr>
        <w:t>File dates are</w:t>
      </w:r>
      <w:r w:rsidR="002470CE">
        <w:rPr>
          <w:rFonts w:asciiTheme="minorHAnsi" w:hAnsiTheme="minorHAnsi"/>
          <w:sz w:val="18"/>
        </w:rPr>
        <w:t xml:space="preserve">: </w:t>
      </w:r>
      <w:r w:rsidR="00A9501F">
        <w:rPr>
          <w:rFonts w:asciiTheme="minorHAnsi" w:hAnsiTheme="minorHAnsi"/>
          <w:sz w:val="18"/>
        </w:rPr>
        <w:t>2006-2011: 7/12/2018; 2012: 7/3/2018</w:t>
      </w:r>
      <w:r w:rsidR="002470CE">
        <w:rPr>
          <w:rFonts w:asciiTheme="minorHAnsi" w:hAnsiTheme="minorHAnsi"/>
          <w:sz w:val="18"/>
        </w:rPr>
        <w:t>;</w:t>
      </w:r>
      <w:r w:rsidR="00A9501F">
        <w:rPr>
          <w:rFonts w:asciiTheme="minorHAnsi" w:hAnsiTheme="minorHAnsi"/>
          <w:sz w:val="18"/>
        </w:rPr>
        <w:t xml:space="preserve"> 2013-2015: </w:t>
      </w:r>
      <w:r w:rsidR="00855974">
        <w:rPr>
          <w:rFonts w:asciiTheme="minorHAnsi" w:hAnsiTheme="minorHAnsi"/>
          <w:sz w:val="18"/>
        </w:rPr>
        <w:t xml:space="preserve">6/29/2018. </w:t>
      </w:r>
      <w:r w:rsidR="002B0C2A">
        <w:rPr>
          <w:rFonts w:asciiTheme="minorHAnsi" w:hAnsiTheme="minorHAnsi"/>
          <w:sz w:val="18"/>
        </w:rPr>
        <w:t>All linked infant birth-death files us</w:t>
      </w:r>
      <w:r w:rsidR="005627E7">
        <w:rPr>
          <w:rFonts w:asciiTheme="minorHAnsi" w:hAnsiTheme="minorHAnsi"/>
          <w:sz w:val="18"/>
        </w:rPr>
        <w:t>e the open Massachusetts</w:t>
      </w:r>
      <w:r w:rsidR="002B0C2A">
        <w:rPr>
          <w:rFonts w:asciiTheme="minorHAnsi" w:hAnsiTheme="minorHAnsi"/>
          <w:sz w:val="18"/>
        </w:rPr>
        <w:t xml:space="preserve"> birth and death files at the time of file linkage.</w:t>
      </w:r>
      <w:r w:rsidR="00855974">
        <w:rPr>
          <w:rFonts w:asciiTheme="minorHAnsi" w:hAnsiTheme="minorHAnsi"/>
          <w:sz w:val="18"/>
        </w:rPr>
        <w:t xml:space="preserve"> </w:t>
      </w:r>
    </w:p>
    <w:p w14:paraId="112D0210" w14:textId="77777777" w:rsidR="009A1873" w:rsidRDefault="005557DB" w:rsidP="00FB0C27">
      <w:pPr>
        <w:rPr>
          <w:rFonts w:asciiTheme="minorHAnsi" w:eastAsia="Batang" w:hAnsiTheme="minorHAnsi"/>
          <w:color w:val="000000" w:themeColor="text1"/>
          <w:sz w:val="18"/>
          <w:szCs w:val="18"/>
        </w:rPr>
      </w:pPr>
      <w:r>
        <w:rPr>
          <w:rFonts w:asciiTheme="minorHAnsi" w:hAnsiTheme="minorHAnsi"/>
          <w:b/>
          <w:i/>
          <w:sz w:val="18"/>
        </w:rPr>
        <w:t xml:space="preserve">Figure 3: </w:t>
      </w:r>
      <w:r>
        <w:rPr>
          <w:rFonts w:asciiTheme="minorHAnsi" w:hAnsiTheme="minorHAnsi"/>
          <w:sz w:val="18"/>
        </w:rPr>
        <w:t>Data is presented by d</w:t>
      </w:r>
      <w:r w:rsidR="00A80259">
        <w:rPr>
          <w:rFonts w:asciiTheme="minorHAnsi" w:hAnsiTheme="minorHAnsi"/>
          <w:sz w:val="18"/>
        </w:rPr>
        <w:t xml:space="preserve">istrict rather than county. </w:t>
      </w:r>
      <w:r w:rsidR="0009465F">
        <w:rPr>
          <w:rFonts w:asciiTheme="minorHAnsi" w:hAnsiTheme="minorHAnsi"/>
          <w:sz w:val="18"/>
        </w:rPr>
        <w:t>District groupings correspond</w:t>
      </w:r>
      <w:r w:rsidR="00CB3B0E">
        <w:rPr>
          <w:rFonts w:asciiTheme="minorHAnsi" w:hAnsiTheme="minorHAnsi"/>
          <w:sz w:val="18"/>
        </w:rPr>
        <w:t xml:space="preserve"> </w:t>
      </w:r>
      <w:r w:rsidR="005269E6">
        <w:rPr>
          <w:rFonts w:asciiTheme="minorHAnsi" w:hAnsiTheme="minorHAnsi"/>
          <w:sz w:val="18"/>
        </w:rPr>
        <w:t xml:space="preserve">to </w:t>
      </w:r>
      <w:r w:rsidR="00283CB4">
        <w:rPr>
          <w:rFonts w:asciiTheme="minorHAnsi" w:hAnsiTheme="minorHAnsi"/>
          <w:sz w:val="18"/>
        </w:rPr>
        <w:t>Massachusetts</w:t>
      </w:r>
      <w:r w:rsidR="00CB3B0E">
        <w:rPr>
          <w:rFonts w:asciiTheme="minorHAnsi" w:hAnsiTheme="minorHAnsi"/>
          <w:sz w:val="18"/>
        </w:rPr>
        <w:t xml:space="preserve"> local child fatality review (CFR) team districts. Local CFR teams are based in the district attorney’s offices. </w:t>
      </w:r>
      <w:r w:rsidR="0009465F">
        <w:rPr>
          <w:rFonts w:asciiTheme="minorHAnsi" w:hAnsiTheme="minorHAnsi"/>
          <w:sz w:val="18"/>
        </w:rPr>
        <w:t>Barnstable, Dukes and Na</w:t>
      </w:r>
      <w:r w:rsidR="00CB3B0E">
        <w:rPr>
          <w:rFonts w:asciiTheme="minorHAnsi" w:hAnsiTheme="minorHAnsi"/>
          <w:sz w:val="18"/>
        </w:rPr>
        <w:t>ntucket counties are included in the Cape &amp; Islands district.</w:t>
      </w:r>
      <w:r w:rsidR="0009465F">
        <w:rPr>
          <w:rFonts w:asciiTheme="minorHAnsi" w:hAnsiTheme="minorHAnsi"/>
          <w:sz w:val="18"/>
        </w:rPr>
        <w:t xml:space="preserve"> </w:t>
      </w:r>
      <w:r w:rsidR="00CB3B0E">
        <w:rPr>
          <w:rFonts w:asciiTheme="minorHAnsi" w:hAnsiTheme="minorHAnsi"/>
          <w:sz w:val="18"/>
        </w:rPr>
        <w:t xml:space="preserve">Franklin and Hampshire counties are included in the Northwest district. </w:t>
      </w:r>
      <w:r w:rsidR="00FB0C27" w:rsidRPr="00FB0C27">
        <w:rPr>
          <w:rFonts w:asciiTheme="minorHAnsi" w:eastAsia="Batang" w:hAnsiTheme="minorHAnsi"/>
          <w:color w:val="000000" w:themeColor="text1"/>
          <w:sz w:val="18"/>
          <w:szCs w:val="18"/>
        </w:rPr>
        <w:t>95% confidence intervals were calculated for all death rates to determine statistical significance. The methodology used is the same as the methodology described in National Vital Statistics Reports, Vol. 52, No. 10, December 17, 2003.</w:t>
      </w:r>
      <w:r w:rsidR="009E3323">
        <w:rPr>
          <w:rFonts w:asciiTheme="minorHAnsi" w:eastAsia="Batang" w:hAnsiTheme="minorHAnsi"/>
          <w:color w:val="000000" w:themeColor="text1"/>
          <w:sz w:val="18"/>
          <w:szCs w:val="18"/>
        </w:rPr>
        <w:t xml:space="preserve"> </w:t>
      </w:r>
    </w:p>
    <w:p w14:paraId="06B4DE88" w14:textId="77777777" w:rsidR="005676D7" w:rsidRPr="00FB0C27" w:rsidRDefault="005676D7" w:rsidP="003A55CC">
      <w:pPr>
        <w:rPr>
          <w:rFonts w:asciiTheme="minorHAnsi" w:hAnsiTheme="minorHAnsi"/>
          <w:sz w:val="18"/>
        </w:rPr>
      </w:pPr>
      <w:r>
        <w:rPr>
          <w:rFonts w:asciiTheme="minorHAnsi" w:hAnsiTheme="minorHAnsi"/>
          <w:b/>
          <w:i/>
          <w:sz w:val="18"/>
        </w:rPr>
        <w:t>Figures 3-5</w:t>
      </w:r>
      <w:r w:rsidR="00190563">
        <w:rPr>
          <w:rFonts w:asciiTheme="minorHAnsi" w:hAnsiTheme="minorHAnsi"/>
          <w:b/>
          <w:i/>
          <w:sz w:val="18"/>
        </w:rPr>
        <w:t xml:space="preserve"> &amp; 9</w:t>
      </w:r>
      <w:r>
        <w:rPr>
          <w:rFonts w:asciiTheme="minorHAnsi" w:hAnsiTheme="minorHAnsi"/>
          <w:b/>
          <w:i/>
          <w:sz w:val="18"/>
        </w:rPr>
        <w:t xml:space="preserve">: </w:t>
      </w:r>
      <w:r>
        <w:rPr>
          <w:rFonts w:asciiTheme="minorHAnsi" w:hAnsiTheme="minorHAnsi"/>
          <w:sz w:val="18"/>
        </w:rPr>
        <w:t>Rates presented are crude rates</w:t>
      </w:r>
      <w:r w:rsidRPr="005676D7">
        <w:rPr>
          <w:rFonts w:asciiTheme="minorHAnsi" w:hAnsiTheme="minorHAnsi"/>
          <w:sz w:val="18"/>
        </w:rPr>
        <w:t xml:space="preserve"> calculated</w:t>
      </w:r>
      <w:r>
        <w:rPr>
          <w:rFonts w:asciiTheme="minorHAnsi" w:hAnsiTheme="minorHAnsi"/>
          <w:sz w:val="18"/>
        </w:rPr>
        <w:t xml:space="preserve"> based on the number SUID cases per live births.</w:t>
      </w:r>
      <w:r w:rsidR="00FA59AF">
        <w:rPr>
          <w:rFonts w:asciiTheme="minorHAnsi" w:hAnsiTheme="minorHAnsi"/>
          <w:sz w:val="18"/>
        </w:rPr>
        <w:t xml:space="preserve"> Data on </w:t>
      </w:r>
      <w:r w:rsidR="00262D35">
        <w:rPr>
          <w:rFonts w:asciiTheme="minorHAnsi" w:hAnsiTheme="minorHAnsi"/>
          <w:sz w:val="18"/>
        </w:rPr>
        <w:t>Massachusetts</w:t>
      </w:r>
      <w:r w:rsidR="00532D45">
        <w:rPr>
          <w:rFonts w:asciiTheme="minorHAnsi" w:hAnsiTheme="minorHAnsi"/>
          <w:sz w:val="18"/>
        </w:rPr>
        <w:t xml:space="preserve"> </w:t>
      </w:r>
      <w:r w:rsidR="00262D35">
        <w:rPr>
          <w:rFonts w:asciiTheme="minorHAnsi" w:hAnsiTheme="minorHAnsi"/>
          <w:sz w:val="18"/>
        </w:rPr>
        <w:t>live births is from the Massachusetts birth file, Massachusetts</w:t>
      </w:r>
      <w:r w:rsidR="00FA59AF">
        <w:rPr>
          <w:rFonts w:asciiTheme="minorHAnsi" w:hAnsiTheme="minorHAnsi"/>
          <w:sz w:val="18"/>
        </w:rPr>
        <w:t xml:space="preserve"> Registry of Vital Records &amp; Statistics, MDPH.</w:t>
      </w:r>
      <w:r>
        <w:rPr>
          <w:rFonts w:asciiTheme="minorHAnsi" w:hAnsiTheme="minorHAnsi"/>
          <w:sz w:val="18"/>
        </w:rPr>
        <w:t xml:space="preserve"> </w:t>
      </w:r>
    </w:p>
    <w:p w14:paraId="63C9BC27" w14:textId="56786B9B" w:rsidR="0019461A" w:rsidRPr="00035836" w:rsidRDefault="00216454" w:rsidP="003A55CC">
      <w:pPr>
        <w:rPr>
          <w:rFonts w:asciiTheme="minorHAnsi" w:hAnsiTheme="minorHAnsi"/>
          <w:sz w:val="18"/>
        </w:rPr>
      </w:pPr>
      <w:r w:rsidRPr="00083092">
        <w:rPr>
          <w:rFonts w:asciiTheme="minorHAnsi" w:hAnsiTheme="minorHAnsi"/>
          <w:b/>
          <w:i/>
          <w:sz w:val="18"/>
        </w:rPr>
        <w:t>Figure 4:</w:t>
      </w:r>
      <w:r>
        <w:rPr>
          <w:rFonts w:asciiTheme="minorHAnsi" w:hAnsiTheme="minorHAnsi"/>
          <w:sz w:val="18"/>
        </w:rPr>
        <w:t xml:space="preserve"> Data for US infants is from </w:t>
      </w:r>
      <w:r w:rsidR="0019461A">
        <w:rPr>
          <w:rFonts w:asciiTheme="minorHAnsi" w:hAnsiTheme="minorHAnsi"/>
          <w:sz w:val="18"/>
        </w:rPr>
        <w:t>the National Center for Health Statistics linked birth/infant death records</w:t>
      </w:r>
      <w:r w:rsidR="00875A47">
        <w:rPr>
          <w:rFonts w:asciiTheme="minorHAnsi" w:hAnsiTheme="minorHAnsi"/>
          <w:sz w:val="18"/>
        </w:rPr>
        <w:t xml:space="preserve"> accessed via the</w:t>
      </w:r>
      <w:r w:rsidR="00875A47">
        <w:rPr>
          <w:rFonts w:asciiTheme="minorHAnsi" w:eastAsia="Batang" w:hAnsiTheme="minorHAnsi"/>
          <w:color w:val="000000" w:themeColor="text1"/>
          <w:sz w:val="18"/>
          <w:szCs w:val="18"/>
        </w:rPr>
        <w:t xml:space="preserve"> CDC Wonder online query system: </w:t>
      </w:r>
      <w:r w:rsidR="00875A47" w:rsidRPr="009E3323">
        <w:rPr>
          <w:rFonts w:asciiTheme="minorHAnsi" w:hAnsiTheme="minorHAnsi"/>
          <w:sz w:val="18"/>
        </w:rPr>
        <w:t xml:space="preserve">United States Department of Health and Human Services (US DHHS), Centers </w:t>
      </w:r>
      <w:r w:rsidR="001529A9">
        <w:rPr>
          <w:rFonts w:asciiTheme="minorHAnsi" w:hAnsiTheme="minorHAnsi"/>
          <w:sz w:val="18"/>
        </w:rPr>
        <w:t>for</w:t>
      </w:r>
      <w:r w:rsidR="001529A9" w:rsidRPr="009E3323">
        <w:rPr>
          <w:rFonts w:asciiTheme="minorHAnsi" w:hAnsiTheme="minorHAnsi"/>
          <w:sz w:val="18"/>
        </w:rPr>
        <w:t xml:space="preserve"> </w:t>
      </w:r>
      <w:r w:rsidR="00875A47" w:rsidRPr="009E3323">
        <w:rPr>
          <w:rFonts w:asciiTheme="minorHAnsi" w:hAnsiTheme="minorHAnsi"/>
          <w:sz w:val="18"/>
        </w:rPr>
        <w:t>Disease Control and Prevention (CDC), National Center for Health Statistics (NCHS), Division of Vital Statistics (DVS), Linked Birth / Infant Death Records 2003-2006</w:t>
      </w:r>
      <w:r w:rsidR="00875A47">
        <w:rPr>
          <w:rFonts w:asciiTheme="minorHAnsi" w:hAnsiTheme="minorHAnsi"/>
          <w:sz w:val="18"/>
        </w:rPr>
        <w:t xml:space="preserve"> and 2007-2015</w:t>
      </w:r>
      <w:r w:rsidR="00875A47" w:rsidRPr="009E3323">
        <w:rPr>
          <w:rFonts w:asciiTheme="minorHAnsi" w:hAnsiTheme="minorHAnsi"/>
          <w:sz w:val="18"/>
        </w:rPr>
        <w:t xml:space="preserve"> on CDC WONDER Online Database. Accessed at </w:t>
      </w:r>
      <w:hyperlink r:id="rId22" w:history="1">
        <w:r w:rsidR="00875A47" w:rsidRPr="00EB3DBC">
          <w:rPr>
            <w:rStyle w:val="Hyperlink"/>
            <w:rFonts w:asciiTheme="minorHAnsi" w:hAnsiTheme="minorHAnsi" w:cs="Arial"/>
            <w:color w:val="0088EE"/>
            <w:sz w:val="18"/>
          </w:rPr>
          <w:t>http://wonder.cdc.gov/lbd-v2006.html</w:t>
        </w:r>
      </w:hyperlink>
      <w:r w:rsidR="00875A47">
        <w:rPr>
          <w:rFonts w:asciiTheme="minorHAnsi" w:hAnsiTheme="minorHAnsi"/>
          <w:sz w:val="18"/>
        </w:rPr>
        <w:t xml:space="preserve"> </w:t>
      </w:r>
      <w:r w:rsidR="00030270">
        <w:rPr>
          <w:rFonts w:asciiTheme="minorHAnsi" w:hAnsiTheme="minorHAnsi"/>
          <w:sz w:val="18"/>
        </w:rPr>
        <w:t xml:space="preserve">and </w:t>
      </w:r>
      <w:hyperlink r:id="rId23" w:history="1">
        <w:r w:rsidR="00035836" w:rsidRPr="00035836">
          <w:rPr>
            <w:rStyle w:val="Hyperlink"/>
            <w:rFonts w:asciiTheme="minorHAnsi" w:hAnsiTheme="minorHAnsi" w:cs="Arial"/>
            <w:color w:val="0088EE"/>
            <w:sz w:val="18"/>
            <w:szCs w:val="18"/>
            <w:shd w:val="clear" w:color="auto" w:fill="FDFEFF"/>
          </w:rPr>
          <w:t>http://wonder.cdc.gov/lbd-current.html</w:t>
        </w:r>
      </w:hyperlink>
      <w:r w:rsidR="00035836">
        <w:rPr>
          <w:rFonts w:asciiTheme="minorHAnsi" w:hAnsiTheme="minorHAnsi"/>
          <w:sz w:val="18"/>
        </w:rPr>
        <w:t xml:space="preserve"> on </w:t>
      </w:r>
      <w:r w:rsidR="00875A47" w:rsidRPr="009E3323">
        <w:rPr>
          <w:rFonts w:asciiTheme="minorHAnsi" w:hAnsiTheme="minorHAnsi"/>
          <w:sz w:val="18"/>
        </w:rPr>
        <w:t>Sep</w:t>
      </w:r>
      <w:r w:rsidR="0022093B">
        <w:rPr>
          <w:rFonts w:asciiTheme="minorHAnsi" w:hAnsiTheme="minorHAnsi"/>
          <w:sz w:val="18"/>
        </w:rPr>
        <w:t>tember</w:t>
      </w:r>
      <w:r w:rsidR="00875A47" w:rsidRPr="009E3323">
        <w:rPr>
          <w:rFonts w:asciiTheme="minorHAnsi" w:hAnsiTheme="minorHAnsi"/>
          <w:sz w:val="18"/>
        </w:rPr>
        <w:t xml:space="preserve"> 4, 2018 3:49:31 PM</w:t>
      </w:r>
      <w:r w:rsidR="0022093B">
        <w:rPr>
          <w:rFonts w:asciiTheme="minorHAnsi" w:hAnsiTheme="minorHAnsi"/>
          <w:sz w:val="18"/>
        </w:rPr>
        <w:t>.</w:t>
      </w:r>
    </w:p>
    <w:p w14:paraId="4D441F93" w14:textId="77777777" w:rsidR="005F025E" w:rsidRDefault="00571DBC" w:rsidP="003A55CC">
      <w:pPr>
        <w:rPr>
          <w:rFonts w:asciiTheme="minorHAnsi" w:hAnsiTheme="minorHAnsi"/>
          <w:sz w:val="18"/>
        </w:rPr>
      </w:pPr>
      <w:r w:rsidRPr="00083092">
        <w:rPr>
          <w:rFonts w:asciiTheme="minorHAnsi" w:hAnsiTheme="minorHAnsi"/>
          <w:b/>
          <w:i/>
          <w:sz w:val="18"/>
        </w:rPr>
        <w:t>Figures 4-5</w:t>
      </w:r>
      <w:r w:rsidR="002B7F6A" w:rsidRPr="00083092">
        <w:rPr>
          <w:rFonts w:asciiTheme="minorHAnsi" w:hAnsiTheme="minorHAnsi"/>
          <w:b/>
          <w:i/>
          <w:sz w:val="18"/>
        </w:rPr>
        <w:t>:</w:t>
      </w:r>
      <w:r w:rsidR="002B7F6A">
        <w:rPr>
          <w:rFonts w:asciiTheme="minorHAnsi" w:hAnsiTheme="minorHAnsi"/>
          <w:sz w:val="18"/>
        </w:rPr>
        <w:t xml:space="preserve"> </w:t>
      </w:r>
      <w:r w:rsidR="0079054F">
        <w:rPr>
          <w:rFonts w:asciiTheme="minorHAnsi" w:hAnsiTheme="minorHAnsi"/>
          <w:sz w:val="18"/>
        </w:rPr>
        <w:t>Statistical</w:t>
      </w:r>
      <w:r w:rsidR="003B4D17">
        <w:rPr>
          <w:rFonts w:asciiTheme="minorHAnsi" w:hAnsiTheme="minorHAnsi"/>
          <w:sz w:val="18"/>
        </w:rPr>
        <w:t xml:space="preserve"> significance for trends in SUID was</w:t>
      </w:r>
      <w:r w:rsidR="005F025E" w:rsidRPr="00A30544">
        <w:rPr>
          <w:rFonts w:asciiTheme="minorHAnsi" w:hAnsiTheme="minorHAnsi"/>
          <w:sz w:val="18"/>
        </w:rPr>
        <w:t xml:space="preserve"> calculated using </w:t>
      </w:r>
      <w:r w:rsidR="005F025E" w:rsidRPr="00A30544">
        <w:rPr>
          <w:rFonts w:asciiTheme="minorHAnsi" w:hAnsiTheme="minorHAnsi" w:cs="Microsoft Sans Serif"/>
          <w:sz w:val="18"/>
        </w:rPr>
        <w:t>Joinpoint</w:t>
      </w:r>
      <w:r w:rsidR="00481CCF">
        <w:rPr>
          <w:rFonts w:asciiTheme="minorHAnsi" w:hAnsiTheme="minorHAnsi" w:cs="Microsoft Sans Serif"/>
          <w:sz w:val="18"/>
        </w:rPr>
        <w:t xml:space="preserve"> Regression Program, Version 4.5.0.1. June 2017</w:t>
      </w:r>
      <w:r w:rsidR="005F025E" w:rsidRPr="00A30544">
        <w:rPr>
          <w:rFonts w:asciiTheme="minorHAnsi" w:hAnsiTheme="minorHAnsi" w:cs="Microsoft Sans Serif"/>
          <w:sz w:val="18"/>
        </w:rPr>
        <w:t>; Statistical Research and Applications Branch, National Cancer Institute</w:t>
      </w:r>
      <w:r w:rsidR="005F025E" w:rsidRPr="00A30544">
        <w:rPr>
          <w:rFonts w:asciiTheme="minorHAnsi" w:hAnsiTheme="minorHAnsi"/>
          <w:sz w:val="18"/>
        </w:rPr>
        <w:t xml:space="preserve">. </w:t>
      </w:r>
    </w:p>
    <w:p w14:paraId="497C2A76" w14:textId="77777777" w:rsidR="0001462F" w:rsidRDefault="00AA1775" w:rsidP="0001462F">
      <w:pPr>
        <w:rPr>
          <w:rFonts w:asciiTheme="minorHAnsi" w:hAnsiTheme="minorHAnsi"/>
          <w:sz w:val="18"/>
        </w:rPr>
      </w:pPr>
      <w:r w:rsidRPr="00083092">
        <w:rPr>
          <w:rFonts w:asciiTheme="minorHAnsi" w:hAnsiTheme="minorHAnsi"/>
          <w:b/>
          <w:i/>
          <w:sz w:val="18"/>
        </w:rPr>
        <w:t>Figures 6, 7, &amp; 10:</w:t>
      </w:r>
      <w:r w:rsidR="009F701F">
        <w:rPr>
          <w:rFonts w:asciiTheme="minorHAnsi" w:hAnsiTheme="minorHAnsi"/>
          <w:sz w:val="18"/>
        </w:rPr>
        <w:t xml:space="preserve"> Data is from</w:t>
      </w:r>
      <w:r>
        <w:rPr>
          <w:rFonts w:asciiTheme="minorHAnsi" w:hAnsiTheme="minorHAnsi"/>
          <w:sz w:val="18"/>
        </w:rPr>
        <w:t xml:space="preserve"> Massachusetts Pregnancy Risk Assessment Monitoring System, 2015.</w:t>
      </w:r>
      <w:r w:rsidR="0001462F">
        <w:rPr>
          <w:rFonts w:asciiTheme="minorHAnsi" w:hAnsiTheme="minorHAnsi"/>
          <w:sz w:val="18"/>
        </w:rPr>
        <w:t xml:space="preserve"> For more information: </w:t>
      </w:r>
      <w:hyperlink r:id="rId24" w:history="1">
        <w:r w:rsidR="00D54587" w:rsidRPr="00EB3DBC">
          <w:rPr>
            <w:rStyle w:val="Hyperlink"/>
            <w:rFonts w:asciiTheme="minorHAnsi" w:hAnsiTheme="minorHAnsi" w:cs="Arial"/>
            <w:color w:val="0088EE"/>
            <w:sz w:val="18"/>
          </w:rPr>
          <w:t>https://www.mass.gov/service-details/pregnancy-risk-assessment-monitoring-system-prams</w:t>
        </w:r>
      </w:hyperlink>
      <w:r w:rsidR="00A50984" w:rsidRPr="00EB3DBC">
        <w:rPr>
          <w:rStyle w:val="Hyperlink"/>
          <w:rFonts w:asciiTheme="minorHAnsi" w:hAnsiTheme="minorHAnsi" w:cs="Arial"/>
          <w:color w:val="0088EE"/>
          <w:sz w:val="18"/>
        </w:rPr>
        <w:t>.</w:t>
      </w:r>
    </w:p>
    <w:p w14:paraId="3B75C576" w14:textId="77777777" w:rsidR="0001462F" w:rsidRPr="002D4285" w:rsidRDefault="0001462F" w:rsidP="0001462F">
      <w:pPr>
        <w:rPr>
          <w:rFonts w:asciiTheme="minorHAnsi" w:hAnsiTheme="minorHAnsi"/>
          <w:sz w:val="18"/>
        </w:rPr>
      </w:pPr>
      <w:r w:rsidRPr="00083092">
        <w:rPr>
          <w:rFonts w:asciiTheme="minorHAnsi" w:hAnsiTheme="minorHAnsi"/>
          <w:b/>
          <w:i/>
          <w:sz w:val="18"/>
        </w:rPr>
        <w:t>Figure 6:</w:t>
      </w:r>
      <w:r>
        <w:rPr>
          <w:rFonts w:asciiTheme="minorHAnsi" w:hAnsiTheme="minorHAnsi"/>
          <w:sz w:val="18"/>
        </w:rPr>
        <w:t xml:space="preserve"> </w:t>
      </w:r>
      <w:r w:rsidRPr="00A30544">
        <w:rPr>
          <w:rFonts w:asciiTheme="minorHAnsi" w:hAnsiTheme="minorHAnsi"/>
          <w:sz w:val="18"/>
        </w:rPr>
        <w:t xml:space="preserve">Average annual percent changes were calculated using </w:t>
      </w:r>
      <w:r w:rsidRPr="00A30544">
        <w:rPr>
          <w:rFonts w:asciiTheme="minorHAnsi" w:hAnsiTheme="minorHAnsi" w:cs="Microsoft Sans Serif"/>
          <w:sz w:val="18"/>
        </w:rPr>
        <w:t>Joinpoint</w:t>
      </w:r>
      <w:r>
        <w:rPr>
          <w:rFonts w:asciiTheme="minorHAnsi" w:hAnsiTheme="minorHAnsi" w:cs="Microsoft Sans Serif"/>
          <w:sz w:val="18"/>
        </w:rPr>
        <w:t xml:space="preserve"> Regression Program, Version 4.5.0.1. June 2017</w:t>
      </w:r>
      <w:r w:rsidRPr="00A30544">
        <w:rPr>
          <w:rFonts w:asciiTheme="minorHAnsi" w:hAnsiTheme="minorHAnsi" w:cs="Microsoft Sans Serif"/>
          <w:sz w:val="18"/>
        </w:rPr>
        <w:t>; Statistical Research and Applications Branch, National Cancer Institute</w:t>
      </w:r>
      <w:r w:rsidRPr="00A30544">
        <w:rPr>
          <w:rFonts w:asciiTheme="minorHAnsi" w:hAnsiTheme="minorHAnsi"/>
          <w:sz w:val="18"/>
        </w:rPr>
        <w:t xml:space="preserve">. </w:t>
      </w:r>
    </w:p>
    <w:p w14:paraId="30251C7B" w14:textId="77777777" w:rsidR="00CF1509" w:rsidRPr="00CF1509" w:rsidRDefault="008D4D09" w:rsidP="003A55CC">
      <w:pPr>
        <w:rPr>
          <w:rFonts w:asciiTheme="minorHAnsi" w:hAnsiTheme="minorHAnsi"/>
          <w:color w:val="0000FF"/>
          <w:sz w:val="18"/>
          <w:szCs w:val="18"/>
          <w:u w:val="single"/>
        </w:rPr>
      </w:pPr>
      <w:r>
        <w:rPr>
          <w:rFonts w:asciiTheme="minorHAnsi" w:hAnsiTheme="minorHAnsi"/>
          <w:b/>
          <w:i/>
          <w:sz w:val="18"/>
        </w:rPr>
        <w:t xml:space="preserve">Figures 8 &amp; </w:t>
      </w:r>
      <w:r w:rsidR="002F5CE7">
        <w:rPr>
          <w:rFonts w:asciiTheme="minorHAnsi" w:hAnsiTheme="minorHAnsi"/>
          <w:b/>
          <w:i/>
          <w:sz w:val="18"/>
        </w:rPr>
        <w:t>11</w:t>
      </w:r>
      <w:r w:rsidR="00E75F1E" w:rsidRPr="00083092">
        <w:rPr>
          <w:rFonts w:asciiTheme="minorHAnsi" w:hAnsiTheme="minorHAnsi"/>
          <w:b/>
          <w:i/>
          <w:sz w:val="18"/>
        </w:rPr>
        <w:t>:</w:t>
      </w:r>
      <w:r w:rsidR="00E75F1E">
        <w:rPr>
          <w:rFonts w:asciiTheme="minorHAnsi" w:hAnsiTheme="minorHAnsi"/>
          <w:sz w:val="18"/>
        </w:rPr>
        <w:t xml:space="preserve"> Data is from:</w:t>
      </w:r>
      <w:r w:rsidR="00E75F1E" w:rsidRPr="00182BA1">
        <w:rPr>
          <w:rFonts w:asciiTheme="minorHAnsi" w:hAnsiTheme="minorHAnsi"/>
          <w:sz w:val="18"/>
          <w:szCs w:val="18"/>
        </w:rPr>
        <w:t xml:space="preserve"> </w:t>
      </w:r>
      <w:r w:rsidR="00182BA1" w:rsidRPr="0087555B">
        <w:rPr>
          <w:rFonts w:asciiTheme="minorHAnsi" w:hAnsiTheme="minorHAnsi"/>
          <w:i/>
          <w:sz w:val="18"/>
          <w:szCs w:val="18"/>
        </w:rPr>
        <w:t>Massachusetts Births 2015</w:t>
      </w:r>
      <w:r w:rsidR="0087555B">
        <w:rPr>
          <w:rFonts w:asciiTheme="minorHAnsi" w:hAnsiTheme="minorHAnsi"/>
          <w:i/>
          <w:sz w:val="18"/>
          <w:szCs w:val="18"/>
        </w:rPr>
        <w:t>,</w:t>
      </w:r>
      <w:r w:rsidR="00182BA1" w:rsidRPr="00182BA1">
        <w:rPr>
          <w:rFonts w:asciiTheme="minorHAnsi" w:hAnsiTheme="minorHAnsi"/>
          <w:sz w:val="18"/>
          <w:szCs w:val="18"/>
        </w:rPr>
        <w:t xml:space="preserve"> Boston, MA: Registry of Vital Records and Statistics, Massachusetts Department of Public Health. December 2016. </w:t>
      </w:r>
      <w:hyperlink r:id="rId25" w:history="1">
        <w:r w:rsidR="00182BA1" w:rsidRPr="00EB3DBC">
          <w:rPr>
            <w:rStyle w:val="Hyperlink"/>
            <w:rFonts w:asciiTheme="minorHAnsi" w:hAnsiTheme="minorHAnsi" w:cs="Arial"/>
            <w:color w:val="0088EE"/>
            <w:sz w:val="18"/>
            <w:szCs w:val="18"/>
          </w:rPr>
          <w:t>https://www.mass.gov/files/documents/2017/04/zx/birth-report-2015.pdf</w:t>
        </w:r>
      </w:hyperlink>
      <w:r w:rsidR="0087555B" w:rsidRPr="00EB3DBC">
        <w:rPr>
          <w:rStyle w:val="Hyperlink"/>
          <w:rFonts w:asciiTheme="minorHAnsi" w:hAnsiTheme="minorHAnsi" w:cs="Arial"/>
          <w:color w:val="0088EE"/>
          <w:sz w:val="18"/>
          <w:szCs w:val="18"/>
        </w:rPr>
        <w:t>.</w:t>
      </w:r>
    </w:p>
    <w:p w14:paraId="1AC261A5" w14:textId="77777777" w:rsidR="004D2845" w:rsidRDefault="00AA1775" w:rsidP="003A55CC">
      <w:pPr>
        <w:rPr>
          <w:rFonts w:asciiTheme="minorHAnsi" w:hAnsiTheme="minorHAnsi"/>
          <w:sz w:val="18"/>
        </w:rPr>
      </w:pPr>
      <w:r>
        <w:rPr>
          <w:rFonts w:asciiTheme="minorHAnsi" w:hAnsiTheme="minorHAnsi"/>
          <w:sz w:val="18"/>
        </w:rPr>
        <w:t xml:space="preserve"> </w:t>
      </w:r>
    </w:p>
    <w:p w14:paraId="2E28AAF1" w14:textId="77777777" w:rsidR="00D35ED3" w:rsidRPr="008766E7" w:rsidRDefault="00D35ED3" w:rsidP="008766E7">
      <w:pPr>
        <w:rPr>
          <w:rFonts w:asciiTheme="minorHAnsi" w:hAnsiTheme="minorHAnsi"/>
          <w:b/>
        </w:rPr>
      </w:pPr>
      <w:r w:rsidRPr="008766E7">
        <w:rPr>
          <w:rFonts w:asciiTheme="minorHAnsi" w:hAnsiTheme="minorHAnsi"/>
          <w:b/>
        </w:rPr>
        <w:t>References</w:t>
      </w:r>
    </w:p>
    <w:sectPr w:rsidR="00D35ED3" w:rsidRPr="008766E7" w:rsidSect="00530E96">
      <w:type w:val="continuous"/>
      <w:pgSz w:w="12240" w:h="15840"/>
      <w:pgMar w:top="547" w:right="864" w:bottom="28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7FFE5" w14:textId="77777777" w:rsidR="009C3C14" w:rsidRDefault="009C3C14" w:rsidP="007C32A4">
      <w:r>
        <w:separator/>
      </w:r>
    </w:p>
  </w:endnote>
  <w:endnote w:type="continuationSeparator" w:id="0">
    <w:p w14:paraId="0A931273" w14:textId="77777777" w:rsidR="009C3C14" w:rsidRDefault="009C3C14" w:rsidP="007C32A4">
      <w:r>
        <w:continuationSeparator/>
      </w:r>
    </w:p>
  </w:endnote>
  <w:endnote w:id="1">
    <w:p w14:paraId="4A8B77D4" w14:textId="4CA48E53" w:rsidR="005276C5" w:rsidRPr="00CA3AB2" w:rsidRDefault="005276C5">
      <w:pPr>
        <w:pStyle w:val="EndnoteText"/>
        <w:rPr>
          <w:rFonts w:asciiTheme="minorHAnsi" w:hAnsiTheme="minorHAnsi"/>
          <w:color w:val="0070C0"/>
          <w:sz w:val="18"/>
          <w:szCs w:val="18"/>
          <w:u w:val="single"/>
        </w:rPr>
      </w:pPr>
      <w:r w:rsidRPr="00881ACE">
        <w:rPr>
          <w:rStyle w:val="EndnoteReference"/>
          <w:rFonts w:asciiTheme="minorHAnsi" w:hAnsiTheme="minorHAnsi"/>
          <w:sz w:val="18"/>
          <w:szCs w:val="18"/>
        </w:rPr>
        <w:endnoteRef/>
      </w:r>
      <w:r>
        <w:rPr>
          <w:rFonts w:asciiTheme="minorHAnsi" w:hAnsiTheme="minorHAnsi"/>
          <w:sz w:val="18"/>
          <w:szCs w:val="18"/>
        </w:rPr>
        <w:t xml:space="preserve"> Centers for Disease Control and Prevention. Sudden Unexpected Infant Death and Sudden I</w:t>
      </w:r>
      <w:r w:rsidR="00D112F9">
        <w:rPr>
          <w:rFonts w:asciiTheme="minorHAnsi" w:hAnsiTheme="minorHAnsi"/>
          <w:sz w:val="18"/>
          <w:szCs w:val="18"/>
        </w:rPr>
        <w:t>nfant Death Syndrome. (</w:t>
      </w:r>
      <w:r>
        <w:rPr>
          <w:rFonts w:asciiTheme="minorHAnsi" w:hAnsiTheme="minorHAnsi"/>
          <w:sz w:val="18"/>
          <w:szCs w:val="18"/>
        </w:rPr>
        <w:t>2018</w:t>
      </w:r>
      <w:r w:rsidR="00D112F9">
        <w:rPr>
          <w:rFonts w:asciiTheme="minorHAnsi" w:hAnsiTheme="minorHAnsi"/>
          <w:sz w:val="18"/>
          <w:szCs w:val="18"/>
        </w:rPr>
        <w:t>)</w:t>
      </w:r>
      <w:r>
        <w:rPr>
          <w:rFonts w:asciiTheme="minorHAnsi" w:hAnsiTheme="minorHAnsi"/>
          <w:sz w:val="18"/>
          <w:szCs w:val="18"/>
        </w:rPr>
        <w:t xml:space="preserve">. Retrieved from: </w:t>
      </w:r>
      <w:r w:rsidRPr="00881ACE">
        <w:rPr>
          <w:rFonts w:asciiTheme="minorHAnsi" w:hAnsiTheme="minorHAnsi"/>
          <w:sz w:val="18"/>
          <w:szCs w:val="18"/>
        </w:rPr>
        <w:t xml:space="preserve"> </w:t>
      </w:r>
      <w:hyperlink r:id="rId1" w:history="1">
        <w:r w:rsidRPr="003B540B">
          <w:rPr>
            <w:rStyle w:val="Hyperlink"/>
            <w:rFonts w:asciiTheme="minorHAnsi" w:hAnsiTheme="minorHAnsi" w:cs="Arial"/>
            <w:color w:val="0088EE"/>
            <w:sz w:val="18"/>
            <w:szCs w:val="18"/>
          </w:rPr>
          <w:t>https://www.cdc.gov/sids/AboutSUIDandSIDS.htm</w:t>
        </w:r>
      </w:hyperlink>
      <w:r w:rsidRPr="003B540B">
        <w:rPr>
          <w:rStyle w:val="Hyperlink"/>
          <w:rFonts w:asciiTheme="minorHAnsi" w:hAnsiTheme="minorHAnsi" w:cs="Arial"/>
          <w:color w:val="0088EE"/>
          <w:sz w:val="18"/>
          <w:szCs w:val="18"/>
        </w:rPr>
        <w:t>.</w:t>
      </w:r>
    </w:p>
  </w:endnote>
  <w:endnote w:id="2">
    <w:p w14:paraId="6380D283" w14:textId="58C8A0C6" w:rsidR="005276C5" w:rsidRPr="00377036" w:rsidRDefault="005276C5" w:rsidP="00357506">
      <w:pPr>
        <w:pStyle w:val="EndnoteText"/>
        <w:rPr>
          <w:rFonts w:asciiTheme="minorHAnsi" w:hAnsiTheme="minorHAnsi"/>
          <w:sz w:val="18"/>
          <w:szCs w:val="18"/>
        </w:rPr>
      </w:pPr>
      <w:r>
        <w:rPr>
          <w:rStyle w:val="EndnoteReference"/>
        </w:rPr>
        <w:endnoteRef/>
      </w:r>
      <w:r>
        <w:rPr>
          <w:rFonts w:asciiTheme="minorHAnsi" w:hAnsiTheme="minorHAnsi"/>
          <w:sz w:val="18"/>
          <w:szCs w:val="18"/>
        </w:rPr>
        <w:t xml:space="preserve"> </w:t>
      </w:r>
      <w:r w:rsidRPr="00813930">
        <w:rPr>
          <w:rFonts w:asciiTheme="minorHAnsi" w:hAnsiTheme="minorHAnsi"/>
          <w:sz w:val="18"/>
          <w:szCs w:val="18"/>
        </w:rPr>
        <w:t>Moon RY and AAP TASK FORCE ON SUDDEN INFANT DEATH SYNDROME.</w:t>
      </w:r>
      <w:r w:rsidR="009E0C5B">
        <w:rPr>
          <w:rFonts w:asciiTheme="minorHAnsi" w:hAnsiTheme="minorHAnsi"/>
          <w:sz w:val="18"/>
          <w:szCs w:val="18"/>
        </w:rPr>
        <w:t xml:space="preserve"> (2016)</w:t>
      </w:r>
      <w:r w:rsidRPr="00813930">
        <w:rPr>
          <w:rFonts w:asciiTheme="minorHAnsi" w:hAnsiTheme="minorHAnsi"/>
          <w:sz w:val="18"/>
          <w:szCs w:val="18"/>
        </w:rPr>
        <w:t xml:space="preserve"> SIDS and Other Sleep-Related Infant Deaths: Evidence Base for 2016 Updated Recommendations for a Safe Infant Sleeping Environment. </w:t>
      </w:r>
      <w:r w:rsidRPr="009E0C5B">
        <w:rPr>
          <w:rFonts w:asciiTheme="minorHAnsi" w:hAnsiTheme="minorHAnsi"/>
          <w:i/>
          <w:sz w:val="18"/>
          <w:szCs w:val="18"/>
        </w:rPr>
        <w:t>Pediatrics</w:t>
      </w:r>
      <w:r w:rsidR="009E0C5B">
        <w:rPr>
          <w:rFonts w:asciiTheme="minorHAnsi" w:hAnsiTheme="minorHAnsi"/>
          <w:i/>
          <w:sz w:val="18"/>
          <w:szCs w:val="18"/>
        </w:rPr>
        <w:t xml:space="preserve">, </w:t>
      </w:r>
      <w:r w:rsidRPr="00813930">
        <w:rPr>
          <w:rFonts w:asciiTheme="minorHAnsi" w:hAnsiTheme="minorHAnsi"/>
          <w:sz w:val="18"/>
          <w:szCs w:val="18"/>
        </w:rPr>
        <w:t>138(5)</w:t>
      </w:r>
      <w:r w:rsidR="00246C54">
        <w:rPr>
          <w:rFonts w:asciiTheme="minorHAnsi" w:hAnsiTheme="minorHAnsi"/>
          <w:sz w:val="18"/>
          <w:szCs w:val="18"/>
        </w:rPr>
        <w:t>. doi</w:t>
      </w:r>
      <w:r w:rsidRPr="00813930">
        <w:rPr>
          <w:rFonts w:asciiTheme="minorHAnsi" w:hAnsiTheme="minorHAnsi"/>
          <w:sz w:val="18"/>
          <w:szCs w:val="18"/>
        </w:rPr>
        <w:t>: e20162940</w:t>
      </w:r>
      <w:r>
        <w:rPr>
          <w:rFonts w:asciiTheme="minorHAnsi" w:hAnsiTheme="minorHAnsi"/>
          <w:sz w:val="18"/>
          <w:szCs w:val="18"/>
        </w:rPr>
        <w:t xml:space="preserve">. Retrieved from: </w:t>
      </w:r>
      <w:hyperlink r:id="rId2" w:history="1">
        <w:r w:rsidRPr="003B540B">
          <w:rPr>
            <w:rStyle w:val="Hyperlink"/>
            <w:rFonts w:asciiTheme="minorHAnsi" w:hAnsiTheme="minorHAnsi" w:cs="Arial"/>
            <w:color w:val="0088EE"/>
            <w:sz w:val="18"/>
            <w:szCs w:val="18"/>
          </w:rPr>
          <w:t>http://pediatrics.aappublications.org/content/138/5/e20162940.long</w:t>
        </w:r>
      </w:hyperlink>
      <w:r w:rsidRPr="003B540B">
        <w:rPr>
          <w:rFonts w:asciiTheme="minorHAnsi" w:hAnsiTheme="minorHAnsi"/>
          <w:color w:val="0088EE"/>
          <w:sz w:val="18"/>
          <w:szCs w:val="18"/>
        </w:rPr>
        <w:t>.</w:t>
      </w:r>
    </w:p>
  </w:endnote>
  <w:endnote w:id="3">
    <w:p w14:paraId="6018C4E7" w14:textId="27E3499E" w:rsidR="005276C5" w:rsidRPr="003F3B9C" w:rsidRDefault="005276C5" w:rsidP="00357506">
      <w:pPr>
        <w:pStyle w:val="EndnoteText"/>
        <w:rPr>
          <w:rFonts w:asciiTheme="minorHAnsi" w:hAnsiTheme="minorHAnsi"/>
          <w:sz w:val="18"/>
          <w:szCs w:val="18"/>
        </w:rPr>
      </w:pPr>
      <w:r>
        <w:rPr>
          <w:rStyle w:val="EndnoteReference"/>
        </w:rPr>
        <w:endnoteRef/>
      </w:r>
      <w:r>
        <w:t xml:space="preserve"> </w:t>
      </w:r>
      <w:r w:rsidRPr="00733CDB">
        <w:rPr>
          <w:rFonts w:asciiTheme="minorHAnsi" w:hAnsiTheme="minorHAnsi"/>
          <w:sz w:val="18"/>
          <w:szCs w:val="18"/>
        </w:rPr>
        <w:t>Kramer MR and Hogue CR.</w:t>
      </w:r>
      <w:r w:rsidR="00FC4E25">
        <w:rPr>
          <w:rFonts w:asciiTheme="minorHAnsi" w:hAnsiTheme="minorHAnsi"/>
          <w:sz w:val="18"/>
          <w:szCs w:val="18"/>
        </w:rPr>
        <w:t xml:space="preserve"> (2009)</w:t>
      </w:r>
      <w:r w:rsidRPr="00733CDB">
        <w:rPr>
          <w:rFonts w:asciiTheme="minorHAnsi" w:hAnsiTheme="minorHAnsi"/>
          <w:sz w:val="18"/>
          <w:szCs w:val="18"/>
        </w:rPr>
        <w:t xml:space="preserve"> What Causes Racial Disparities in Very Preterm Birth? A Biosocial Perspective. </w:t>
      </w:r>
      <w:r w:rsidRPr="00FC4E25">
        <w:rPr>
          <w:rFonts w:asciiTheme="minorHAnsi" w:hAnsiTheme="minorHAnsi"/>
          <w:i/>
          <w:sz w:val="18"/>
          <w:szCs w:val="18"/>
        </w:rPr>
        <w:t>Epidemiological Reviews,</w:t>
      </w:r>
      <w:r w:rsidRPr="00733CDB">
        <w:rPr>
          <w:rFonts w:asciiTheme="minorHAnsi" w:hAnsiTheme="minorHAnsi"/>
          <w:sz w:val="18"/>
          <w:szCs w:val="18"/>
        </w:rPr>
        <w:t xml:space="preserve"> 2009;31(1):84-98. Retrieved from: </w:t>
      </w:r>
      <w:hyperlink r:id="rId3" w:history="1">
        <w:r w:rsidRPr="003B540B">
          <w:rPr>
            <w:rStyle w:val="Hyperlink"/>
            <w:rFonts w:asciiTheme="minorHAnsi" w:hAnsiTheme="minorHAnsi"/>
            <w:color w:val="0088EE"/>
            <w:sz w:val="18"/>
            <w:szCs w:val="18"/>
            <w:bdr w:val="none" w:sz="0" w:space="0" w:color="auto" w:frame="1"/>
            <w:shd w:val="clear" w:color="auto" w:fill="FFFFFF"/>
          </w:rPr>
          <w:t>https://doi.org/10.1093/ajerev/mxp003</w:t>
        </w:r>
      </w:hyperlink>
      <w:r w:rsidRPr="003B540B">
        <w:rPr>
          <w:rStyle w:val="Hyperlink"/>
          <w:rFonts w:asciiTheme="minorHAnsi" w:hAnsiTheme="minorHAnsi"/>
          <w:color w:val="0088EE"/>
          <w:sz w:val="18"/>
          <w:szCs w:val="18"/>
          <w:bdr w:val="none" w:sz="0" w:space="0" w:color="auto" w:frame="1"/>
          <w:shd w:val="clear" w:color="auto" w:fill="FFFFFF"/>
        </w:rPr>
        <w:t>.</w:t>
      </w:r>
    </w:p>
  </w:endnote>
  <w:endnote w:id="4">
    <w:p w14:paraId="3146BF8A" w14:textId="37823A4C" w:rsidR="005276C5" w:rsidRDefault="005276C5">
      <w:pPr>
        <w:pStyle w:val="EndnoteText"/>
      </w:pPr>
      <w:r>
        <w:rPr>
          <w:rStyle w:val="EndnoteReference"/>
        </w:rPr>
        <w:endnoteRef/>
      </w:r>
      <w:r>
        <w:t xml:space="preserve"> </w:t>
      </w:r>
      <w:r>
        <w:rPr>
          <w:color w:val="000000"/>
          <w:sz w:val="16"/>
          <w:szCs w:val="16"/>
          <w:shd w:val="clear" w:color="auto" w:fill="FFFFFF"/>
        </w:rPr>
        <w:t>Geronimus</w:t>
      </w:r>
      <w:r w:rsidR="00C20B18">
        <w:rPr>
          <w:color w:val="000000"/>
          <w:sz w:val="16"/>
          <w:szCs w:val="16"/>
          <w:shd w:val="clear" w:color="auto" w:fill="FFFFFF"/>
        </w:rPr>
        <w:t xml:space="preserve"> AT, Hicken M, Keene D, Bound J</w:t>
      </w:r>
      <w:r>
        <w:rPr>
          <w:color w:val="000000"/>
          <w:sz w:val="16"/>
          <w:szCs w:val="16"/>
          <w:shd w:val="clear" w:color="auto" w:fill="FFFFFF"/>
        </w:rPr>
        <w:t>.</w:t>
      </w:r>
      <w:r w:rsidR="00C20B18">
        <w:rPr>
          <w:color w:val="000000"/>
          <w:sz w:val="16"/>
          <w:szCs w:val="16"/>
          <w:shd w:val="clear" w:color="auto" w:fill="FFFFFF"/>
        </w:rPr>
        <w:t xml:space="preserve"> (2006)</w:t>
      </w:r>
      <w:r>
        <w:rPr>
          <w:color w:val="000000"/>
          <w:sz w:val="16"/>
          <w:szCs w:val="16"/>
          <w:shd w:val="clear" w:color="auto" w:fill="FFFFFF"/>
        </w:rPr>
        <w:t xml:space="preserve"> “Weathering” and Age Patterns of Allostatic Load Scores Among Blacks and Whites in the United States. </w:t>
      </w:r>
      <w:r w:rsidR="004C0855" w:rsidRPr="004C0855">
        <w:rPr>
          <w:i/>
          <w:color w:val="000000"/>
          <w:sz w:val="16"/>
          <w:szCs w:val="16"/>
          <w:shd w:val="clear" w:color="auto" w:fill="FFFFFF"/>
        </w:rPr>
        <w:t>American Journal of Public Health,</w:t>
      </w:r>
      <w:r>
        <w:rPr>
          <w:color w:val="000000"/>
          <w:sz w:val="16"/>
          <w:szCs w:val="16"/>
          <w:shd w:val="clear" w:color="auto" w:fill="FFFFFF"/>
        </w:rPr>
        <w:t xml:space="preserve"> 96(5): </w:t>
      </w:r>
      <w:r w:rsidR="00076BC7">
        <w:rPr>
          <w:color w:val="000000"/>
          <w:sz w:val="16"/>
          <w:szCs w:val="16"/>
          <w:shd w:val="clear" w:color="auto" w:fill="FFFFFF"/>
        </w:rPr>
        <w:t xml:space="preserve">pp </w:t>
      </w:r>
      <w:r>
        <w:rPr>
          <w:color w:val="000000"/>
          <w:sz w:val="16"/>
          <w:szCs w:val="16"/>
          <w:shd w:val="clear" w:color="auto" w:fill="FFFFFF"/>
        </w:rPr>
        <w:t>826–833.</w:t>
      </w:r>
      <w:r w:rsidR="00076BC7">
        <w:rPr>
          <w:color w:val="000000"/>
          <w:sz w:val="16"/>
          <w:szCs w:val="16"/>
          <w:shd w:val="clear" w:color="auto" w:fill="FFFFFF"/>
        </w:rPr>
        <w:t xml:space="preserve"> Doi:  </w:t>
      </w:r>
      <w:hyperlink r:id="rId4" w:tgtFrame="pmc_ext" w:history="1">
        <w:r w:rsidR="00076BC7">
          <w:rPr>
            <w:rStyle w:val="Hyperlink"/>
            <w:color w:val="642A8F"/>
            <w:sz w:val="16"/>
            <w:szCs w:val="16"/>
            <w:shd w:val="clear" w:color="auto" w:fill="FFFFFF"/>
          </w:rPr>
          <w:t>10.2105/AJPH.2004.060749</w:t>
        </w:r>
      </w:hyperlink>
    </w:p>
  </w:endnote>
  <w:endnote w:id="5">
    <w:p w14:paraId="022EE103" w14:textId="3B61B3F3" w:rsidR="005276C5" w:rsidRDefault="005276C5">
      <w:pPr>
        <w:pStyle w:val="EndnoteText"/>
      </w:pPr>
      <w:r>
        <w:rPr>
          <w:rStyle w:val="EndnoteReference"/>
        </w:rPr>
        <w:endnoteRef/>
      </w:r>
      <w:r>
        <w:t xml:space="preserve"> </w:t>
      </w:r>
      <w:r w:rsidR="00DA3555" w:rsidRPr="00813930">
        <w:rPr>
          <w:rFonts w:asciiTheme="minorHAnsi" w:hAnsiTheme="minorHAnsi"/>
          <w:sz w:val="18"/>
          <w:szCs w:val="18"/>
        </w:rPr>
        <w:t>Moon RY and AAP TASK FORCE ON SUDDEN INFANT DEATH SYNDROME.</w:t>
      </w:r>
      <w:r w:rsidR="00DA3555">
        <w:rPr>
          <w:rFonts w:asciiTheme="minorHAnsi" w:hAnsiTheme="minorHAnsi"/>
          <w:sz w:val="18"/>
          <w:szCs w:val="18"/>
        </w:rPr>
        <w:t xml:space="preserve"> (2016)</w:t>
      </w:r>
      <w:r w:rsidR="00DA3555" w:rsidRPr="00813930">
        <w:rPr>
          <w:rFonts w:asciiTheme="minorHAnsi" w:hAnsiTheme="minorHAnsi"/>
          <w:sz w:val="18"/>
          <w:szCs w:val="18"/>
        </w:rPr>
        <w:t xml:space="preserve"> SIDS and Other Sleep-Related Infant Deaths: Evidence Base for 2016 Updated Recommendations for a Safe Infant Sleeping Environment. </w:t>
      </w:r>
      <w:r w:rsidR="00DA3555" w:rsidRPr="009E0C5B">
        <w:rPr>
          <w:rFonts w:asciiTheme="minorHAnsi" w:hAnsiTheme="minorHAnsi"/>
          <w:i/>
          <w:sz w:val="18"/>
          <w:szCs w:val="18"/>
        </w:rPr>
        <w:t>Pediatrics</w:t>
      </w:r>
      <w:r w:rsidR="00DA3555">
        <w:rPr>
          <w:rFonts w:asciiTheme="minorHAnsi" w:hAnsiTheme="minorHAnsi"/>
          <w:i/>
          <w:sz w:val="18"/>
          <w:szCs w:val="18"/>
        </w:rPr>
        <w:t xml:space="preserve">, </w:t>
      </w:r>
      <w:r w:rsidR="00DA3555" w:rsidRPr="00813930">
        <w:rPr>
          <w:rFonts w:asciiTheme="minorHAnsi" w:hAnsiTheme="minorHAnsi"/>
          <w:sz w:val="18"/>
          <w:szCs w:val="18"/>
        </w:rPr>
        <w:t>138(5)</w:t>
      </w:r>
      <w:r w:rsidR="00DA3555">
        <w:rPr>
          <w:rFonts w:asciiTheme="minorHAnsi" w:hAnsiTheme="minorHAnsi"/>
          <w:sz w:val="18"/>
          <w:szCs w:val="18"/>
        </w:rPr>
        <w:t>. doi</w:t>
      </w:r>
      <w:r w:rsidR="00DA3555" w:rsidRPr="00813930">
        <w:rPr>
          <w:rFonts w:asciiTheme="minorHAnsi" w:hAnsiTheme="minorHAnsi"/>
          <w:sz w:val="18"/>
          <w:szCs w:val="18"/>
        </w:rPr>
        <w:t>: e20162940</w:t>
      </w:r>
      <w:r w:rsidR="00DA3555">
        <w:rPr>
          <w:rFonts w:asciiTheme="minorHAnsi" w:hAnsiTheme="minorHAnsi"/>
          <w:sz w:val="18"/>
          <w:szCs w:val="18"/>
        </w:rPr>
        <w:t xml:space="preserve">. Retrieved from: </w:t>
      </w:r>
      <w:hyperlink r:id="rId5" w:history="1">
        <w:r w:rsidR="00DA3555" w:rsidRPr="003B540B">
          <w:rPr>
            <w:rStyle w:val="Hyperlink"/>
            <w:rFonts w:asciiTheme="minorHAnsi" w:hAnsiTheme="minorHAnsi" w:cs="Arial"/>
            <w:color w:val="0088EE"/>
            <w:sz w:val="18"/>
            <w:szCs w:val="18"/>
          </w:rPr>
          <w:t>http://pediatrics.aappublications.org/content/138/5/e20162940.long</w:t>
        </w:r>
      </w:hyperlink>
      <w:r w:rsidR="00DA3555" w:rsidRPr="003B540B">
        <w:rPr>
          <w:rFonts w:asciiTheme="minorHAnsi" w:hAnsiTheme="minorHAnsi"/>
          <w:color w:val="0088EE"/>
          <w:sz w:val="18"/>
          <w:szCs w:val="18"/>
        </w:rPr>
        <w:t>.</w:t>
      </w:r>
    </w:p>
  </w:endnote>
  <w:endnote w:id="6">
    <w:p w14:paraId="5B7AD554" w14:textId="6FC10B80" w:rsidR="005276C5" w:rsidRDefault="005276C5">
      <w:pPr>
        <w:pStyle w:val="EndnoteText"/>
      </w:pPr>
      <w:r>
        <w:rPr>
          <w:rStyle w:val="EndnoteReference"/>
        </w:rPr>
        <w:endnoteRef/>
      </w:r>
      <w:r>
        <w:t xml:space="preserve"> </w:t>
      </w:r>
      <w:r w:rsidRPr="00087B2C">
        <w:rPr>
          <w:rFonts w:asciiTheme="minorHAnsi" w:hAnsiTheme="minorHAnsi"/>
          <w:sz w:val="18"/>
          <w:szCs w:val="18"/>
        </w:rPr>
        <w:t>Ibid</w:t>
      </w:r>
      <w:r>
        <w:rPr>
          <w:rFonts w:asciiTheme="minorHAnsi" w:hAnsiTheme="minorHAnsi"/>
          <w:sz w:val="18"/>
          <w:szCs w:val="18"/>
        </w:rPr>
        <w:t>.</w:t>
      </w:r>
      <w:r w:rsidR="00DD3C81">
        <w:rPr>
          <w:rFonts w:asciiTheme="minorHAnsi" w:hAnsiTheme="minorHAnsi"/>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09567"/>
      <w:docPartObj>
        <w:docPartGallery w:val="Page Numbers (Bottom of Page)"/>
        <w:docPartUnique/>
      </w:docPartObj>
    </w:sdtPr>
    <w:sdtEndPr>
      <w:rPr>
        <w:noProof/>
        <w:sz w:val="18"/>
        <w:szCs w:val="18"/>
      </w:rPr>
    </w:sdtEndPr>
    <w:sdtContent>
      <w:p w14:paraId="2FEF2669" w14:textId="77777777" w:rsidR="005276C5" w:rsidRDefault="005276C5">
        <w:pPr>
          <w:pStyle w:val="Footer"/>
          <w:jc w:val="right"/>
        </w:pPr>
      </w:p>
      <w:p w14:paraId="04A1609E" w14:textId="5610FD3C" w:rsidR="005276C5" w:rsidRPr="0011627D" w:rsidRDefault="005276C5">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350BF3">
          <w:rPr>
            <w:noProof/>
            <w:sz w:val="18"/>
            <w:szCs w:val="18"/>
          </w:rPr>
          <w:t>1</w:t>
        </w:r>
        <w:r w:rsidRPr="0011627D">
          <w:rPr>
            <w:noProof/>
            <w:sz w:val="18"/>
            <w:szCs w:val="18"/>
          </w:rPr>
          <w:fldChar w:fldCharType="end"/>
        </w:r>
      </w:p>
    </w:sdtContent>
  </w:sdt>
  <w:p w14:paraId="3E04320A" w14:textId="77777777" w:rsidR="005276C5" w:rsidRDefault="00527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325B8" w14:textId="77777777" w:rsidR="009C3C14" w:rsidRDefault="009C3C14" w:rsidP="007C32A4">
      <w:r>
        <w:separator/>
      </w:r>
    </w:p>
  </w:footnote>
  <w:footnote w:type="continuationSeparator" w:id="0">
    <w:p w14:paraId="031143A4" w14:textId="77777777" w:rsidR="009C3C14" w:rsidRDefault="009C3C14" w:rsidP="007C32A4">
      <w:r>
        <w:continuationSeparator/>
      </w:r>
    </w:p>
  </w:footnote>
  <w:footnote w:id="1">
    <w:p w14:paraId="4D7B3C68" w14:textId="78DA5728" w:rsidR="00F655A6" w:rsidRPr="006C310E" w:rsidRDefault="00F655A6">
      <w:pPr>
        <w:pStyle w:val="FootnoteText"/>
        <w:rPr>
          <w:rFonts w:asciiTheme="minorHAnsi" w:hAnsiTheme="minorHAnsi"/>
        </w:rPr>
      </w:pPr>
      <w:r w:rsidRPr="006C310E">
        <w:rPr>
          <w:rStyle w:val="FootnoteReference"/>
          <w:rFonts w:asciiTheme="minorHAnsi" w:hAnsiTheme="minorHAnsi"/>
          <w:sz w:val="18"/>
        </w:rPr>
        <w:footnoteRef/>
      </w:r>
      <w:r w:rsidRPr="006C310E">
        <w:rPr>
          <w:rFonts w:asciiTheme="minorHAnsi" w:hAnsiTheme="minorHAnsi"/>
          <w:sz w:val="18"/>
        </w:rPr>
        <w:t xml:space="preserve"> The leading causes</w:t>
      </w:r>
      <w:r w:rsidR="006C310E">
        <w:rPr>
          <w:rFonts w:asciiTheme="minorHAnsi" w:hAnsiTheme="minorHAnsi"/>
          <w:sz w:val="18"/>
        </w:rPr>
        <w:t xml:space="preserve"> of death among infants less than one month of age</w:t>
      </w:r>
      <w:r w:rsidRPr="006C310E">
        <w:rPr>
          <w:rFonts w:asciiTheme="minorHAnsi" w:hAnsiTheme="minorHAnsi"/>
          <w:sz w:val="18"/>
        </w:rPr>
        <w:t xml:space="preserve"> are perinatal causes and congenital malformations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32E"/>
    <w:multiLevelType w:val="hybridMultilevel"/>
    <w:tmpl w:val="6C92B638"/>
    <w:lvl w:ilvl="0" w:tplc="1284D888">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F3924"/>
    <w:multiLevelType w:val="hybridMultilevel"/>
    <w:tmpl w:val="8F86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E56DB"/>
    <w:multiLevelType w:val="hybridMultilevel"/>
    <w:tmpl w:val="A890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9610A"/>
    <w:multiLevelType w:val="hybridMultilevel"/>
    <w:tmpl w:val="24181AF4"/>
    <w:lvl w:ilvl="0" w:tplc="7C2E527E">
      <w:start w:val="1"/>
      <w:numFmt w:val="decimal"/>
      <w:lvlText w:val="%1."/>
      <w:lvlJc w:val="left"/>
      <w:pPr>
        <w:tabs>
          <w:tab w:val="num" w:pos="720"/>
        </w:tabs>
        <w:ind w:left="720" w:hanging="360"/>
      </w:pPr>
    </w:lvl>
    <w:lvl w:ilvl="1" w:tplc="3EFA7DFE" w:tentative="1">
      <w:start w:val="1"/>
      <w:numFmt w:val="decimal"/>
      <w:lvlText w:val="%2."/>
      <w:lvlJc w:val="left"/>
      <w:pPr>
        <w:tabs>
          <w:tab w:val="num" w:pos="1440"/>
        </w:tabs>
        <w:ind w:left="1440" w:hanging="360"/>
      </w:pPr>
    </w:lvl>
    <w:lvl w:ilvl="2" w:tplc="17EE5BEC" w:tentative="1">
      <w:start w:val="1"/>
      <w:numFmt w:val="decimal"/>
      <w:lvlText w:val="%3."/>
      <w:lvlJc w:val="left"/>
      <w:pPr>
        <w:tabs>
          <w:tab w:val="num" w:pos="2160"/>
        </w:tabs>
        <w:ind w:left="2160" w:hanging="360"/>
      </w:pPr>
    </w:lvl>
    <w:lvl w:ilvl="3" w:tplc="DD7C71CE" w:tentative="1">
      <w:start w:val="1"/>
      <w:numFmt w:val="decimal"/>
      <w:lvlText w:val="%4."/>
      <w:lvlJc w:val="left"/>
      <w:pPr>
        <w:tabs>
          <w:tab w:val="num" w:pos="2880"/>
        </w:tabs>
        <w:ind w:left="2880" w:hanging="360"/>
      </w:pPr>
    </w:lvl>
    <w:lvl w:ilvl="4" w:tplc="751AFD3C" w:tentative="1">
      <w:start w:val="1"/>
      <w:numFmt w:val="decimal"/>
      <w:lvlText w:val="%5."/>
      <w:lvlJc w:val="left"/>
      <w:pPr>
        <w:tabs>
          <w:tab w:val="num" w:pos="3600"/>
        </w:tabs>
        <w:ind w:left="3600" w:hanging="360"/>
      </w:pPr>
    </w:lvl>
    <w:lvl w:ilvl="5" w:tplc="8D7C53B6" w:tentative="1">
      <w:start w:val="1"/>
      <w:numFmt w:val="decimal"/>
      <w:lvlText w:val="%6."/>
      <w:lvlJc w:val="left"/>
      <w:pPr>
        <w:tabs>
          <w:tab w:val="num" w:pos="4320"/>
        </w:tabs>
        <w:ind w:left="4320" w:hanging="360"/>
      </w:pPr>
    </w:lvl>
    <w:lvl w:ilvl="6" w:tplc="C9F0B520" w:tentative="1">
      <w:start w:val="1"/>
      <w:numFmt w:val="decimal"/>
      <w:lvlText w:val="%7."/>
      <w:lvlJc w:val="left"/>
      <w:pPr>
        <w:tabs>
          <w:tab w:val="num" w:pos="5040"/>
        </w:tabs>
        <w:ind w:left="5040" w:hanging="360"/>
      </w:pPr>
    </w:lvl>
    <w:lvl w:ilvl="7" w:tplc="FD2ACE70" w:tentative="1">
      <w:start w:val="1"/>
      <w:numFmt w:val="decimal"/>
      <w:lvlText w:val="%8."/>
      <w:lvlJc w:val="left"/>
      <w:pPr>
        <w:tabs>
          <w:tab w:val="num" w:pos="5760"/>
        </w:tabs>
        <w:ind w:left="5760" w:hanging="360"/>
      </w:pPr>
    </w:lvl>
    <w:lvl w:ilvl="8" w:tplc="5E3A352C" w:tentative="1">
      <w:start w:val="1"/>
      <w:numFmt w:val="decimal"/>
      <w:lvlText w:val="%9."/>
      <w:lvlJc w:val="left"/>
      <w:pPr>
        <w:tabs>
          <w:tab w:val="num" w:pos="6480"/>
        </w:tabs>
        <w:ind w:left="6480" w:hanging="360"/>
      </w:pPr>
    </w:lvl>
  </w:abstractNum>
  <w:abstractNum w:abstractNumId="5">
    <w:nsid w:val="738E4DCE"/>
    <w:multiLevelType w:val="hybridMultilevel"/>
    <w:tmpl w:val="BD340076"/>
    <w:lvl w:ilvl="0" w:tplc="56125C98">
      <w:start w:val="3"/>
      <w:numFmt w:val="bullet"/>
      <w:lvlText w:val="-"/>
      <w:lvlJc w:val="left"/>
      <w:pPr>
        <w:ind w:left="720" w:hanging="360"/>
      </w:pPr>
      <w:rPr>
        <w:rFonts w:ascii="Cambria" w:eastAsia="Times New Roman" w:hAnsi="Cambria"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057C60"/>
    <w:multiLevelType w:val="hybridMultilevel"/>
    <w:tmpl w:val="611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64388"/>
    <w:multiLevelType w:val="hybridMultilevel"/>
    <w:tmpl w:val="E1842BC6"/>
    <w:lvl w:ilvl="0" w:tplc="9EAA5BC6">
      <w:start w:val="2"/>
      <w:numFmt w:val="decimal"/>
      <w:lvlText w:val="%1."/>
      <w:lvlJc w:val="left"/>
      <w:pPr>
        <w:tabs>
          <w:tab w:val="num" w:pos="720"/>
        </w:tabs>
        <w:ind w:left="720" w:hanging="360"/>
      </w:pPr>
    </w:lvl>
    <w:lvl w:ilvl="1" w:tplc="3176CD4E" w:tentative="1">
      <w:start w:val="1"/>
      <w:numFmt w:val="decimal"/>
      <w:lvlText w:val="%2."/>
      <w:lvlJc w:val="left"/>
      <w:pPr>
        <w:tabs>
          <w:tab w:val="num" w:pos="1440"/>
        </w:tabs>
        <w:ind w:left="1440" w:hanging="360"/>
      </w:pPr>
    </w:lvl>
    <w:lvl w:ilvl="2" w:tplc="A96C4276" w:tentative="1">
      <w:start w:val="1"/>
      <w:numFmt w:val="decimal"/>
      <w:lvlText w:val="%3."/>
      <w:lvlJc w:val="left"/>
      <w:pPr>
        <w:tabs>
          <w:tab w:val="num" w:pos="2160"/>
        </w:tabs>
        <w:ind w:left="2160" w:hanging="360"/>
      </w:pPr>
    </w:lvl>
    <w:lvl w:ilvl="3" w:tplc="175812D2" w:tentative="1">
      <w:start w:val="1"/>
      <w:numFmt w:val="decimal"/>
      <w:lvlText w:val="%4."/>
      <w:lvlJc w:val="left"/>
      <w:pPr>
        <w:tabs>
          <w:tab w:val="num" w:pos="2880"/>
        </w:tabs>
        <w:ind w:left="2880" w:hanging="360"/>
      </w:pPr>
    </w:lvl>
    <w:lvl w:ilvl="4" w:tplc="714851C4" w:tentative="1">
      <w:start w:val="1"/>
      <w:numFmt w:val="decimal"/>
      <w:lvlText w:val="%5."/>
      <w:lvlJc w:val="left"/>
      <w:pPr>
        <w:tabs>
          <w:tab w:val="num" w:pos="3600"/>
        </w:tabs>
        <w:ind w:left="3600" w:hanging="360"/>
      </w:pPr>
    </w:lvl>
    <w:lvl w:ilvl="5" w:tplc="4556754A" w:tentative="1">
      <w:start w:val="1"/>
      <w:numFmt w:val="decimal"/>
      <w:lvlText w:val="%6."/>
      <w:lvlJc w:val="left"/>
      <w:pPr>
        <w:tabs>
          <w:tab w:val="num" w:pos="4320"/>
        </w:tabs>
        <w:ind w:left="4320" w:hanging="360"/>
      </w:pPr>
    </w:lvl>
    <w:lvl w:ilvl="6" w:tplc="25360F76" w:tentative="1">
      <w:start w:val="1"/>
      <w:numFmt w:val="decimal"/>
      <w:lvlText w:val="%7."/>
      <w:lvlJc w:val="left"/>
      <w:pPr>
        <w:tabs>
          <w:tab w:val="num" w:pos="5040"/>
        </w:tabs>
        <w:ind w:left="5040" w:hanging="360"/>
      </w:pPr>
    </w:lvl>
    <w:lvl w:ilvl="7" w:tplc="A9302C5E" w:tentative="1">
      <w:start w:val="1"/>
      <w:numFmt w:val="decimal"/>
      <w:lvlText w:val="%8."/>
      <w:lvlJc w:val="left"/>
      <w:pPr>
        <w:tabs>
          <w:tab w:val="num" w:pos="5760"/>
        </w:tabs>
        <w:ind w:left="5760" w:hanging="360"/>
      </w:pPr>
    </w:lvl>
    <w:lvl w:ilvl="8" w:tplc="828A4DA6"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0"/>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0D43"/>
    <w:rsid w:val="000019BB"/>
    <w:rsid w:val="00001E07"/>
    <w:rsid w:val="0000208A"/>
    <w:rsid w:val="000029AD"/>
    <w:rsid w:val="000058F6"/>
    <w:rsid w:val="00010B7A"/>
    <w:rsid w:val="00013E71"/>
    <w:rsid w:val="0001462F"/>
    <w:rsid w:val="000162F9"/>
    <w:rsid w:val="00017821"/>
    <w:rsid w:val="00017CB4"/>
    <w:rsid w:val="000201FE"/>
    <w:rsid w:val="00022B9A"/>
    <w:rsid w:val="00022BFF"/>
    <w:rsid w:val="00022F4B"/>
    <w:rsid w:val="0002341F"/>
    <w:rsid w:val="00023A7E"/>
    <w:rsid w:val="00023AF2"/>
    <w:rsid w:val="00023C58"/>
    <w:rsid w:val="00025A89"/>
    <w:rsid w:val="00025BEF"/>
    <w:rsid w:val="00030270"/>
    <w:rsid w:val="000305E4"/>
    <w:rsid w:val="00031008"/>
    <w:rsid w:val="0003225B"/>
    <w:rsid w:val="000322AD"/>
    <w:rsid w:val="00034994"/>
    <w:rsid w:val="00035836"/>
    <w:rsid w:val="00035B0B"/>
    <w:rsid w:val="00036086"/>
    <w:rsid w:val="0003677B"/>
    <w:rsid w:val="00037990"/>
    <w:rsid w:val="00040566"/>
    <w:rsid w:val="00043A68"/>
    <w:rsid w:val="00044868"/>
    <w:rsid w:val="00044FFF"/>
    <w:rsid w:val="00046480"/>
    <w:rsid w:val="00046765"/>
    <w:rsid w:val="00046A3F"/>
    <w:rsid w:val="00046BA6"/>
    <w:rsid w:val="00047B43"/>
    <w:rsid w:val="0005533D"/>
    <w:rsid w:val="00056028"/>
    <w:rsid w:val="000567C9"/>
    <w:rsid w:val="00056838"/>
    <w:rsid w:val="00060D6B"/>
    <w:rsid w:val="000623FC"/>
    <w:rsid w:val="000626BD"/>
    <w:rsid w:val="0006353D"/>
    <w:rsid w:val="0006377D"/>
    <w:rsid w:val="00063C9A"/>
    <w:rsid w:val="000651FC"/>
    <w:rsid w:val="000665E3"/>
    <w:rsid w:val="0006666C"/>
    <w:rsid w:val="00066EB6"/>
    <w:rsid w:val="000678D7"/>
    <w:rsid w:val="000701B6"/>
    <w:rsid w:val="000721DB"/>
    <w:rsid w:val="00072204"/>
    <w:rsid w:val="00074594"/>
    <w:rsid w:val="0007643F"/>
    <w:rsid w:val="00076BC7"/>
    <w:rsid w:val="00080294"/>
    <w:rsid w:val="000807B8"/>
    <w:rsid w:val="000816A7"/>
    <w:rsid w:val="00081E61"/>
    <w:rsid w:val="00083092"/>
    <w:rsid w:val="00084517"/>
    <w:rsid w:val="00084B65"/>
    <w:rsid w:val="00084EE8"/>
    <w:rsid w:val="000851E1"/>
    <w:rsid w:val="00085D77"/>
    <w:rsid w:val="00086EED"/>
    <w:rsid w:val="000871C3"/>
    <w:rsid w:val="00087B2C"/>
    <w:rsid w:val="000909E7"/>
    <w:rsid w:val="00091641"/>
    <w:rsid w:val="00091FEF"/>
    <w:rsid w:val="00092ACC"/>
    <w:rsid w:val="000934BB"/>
    <w:rsid w:val="0009465F"/>
    <w:rsid w:val="000972D1"/>
    <w:rsid w:val="000A0A96"/>
    <w:rsid w:val="000A2E28"/>
    <w:rsid w:val="000A3275"/>
    <w:rsid w:val="000A3FCD"/>
    <w:rsid w:val="000A6999"/>
    <w:rsid w:val="000A7522"/>
    <w:rsid w:val="000A7883"/>
    <w:rsid w:val="000A79D1"/>
    <w:rsid w:val="000A7E40"/>
    <w:rsid w:val="000B3E1A"/>
    <w:rsid w:val="000B3EDE"/>
    <w:rsid w:val="000B4241"/>
    <w:rsid w:val="000B5644"/>
    <w:rsid w:val="000B5A5E"/>
    <w:rsid w:val="000B5BB7"/>
    <w:rsid w:val="000B5E34"/>
    <w:rsid w:val="000B7A65"/>
    <w:rsid w:val="000C0B42"/>
    <w:rsid w:val="000C0C88"/>
    <w:rsid w:val="000C0D93"/>
    <w:rsid w:val="000C12B4"/>
    <w:rsid w:val="000C1559"/>
    <w:rsid w:val="000C176F"/>
    <w:rsid w:val="000C1AC3"/>
    <w:rsid w:val="000C1D77"/>
    <w:rsid w:val="000C237E"/>
    <w:rsid w:val="000C4739"/>
    <w:rsid w:val="000C5218"/>
    <w:rsid w:val="000C5638"/>
    <w:rsid w:val="000C56BA"/>
    <w:rsid w:val="000C56E5"/>
    <w:rsid w:val="000C56F3"/>
    <w:rsid w:val="000C6582"/>
    <w:rsid w:val="000C7465"/>
    <w:rsid w:val="000C7A61"/>
    <w:rsid w:val="000D019E"/>
    <w:rsid w:val="000D05F8"/>
    <w:rsid w:val="000D07FF"/>
    <w:rsid w:val="000D0C2A"/>
    <w:rsid w:val="000D2679"/>
    <w:rsid w:val="000D7E4E"/>
    <w:rsid w:val="000E1666"/>
    <w:rsid w:val="000E1BDC"/>
    <w:rsid w:val="000E36D3"/>
    <w:rsid w:val="000E38FB"/>
    <w:rsid w:val="000E3E65"/>
    <w:rsid w:val="000E5A00"/>
    <w:rsid w:val="000F00C2"/>
    <w:rsid w:val="000F08CB"/>
    <w:rsid w:val="000F157F"/>
    <w:rsid w:val="000F16E6"/>
    <w:rsid w:val="000F2527"/>
    <w:rsid w:val="000F2B07"/>
    <w:rsid w:val="000F2B58"/>
    <w:rsid w:val="000F306B"/>
    <w:rsid w:val="000F36A8"/>
    <w:rsid w:val="000F4674"/>
    <w:rsid w:val="000F7654"/>
    <w:rsid w:val="00101205"/>
    <w:rsid w:val="00102092"/>
    <w:rsid w:val="00105E55"/>
    <w:rsid w:val="0010655C"/>
    <w:rsid w:val="00107032"/>
    <w:rsid w:val="001072C1"/>
    <w:rsid w:val="001078A9"/>
    <w:rsid w:val="00110A7E"/>
    <w:rsid w:val="00111465"/>
    <w:rsid w:val="00112F25"/>
    <w:rsid w:val="00112F29"/>
    <w:rsid w:val="001137D7"/>
    <w:rsid w:val="00114CD8"/>
    <w:rsid w:val="0011627D"/>
    <w:rsid w:val="00117562"/>
    <w:rsid w:val="00120DB5"/>
    <w:rsid w:val="0012119F"/>
    <w:rsid w:val="00121896"/>
    <w:rsid w:val="001227F2"/>
    <w:rsid w:val="00122EE8"/>
    <w:rsid w:val="0012565D"/>
    <w:rsid w:val="001279BC"/>
    <w:rsid w:val="00131770"/>
    <w:rsid w:val="00131D65"/>
    <w:rsid w:val="00132FA2"/>
    <w:rsid w:val="00133D4E"/>
    <w:rsid w:val="0013413C"/>
    <w:rsid w:val="001344BC"/>
    <w:rsid w:val="00134AA8"/>
    <w:rsid w:val="001355A6"/>
    <w:rsid w:val="0013571B"/>
    <w:rsid w:val="00136AB3"/>
    <w:rsid w:val="0014011C"/>
    <w:rsid w:val="00140945"/>
    <w:rsid w:val="00140AF2"/>
    <w:rsid w:val="001410AA"/>
    <w:rsid w:val="001427BE"/>
    <w:rsid w:val="00145233"/>
    <w:rsid w:val="0014739F"/>
    <w:rsid w:val="001500F7"/>
    <w:rsid w:val="001501D1"/>
    <w:rsid w:val="001501EC"/>
    <w:rsid w:val="001508BF"/>
    <w:rsid w:val="00150F86"/>
    <w:rsid w:val="00151C43"/>
    <w:rsid w:val="0015294F"/>
    <w:rsid w:val="001529A7"/>
    <w:rsid w:val="001529A9"/>
    <w:rsid w:val="00153FC0"/>
    <w:rsid w:val="001544F3"/>
    <w:rsid w:val="0015511A"/>
    <w:rsid w:val="0015611D"/>
    <w:rsid w:val="001565F3"/>
    <w:rsid w:val="00161030"/>
    <w:rsid w:val="00163A02"/>
    <w:rsid w:val="00163D9D"/>
    <w:rsid w:val="00164CE8"/>
    <w:rsid w:val="00165F76"/>
    <w:rsid w:val="00166097"/>
    <w:rsid w:val="00166C43"/>
    <w:rsid w:val="001672D7"/>
    <w:rsid w:val="001673CC"/>
    <w:rsid w:val="00171B7A"/>
    <w:rsid w:val="001728FD"/>
    <w:rsid w:val="001739D0"/>
    <w:rsid w:val="00175A60"/>
    <w:rsid w:val="00175B0B"/>
    <w:rsid w:val="00176A73"/>
    <w:rsid w:val="00176BE5"/>
    <w:rsid w:val="00177B46"/>
    <w:rsid w:val="00182BA1"/>
    <w:rsid w:val="00182EC3"/>
    <w:rsid w:val="00183021"/>
    <w:rsid w:val="00183213"/>
    <w:rsid w:val="001846A8"/>
    <w:rsid w:val="001851E1"/>
    <w:rsid w:val="00185249"/>
    <w:rsid w:val="00186660"/>
    <w:rsid w:val="00190563"/>
    <w:rsid w:val="0019148D"/>
    <w:rsid w:val="00191540"/>
    <w:rsid w:val="00193C48"/>
    <w:rsid w:val="0019456E"/>
    <w:rsid w:val="0019461A"/>
    <w:rsid w:val="00196002"/>
    <w:rsid w:val="0019714E"/>
    <w:rsid w:val="0019759C"/>
    <w:rsid w:val="001A0CB5"/>
    <w:rsid w:val="001A125B"/>
    <w:rsid w:val="001A1672"/>
    <w:rsid w:val="001A5A8B"/>
    <w:rsid w:val="001B1377"/>
    <w:rsid w:val="001B1756"/>
    <w:rsid w:val="001B2472"/>
    <w:rsid w:val="001B275B"/>
    <w:rsid w:val="001B326A"/>
    <w:rsid w:val="001B4488"/>
    <w:rsid w:val="001B5536"/>
    <w:rsid w:val="001B56F9"/>
    <w:rsid w:val="001B6284"/>
    <w:rsid w:val="001B69EE"/>
    <w:rsid w:val="001B713C"/>
    <w:rsid w:val="001C079F"/>
    <w:rsid w:val="001C0C60"/>
    <w:rsid w:val="001C0DDB"/>
    <w:rsid w:val="001C221E"/>
    <w:rsid w:val="001C434E"/>
    <w:rsid w:val="001C46D2"/>
    <w:rsid w:val="001C626E"/>
    <w:rsid w:val="001C7056"/>
    <w:rsid w:val="001C741F"/>
    <w:rsid w:val="001C7604"/>
    <w:rsid w:val="001D0C6F"/>
    <w:rsid w:val="001D0E87"/>
    <w:rsid w:val="001D10B6"/>
    <w:rsid w:val="001D128E"/>
    <w:rsid w:val="001D1CCE"/>
    <w:rsid w:val="001D2BEA"/>
    <w:rsid w:val="001D4FC9"/>
    <w:rsid w:val="001D6920"/>
    <w:rsid w:val="001E074C"/>
    <w:rsid w:val="001E0BB3"/>
    <w:rsid w:val="001E100D"/>
    <w:rsid w:val="001E3D7E"/>
    <w:rsid w:val="001E4009"/>
    <w:rsid w:val="001E419D"/>
    <w:rsid w:val="001E639E"/>
    <w:rsid w:val="001E7F80"/>
    <w:rsid w:val="001F1202"/>
    <w:rsid w:val="001F1AC2"/>
    <w:rsid w:val="001F35D8"/>
    <w:rsid w:val="001F4333"/>
    <w:rsid w:val="001F552F"/>
    <w:rsid w:val="001F67AA"/>
    <w:rsid w:val="001F791D"/>
    <w:rsid w:val="0020067B"/>
    <w:rsid w:val="002029B1"/>
    <w:rsid w:val="00204CC1"/>
    <w:rsid w:val="00204D38"/>
    <w:rsid w:val="00205816"/>
    <w:rsid w:val="0020713F"/>
    <w:rsid w:val="0021018C"/>
    <w:rsid w:val="00212333"/>
    <w:rsid w:val="00213318"/>
    <w:rsid w:val="0021457C"/>
    <w:rsid w:val="00214A23"/>
    <w:rsid w:val="00216454"/>
    <w:rsid w:val="00216EFE"/>
    <w:rsid w:val="00220530"/>
    <w:rsid w:val="0022093B"/>
    <w:rsid w:val="00220C8C"/>
    <w:rsid w:val="00220D39"/>
    <w:rsid w:val="00221A13"/>
    <w:rsid w:val="00222D7A"/>
    <w:rsid w:val="002231BD"/>
    <w:rsid w:val="0022428B"/>
    <w:rsid w:val="0022742A"/>
    <w:rsid w:val="00230B84"/>
    <w:rsid w:val="002319FA"/>
    <w:rsid w:val="00232811"/>
    <w:rsid w:val="00234B4E"/>
    <w:rsid w:val="00235EFB"/>
    <w:rsid w:val="00237ECA"/>
    <w:rsid w:val="00237FD2"/>
    <w:rsid w:val="002421BB"/>
    <w:rsid w:val="00242AAF"/>
    <w:rsid w:val="00244603"/>
    <w:rsid w:val="00244DE8"/>
    <w:rsid w:val="00246C54"/>
    <w:rsid w:val="00246D0F"/>
    <w:rsid w:val="00247048"/>
    <w:rsid w:val="002470CE"/>
    <w:rsid w:val="002475FA"/>
    <w:rsid w:val="00247938"/>
    <w:rsid w:val="002525E6"/>
    <w:rsid w:val="00252D3C"/>
    <w:rsid w:val="0025387F"/>
    <w:rsid w:val="00254247"/>
    <w:rsid w:val="00254808"/>
    <w:rsid w:val="00254E59"/>
    <w:rsid w:val="00256A44"/>
    <w:rsid w:val="00256DF5"/>
    <w:rsid w:val="00257F18"/>
    <w:rsid w:val="00257FE5"/>
    <w:rsid w:val="00261995"/>
    <w:rsid w:val="00262314"/>
    <w:rsid w:val="00262D35"/>
    <w:rsid w:val="00262E28"/>
    <w:rsid w:val="002630A9"/>
    <w:rsid w:val="00263563"/>
    <w:rsid w:val="00266428"/>
    <w:rsid w:val="0026755A"/>
    <w:rsid w:val="00267AE5"/>
    <w:rsid w:val="00270E37"/>
    <w:rsid w:val="00270E83"/>
    <w:rsid w:val="00273887"/>
    <w:rsid w:val="00274B73"/>
    <w:rsid w:val="002771FA"/>
    <w:rsid w:val="002774F4"/>
    <w:rsid w:val="00277D2D"/>
    <w:rsid w:val="002814CA"/>
    <w:rsid w:val="0028191B"/>
    <w:rsid w:val="00281F1D"/>
    <w:rsid w:val="002821F1"/>
    <w:rsid w:val="002833D5"/>
    <w:rsid w:val="00283CB4"/>
    <w:rsid w:val="00284BDC"/>
    <w:rsid w:val="00285C15"/>
    <w:rsid w:val="00286675"/>
    <w:rsid w:val="00286E47"/>
    <w:rsid w:val="00290380"/>
    <w:rsid w:val="00293486"/>
    <w:rsid w:val="00293DFA"/>
    <w:rsid w:val="0029749F"/>
    <w:rsid w:val="00297C6A"/>
    <w:rsid w:val="002A0430"/>
    <w:rsid w:val="002A06DA"/>
    <w:rsid w:val="002A1F78"/>
    <w:rsid w:val="002A2800"/>
    <w:rsid w:val="002A2935"/>
    <w:rsid w:val="002A2A2E"/>
    <w:rsid w:val="002A2E99"/>
    <w:rsid w:val="002A3CB5"/>
    <w:rsid w:val="002A4745"/>
    <w:rsid w:val="002A5447"/>
    <w:rsid w:val="002A700B"/>
    <w:rsid w:val="002B019F"/>
    <w:rsid w:val="002B0268"/>
    <w:rsid w:val="002B0678"/>
    <w:rsid w:val="002B0C2A"/>
    <w:rsid w:val="002B0C4D"/>
    <w:rsid w:val="002B1B21"/>
    <w:rsid w:val="002B3060"/>
    <w:rsid w:val="002B32E2"/>
    <w:rsid w:val="002B55F0"/>
    <w:rsid w:val="002B67DD"/>
    <w:rsid w:val="002B7934"/>
    <w:rsid w:val="002B7C77"/>
    <w:rsid w:val="002B7F6A"/>
    <w:rsid w:val="002C00B2"/>
    <w:rsid w:val="002C0774"/>
    <w:rsid w:val="002C128E"/>
    <w:rsid w:val="002C4015"/>
    <w:rsid w:val="002C51B9"/>
    <w:rsid w:val="002C70F8"/>
    <w:rsid w:val="002D0514"/>
    <w:rsid w:val="002D20EB"/>
    <w:rsid w:val="002D4285"/>
    <w:rsid w:val="002D5583"/>
    <w:rsid w:val="002D649B"/>
    <w:rsid w:val="002D699A"/>
    <w:rsid w:val="002E0376"/>
    <w:rsid w:val="002E0634"/>
    <w:rsid w:val="002E1D90"/>
    <w:rsid w:val="002E3135"/>
    <w:rsid w:val="002E5D36"/>
    <w:rsid w:val="002E5EEB"/>
    <w:rsid w:val="002E6636"/>
    <w:rsid w:val="002E6AD8"/>
    <w:rsid w:val="002E74D6"/>
    <w:rsid w:val="002E7BFC"/>
    <w:rsid w:val="002E7F0A"/>
    <w:rsid w:val="002F30D2"/>
    <w:rsid w:val="002F3A80"/>
    <w:rsid w:val="002F3EE7"/>
    <w:rsid w:val="002F41B5"/>
    <w:rsid w:val="002F5CE7"/>
    <w:rsid w:val="002F638D"/>
    <w:rsid w:val="003021AA"/>
    <w:rsid w:val="00303206"/>
    <w:rsid w:val="0030325C"/>
    <w:rsid w:val="00303969"/>
    <w:rsid w:val="0030451E"/>
    <w:rsid w:val="00305541"/>
    <w:rsid w:val="00306B01"/>
    <w:rsid w:val="00306DE5"/>
    <w:rsid w:val="003126F0"/>
    <w:rsid w:val="003129DF"/>
    <w:rsid w:val="003142E7"/>
    <w:rsid w:val="00314714"/>
    <w:rsid w:val="00316754"/>
    <w:rsid w:val="003176F9"/>
    <w:rsid w:val="00320F27"/>
    <w:rsid w:val="00321A39"/>
    <w:rsid w:val="00327DE9"/>
    <w:rsid w:val="00330D0B"/>
    <w:rsid w:val="00331EB3"/>
    <w:rsid w:val="00331F62"/>
    <w:rsid w:val="00333A14"/>
    <w:rsid w:val="0033451B"/>
    <w:rsid w:val="00335A4B"/>
    <w:rsid w:val="00337496"/>
    <w:rsid w:val="003401D9"/>
    <w:rsid w:val="00340AD9"/>
    <w:rsid w:val="00341320"/>
    <w:rsid w:val="00341DF6"/>
    <w:rsid w:val="00342398"/>
    <w:rsid w:val="003429E9"/>
    <w:rsid w:val="00343CF1"/>
    <w:rsid w:val="00343FD1"/>
    <w:rsid w:val="003440A3"/>
    <w:rsid w:val="00345C20"/>
    <w:rsid w:val="00346BA7"/>
    <w:rsid w:val="00346D20"/>
    <w:rsid w:val="0034750C"/>
    <w:rsid w:val="003501FF"/>
    <w:rsid w:val="00350BF3"/>
    <w:rsid w:val="003522F4"/>
    <w:rsid w:val="003533AB"/>
    <w:rsid w:val="003545C6"/>
    <w:rsid w:val="00354BA6"/>
    <w:rsid w:val="003574A6"/>
    <w:rsid w:val="00357506"/>
    <w:rsid w:val="00357A8B"/>
    <w:rsid w:val="00357AD4"/>
    <w:rsid w:val="00360AA1"/>
    <w:rsid w:val="00361AD2"/>
    <w:rsid w:val="00362069"/>
    <w:rsid w:val="00362449"/>
    <w:rsid w:val="00362B6F"/>
    <w:rsid w:val="00362C3A"/>
    <w:rsid w:val="00363BA9"/>
    <w:rsid w:val="00363F0B"/>
    <w:rsid w:val="0036538C"/>
    <w:rsid w:val="00366626"/>
    <w:rsid w:val="003671A2"/>
    <w:rsid w:val="00367DBC"/>
    <w:rsid w:val="0037145C"/>
    <w:rsid w:val="0037194E"/>
    <w:rsid w:val="00371EB7"/>
    <w:rsid w:val="00372714"/>
    <w:rsid w:val="00372C20"/>
    <w:rsid w:val="00373CC9"/>
    <w:rsid w:val="003742B7"/>
    <w:rsid w:val="00374667"/>
    <w:rsid w:val="003761CC"/>
    <w:rsid w:val="00376BD9"/>
    <w:rsid w:val="00376EB5"/>
    <w:rsid w:val="00376EFC"/>
    <w:rsid w:val="00377036"/>
    <w:rsid w:val="003771E6"/>
    <w:rsid w:val="0038013A"/>
    <w:rsid w:val="00380503"/>
    <w:rsid w:val="00380E99"/>
    <w:rsid w:val="00381E80"/>
    <w:rsid w:val="00382305"/>
    <w:rsid w:val="003828A1"/>
    <w:rsid w:val="00382F5E"/>
    <w:rsid w:val="00383187"/>
    <w:rsid w:val="003843D6"/>
    <w:rsid w:val="00384549"/>
    <w:rsid w:val="0038484E"/>
    <w:rsid w:val="00386631"/>
    <w:rsid w:val="00387786"/>
    <w:rsid w:val="00390E76"/>
    <w:rsid w:val="00391497"/>
    <w:rsid w:val="00392B3F"/>
    <w:rsid w:val="00394A83"/>
    <w:rsid w:val="003962F9"/>
    <w:rsid w:val="003A1C71"/>
    <w:rsid w:val="003A2ABD"/>
    <w:rsid w:val="003A2E3D"/>
    <w:rsid w:val="003A4FC3"/>
    <w:rsid w:val="003A55CC"/>
    <w:rsid w:val="003A5F9D"/>
    <w:rsid w:val="003A64D9"/>
    <w:rsid w:val="003A6CF2"/>
    <w:rsid w:val="003B09B6"/>
    <w:rsid w:val="003B0BB9"/>
    <w:rsid w:val="003B0E0B"/>
    <w:rsid w:val="003B12FC"/>
    <w:rsid w:val="003B2BFF"/>
    <w:rsid w:val="003B37AE"/>
    <w:rsid w:val="003B4D17"/>
    <w:rsid w:val="003B4F05"/>
    <w:rsid w:val="003B540B"/>
    <w:rsid w:val="003B5625"/>
    <w:rsid w:val="003B60D6"/>
    <w:rsid w:val="003B7AFD"/>
    <w:rsid w:val="003C0D0E"/>
    <w:rsid w:val="003C48E2"/>
    <w:rsid w:val="003C4969"/>
    <w:rsid w:val="003C623B"/>
    <w:rsid w:val="003C6902"/>
    <w:rsid w:val="003C6A5D"/>
    <w:rsid w:val="003C7797"/>
    <w:rsid w:val="003D1855"/>
    <w:rsid w:val="003D1877"/>
    <w:rsid w:val="003D1A6F"/>
    <w:rsid w:val="003D1A78"/>
    <w:rsid w:val="003D3013"/>
    <w:rsid w:val="003D3337"/>
    <w:rsid w:val="003D4D17"/>
    <w:rsid w:val="003D4FA3"/>
    <w:rsid w:val="003D5A2E"/>
    <w:rsid w:val="003D6939"/>
    <w:rsid w:val="003D6D4D"/>
    <w:rsid w:val="003D6E9A"/>
    <w:rsid w:val="003D71E9"/>
    <w:rsid w:val="003E00DC"/>
    <w:rsid w:val="003E1578"/>
    <w:rsid w:val="003E3121"/>
    <w:rsid w:val="003E34FE"/>
    <w:rsid w:val="003E6150"/>
    <w:rsid w:val="003E7FBC"/>
    <w:rsid w:val="003F1593"/>
    <w:rsid w:val="003F1BC7"/>
    <w:rsid w:val="003F1F03"/>
    <w:rsid w:val="003F2B7F"/>
    <w:rsid w:val="003F2E98"/>
    <w:rsid w:val="003F3A55"/>
    <w:rsid w:val="003F3B9C"/>
    <w:rsid w:val="003F3C2B"/>
    <w:rsid w:val="003F3DD9"/>
    <w:rsid w:val="003F4A52"/>
    <w:rsid w:val="003F5FDE"/>
    <w:rsid w:val="003F7105"/>
    <w:rsid w:val="003F75F7"/>
    <w:rsid w:val="00400197"/>
    <w:rsid w:val="00400A05"/>
    <w:rsid w:val="0040101D"/>
    <w:rsid w:val="00401350"/>
    <w:rsid w:val="0040229B"/>
    <w:rsid w:val="004033FA"/>
    <w:rsid w:val="004037F0"/>
    <w:rsid w:val="00404C6C"/>
    <w:rsid w:val="00405B90"/>
    <w:rsid w:val="00405FA7"/>
    <w:rsid w:val="00406153"/>
    <w:rsid w:val="0040634C"/>
    <w:rsid w:val="00411972"/>
    <w:rsid w:val="00412465"/>
    <w:rsid w:val="0041323A"/>
    <w:rsid w:val="004134BE"/>
    <w:rsid w:val="00414926"/>
    <w:rsid w:val="004153FF"/>
    <w:rsid w:val="004166A2"/>
    <w:rsid w:val="00416794"/>
    <w:rsid w:val="00420126"/>
    <w:rsid w:val="00420380"/>
    <w:rsid w:val="004204FB"/>
    <w:rsid w:val="00421CAE"/>
    <w:rsid w:val="00425870"/>
    <w:rsid w:val="00425BAA"/>
    <w:rsid w:val="00426406"/>
    <w:rsid w:val="00426B4D"/>
    <w:rsid w:val="00427B7B"/>
    <w:rsid w:val="00427CF7"/>
    <w:rsid w:val="00430050"/>
    <w:rsid w:val="004304AC"/>
    <w:rsid w:val="00431027"/>
    <w:rsid w:val="00431E49"/>
    <w:rsid w:val="004325EB"/>
    <w:rsid w:val="00432F5D"/>
    <w:rsid w:val="004331A6"/>
    <w:rsid w:val="0043340A"/>
    <w:rsid w:val="00434045"/>
    <w:rsid w:val="004348AE"/>
    <w:rsid w:val="00434F15"/>
    <w:rsid w:val="00436073"/>
    <w:rsid w:val="004374A2"/>
    <w:rsid w:val="004405B0"/>
    <w:rsid w:val="00440AA7"/>
    <w:rsid w:val="004424B8"/>
    <w:rsid w:val="004424BE"/>
    <w:rsid w:val="0044612B"/>
    <w:rsid w:val="0044669C"/>
    <w:rsid w:val="00447860"/>
    <w:rsid w:val="00450382"/>
    <w:rsid w:val="00450711"/>
    <w:rsid w:val="00454522"/>
    <w:rsid w:val="00457061"/>
    <w:rsid w:val="0046051E"/>
    <w:rsid w:val="00461681"/>
    <w:rsid w:val="00461688"/>
    <w:rsid w:val="0046198F"/>
    <w:rsid w:val="00461F78"/>
    <w:rsid w:val="00462F04"/>
    <w:rsid w:val="00463DAC"/>
    <w:rsid w:val="00463E6C"/>
    <w:rsid w:val="004647F9"/>
    <w:rsid w:val="00466ACA"/>
    <w:rsid w:val="00466EF5"/>
    <w:rsid w:val="00467F3D"/>
    <w:rsid w:val="004768BF"/>
    <w:rsid w:val="004768E5"/>
    <w:rsid w:val="0047697D"/>
    <w:rsid w:val="0047773C"/>
    <w:rsid w:val="004777FA"/>
    <w:rsid w:val="0048007C"/>
    <w:rsid w:val="00480235"/>
    <w:rsid w:val="00480648"/>
    <w:rsid w:val="004815BC"/>
    <w:rsid w:val="00481CCF"/>
    <w:rsid w:val="004833EE"/>
    <w:rsid w:val="00486A58"/>
    <w:rsid w:val="00486F85"/>
    <w:rsid w:val="00487772"/>
    <w:rsid w:val="004877B4"/>
    <w:rsid w:val="00487B52"/>
    <w:rsid w:val="00491188"/>
    <w:rsid w:val="0049220C"/>
    <w:rsid w:val="00494135"/>
    <w:rsid w:val="0049566C"/>
    <w:rsid w:val="004959BC"/>
    <w:rsid w:val="00497D53"/>
    <w:rsid w:val="004A09B9"/>
    <w:rsid w:val="004A0DAC"/>
    <w:rsid w:val="004A0E96"/>
    <w:rsid w:val="004A1C3C"/>
    <w:rsid w:val="004A4C5A"/>
    <w:rsid w:val="004A5503"/>
    <w:rsid w:val="004A5F97"/>
    <w:rsid w:val="004B0BFE"/>
    <w:rsid w:val="004B0F97"/>
    <w:rsid w:val="004B4540"/>
    <w:rsid w:val="004B4951"/>
    <w:rsid w:val="004B5460"/>
    <w:rsid w:val="004B66E4"/>
    <w:rsid w:val="004B7223"/>
    <w:rsid w:val="004C0855"/>
    <w:rsid w:val="004C171A"/>
    <w:rsid w:val="004C4857"/>
    <w:rsid w:val="004C6E2D"/>
    <w:rsid w:val="004D01C9"/>
    <w:rsid w:val="004D122F"/>
    <w:rsid w:val="004D1D2E"/>
    <w:rsid w:val="004D2845"/>
    <w:rsid w:val="004D2F71"/>
    <w:rsid w:val="004D2F86"/>
    <w:rsid w:val="004D38EB"/>
    <w:rsid w:val="004D5B08"/>
    <w:rsid w:val="004D7A7C"/>
    <w:rsid w:val="004E060B"/>
    <w:rsid w:val="004E1EFD"/>
    <w:rsid w:val="004E1FFC"/>
    <w:rsid w:val="004E2727"/>
    <w:rsid w:val="004E3D26"/>
    <w:rsid w:val="004E3DDF"/>
    <w:rsid w:val="004E7D21"/>
    <w:rsid w:val="004F0B10"/>
    <w:rsid w:val="004F165E"/>
    <w:rsid w:val="004F179E"/>
    <w:rsid w:val="004F285D"/>
    <w:rsid w:val="004F2F35"/>
    <w:rsid w:val="004F613D"/>
    <w:rsid w:val="004F6E45"/>
    <w:rsid w:val="004F793D"/>
    <w:rsid w:val="005003D0"/>
    <w:rsid w:val="00500DA5"/>
    <w:rsid w:val="00501263"/>
    <w:rsid w:val="005029A8"/>
    <w:rsid w:val="00502F26"/>
    <w:rsid w:val="00504668"/>
    <w:rsid w:val="0050567F"/>
    <w:rsid w:val="00506251"/>
    <w:rsid w:val="0051017C"/>
    <w:rsid w:val="00511EBA"/>
    <w:rsid w:val="005131B1"/>
    <w:rsid w:val="0051370E"/>
    <w:rsid w:val="00513D44"/>
    <w:rsid w:val="00514B64"/>
    <w:rsid w:val="00516975"/>
    <w:rsid w:val="00517CD9"/>
    <w:rsid w:val="00520A2A"/>
    <w:rsid w:val="0052143A"/>
    <w:rsid w:val="00522090"/>
    <w:rsid w:val="005222E2"/>
    <w:rsid w:val="005226D5"/>
    <w:rsid w:val="00523283"/>
    <w:rsid w:val="005239A6"/>
    <w:rsid w:val="00523AEE"/>
    <w:rsid w:val="005269E6"/>
    <w:rsid w:val="005269EA"/>
    <w:rsid w:val="005272B9"/>
    <w:rsid w:val="005276C5"/>
    <w:rsid w:val="00527857"/>
    <w:rsid w:val="00530632"/>
    <w:rsid w:val="00530D9D"/>
    <w:rsid w:val="00530E96"/>
    <w:rsid w:val="00531262"/>
    <w:rsid w:val="00531CE9"/>
    <w:rsid w:val="00532185"/>
    <w:rsid w:val="00532D45"/>
    <w:rsid w:val="005330BC"/>
    <w:rsid w:val="00534D70"/>
    <w:rsid w:val="0053536A"/>
    <w:rsid w:val="0053599E"/>
    <w:rsid w:val="00544C22"/>
    <w:rsid w:val="00544F6E"/>
    <w:rsid w:val="00545AB8"/>
    <w:rsid w:val="00546194"/>
    <w:rsid w:val="00546DF3"/>
    <w:rsid w:val="005479E9"/>
    <w:rsid w:val="00547CA7"/>
    <w:rsid w:val="00551570"/>
    <w:rsid w:val="00551948"/>
    <w:rsid w:val="00551B79"/>
    <w:rsid w:val="0055276F"/>
    <w:rsid w:val="00553139"/>
    <w:rsid w:val="005557DB"/>
    <w:rsid w:val="00560D0C"/>
    <w:rsid w:val="005613F9"/>
    <w:rsid w:val="005627E7"/>
    <w:rsid w:val="00562BE8"/>
    <w:rsid w:val="00562C5D"/>
    <w:rsid w:val="005631D9"/>
    <w:rsid w:val="00563A24"/>
    <w:rsid w:val="00563C4B"/>
    <w:rsid w:val="00563DD5"/>
    <w:rsid w:val="0056419A"/>
    <w:rsid w:val="00564994"/>
    <w:rsid w:val="00565751"/>
    <w:rsid w:val="005675A0"/>
    <w:rsid w:val="005676D7"/>
    <w:rsid w:val="00567BEB"/>
    <w:rsid w:val="0057077F"/>
    <w:rsid w:val="00570900"/>
    <w:rsid w:val="00570F8B"/>
    <w:rsid w:val="0057111F"/>
    <w:rsid w:val="0057183B"/>
    <w:rsid w:val="00571DBC"/>
    <w:rsid w:val="00571EBA"/>
    <w:rsid w:val="00571F80"/>
    <w:rsid w:val="00572CA4"/>
    <w:rsid w:val="00573445"/>
    <w:rsid w:val="00573EED"/>
    <w:rsid w:val="00574381"/>
    <w:rsid w:val="00577C61"/>
    <w:rsid w:val="00581219"/>
    <w:rsid w:val="00581C0B"/>
    <w:rsid w:val="00582985"/>
    <w:rsid w:val="00583152"/>
    <w:rsid w:val="005845D7"/>
    <w:rsid w:val="00584A64"/>
    <w:rsid w:val="00584ABE"/>
    <w:rsid w:val="00585C79"/>
    <w:rsid w:val="00585FEE"/>
    <w:rsid w:val="005860A3"/>
    <w:rsid w:val="00586F9F"/>
    <w:rsid w:val="005873BF"/>
    <w:rsid w:val="00587C94"/>
    <w:rsid w:val="005905D0"/>
    <w:rsid w:val="00590FEB"/>
    <w:rsid w:val="005917A0"/>
    <w:rsid w:val="00592309"/>
    <w:rsid w:val="00592546"/>
    <w:rsid w:val="00592B0E"/>
    <w:rsid w:val="00592CD9"/>
    <w:rsid w:val="00593257"/>
    <w:rsid w:val="00594C43"/>
    <w:rsid w:val="005957EA"/>
    <w:rsid w:val="00595AD6"/>
    <w:rsid w:val="00596AEE"/>
    <w:rsid w:val="00597400"/>
    <w:rsid w:val="005979EA"/>
    <w:rsid w:val="005A0095"/>
    <w:rsid w:val="005A01BC"/>
    <w:rsid w:val="005A1321"/>
    <w:rsid w:val="005A2F9C"/>
    <w:rsid w:val="005A6942"/>
    <w:rsid w:val="005A6B89"/>
    <w:rsid w:val="005A6E84"/>
    <w:rsid w:val="005B1035"/>
    <w:rsid w:val="005B2278"/>
    <w:rsid w:val="005B3AAB"/>
    <w:rsid w:val="005B3C3D"/>
    <w:rsid w:val="005B4541"/>
    <w:rsid w:val="005B4B6E"/>
    <w:rsid w:val="005B501B"/>
    <w:rsid w:val="005B5287"/>
    <w:rsid w:val="005B52B4"/>
    <w:rsid w:val="005B5D19"/>
    <w:rsid w:val="005B5F46"/>
    <w:rsid w:val="005B7001"/>
    <w:rsid w:val="005B7769"/>
    <w:rsid w:val="005C0921"/>
    <w:rsid w:val="005C13D0"/>
    <w:rsid w:val="005C1B6F"/>
    <w:rsid w:val="005C3187"/>
    <w:rsid w:val="005C342F"/>
    <w:rsid w:val="005C423F"/>
    <w:rsid w:val="005C4CF5"/>
    <w:rsid w:val="005C7653"/>
    <w:rsid w:val="005D0648"/>
    <w:rsid w:val="005D0D22"/>
    <w:rsid w:val="005D12DC"/>
    <w:rsid w:val="005D54C5"/>
    <w:rsid w:val="005D616C"/>
    <w:rsid w:val="005D6F25"/>
    <w:rsid w:val="005D7941"/>
    <w:rsid w:val="005E08B7"/>
    <w:rsid w:val="005E1600"/>
    <w:rsid w:val="005E1BD6"/>
    <w:rsid w:val="005E23B5"/>
    <w:rsid w:val="005E3F55"/>
    <w:rsid w:val="005E47A7"/>
    <w:rsid w:val="005E4967"/>
    <w:rsid w:val="005F025E"/>
    <w:rsid w:val="005F12C5"/>
    <w:rsid w:val="005F1859"/>
    <w:rsid w:val="005F4522"/>
    <w:rsid w:val="005F460A"/>
    <w:rsid w:val="005F65B4"/>
    <w:rsid w:val="005F6B4C"/>
    <w:rsid w:val="005F7214"/>
    <w:rsid w:val="00600619"/>
    <w:rsid w:val="006010B0"/>
    <w:rsid w:val="0060129F"/>
    <w:rsid w:val="00601C54"/>
    <w:rsid w:val="0060326D"/>
    <w:rsid w:val="006038A1"/>
    <w:rsid w:val="0060586B"/>
    <w:rsid w:val="00605A70"/>
    <w:rsid w:val="006136C5"/>
    <w:rsid w:val="00614447"/>
    <w:rsid w:val="0061498C"/>
    <w:rsid w:val="00615FCD"/>
    <w:rsid w:val="006162B9"/>
    <w:rsid w:val="00617955"/>
    <w:rsid w:val="006237EF"/>
    <w:rsid w:val="006247AF"/>
    <w:rsid w:val="006253F9"/>
    <w:rsid w:val="0062543A"/>
    <w:rsid w:val="00625C76"/>
    <w:rsid w:val="006260CC"/>
    <w:rsid w:val="00626457"/>
    <w:rsid w:val="00627265"/>
    <w:rsid w:val="00627335"/>
    <w:rsid w:val="006307B4"/>
    <w:rsid w:val="00630C51"/>
    <w:rsid w:val="00630D65"/>
    <w:rsid w:val="0063444F"/>
    <w:rsid w:val="0063578E"/>
    <w:rsid w:val="0063594C"/>
    <w:rsid w:val="006364DE"/>
    <w:rsid w:val="00636A5D"/>
    <w:rsid w:val="00636D2D"/>
    <w:rsid w:val="00637077"/>
    <w:rsid w:val="00637F2E"/>
    <w:rsid w:val="00640427"/>
    <w:rsid w:val="00640E60"/>
    <w:rsid w:val="00640F63"/>
    <w:rsid w:val="00641B40"/>
    <w:rsid w:val="00641DA9"/>
    <w:rsid w:val="00642628"/>
    <w:rsid w:val="006432BC"/>
    <w:rsid w:val="00644BC6"/>
    <w:rsid w:val="00645926"/>
    <w:rsid w:val="00645CDE"/>
    <w:rsid w:val="006460BE"/>
    <w:rsid w:val="00650BC1"/>
    <w:rsid w:val="00650C37"/>
    <w:rsid w:val="00655495"/>
    <w:rsid w:val="0065563B"/>
    <w:rsid w:val="006606F9"/>
    <w:rsid w:val="00662B77"/>
    <w:rsid w:val="006630BB"/>
    <w:rsid w:val="00663373"/>
    <w:rsid w:val="006661EA"/>
    <w:rsid w:val="00666485"/>
    <w:rsid w:val="0066665B"/>
    <w:rsid w:val="006705BB"/>
    <w:rsid w:val="00670DA0"/>
    <w:rsid w:val="006715C5"/>
    <w:rsid w:val="006718E7"/>
    <w:rsid w:val="0067234C"/>
    <w:rsid w:val="00672604"/>
    <w:rsid w:val="006726C0"/>
    <w:rsid w:val="00672ACC"/>
    <w:rsid w:val="0067406A"/>
    <w:rsid w:val="00674E41"/>
    <w:rsid w:val="0067570B"/>
    <w:rsid w:val="0067580A"/>
    <w:rsid w:val="00676983"/>
    <w:rsid w:val="00677446"/>
    <w:rsid w:val="0068022A"/>
    <w:rsid w:val="0068101B"/>
    <w:rsid w:val="0068174A"/>
    <w:rsid w:val="006835AF"/>
    <w:rsid w:val="00683874"/>
    <w:rsid w:val="00683B8D"/>
    <w:rsid w:val="006861EA"/>
    <w:rsid w:val="006879F0"/>
    <w:rsid w:val="006906AA"/>
    <w:rsid w:val="00690761"/>
    <w:rsid w:val="0069183D"/>
    <w:rsid w:val="00691911"/>
    <w:rsid w:val="006922F9"/>
    <w:rsid w:val="00692DD8"/>
    <w:rsid w:val="006932E5"/>
    <w:rsid w:val="00693991"/>
    <w:rsid w:val="00694A2C"/>
    <w:rsid w:val="0069524D"/>
    <w:rsid w:val="00696B67"/>
    <w:rsid w:val="00697946"/>
    <w:rsid w:val="006A04A2"/>
    <w:rsid w:val="006A0D8C"/>
    <w:rsid w:val="006A470C"/>
    <w:rsid w:val="006B2167"/>
    <w:rsid w:val="006B3829"/>
    <w:rsid w:val="006B5254"/>
    <w:rsid w:val="006B669A"/>
    <w:rsid w:val="006C157C"/>
    <w:rsid w:val="006C1BC5"/>
    <w:rsid w:val="006C310E"/>
    <w:rsid w:val="006C3442"/>
    <w:rsid w:val="006C54E4"/>
    <w:rsid w:val="006C54EF"/>
    <w:rsid w:val="006C610B"/>
    <w:rsid w:val="006D1901"/>
    <w:rsid w:val="006D4BBF"/>
    <w:rsid w:val="006D4DEC"/>
    <w:rsid w:val="006D4F21"/>
    <w:rsid w:val="006D4FD0"/>
    <w:rsid w:val="006D525A"/>
    <w:rsid w:val="006D5D71"/>
    <w:rsid w:val="006D6CFC"/>
    <w:rsid w:val="006E054F"/>
    <w:rsid w:val="006E1969"/>
    <w:rsid w:val="006E56CF"/>
    <w:rsid w:val="006E75E2"/>
    <w:rsid w:val="006E7E12"/>
    <w:rsid w:val="006F2106"/>
    <w:rsid w:val="006F389B"/>
    <w:rsid w:val="006F3C1A"/>
    <w:rsid w:val="006F462F"/>
    <w:rsid w:val="006F61B9"/>
    <w:rsid w:val="006F637F"/>
    <w:rsid w:val="007017DB"/>
    <w:rsid w:val="00701A82"/>
    <w:rsid w:val="007037CE"/>
    <w:rsid w:val="00704DAE"/>
    <w:rsid w:val="00707362"/>
    <w:rsid w:val="00710321"/>
    <w:rsid w:val="00710AD4"/>
    <w:rsid w:val="0071170A"/>
    <w:rsid w:val="007129AF"/>
    <w:rsid w:val="007149D7"/>
    <w:rsid w:val="00715290"/>
    <w:rsid w:val="007155F4"/>
    <w:rsid w:val="00715BA1"/>
    <w:rsid w:val="00715D53"/>
    <w:rsid w:val="007162F9"/>
    <w:rsid w:val="00716384"/>
    <w:rsid w:val="00716993"/>
    <w:rsid w:val="00717373"/>
    <w:rsid w:val="00717B82"/>
    <w:rsid w:val="00721F3C"/>
    <w:rsid w:val="00722A70"/>
    <w:rsid w:val="0072317F"/>
    <w:rsid w:val="00724A24"/>
    <w:rsid w:val="00724B3E"/>
    <w:rsid w:val="0072671D"/>
    <w:rsid w:val="0072694B"/>
    <w:rsid w:val="00727545"/>
    <w:rsid w:val="00727A6E"/>
    <w:rsid w:val="007300B2"/>
    <w:rsid w:val="007303C5"/>
    <w:rsid w:val="00730A31"/>
    <w:rsid w:val="007325FF"/>
    <w:rsid w:val="00733295"/>
    <w:rsid w:val="007338A8"/>
    <w:rsid w:val="00733CDB"/>
    <w:rsid w:val="00734099"/>
    <w:rsid w:val="007340D6"/>
    <w:rsid w:val="007344D7"/>
    <w:rsid w:val="007346EA"/>
    <w:rsid w:val="00734C42"/>
    <w:rsid w:val="0073527D"/>
    <w:rsid w:val="00735F75"/>
    <w:rsid w:val="00736B45"/>
    <w:rsid w:val="00736F32"/>
    <w:rsid w:val="00740A38"/>
    <w:rsid w:val="00741509"/>
    <w:rsid w:val="00742273"/>
    <w:rsid w:val="00745294"/>
    <w:rsid w:val="00746084"/>
    <w:rsid w:val="007472C1"/>
    <w:rsid w:val="007477E7"/>
    <w:rsid w:val="007507E9"/>
    <w:rsid w:val="00750E54"/>
    <w:rsid w:val="00751188"/>
    <w:rsid w:val="007537BF"/>
    <w:rsid w:val="00753F66"/>
    <w:rsid w:val="0075427A"/>
    <w:rsid w:val="0075588F"/>
    <w:rsid w:val="00756B7C"/>
    <w:rsid w:val="00760322"/>
    <w:rsid w:val="007609EC"/>
    <w:rsid w:val="00760D12"/>
    <w:rsid w:val="007615D3"/>
    <w:rsid w:val="0076166F"/>
    <w:rsid w:val="00761CDA"/>
    <w:rsid w:val="00762883"/>
    <w:rsid w:val="00762EF3"/>
    <w:rsid w:val="00763227"/>
    <w:rsid w:val="0076358C"/>
    <w:rsid w:val="0076482F"/>
    <w:rsid w:val="00765D2E"/>
    <w:rsid w:val="00770124"/>
    <w:rsid w:val="00770F46"/>
    <w:rsid w:val="00774474"/>
    <w:rsid w:val="00774980"/>
    <w:rsid w:val="007769AD"/>
    <w:rsid w:val="00781799"/>
    <w:rsid w:val="00781B4C"/>
    <w:rsid w:val="00782F3B"/>
    <w:rsid w:val="0078437C"/>
    <w:rsid w:val="0078521E"/>
    <w:rsid w:val="00785CE3"/>
    <w:rsid w:val="007879FE"/>
    <w:rsid w:val="00787EBD"/>
    <w:rsid w:val="0079054F"/>
    <w:rsid w:val="007938CA"/>
    <w:rsid w:val="0079628B"/>
    <w:rsid w:val="00796786"/>
    <w:rsid w:val="00796797"/>
    <w:rsid w:val="007967E2"/>
    <w:rsid w:val="007A0FC9"/>
    <w:rsid w:val="007A2A1F"/>
    <w:rsid w:val="007A3779"/>
    <w:rsid w:val="007A43EF"/>
    <w:rsid w:val="007A52B7"/>
    <w:rsid w:val="007A57E7"/>
    <w:rsid w:val="007A79B4"/>
    <w:rsid w:val="007A7B28"/>
    <w:rsid w:val="007B035D"/>
    <w:rsid w:val="007B2C66"/>
    <w:rsid w:val="007B4903"/>
    <w:rsid w:val="007B4CF7"/>
    <w:rsid w:val="007B5981"/>
    <w:rsid w:val="007B66F4"/>
    <w:rsid w:val="007B684E"/>
    <w:rsid w:val="007C0D3D"/>
    <w:rsid w:val="007C2CCA"/>
    <w:rsid w:val="007C32A4"/>
    <w:rsid w:val="007C6074"/>
    <w:rsid w:val="007C632C"/>
    <w:rsid w:val="007C68E1"/>
    <w:rsid w:val="007C7B60"/>
    <w:rsid w:val="007D03A4"/>
    <w:rsid w:val="007D2377"/>
    <w:rsid w:val="007D4A92"/>
    <w:rsid w:val="007D58B1"/>
    <w:rsid w:val="007D5EC8"/>
    <w:rsid w:val="007E01D7"/>
    <w:rsid w:val="007E3D97"/>
    <w:rsid w:val="007E43FB"/>
    <w:rsid w:val="007E46B4"/>
    <w:rsid w:val="007E5CEE"/>
    <w:rsid w:val="007E5EC1"/>
    <w:rsid w:val="007E735C"/>
    <w:rsid w:val="007E73D3"/>
    <w:rsid w:val="007F0150"/>
    <w:rsid w:val="007F3D25"/>
    <w:rsid w:val="007F4582"/>
    <w:rsid w:val="007F5024"/>
    <w:rsid w:val="007F58F4"/>
    <w:rsid w:val="007F5B55"/>
    <w:rsid w:val="007F5B66"/>
    <w:rsid w:val="007F66EA"/>
    <w:rsid w:val="0080022C"/>
    <w:rsid w:val="008009F3"/>
    <w:rsid w:val="00802C2A"/>
    <w:rsid w:val="0080371B"/>
    <w:rsid w:val="00803F50"/>
    <w:rsid w:val="00804127"/>
    <w:rsid w:val="0080417A"/>
    <w:rsid w:val="00807E7F"/>
    <w:rsid w:val="00812171"/>
    <w:rsid w:val="00812D48"/>
    <w:rsid w:val="00813930"/>
    <w:rsid w:val="0081508A"/>
    <w:rsid w:val="00815292"/>
    <w:rsid w:val="00815570"/>
    <w:rsid w:val="00815A42"/>
    <w:rsid w:val="00816CAE"/>
    <w:rsid w:val="00816D2B"/>
    <w:rsid w:val="00816F53"/>
    <w:rsid w:val="008210D8"/>
    <w:rsid w:val="00823BE6"/>
    <w:rsid w:val="00823E8D"/>
    <w:rsid w:val="00824159"/>
    <w:rsid w:val="0082421C"/>
    <w:rsid w:val="008242CE"/>
    <w:rsid w:val="00824354"/>
    <w:rsid w:val="00827E9A"/>
    <w:rsid w:val="008302A5"/>
    <w:rsid w:val="00830A66"/>
    <w:rsid w:val="00830A6D"/>
    <w:rsid w:val="008310A9"/>
    <w:rsid w:val="00831D1E"/>
    <w:rsid w:val="00832E45"/>
    <w:rsid w:val="008339F6"/>
    <w:rsid w:val="008362C9"/>
    <w:rsid w:val="00836B97"/>
    <w:rsid w:val="00840331"/>
    <w:rsid w:val="00840A55"/>
    <w:rsid w:val="008412EF"/>
    <w:rsid w:val="00841618"/>
    <w:rsid w:val="008441C0"/>
    <w:rsid w:val="00845DC9"/>
    <w:rsid w:val="008466E5"/>
    <w:rsid w:val="00846D77"/>
    <w:rsid w:val="00851988"/>
    <w:rsid w:val="0085296B"/>
    <w:rsid w:val="00852C34"/>
    <w:rsid w:val="008533C4"/>
    <w:rsid w:val="00853819"/>
    <w:rsid w:val="00853E06"/>
    <w:rsid w:val="0085554E"/>
    <w:rsid w:val="00855974"/>
    <w:rsid w:val="00856F2B"/>
    <w:rsid w:val="00857509"/>
    <w:rsid w:val="00860000"/>
    <w:rsid w:val="00860147"/>
    <w:rsid w:val="00860B54"/>
    <w:rsid w:val="00860DE1"/>
    <w:rsid w:val="00860E7E"/>
    <w:rsid w:val="00861E52"/>
    <w:rsid w:val="00861FCF"/>
    <w:rsid w:val="0086306E"/>
    <w:rsid w:val="008633E7"/>
    <w:rsid w:val="00864069"/>
    <w:rsid w:val="00865511"/>
    <w:rsid w:val="008664DE"/>
    <w:rsid w:val="008670A4"/>
    <w:rsid w:val="00867A2A"/>
    <w:rsid w:val="00867BAA"/>
    <w:rsid w:val="008702D0"/>
    <w:rsid w:val="00870FD5"/>
    <w:rsid w:val="0087223C"/>
    <w:rsid w:val="00872748"/>
    <w:rsid w:val="008727EC"/>
    <w:rsid w:val="008745F9"/>
    <w:rsid w:val="008746A1"/>
    <w:rsid w:val="0087555B"/>
    <w:rsid w:val="00875A47"/>
    <w:rsid w:val="008761E4"/>
    <w:rsid w:val="00876264"/>
    <w:rsid w:val="00876300"/>
    <w:rsid w:val="008764A0"/>
    <w:rsid w:val="008766E7"/>
    <w:rsid w:val="00880300"/>
    <w:rsid w:val="00880593"/>
    <w:rsid w:val="008807A3"/>
    <w:rsid w:val="00881ACE"/>
    <w:rsid w:val="00881C55"/>
    <w:rsid w:val="00882E91"/>
    <w:rsid w:val="00885924"/>
    <w:rsid w:val="008870CF"/>
    <w:rsid w:val="00891129"/>
    <w:rsid w:val="008911A6"/>
    <w:rsid w:val="00891C6F"/>
    <w:rsid w:val="00892B6F"/>
    <w:rsid w:val="00893571"/>
    <w:rsid w:val="008942D7"/>
    <w:rsid w:val="00895EA7"/>
    <w:rsid w:val="008961EE"/>
    <w:rsid w:val="00896F2C"/>
    <w:rsid w:val="00897093"/>
    <w:rsid w:val="0089766C"/>
    <w:rsid w:val="008A039B"/>
    <w:rsid w:val="008A06ED"/>
    <w:rsid w:val="008A1B2B"/>
    <w:rsid w:val="008A4E3F"/>
    <w:rsid w:val="008A581E"/>
    <w:rsid w:val="008A5B2D"/>
    <w:rsid w:val="008A62CB"/>
    <w:rsid w:val="008A6B06"/>
    <w:rsid w:val="008B53D6"/>
    <w:rsid w:val="008B5565"/>
    <w:rsid w:val="008B5869"/>
    <w:rsid w:val="008B749D"/>
    <w:rsid w:val="008C056E"/>
    <w:rsid w:val="008C2F41"/>
    <w:rsid w:val="008C6A01"/>
    <w:rsid w:val="008C71AB"/>
    <w:rsid w:val="008C766D"/>
    <w:rsid w:val="008D0385"/>
    <w:rsid w:val="008D24D2"/>
    <w:rsid w:val="008D3272"/>
    <w:rsid w:val="008D4BCF"/>
    <w:rsid w:val="008D4D09"/>
    <w:rsid w:val="008D6360"/>
    <w:rsid w:val="008E0377"/>
    <w:rsid w:val="008E05F9"/>
    <w:rsid w:val="008E0919"/>
    <w:rsid w:val="008E0D33"/>
    <w:rsid w:val="008E0DCB"/>
    <w:rsid w:val="008E0F00"/>
    <w:rsid w:val="008E1AC3"/>
    <w:rsid w:val="008E2432"/>
    <w:rsid w:val="008E2D6A"/>
    <w:rsid w:val="008E4133"/>
    <w:rsid w:val="008E59C5"/>
    <w:rsid w:val="008E6417"/>
    <w:rsid w:val="008E6C1A"/>
    <w:rsid w:val="008E6FC5"/>
    <w:rsid w:val="008E78F4"/>
    <w:rsid w:val="008E7A53"/>
    <w:rsid w:val="008F0DE9"/>
    <w:rsid w:val="008F2B31"/>
    <w:rsid w:val="008F3679"/>
    <w:rsid w:val="008F3A20"/>
    <w:rsid w:val="008F4198"/>
    <w:rsid w:val="008F47FE"/>
    <w:rsid w:val="008F5185"/>
    <w:rsid w:val="008F58D4"/>
    <w:rsid w:val="008F5E98"/>
    <w:rsid w:val="00900339"/>
    <w:rsid w:val="00900599"/>
    <w:rsid w:val="009010BB"/>
    <w:rsid w:val="00901741"/>
    <w:rsid w:val="00904811"/>
    <w:rsid w:val="00904CD1"/>
    <w:rsid w:val="009107B8"/>
    <w:rsid w:val="00910D27"/>
    <w:rsid w:val="00910E2C"/>
    <w:rsid w:val="009122FB"/>
    <w:rsid w:val="009141A9"/>
    <w:rsid w:val="00914B0F"/>
    <w:rsid w:val="00914FF6"/>
    <w:rsid w:val="00916460"/>
    <w:rsid w:val="009178AF"/>
    <w:rsid w:val="00920109"/>
    <w:rsid w:val="00920EC9"/>
    <w:rsid w:val="00921F1F"/>
    <w:rsid w:val="00922C0A"/>
    <w:rsid w:val="00923F2C"/>
    <w:rsid w:val="00924A1F"/>
    <w:rsid w:val="00926A3B"/>
    <w:rsid w:val="00927CCC"/>
    <w:rsid w:val="00927D6D"/>
    <w:rsid w:val="0093035C"/>
    <w:rsid w:val="009313C3"/>
    <w:rsid w:val="00932374"/>
    <w:rsid w:val="00932B2C"/>
    <w:rsid w:val="00932B60"/>
    <w:rsid w:val="00932CC1"/>
    <w:rsid w:val="00933D5C"/>
    <w:rsid w:val="00934049"/>
    <w:rsid w:val="009349A9"/>
    <w:rsid w:val="009352A2"/>
    <w:rsid w:val="00937342"/>
    <w:rsid w:val="00937A43"/>
    <w:rsid w:val="00940CFC"/>
    <w:rsid w:val="0094102A"/>
    <w:rsid w:val="009425B0"/>
    <w:rsid w:val="00942EC8"/>
    <w:rsid w:val="00944490"/>
    <w:rsid w:val="00944F14"/>
    <w:rsid w:val="0094559D"/>
    <w:rsid w:val="009457A0"/>
    <w:rsid w:val="009458C0"/>
    <w:rsid w:val="00945CCC"/>
    <w:rsid w:val="009477DE"/>
    <w:rsid w:val="00950C50"/>
    <w:rsid w:val="00950D5D"/>
    <w:rsid w:val="00952C90"/>
    <w:rsid w:val="00952E27"/>
    <w:rsid w:val="0095389E"/>
    <w:rsid w:val="00953F2B"/>
    <w:rsid w:val="00953F32"/>
    <w:rsid w:val="00955DC4"/>
    <w:rsid w:val="00955F45"/>
    <w:rsid w:val="009571F8"/>
    <w:rsid w:val="0095754A"/>
    <w:rsid w:val="009579E1"/>
    <w:rsid w:val="00962CF4"/>
    <w:rsid w:val="009648D4"/>
    <w:rsid w:val="00964A8B"/>
    <w:rsid w:val="00965C4A"/>
    <w:rsid w:val="00966BD4"/>
    <w:rsid w:val="009676FB"/>
    <w:rsid w:val="0097192B"/>
    <w:rsid w:val="00972B8D"/>
    <w:rsid w:val="009735BA"/>
    <w:rsid w:val="00973833"/>
    <w:rsid w:val="00974D11"/>
    <w:rsid w:val="009758FA"/>
    <w:rsid w:val="00975D1C"/>
    <w:rsid w:val="00977B17"/>
    <w:rsid w:val="00977C85"/>
    <w:rsid w:val="00981155"/>
    <w:rsid w:val="00981C4E"/>
    <w:rsid w:val="00981D59"/>
    <w:rsid w:val="00982E73"/>
    <w:rsid w:val="00983596"/>
    <w:rsid w:val="0098408B"/>
    <w:rsid w:val="00984CC0"/>
    <w:rsid w:val="009851D9"/>
    <w:rsid w:val="00985236"/>
    <w:rsid w:val="0098671B"/>
    <w:rsid w:val="0098763B"/>
    <w:rsid w:val="00987B1C"/>
    <w:rsid w:val="00990714"/>
    <w:rsid w:val="009937B2"/>
    <w:rsid w:val="00993845"/>
    <w:rsid w:val="009939CB"/>
    <w:rsid w:val="00995DBC"/>
    <w:rsid w:val="00996A63"/>
    <w:rsid w:val="009A0663"/>
    <w:rsid w:val="009A1873"/>
    <w:rsid w:val="009A1E0B"/>
    <w:rsid w:val="009A2D0E"/>
    <w:rsid w:val="009A3023"/>
    <w:rsid w:val="009A325E"/>
    <w:rsid w:val="009A3920"/>
    <w:rsid w:val="009A43FA"/>
    <w:rsid w:val="009A49B9"/>
    <w:rsid w:val="009A49C5"/>
    <w:rsid w:val="009A5138"/>
    <w:rsid w:val="009A5933"/>
    <w:rsid w:val="009A61F7"/>
    <w:rsid w:val="009A6EE6"/>
    <w:rsid w:val="009B0CBD"/>
    <w:rsid w:val="009B10C2"/>
    <w:rsid w:val="009B2292"/>
    <w:rsid w:val="009B2B34"/>
    <w:rsid w:val="009B3AAA"/>
    <w:rsid w:val="009B48C1"/>
    <w:rsid w:val="009B7B84"/>
    <w:rsid w:val="009B7DF7"/>
    <w:rsid w:val="009C26C7"/>
    <w:rsid w:val="009C2EF6"/>
    <w:rsid w:val="009C3C14"/>
    <w:rsid w:val="009C5A94"/>
    <w:rsid w:val="009C5BBD"/>
    <w:rsid w:val="009C66DD"/>
    <w:rsid w:val="009C6F68"/>
    <w:rsid w:val="009C716E"/>
    <w:rsid w:val="009C7B2D"/>
    <w:rsid w:val="009C7BD4"/>
    <w:rsid w:val="009D0629"/>
    <w:rsid w:val="009D093A"/>
    <w:rsid w:val="009D1182"/>
    <w:rsid w:val="009D1E70"/>
    <w:rsid w:val="009D346B"/>
    <w:rsid w:val="009D3556"/>
    <w:rsid w:val="009D35CD"/>
    <w:rsid w:val="009D36A5"/>
    <w:rsid w:val="009D3796"/>
    <w:rsid w:val="009D46F6"/>
    <w:rsid w:val="009D5221"/>
    <w:rsid w:val="009D6C03"/>
    <w:rsid w:val="009D6EF0"/>
    <w:rsid w:val="009D7175"/>
    <w:rsid w:val="009D71DD"/>
    <w:rsid w:val="009E0C5B"/>
    <w:rsid w:val="009E1283"/>
    <w:rsid w:val="009E249A"/>
    <w:rsid w:val="009E3323"/>
    <w:rsid w:val="009E4FFF"/>
    <w:rsid w:val="009E605C"/>
    <w:rsid w:val="009E7F12"/>
    <w:rsid w:val="009F0308"/>
    <w:rsid w:val="009F0BC9"/>
    <w:rsid w:val="009F13B6"/>
    <w:rsid w:val="009F3707"/>
    <w:rsid w:val="009F6784"/>
    <w:rsid w:val="009F701F"/>
    <w:rsid w:val="00A01D8C"/>
    <w:rsid w:val="00A01EB3"/>
    <w:rsid w:val="00A02AA0"/>
    <w:rsid w:val="00A02B03"/>
    <w:rsid w:val="00A03684"/>
    <w:rsid w:val="00A036C0"/>
    <w:rsid w:val="00A041CC"/>
    <w:rsid w:val="00A042E5"/>
    <w:rsid w:val="00A04622"/>
    <w:rsid w:val="00A0696C"/>
    <w:rsid w:val="00A06DB6"/>
    <w:rsid w:val="00A07645"/>
    <w:rsid w:val="00A0766E"/>
    <w:rsid w:val="00A07A2B"/>
    <w:rsid w:val="00A07A90"/>
    <w:rsid w:val="00A10713"/>
    <w:rsid w:val="00A10A6B"/>
    <w:rsid w:val="00A11CB1"/>
    <w:rsid w:val="00A11F49"/>
    <w:rsid w:val="00A124D0"/>
    <w:rsid w:val="00A1258E"/>
    <w:rsid w:val="00A12D22"/>
    <w:rsid w:val="00A1429B"/>
    <w:rsid w:val="00A1462B"/>
    <w:rsid w:val="00A16225"/>
    <w:rsid w:val="00A16996"/>
    <w:rsid w:val="00A169E2"/>
    <w:rsid w:val="00A2292B"/>
    <w:rsid w:val="00A243C6"/>
    <w:rsid w:val="00A24FDE"/>
    <w:rsid w:val="00A25584"/>
    <w:rsid w:val="00A2580B"/>
    <w:rsid w:val="00A25A4C"/>
    <w:rsid w:val="00A301C0"/>
    <w:rsid w:val="00A30544"/>
    <w:rsid w:val="00A30B64"/>
    <w:rsid w:val="00A30F2C"/>
    <w:rsid w:val="00A31572"/>
    <w:rsid w:val="00A318F0"/>
    <w:rsid w:val="00A33A29"/>
    <w:rsid w:val="00A33AEE"/>
    <w:rsid w:val="00A33E65"/>
    <w:rsid w:val="00A34FCC"/>
    <w:rsid w:val="00A36E68"/>
    <w:rsid w:val="00A371B1"/>
    <w:rsid w:val="00A40753"/>
    <w:rsid w:val="00A43916"/>
    <w:rsid w:val="00A44414"/>
    <w:rsid w:val="00A446C9"/>
    <w:rsid w:val="00A455C7"/>
    <w:rsid w:val="00A473B6"/>
    <w:rsid w:val="00A50984"/>
    <w:rsid w:val="00A50E87"/>
    <w:rsid w:val="00A51B28"/>
    <w:rsid w:val="00A5377E"/>
    <w:rsid w:val="00A54940"/>
    <w:rsid w:val="00A55B58"/>
    <w:rsid w:val="00A567D7"/>
    <w:rsid w:val="00A61FA6"/>
    <w:rsid w:val="00A632B0"/>
    <w:rsid w:val="00A64DDD"/>
    <w:rsid w:val="00A7084B"/>
    <w:rsid w:val="00A726A7"/>
    <w:rsid w:val="00A734FE"/>
    <w:rsid w:val="00A75CAB"/>
    <w:rsid w:val="00A76884"/>
    <w:rsid w:val="00A80259"/>
    <w:rsid w:val="00A813BC"/>
    <w:rsid w:val="00A814DC"/>
    <w:rsid w:val="00A83FAA"/>
    <w:rsid w:val="00A857B9"/>
    <w:rsid w:val="00A86325"/>
    <w:rsid w:val="00A9156C"/>
    <w:rsid w:val="00A91A7E"/>
    <w:rsid w:val="00A91F55"/>
    <w:rsid w:val="00A92693"/>
    <w:rsid w:val="00A92C04"/>
    <w:rsid w:val="00A93A50"/>
    <w:rsid w:val="00A9501F"/>
    <w:rsid w:val="00A959FE"/>
    <w:rsid w:val="00A976BE"/>
    <w:rsid w:val="00A97905"/>
    <w:rsid w:val="00AA09A8"/>
    <w:rsid w:val="00AA1775"/>
    <w:rsid w:val="00AA231D"/>
    <w:rsid w:val="00AA2FFB"/>
    <w:rsid w:val="00AA3027"/>
    <w:rsid w:val="00AA3153"/>
    <w:rsid w:val="00AA5683"/>
    <w:rsid w:val="00AA61D9"/>
    <w:rsid w:val="00AA7046"/>
    <w:rsid w:val="00AA7412"/>
    <w:rsid w:val="00AA78F8"/>
    <w:rsid w:val="00AB19AD"/>
    <w:rsid w:val="00AB2A87"/>
    <w:rsid w:val="00AB4FD1"/>
    <w:rsid w:val="00AB569A"/>
    <w:rsid w:val="00AB7D8A"/>
    <w:rsid w:val="00AC1B42"/>
    <w:rsid w:val="00AC1D89"/>
    <w:rsid w:val="00AC2C81"/>
    <w:rsid w:val="00AC5524"/>
    <w:rsid w:val="00AC58DE"/>
    <w:rsid w:val="00AC5E99"/>
    <w:rsid w:val="00AC62C8"/>
    <w:rsid w:val="00AC693B"/>
    <w:rsid w:val="00AC7062"/>
    <w:rsid w:val="00AC78B3"/>
    <w:rsid w:val="00AD0A6E"/>
    <w:rsid w:val="00AD0BB5"/>
    <w:rsid w:val="00AD0CFA"/>
    <w:rsid w:val="00AD5009"/>
    <w:rsid w:val="00AD6095"/>
    <w:rsid w:val="00AD6EDB"/>
    <w:rsid w:val="00AD7FC3"/>
    <w:rsid w:val="00AE05C9"/>
    <w:rsid w:val="00AE2B97"/>
    <w:rsid w:val="00AE2DE7"/>
    <w:rsid w:val="00AE40D7"/>
    <w:rsid w:val="00AE5D93"/>
    <w:rsid w:val="00AE6113"/>
    <w:rsid w:val="00AE6ED7"/>
    <w:rsid w:val="00AE711E"/>
    <w:rsid w:val="00AE7958"/>
    <w:rsid w:val="00AE79E3"/>
    <w:rsid w:val="00AF1E18"/>
    <w:rsid w:val="00AF2D52"/>
    <w:rsid w:val="00AF3AD0"/>
    <w:rsid w:val="00AF4A01"/>
    <w:rsid w:val="00AF558C"/>
    <w:rsid w:val="00AF57A1"/>
    <w:rsid w:val="00AF7E8D"/>
    <w:rsid w:val="00B00E65"/>
    <w:rsid w:val="00B013D1"/>
    <w:rsid w:val="00B03307"/>
    <w:rsid w:val="00B035F6"/>
    <w:rsid w:val="00B03657"/>
    <w:rsid w:val="00B038F7"/>
    <w:rsid w:val="00B04A22"/>
    <w:rsid w:val="00B04AE3"/>
    <w:rsid w:val="00B071DB"/>
    <w:rsid w:val="00B10671"/>
    <w:rsid w:val="00B10F04"/>
    <w:rsid w:val="00B116B2"/>
    <w:rsid w:val="00B11A0E"/>
    <w:rsid w:val="00B13B30"/>
    <w:rsid w:val="00B15E20"/>
    <w:rsid w:val="00B1681A"/>
    <w:rsid w:val="00B16ADE"/>
    <w:rsid w:val="00B20E16"/>
    <w:rsid w:val="00B210BF"/>
    <w:rsid w:val="00B217E7"/>
    <w:rsid w:val="00B238B2"/>
    <w:rsid w:val="00B25068"/>
    <w:rsid w:val="00B25301"/>
    <w:rsid w:val="00B255AA"/>
    <w:rsid w:val="00B2639E"/>
    <w:rsid w:val="00B30574"/>
    <w:rsid w:val="00B30E3F"/>
    <w:rsid w:val="00B31836"/>
    <w:rsid w:val="00B32B2B"/>
    <w:rsid w:val="00B41846"/>
    <w:rsid w:val="00B41DC5"/>
    <w:rsid w:val="00B425E1"/>
    <w:rsid w:val="00B426FF"/>
    <w:rsid w:val="00B4658F"/>
    <w:rsid w:val="00B46B73"/>
    <w:rsid w:val="00B47CE8"/>
    <w:rsid w:val="00B546C0"/>
    <w:rsid w:val="00B556FA"/>
    <w:rsid w:val="00B55F7D"/>
    <w:rsid w:val="00B56B4C"/>
    <w:rsid w:val="00B5781D"/>
    <w:rsid w:val="00B57F09"/>
    <w:rsid w:val="00B6321C"/>
    <w:rsid w:val="00B650B0"/>
    <w:rsid w:val="00B658D1"/>
    <w:rsid w:val="00B6698B"/>
    <w:rsid w:val="00B712AA"/>
    <w:rsid w:val="00B71BF0"/>
    <w:rsid w:val="00B72EFD"/>
    <w:rsid w:val="00B73132"/>
    <w:rsid w:val="00B73BE6"/>
    <w:rsid w:val="00B748E0"/>
    <w:rsid w:val="00B74F7C"/>
    <w:rsid w:val="00B774C7"/>
    <w:rsid w:val="00B77813"/>
    <w:rsid w:val="00B83A37"/>
    <w:rsid w:val="00B83F85"/>
    <w:rsid w:val="00B860C2"/>
    <w:rsid w:val="00B87662"/>
    <w:rsid w:val="00B87906"/>
    <w:rsid w:val="00B9176C"/>
    <w:rsid w:val="00B9225B"/>
    <w:rsid w:val="00B92778"/>
    <w:rsid w:val="00B92EC0"/>
    <w:rsid w:val="00B94096"/>
    <w:rsid w:val="00B950EA"/>
    <w:rsid w:val="00B95856"/>
    <w:rsid w:val="00B97BE2"/>
    <w:rsid w:val="00BA25E9"/>
    <w:rsid w:val="00BA3077"/>
    <w:rsid w:val="00BA4BD6"/>
    <w:rsid w:val="00BA4D05"/>
    <w:rsid w:val="00BA562F"/>
    <w:rsid w:val="00BB1821"/>
    <w:rsid w:val="00BB1CA0"/>
    <w:rsid w:val="00BB2595"/>
    <w:rsid w:val="00BB2672"/>
    <w:rsid w:val="00BB369A"/>
    <w:rsid w:val="00BB3CEA"/>
    <w:rsid w:val="00BB479E"/>
    <w:rsid w:val="00BB47B0"/>
    <w:rsid w:val="00BB4E66"/>
    <w:rsid w:val="00BB7799"/>
    <w:rsid w:val="00BC0A52"/>
    <w:rsid w:val="00BC195D"/>
    <w:rsid w:val="00BC3206"/>
    <w:rsid w:val="00BC32FC"/>
    <w:rsid w:val="00BC34CC"/>
    <w:rsid w:val="00BC5DEF"/>
    <w:rsid w:val="00BC6B48"/>
    <w:rsid w:val="00BD1F87"/>
    <w:rsid w:val="00BD3732"/>
    <w:rsid w:val="00BD4D14"/>
    <w:rsid w:val="00BD4F7A"/>
    <w:rsid w:val="00BD6573"/>
    <w:rsid w:val="00BE08CA"/>
    <w:rsid w:val="00BE0B68"/>
    <w:rsid w:val="00BE3AF0"/>
    <w:rsid w:val="00BE3FF2"/>
    <w:rsid w:val="00BE53B5"/>
    <w:rsid w:val="00BE5B15"/>
    <w:rsid w:val="00BE5B25"/>
    <w:rsid w:val="00BE5DC3"/>
    <w:rsid w:val="00BE60E5"/>
    <w:rsid w:val="00BE6A77"/>
    <w:rsid w:val="00BF04EF"/>
    <w:rsid w:val="00BF09D5"/>
    <w:rsid w:val="00BF3017"/>
    <w:rsid w:val="00BF370B"/>
    <w:rsid w:val="00BF3EFB"/>
    <w:rsid w:val="00BF4A69"/>
    <w:rsid w:val="00BF4FE5"/>
    <w:rsid w:val="00BF6E45"/>
    <w:rsid w:val="00C011C1"/>
    <w:rsid w:val="00C01277"/>
    <w:rsid w:val="00C0127F"/>
    <w:rsid w:val="00C02B81"/>
    <w:rsid w:val="00C0342A"/>
    <w:rsid w:val="00C03B36"/>
    <w:rsid w:val="00C041B8"/>
    <w:rsid w:val="00C0460E"/>
    <w:rsid w:val="00C05391"/>
    <w:rsid w:val="00C05699"/>
    <w:rsid w:val="00C05F84"/>
    <w:rsid w:val="00C06623"/>
    <w:rsid w:val="00C10CFD"/>
    <w:rsid w:val="00C11E58"/>
    <w:rsid w:val="00C142B2"/>
    <w:rsid w:val="00C147CA"/>
    <w:rsid w:val="00C15276"/>
    <w:rsid w:val="00C15AAD"/>
    <w:rsid w:val="00C15FF7"/>
    <w:rsid w:val="00C16B89"/>
    <w:rsid w:val="00C174F0"/>
    <w:rsid w:val="00C17536"/>
    <w:rsid w:val="00C17FB0"/>
    <w:rsid w:val="00C2090A"/>
    <w:rsid w:val="00C20B18"/>
    <w:rsid w:val="00C2229E"/>
    <w:rsid w:val="00C22765"/>
    <w:rsid w:val="00C22C34"/>
    <w:rsid w:val="00C22C5E"/>
    <w:rsid w:val="00C22FFC"/>
    <w:rsid w:val="00C24113"/>
    <w:rsid w:val="00C24E96"/>
    <w:rsid w:val="00C26C46"/>
    <w:rsid w:val="00C27D87"/>
    <w:rsid w:val="00C300A3"/>
    <w:rsid w:val="00C30DEA"/>
    <w:rsid w:val="00C327FD"/>
    <w:rsid w:val="00C32BA6"/>
    <w:rsid w:val="00C347C2"/>
    <w:rsid w:val="00C35403"/>
    <w:rsid w:val="00C35D99"/>
    <w:rsid w:val="00C3731D"/>
    <w:rsid w:val="00C41FE0"/>
    <w:rsid w:val="00C425A3"/>
    <w:rsid w:val="00C4336C"/>
    <w:rsid w:val="00C4340E"/>
    <w:rsid w:val="00C43DAC"/>
    <w:rsid w:val="00C47908"/>
    <w:rsid w:val="00C50702"/>
    <w:rsid w:val="00C50F4A"/>
    <w:rsid w:val="00C52785"/>
    <w:rsid w:val="00C52C29"/>
    <w:rsid w:val="00C53C40"/>
    <w:rsid w:val="00C54AB7"/>
    <w:rsid w:val="00C556D2"/>
    <w:rsid w:val="00C55744"/>
    <w:rsid w:val="00C561C4"/>
    <w:rsid w:val="00C5789C"/>
    <w:rsid w:val="00C603D3"/>
    <w:rsid w:val="00C627E4"/>
    <w:rsid w:val="00C62CD2"/>
    <w:rsid w:val="00C66865"/>
    <w:rsid w:val="00C6697E"/>
    <w:rsid w:val="00C67143"/>
    <w:rsid w:val="00C67689"/>
    <w:rsid w:val="00C67941"/>
    <w:rsid w:val="00C67E24"/>
    <w:rsid w:val="00C67EE5"/>
    <w:rsid w:val="00C70452"/>
    <w:rsid w:val="00C71219"/>
    <w:rsid w:val="00C71327"/>
    <w:rsid w:val="00C71B22"/>
    <w:rsid w:val="00C7350E"/>
    <w:rsid w:val="00C735F7"/>
    <w:rsid w:val="00C76608"/>
    <w:rsid w:val="00C76A95"/>
    <w:rsid w:val="00C77B11"/>
    <w:rsid w:val="00C81DEC"/>
    <w:rsid w:val="00C82690"/>
    <w:rsid w:val="00C85105"/>
    <w:rsid w:val="00C853FF"/>
    <w:rsid w:val="00C8687E"/>
    <w:rsid w:val="00C86D53"/>
    <w:rsid w:val="00C911C4"/>
    <w:rsid w:val="00C93492"/>
    <w:rsid w:val="00C93D93"/>
    <w:rsid w:val="00C95DF5"/>
    <w:rsid w:val="00C966E6"/>
    <w:rsid w:val="00CA1EE5"/>
    <w:rsid w:val="00CA2E44"/>
    <w:rsid w:val="00CA32F3"/>
    <w:rsid w:val="00CA3427"/>
    <w:rsid w:val="00CA355D"/>
    <w:rsid w:val="00CA3AB2"/>
    <w:rsid w:val="00CA7671"/>
    <w:rsid w:val="00CA7CB2"/>
    <w:rsid w:val="00CB155E"/>
    <w:rsid w:val="00CB15E7"/>
    <w:rsid w:val="00CB173C"/>
    <w:rsid w:val="00CB3B0E"/>
    <w:rsid w:val="00CB446E"/>
    <w:rsid w:val="00CB50A9"/>
    <w:rsid w:val="00CB50AA"/>
    <w:rsid w:val="00CB58DC"/>
    <w:rsid w:val="00CB6285"/>
    <w:rsid w:val="00CB65E8"/>
    <w:rsid w:val="00CB6C04"/>
    <w:rsid w:val="00CB71D6"/>
    <w:rsid w:val="00CC08F2"/>
    <w:rsid w:val="00CC0964"/>
    <w:rsid w:val="00CC193B"/>
    <w:rsid w:val="00CC1957"/>
    <w:rsid w:val="00CC2494"/>
    <w:rsid w:val="00CC4EAD"/>
    <w:rsid w:val="00CC5163"/>
    <w:rsid w:val="00CC68BC"/>
    <w:rsid w:val="00CC7194"/>
    <w:rsid w:val="00CD0CCF"/>
    <w:rsid w:val="00CD22AB"/>
    <w:rsid w:val="00CD2CDC"/>
    <w:rsid w:val="00CD2F76"/>
    <w:rsid w:val="00CD2FE2"/>
    <w:rsid w:val="00CD446A"/>
    <w:rsid w:val="00CD6CB9"/>
    <w:rsid w:val="00CD7435"/>
    <w:rsid w:val="00CE1532"/>
    <w:rsid w:val="00CE250A"/>
    <w:rsid w:val="00CE3CED"/>
    <w:rsid w:val="00CE42C3"/>
    <w:rsid w:val="00CE6981"/>
    <w:rsid w:val="00CE7792"/>
    <w:rsid w:val="00CF045D"/>
    <w:rsid w:val="00CF1509"/>
    <w:rsid w:val="00CF3790"/>
    <w:rsid w:val="00CF38FE"/>
    <w:rsid w:val="00CF3B3A"/>
    <w:rsid w:val="00CF492C"/>
    <w:rsid w:val="00CF5DA7"/>
    <w:rsid w:val="00CF66A6"/>
    <w:rsid w:val="00CF6A5D"/>
    <w:rsid w:val="00CF6A6B"/>
    <w:rsid w:val="00CF6CFD"/>
    <w:rsid w:val="00D00B18"/>
    <w:rsid w:val="00D0242B"/>
    <w:rsid w:val="00D02EA2"/>
    <w:rsid w:val="00D02F64"/>
    <w:rsid w:val="00D04808"/>
    <w:rsid w:val="00D0714D"/>
    <w:rsid w:val="00D07AFA"/>
    <w:rsid w:val="00D104E9"/>
    <w:rsid w:val="00D112F9"/>
    <w:rsid w:val="00D12916"/>
    <w:rsid w:val="00D138BE"/>
    <w:rsid w:val="00D13921"/>
    <w:rsid w:val="00D15B3F"/>
    <w:rsid w:val="00D20562"/>
    <w:rsid w:val="00D2241A"/>
    <w:rsid w:val="00D224B1"/>
    <w:rsid w:val="00D2292B"/>
    <w:rsid w:val="00D22B2A"/>
    <w:rsid w:val="00D24D1B"/>
    <w:rsid w:val="00D24ED6"/>
    <w:rsid w:val="00D25A43"/>
    <w:rsid w:val="00D263AD"/>
    <w:rsid w:val="00D26CBF"/>
    <w:rsid w:val="00D27A4C"/>
    <w:rsid w:val="00D304F5"/>
    <w:rsid w:val="00D3072C"/>
    <w:rsid w:val="00D3213A"/>
    <w:rsid w:val="00D332C1"/>
    <w:rsid w:val="00D33C98"/>
    <w:rsid w:val="00D34056"/>
    <w:rsid w:val="00D347F5"/>
    <w:rsid w:val="00D34C6E"/>
    <w:rsid w:val="00D34EDA"/>
    <w:rsid w:val="00D34F11"/>
    <w:rsid w:val="00D35344"/>
    <w:rsid w:val="00D35389"/>
    <w:rsid w:val="00D35ED3"/>
    <w:rsid w:val="00D36445"/>
    <w:rsid w:val="00D36673"/>
    <w:rsid w:val="00D36AF3"/>
    <w:rsid w:val="00D37C29"/>
    <w:rsid w:val="00D40F41"/>
    <w:rsid w:val="00D41B0D"/>
    <w:rsid w:val="00D42C02"/>
    <w:rsid w:val="00D4336A"/>
    <w:rsid w:val="00D440A1"/>
    <w:rsid w:val="00D45A36"/>
    <w:rsid w:val="00D45D2D"/>
    <w:rsid w:val="00D471A6"/>
    <w:rsid w:val="00D47344"/>
    <w:rsid w:val="00D501D7"/>
    <w:rsid w:val="00D5051C"/>
    <w:rsid w:val="00D50626"/>
    <w:rsid w:val="00D50C81"/>
    <w:rsid w:val="00D52FFB"/>
    <w:rsid w:val="00D533BB"/>
    <w:rsid w:val="00D53D52"/>
    <w:rsid w:val="00D542F2"/>
    <w:rsid w:val="00D54587"/>
    <w:rsid w:val="00D546AB"/>
    <w:rsid w:val="00D54BAC"/>
    <w:rsid w:val="00D623D4"/>
    <w:rsid w:val="00D6363C"/>
    <w:rsid w:val="00D66E56"/>
    <w:rsid w:val="00D67D5D"/>
    <w:rsid w:val="00D7079D"/>
    <w:rsid w:val="00D71452"/>
    <w:rsid w:val="00D748AC"/>
    <w:rsid w:val="00D75902"/>
    <w:rsid w:val="00D76300"/>
    <w:rsid w:val="00D80269"/>
    <w:rsid w:val="00D81C7B"/>
    <w:rsid w:val="00D82746"/>
    <w:rsid w:val="00D833DA"/>
    <w:rsid w:val="00D834CA"/>
    <w:rsid w:val="00D837F2"/>
    <w:rsid w:val="00D84C6E"/>
    <w:rsid w:val="00D850C3"/>
    <w:rsid w:val="00D8585D"/>
    <w:rsid w:val="00D85E5A"/>
    <w:rsid w:val="00D86304"/>
    <w:rsid w:val="00D86987"/>
    <w:rsid w:val="00D87DAC"/>
    <w:rsid w:val="00D90035"/>
    <w:rsid w:val="00D90103"/>
    <w:rsid w:val="00D90619"/>
    <w:rsid w:val="00D92614"/>
    <w:rsid w:val="00D93BD9"/>
    <w:rsid w:val="00D94CEF"/>
    <w:rsid w:val="00D94D47"/>
    <w:rsid w:val="00D94F1B"/>
    <w:rsid w:val="00D95A2E"/>
    <w:rsid w:val="00D96DA8"/>
    <w:rsid w:val="00D96E9B"/>
    <w:rsid w:val="00D96F41"/>
    <w:rsid w:val="00D96F79"/>
    <w:rsid w:val="00DA043E"/>
    <w:rsid w:val="00DA0670"/>
    <w:rsid w:val="00DA2634"/>
    <w:rsid w:val="00DA3028"/>
    <w:rsid w:val="00DA3555"/>
    <w:rsid w:val="00DA4EF3"/>
    <w:rsid w:val="00DA7A36"/>
    <w:rsid w:val="00DB09AF"/>
    <w:rsid w:val="00DB1117"/>
    <w:rsid w:val="00DB37C8"/>
    <w:rsid w:val="00DB4120"/>
    <w:rsid w:val="00DB47C3"/>
    <w:rsid w:val="00DB5016"/>
    <w:rsid w:val="00DB58D2"/>
    <w:rsid w:val="00DB5ECE"/>
    <w:rsid w:val="00DB65E9"/>
    <w:rsid w:val="00DB6D6B"/>
    <w:rsid w:val="00DB7672"/>
    <w:rsid w:val="00DC056F"/>
    <w:rsid w:val="00DC2367"/>
    <w:rsid w:val="00DC329F"/>
    <w:rsid w:val="00DC347F"/>
    <w:rsid w:val="00DC5022"/>
    <w:rsid w:val="00DC6334"/>
    <w:rsid w:val="00DC70A7"/>
    <w:rsid w:val="00DC70D1"/>
    <w:rsid w:val="00DC79BD"/>
    <w:rsid w:val="00DC7A29"/>
    <w:rsid w:val="00DD0C79"/>
    <w:rsid w:val="00DD2171"/>
    <w:rsid w:val="00DD2E94"/>
    <w:rsid w:val="00DD3C81"/>
    <w:rsid w:val="00DD620E"/>
    <w:rsid w:val="00DD6A94"/>
    <w:rsid w:val="00DE0612"/>
    <w:rsid w:val="00DE0EDB"/>
    <w:rsid w:val="00DE1F15"/>
    <w:rsid w:val="00DE2078"/>
    <w:rsid w:val="00DE5E38"/>
    <w:rsid w:val="00DF20F9"/>
    <w:rsid w:val="00DF2143"/>
    <w:rsid w:val="00DF2D04"/>
    <w:rsid w:val="00DF479A"/>
    <w:rsid w:val="00DF4D5C"/>
    <w:rsid w:val="00DF714E"/>
    <w:rsid w:val="00DF7DEE"/>
    <w:rsid w:val="00E0014A"/>
    <w:rsid w:val="00E00C8B"/>
    <w:rsid w:val="00E01460"/>
    <w:rsid w:val="00E03AA4"/>
    <w:rsid w:val="00E055DD"/>
    <w:rsid w:val="00E0567C"/>
    <w:rsid w:val="00E068DF"/>
    <w:rsid w:val="00E0716C"/>
    <w:rsid w:val="00E13629"/>
    <w:rsid w:val="00E14129"/>
    <w:rsid w:val="00E1413C"/>
    <w:rsid w:val="00E14965"/>
    <w:rsid w:val="00E15F3E"/>
    <w:rsid w:val="00E162BF"/>
    <w:rsid w:val="00E16CE5"/>
    <w:rsid w:val="00E200A8"/>
    <w:rsid w:val="00E21BC3"/>
    <w:rsid w:val="00E24049"/>
    <w:rsid w:val="00E2469E"/>
    <w:rsid w:val="00E24A1A"/>
    <w:rsid w:val="00E2569D"/>
    <w:rsid w:val="00E26A49"/>
    <w:rsid w:val="00E27A3F"/>
    <w:rsid w:val="00E27AFB"/>
    <w:rsid w:val="00E3090A"/>
    <w:rsid w:val="00E31D04"/>
    <w:rsid w:val="00E3247E"/>
    <w:rsid w:val="00E32E15"/>
    <w:rsid w:val="00E338FA"/>
    <w:rsid w:val="00E33A2D"/>
    <w:rsid w:val="00E34F29"/>
    <w:rsid w:val="00E36971"/>
    <w:rsid w:val="00E36A8E"/>
    <w:rsid w:val="00E37291"/>
    <w:rsid w:val="00E3731B"/>
    <w:rsid w:val="00E3782D"/>
    <w:rsid w:val="00E37A20"/>
    <w:rsid w:val="00E37A54"/>
    <w:rsid w:val="00E37ACF"/>
    <w:rsid w:val="00E37BE8"/>
    <w:rsid w:val="00E37FDD"/>
    <w:rsid w:val="00E40A07"/>
    <w:rsid w:val="00E41C34"/>
    <w:rsid w:val="00E41D0E"/>
    <w:rsid w:val="00E42964"/>
    <w:rsid w:val="00E45CA7"/>
    <w:rsid w:val="00E46A03"/>
    <w:rsid w:val="00E46EED"/>
    <w:rsid w:val="00E50A2A"/>
    <w:rsid w:val="00E519B0"/>
    <w:rsid w:val="00E5246A"/>
    <w:rsid w:val="00E5287A"/>
    <w:rsid w:val="00E539E7"/>
    <w:rsid w:val="00E565CD"/>
    <w:rsid w:val="00E56841"/>
    <w:rsid w:val="00E56FDB"/>
    <w:rsid w:val="00E570A6"/>
    <w:rsid w:val="00E57402"/>
    <w:rsid w:val="00E619DA"/>
    <w:rsid w:val="00E62CDE"/>
    <w:rsid w:val="00E63AB1"/>
    <w:rsid w:val="00E63AB7"/>
    <w:rsid w:val="00E63AEA"/>
    <w:rsid w:val="00E64625"/>
    <w:rsid w:val="00E65BF1"/>
    <w:rsid w:val="00E72402"/>
    <w:rsid w:val="00E72CB2"/>
    <w:rsid w:val="00E73933"/>
    <w:rsid w:val="00E74A96"/>
    <w:rsid w:val="00E74B62"/>
    <w:rsid w:val="00E751AD"/>
    <w:rsid w:val="00E75C11"/>
    <w:rsid w:val="00E75F1E"/>
    <w:rsid w:val="00E7623E"/>
    <w:rsid w:val="00E771DF"/>
    <w:rsid w:val="00E77807"/>
    <w:rsid w:val="00E80D12"/>
    <w:rsid w:val="00E827F5"/>
    <w:rsid w:val="00E83538"/>
    <w:rsid w:val="00E868B1"/>
    <w:rsid w:val="00E86D5B"/>
    <w:rsid w:val="00E86F5C"/>
    <w:rsid w:val="00E87B91"/>
    <w:rsid w:val="00E905A3"/>
    <w:rsid w:val="00E91038"/>
    <w:rsid w:val="00E9155B"/>
    <w:rsid w:val="00E92043"/>
    <w:rsid w:val="00E9242C"/>
    <w:rsid w:val="00E92E6E"/>
    <w:rsid w:val="00E94626"/>
    <w:rsid w:val="00E95898"/>
    <w:rsid w:val="00E95C84"/>
    <w:rsid w:val="00E961F0"/>
    <w:rsid w:val="00E964AF"/>
    <w:rsid w:val="00EA013B"/>
    <w:rsid w:val="00EA10D7"/>
    <w:rsid w:val="00EA13DC"/>
    <w:rsid w:val="00EA20B0"/>
    <w:rsid w:val="00EA3125"/>
    <w:rsid w:val="00EA4BBA"/>
    <w:rsid w:val="00EA4D53"/>
    <w:rsid w:val="00EA50D9"/>
    <w:rsid w:val="00EA628B"/>
    <w:rsid w:val="00EA6952"/>
    <w:rsid w:val="00EA7B44"/>
    <w:rsid w:val="00EB0101"/>
    <w:rsid w:val="00EB0A53"/>
    <w:rsid w:val="00EB2B2F"/>
    <w:rsid w:val="00EB3241"/>
    <w:rsid w:val="00EB3721"/>
    <w:rsid w:val="00EB3DBC"/>
    <w:rsid w:val="00EB51D6"/>
    <w:rsid w:val="00EB6417"/>
    <w:rsid w:val="00EB6D1E"/>
    <w:rsid w:val="00EC0B3B"/>
    <w:rsid w:val="00EC1A0D"/>
    <w:rsid w:val="00EC1B92"/>
    <w:rsid w:val="00EC2D8A"/>
    <w:rsid w:val="00EC3020"/>
    <w:rsid w:val="00EC3806"/>
    <w:rsid w:val="00EC4AE9"/>
    <w:rsid w:val="00EC666B"/>
    <w:rsid w:val="00EC68F2"/>
    <w:rsid w:val="00EC734A"/>
    <w:rsid w:val="00EC7D2B"/>
    <w:rsid w:val="00ED07DE"/>
    <w:rsid w:val="00ED0B07"/>
    <w:rsid w:val="00ED0B34"/>
    <w:rsid w:val="00ED0BBC"/>
    <w:rsid w:val="00ED2BBD"/>
    <w:rsid w:val="00ED2EFB"/>
    <w:rsid w:val="00ED2F7B"/>
    <w:rsid w:val="00ED7A99"/>
    <w:rsid w:val="00EE079B"/>
    <w:rsid w:val="00EE1795"/>
    <w:rsid w:val="00EE29C7"/>
    <w:rsid w:val="00EE2AE6"/>
    <w:rsid w:val="00EE34A6"/>
    <w:rsid w:val="00EE3D2C"/>
    <w:rsid w:val="00EE4BC8"/>
    <w:rsid w:val="00EF00EE"/>
    <w:rsid w:val="00EF2CE8"/>
    <w:rsid w:val="00EF3234"/>
    <w:rsid w:val="00EF3406"/>
    <w:rsid w:val="00EF3B00"/>
    <w:rsid w:val="00EF4AEB"/>
    <w:rsid w:val="00EF4F51"/>
    <w:rsid w:val="00EF7221"/>
    <w:rsid w:val="00EF755A"/>
    <w:rsid w:val="00F00E8D"/>
    <w:rsid w:val="00F00F90"/>
    <w:rsid w:val="00F01512"/>
    <w:rsid w:val="00F01E35"/>
    <w:rsid w:val="00F0257D"/>
    <w:rsid w:val="00F02AD8"/>
    <w:rsid w:val="00F03209"/>
    <w:rsid w:val="00F03ADB"/>
    <w:rsid w:val="00F045AC"/>
    <w:rsid w:val="00F04906"/>
    <w:rsid w:val="00F04A1F"/>
    <w:rsid w:val="00F058BF"/>
    <w:rsid w:val="00F06C64"/>
    <w:rsid w:val="00F0749F"/>
    <w:rsid w:val="00F103E7"/>
    <w:rsid w:val="00F11945"/>
    <w:rsid w:val="00F11E0D"/>
    <w:rsid w:val="00F12D6A"/>
    <w:rsid w:val="00F12E8F"/>
    <w:rsid w:val="00F13662"/>
    <w:rsid w:val="00F149CA"/>
    <w:rsid w:val="00F14E6B"/>
    <w:rsid w:val="00F15225"/>
    <w:rsid w:val="00F157DB"/>
    <w:rsid w:val="00F168F9"/>
    <w:rsid w:val="00F171CA"/>
    <w:rsid w:val="00F176D8"/>
    <w:rsid w:val="00F179C2"/>
    <w:rsid w:val="00F20D8D"/>
    <w:rsid w:val="00F20DDA"/>
    <w:rsid w:val="00F20EE8"/>
    <w:rsid w:val="00F21F2F"/>
    <w:rsid w:val="00F23049"/>
    <w:rsid w:val="00F23D97"/>
    <w:rsid w:val="00F240DF"/>
    <w:rsid w:val="00F261D5"/>
    <w:rsid w:val="00F27359"/>
    <w:rsid w:val="00F2739A"/>
    <w:rsid w:val="00F273BF"/>
    <w:rsid w:val="00F27797"/>
    <w:rsid w:val="00F27AB9"/>
    <w:rsid w:val="00F30ABF"/>
    <w:rsid w:val="00F32436"/>
    <w:rsid w:val="00F3327D"/>
    <w:rsid w:val="00F337DC"/>
    <w:rsid w:val="00F35288"/>
    <w:rsid w:val="00F352B2"/>
    <w:rsid w:val="00F352C5"/>
    <w:rsid w:val="00F36031"/>
    <w:rsid w:val="00F3713E"/>
    <w:rsid w:val="00F37560"/>
    <w:rsid w:val="00F40F35"/>
    <w:rsid w:val="00F41694"/>
    <w:rsid w:val="00F41C90"/>
    <w:rsid w:val="00F4264E"/>
    <w:rsid w:val="00F43EAD"/>
    <w:rsid w:val="00F45FB9"/>
    <w:rsid w:val="00F46220"/>
    <w:rsid w:val="00F51DA3"/>
    <w:rsid w:val="00F51DD6"/>
    <w:rsid w:val="00F55C55"/>
    <w:rsid w:val="00F55C98"/>
    <w:rsid w:val="00F5647F"/>
    <w:rsid w:val="00F56995"/>
    <w:rsid w:val="00F56CD1"/>
    <w:rsid w:val="00F56E60"/>
    <w:rsid w:val="00F57CE1"/>
    <w:rsid w:val="00F57F30"/>
    <w:rsid w:val="00F605A0"/>
    <w:rsid w:val="00F6127D"/>
    <w:rsid w:val="00F61BE8"/>
    <w:rsid w:val="00F61F9B"/>
    <w:rsid w:val="00F633D5"/>
    <w:rsid w:val="00F63DA9"/>
    <w:rsid w:val="00F642B4"/>
    <w:rsid w:val="00F64E80"/>
    <w:rsid w:val="00F655A6"/>
    <w:rsid w:val="00F65972"/>
    <w:rsid w:val="00F664C2"/>
    <w:rsid w:val="00F669CA"/>
    <w:rsid w:val="00F70BA6"/>
    <w:rsid w:val="00F71009"/>
    <w:rsid w:val="00F71E3B"/>
    <w:rsid w:val="00F72ABE"/>
    <w:rsid w:val="00F74AFF"/>
    <w:rsid w:val="00F74B02"/>
    <w:rsid w:val="00F75102"/>
    <w:rsid w:val="00F76547"/>
    <w:rsid w:val="00F7671F"/>
    <w:rsid w:val="00F76D7A"/>
    <w:rsid w:val="00F777B6"/>
    <w:rsid w:val="00F827B9"/>
    <w:rsid w:val="00F83D21"/>
    <w:rsid w:val="00F85EFA"/>
    <w:rsid w:val="00F8631C"/>
    <w:rsid w:val="00F92418"/>
    <w:rsid w:val="00F92699"/>
    <w:rsid w:val="00F930D6"/>
    <w:rsid w:val="00F93117"/>
    <w:rsid w:val="00F94094"/>
    <w:rsid w:val="00F966D1"/>
    <w:rsid w:val="00FA01B3"/>
    <w:rsid w:val="00FA0910"/>
    <w:rsid w:val="00FA0B05"/>
    <w:rsid w:val="00FA1DD0"/>
    <w:rsid w:val="00FA1F26"/>
    <w:rsid w:val="00FA59AF"/>
    <w:rsid w:val="00FA6D9D"/>
    <w:rsid w:val="00FA6EA3"/>
    <w:rsid w:val="00FA7335"/>
    <w:rsid w:val="00FA7624"/>
    <w:rsid w:val="00FA7910"/>
    <w:rsid w:val="00FA7CC0"/>
    <w:rsid w:val="00FB080F"/>
    <w:rsid w:val="00FB0C27"/>
    <w:rsid w:val="00FB276F"/>
    <w:rsid w:val="00FB4D4E"/>
    <w:rsid w:val="00FB63EB"/>
    <w:rsid w:val="00FC03EC"/>
    <w:rsid w:val="00FC1166"/>
    <w:rsid w:val="00FC24CD"/>
    <w:rsid w:val="00FC3487"/>
    <w:rsid w:val="00FC4332"/>
    <w:rsid w:val="00FC4E25"/>
    <w:rsid w:val="00FC4E51"/>
    <w:rsid w:val="00FC55A9"/>
    <w:rsid w:val="00FC59F2"/>
    <w:rsid w:val="00FC6A96"/>
    <w:rsid w:val="00FC6EF0"/>
    <w:rsid w:val="00FD0550"/>
    <w:rsid w:val="00FD1BC5"/>
    <w:rsid w:val="00FD1F95"/>
    <w:rsid w:val="00FD1FF4"/>
    <w:rsid w:val="00FD29A0"/>
    <w:rsid w:val="00FD2DD0"/>
    <w:rsid w:val="00FD43D9"/>
    <w:rsid w:val="00FD4A65"/>
    <w:rsid w:val="00FD4C32"/>
    <w:rsid w:val="00FD5487"/>
    <w:rsid w:val="00FD5A22"/>
    <w:rsid w:val="00FD5CAD"/>
    <w:rsid w:val="00FD6797"/>
    <w:rsid w:val="00FD6942"/>
    <w:rsid w:val="00FD7C1A"/>
    <w:rsid w:val="00FE0103"/>
    <w:rsid w:val="00FE1D71"/>
    <w:rsid w:val="00FE266F"/>
    <w:rsid w:val="00FE30DA"/>
    <w:rsid w:val="00FE355C"/>
    <w:rsid w:val="00FE40F8"/>
    <w:rsid w:val="00FE4786"/>
    <w:rsid w:val="00FE655E"/>
    <w:rsid w:val="00FE66BB"/>
    <w:rsid w:val="00FE7B55"/>
    <w:rsid w:val="00FF0060"/>
    <w:rsid w:val="00FF0152"/>
    <w:rsid w:val="00FF09C5"/>
    <w:rsid w:val="00FF0ED8"/>
    <w:rsid w:val="00FF1AA3"/>
    <w:rsid w:val="00FF5B1C"/>
    <w:rsid w:val="00FF5D10"/>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DE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3D"/>
    <w:rPr>
      <w:rFonts w:ascii="Arial" w:hAnsi="Arial" w:cs="Arial"/>
      <w:sz w:val="20"/>
      <w:szCs w:val="20"/>
    </w:rPr>
  </w:style>
  <w:style w:type="paragraph" w:styleId="Heading4">
    <w:name w:val="heading 4"/>
    <w:basedOn w:val="Normal"/>
    <w:next w:val="Normal"/>
    <w:link w:val="Heading4Char"/>
    <w:unhideWhenUsed/>
    <w:qFormat/>
    <w:locked/>
    <w:rsid w:val="00FB0C27"/>
    <w:pPr>
      <w:keepNext/>
      <w:keepLines/>
      <w:spacing w:before="200"/>
      <w:outlineLvl w:val="3"/>
    </w:pPr>
    <w:rPr>
      <w:rFonts w:asciiTheme="majorHAnsi" w:eastAsiaTheme="majorEastAsia" w:hAnsiTheme="majorHAnsi" w:cstheme="majorBidi"/>
      <w:b/>
      <w:bCs/>
      <w:i/>
      <w:iCs/>
      <w:color w:val="D1634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133D4E"/>
  </w:style>
  <w:style w:type="character" w:customStyle="1" w:styleId="EndnoteTextChar">
    <w:name w:val="Endnote Text Char"/>
    <w:basedOn w:val="DefaultParagraphFont"/>
    <w:link w:val="EndnoteText"/>
    <w:uiPriority w:val="99"/>
    <w:semiHidden/>
    <w:rsid w:val="00133D4E"/>
    <w:rPr>
      <w:rFonts w:ascii="Arial" w:hAnsi="Arial" w:cs="Arial"/>
      <w:sz w:val="20"/>
      <w:szCs w:val="20"/>
    </w:rPr>
  </w:style>
  <w:style w:type="character" w:styleId="EndnoteReference">
    <w:name w:val="endnote reference"/>
    <w:basedOn w:val="DefaultParagraphFont"/>
    <w:uiPriority w:val="99"/>
    <w:semiHidden/>
    <w:unhideWhenUsed/>
    <w:rsid w:val="00133D4E"/>
    <w:rPr>
      <w:vertAlign w:val="superscript"/>
    </w:rPr>
  </w:style>
  <w:style w:type="table" w:styleId="LightShading-Accent3">
    <w:name w:val="Light Shading Accent 3"/>
    <w:basedOn w:val="TableNormal"/>
    <w:uiPriority w:val="60"/>
    <w:rsid w:val="00086EED"/>
    <w:rPr>
      <w:color w:val="618889" w:themeColor="accent3" w:themeShade="BF"/>
    </w:rPr>
    <w:tblPr>
      <w:tblStyleRowBandSize w:val="1"/>
      <w:tblStyleColBandSize w:val="1"/>
      <w:tblBorders>
        <w:top w:val="single" w:sz="8" w:space="0" w:color="8CADAE" w:themeColor="accent3"/>
        <w:bottom w:val="single" w:sz="8" w:space="0" w:color="8CADAE" w:themeColor="accent3"/>
      </w:tblBorders>
    </w:tblPr>
    <w:tblStylePr w:type="firstRow">
      <w:pPr>
        <w:spacing w:before="0" w:after="0" w:line="240" w:lineRule="auto"/>
      </w:pPr>
      <w:rPr>
        <w:b/>
        <w:bCs/>
      </w:rPr>
      <w:tblPr/>
      <w:tcPr>
        <w:tcBorders>
          <w:top w:val="single" w:sz="8" w:space="0" w:color="8CADAE" w:themeColor="accent3"/>
          <w:left w:val="nil"/>
          <w:bottom w:val="single" w:sz="8" w:space="0" w:color="8CADAE" w:themeColor="accent3"/>
          <w:right w:val="nil"/>
          <w:insideH w:val="nil"/>
          <w:insideV w:val="nil"/>
        </w:tcBorders>
      </w:tcPr>
    </w:tblStylePr>
    <w:tblStylePr w:type="lastRow">
      <w:pPr>
        <w:spacing w:before="0" w:after="0" w:line="240" w:lineRule="auto"/>
      </w:pPr>
      <w:rPr>
        <w:b/>
        <w:bCs/>
      </w:rPr>
      <w:tblPr/>
      <w:tcPr>
        <w:tcBorders>
          <w:top w:val="single" w:sz="8" w:space="0" w:color="8CADAE" w:themeColor="accent3"/>
          <w:left w:val="nil"/>
          <w:bottom w:val="single" w:sz="8" w:space="0" w:color="8CAD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AEB" w:themeFill="accent3" w:themeFillTint="3F"/>
      </w:tcPr>
    </w:tblStylePr>
    <w:tblStylePr w:type="band1Horz">
      <w:tblPr/>
      <w:tcPr>
        <w:tcBorders>
          <w:left w:val="nil"/>
          <w:right w:val="nil"/>
          <w:insideH w:val="nil"/>
          <w:insideV w:val="nil"/>
        </w:tcBorders>
        <w:shd w:val="clear" w:color="auto" w:fill="E2EAEB" w:themeFill="accent3" w:themeFillTint="3F"/>
      </w:tcPr>
    </w:tblStylePr>
  </w:style>
  <w:style w:type="table" w:styleId="LightList-Accent3">
    <w:name w:val="Light List Accent 3"/>
    <w:basedOn w:val="TableNormal"/>
    <w:uiPriority w:val="61"/>
    <w:rsid w:val="00086EED"/>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character" w:styleId="FollowedHyperlink">
    <w:name w:val="FollowedHyperlink"/>
    <w:basedOn w:val="DefaultParagraphFont"/>
    <w:uiPriority w:val="99"/>
    <w:semiHidden/>
    <w:unhideWhenUsed/>
    <w:rsid w:val="008A06ED"/>
    <w:rPr>
      <w:color w:val="694F07" w:themeColor="followedHyperlink"/>
      <w:u w:val="single"/>
    </w:rPr>
  </w:style>
  <w:style w:type="character" w:styleId="Emphasis">
    <w:name w:val="Emphasis"/>
    <w:basedOn w:val="DefaultParagraphFont"/>
    <w:uiPriority w:val="20"/>
    <w:qFormat/>
    <w:locked/>
    <w:rsid w:val="005D616C"/>
    <w:rPr>
      <w:i/>
      <w:iCs/>
    </w:rPr>
  </w:style>
  <w:style w:type="character" w:customStyle="1" w:styleId="Heading4Char">
    <w:name w:val="Heading 4 Char"/>
    <w:basedOn w:val="DefaultParagraphFont"/>
    <w:link w:val="Heading4"/>
    <w:rsid w:val="00FB0C27"/>
    <w:rPr>
      <w:rFonts w:asciiTheme="majorHAnsi" w:eastAsiaTheme="majorEastAsia" w:hAnsiTheme="majorHAnsi" w:cstheme="majorBidi"/>
      <w:b/>
      <w:bCs/>
      <w:i/>
      <w:iCs/>
      <w:color w:val="D16349" w:themeColor="accent1"/>
      <w:sz w:val="24"/>
      <w:szCs w:val="20"/>
    </w:rPr>
  </w:style>
  <w:style w:type="paragraph" w:styleId="Revision">
    <w:name w:val="Revision"/>
    <w:hidden/>
    <w:uiPriority w:val="99"/>
    <w:semiHidden/>
    <w:rsid w:val="00121896"/>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3D"/>
    <w:rPr>
      <w:rFonts w:ascii="Arial" w:hAnsi="Arial" w:cs="Arial"/>
      <w:sz w:val="20"/>
      <w:szCs w:val="20"/>
    </w:rPr>
  </w:style>
  <w:style w:type="paragraph" w:styleId="Heading4">
    <w:name w:val="heading 4"/>
    <w:basedOn w:val="Normal"/>
    <w:next w:val="Normal"/>
    <w:link w:val="Heading4Char"/>
    <w:unhideWhenUsed/>
    <w:qFormat/>
    <w:locked/>
    <w:rsid w:val="00FB0C27"/>
    <w:pPr>
      <w:keepNext/>
      <w:keepLines/>
      <w:spacing w:before="200"/>
      <w:outlineLvl w:val="3"/>
    </w:pPr>
    <w:rPr>
      <w:rFonts w:asciiTheme="majorHAnsi" w:eastAsiaTheme="majorEastAsia" w:hAnsiTheme="majorHAnsi" w:cstheme="majorBidi"/>
      <w:b/>
      <w:bCs/>
      <w:i/>
      <w:iCs/>
      <w:color w:val="D1634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133D4E"/>
  </w:style>
  <w:style w:type="character" w:customStyle="1" w:styleId="EndnoteTextChar">
    <w:name w:val="Endnote Text Char"/>
    <w:basedOn w:val="DefaultParagraphFont"/>
    <w:link w:val="EndnoteText"/>
    <w:uiPriority w:val="99"/>
    <w:semiHidden/>
    <w:rsid w:val="00133D4E"/>
    <w:rPr>
      <w:rFonts w:ascii="Arial" w:hAnsi="Arial" w:cs="Arial"/>
      <w:sz w:val="20"/>
      <w:szCs w:val="20"/>
    </w:rPr>
  </w:style>
  <w:style w:type="character" w:styleId="EndnoteReference">
    <w:name w:val="endnote reference"/>
    <w:basedOn w:val="DefaultParagraphFont"/>
    <w:uiPriority w:val="99"/>
    <w:semiHidden/>
    <w:unhideWhenUsed/>
    <w:rsid w:val="00133D4E"/>
    <w:rPr>
      <w:vertAlign w:val="superscript"/>
    </w:rPr>
  </w:style>
  <w:style w:type="table" w:styleId="LightShading-Accent3">
    <w:name w:val="Light Shading Accent 3"/>
    <w:basedOn w:val="TableNormal"/>
    <w:uiPriority w:val="60"/>
    <w:rsid w:val="00086EED"/>
    <w:rPr>
      <w:color w:val="618889" w:themeColor="accent3" w:themeShade="BF"/>
    </w:rPr>
    <w:tblPr>
      <w:tblStyleRowBandSize w:val="1"/>
      <w:tblStyleColBandSize w:val="1"/>
      <w:tblBorders>
        <w:top w:val="single" w:sz="8" w:space="0" w:color="8CADAE" w:themeColor="accent3"/>
        <w:bottom w:val="single" w:sz="8" w:space="0" w:color="8CADAE" w:themeColor="accent3"/>
      </w:tblBorders>
    </w:tblPr>
    <w:tblStylePr w:type="firstRow">
      <w:pPr>
        <w:spacing w:before="0" w:after="0" w:line="240" w:lineRule="auto"/>
      </w:pPr>
      <w:rPr>
        <w:b/>
        <w:bCs/>
      </w:rPr>
      <w:tblPr/>
      <w:tcPr>
        <w:tcBorders>
          <w:top w:val="single" w:sz="8" w:space="0" w:color="8CADAE" w:themeColor="accent3"/>
          <w:left w:val="nil"/>
          <w:bottom w:val="single" w:sz="8" w:space="0" w:color="8CADAE" w:themeColor="accent3"/>
          <w:right w:val="nil"/>
          <w:insideH w:val="nil"/>
          <w:insideV w:val="nil"/>
        </w:tcBorders>
      </w:tcPr>
    </w:tblStylePr>
    <w:tblStylePr w:type="lastRow">
      <w:pPr>
        <w:spacing w:before="0" w:after="0" w:line="240" w:lineRule="auto"/>
      </w:pPr>
      <w:rPr>
        <w:b/>
        <w:bCs/>
      </w:rPr>
      <w:tblPr/>
      <w:tcPr>
        <w:tcBorders>
          <w:top w:val="single" w:sz="8" w:space="0" w:color="8CADAE" w:themeColor="accent3"/>
          <w:left w:val="nil"/>
          <w:bottom w:val="single" w:sz="8" w:space="0" w:color="8CAD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AEB" w:themeFill="accent3" w:themeFillTint="3F"/>
      </w:tcPr>
    </w:tblStylePr>
    <w:tblStylePr w:type="band1Horz">
      <w:tblPr/>
      <w:tcPr>
        <w:tcBorders>
          <w:left w:val="nil"/>
          <w:right w:val="nil"/>
          <w:insideH w:val="nil"/>
          <w:insideV w:val="nil"/>
        </w:tcBorders>
        <w:shd w:val="clear" w:color="auto" w:fill="E2EAEB" w:themeFill="accent3" w:themeFillTint="3F"/>
      </w:tcPr>
    </w:tblStylePr>
  </w:style>
  <w:style w:type="table" w:styleId="LightList-Accent3">
    <w:name w:val="Light List Accent 3"/>
    <w:basedOn w:val="TableNormal"/>
    <w:uiPriority w:val="61"/>
    <w:rsid w:val="00086EED"/>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character" w:styleId="FollowedHyperlink">
    <w:name w:val="FollowedHyperlink"/>
    <w:basedOn w:val="DefaultParagraphFont"/>
    <w:uiPriority w:val="99"/>
    <w:semiHidden/>
    <w:unhideWhenUsed/>
    <w:rsid w:val="008A06ED"/>
    <w:rPr>
      <w:color w:val="694F07" w:themeColor="followedHyperlink"/>
      <w:u w:val="single"/>
    </w:rPr>
  </w:style>
  <w:style w:type="character" w:styleId="Emphasis">
    <w:name w:val="Emphasis"/>
    <w:basedOn w:val="DefaultParagraphFont"/>
    <w:uiPriority w:val="20"/>
    <w:qFormat/>
    <w:locked/>
    <w:rsid w:val="005D616C"/>
    <w:rPr>
      <w:i/>
      <w:iCs/>
    </w:rPr>
  </w:style>
  <w:style w:type="character" w:customStyle="1" w:styleId="Heading4Char">
    <w:name w:val="Heading 4 Char"/>
    <w:basedOn w:val="DefaultParagraphFont"/>
    <w:link w:val="Heading4"/>
    <w:rsid w:val="00FB0C27"/>
    <w:rPr>
      <w:rFonts w:asciiTheme="majorHAnsi" w:eastAsiaTheme="majorEastAsia" w:hAnsiTheme="majorHAnsi" w:cstheme="majorBidi"/>
      <w:b/>
      <w:bCs/>
      <w:i/>
      <w:iCs/>
      <w:color w:val="D16349" w:themeColor="accent1"/>
      <w:sz w:val="24"/>
      <w:szCs w:val="20"/>
    </w:rPr>
  </w:style>
  <w:style w:type="paragraph" w:styleId="Revision">
    <w:name w:val="Revision"/>
    <w:hidden/>
    <w:uiPriority w:val="99"/>
    <w:semiHidden/>
    <w:rsid w:val="0012189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699">
      <w:bodyDiv w:val="1"/>
      <w:marLeft w:val="0"/>
      <w:marRight w:val="0"/>
      <w:marTop w:val="0"/>
      <w:marBottom w:val="0"/>
      <w:divBdr>
        <w:top w:val="none" w:sz="0" w:space="0" w:color="auto"/>
        <w:left w:val="none" w:sz="0" w:space="0" w:color="auto"/>
        <w:bottom w:val="none" w:sz="0" w:space="0" w:color="auto"/>
        <w:right w:val="none" w:sz="0" w:space="0" w:color="auto"/>
      </w:divBdr>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194194712">
      <w:bodyDiv w:val="1"/>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468520703">
      <w:bodyDiv w:val="1"/>
      <w:marLeft w:val="0"/>
      <w:marRight w:val="0"/>
      <w:marTop w:val="0"/>
      <w:marBottom w:val="0"/>
      <w:divBdr>
        <w:top w:val="none" w:sz="0" w:space="0" w:color="auto"/>
        <w:left w:val="none" w:sz="0" w:space="0" w:color="auto"/>
        <w:bottom w:val="none" w:sz="0" w:space="0" w:color="auto"/>
        <w:right w:val="none" w:sz="0" w:space="0" w:color="auto"/>
      </w:divBdr>
    </w:div>
    <w:div w:id="568931005">
      <w:bodyDiv w:val="1"/>
      <w:marLeft w:val="0"/>
      <w:marRight w:val="0"/>
      <w:marTop w:val="0"/>
      <w:marBottom w:val="0"/>
      <w:divBdr>
        <w:top w:val="none" w:sz="0" w:space="0" w:color="auto"/>
        <w:left w:val="none" w:sz="0" w:space="0" w:color="auto"/>
        <w:bottom w:val="none" w:sz="0" w:space="0" w:color="auto"/>
        <w:right w:val="none" w:sz="0" w:space="0" w:color="auto"/>
      </w:divBdr>
    </w:div>
    <w:div w:id="952519542">
      <w:bodyDiv w:val="1"/>
      <w:marLeft w:val="0"/>
      <w:marRight w:val="0"/>
      <w:marTop w:val="0"/>
      <w:marBottom w:val="0"/>
      <w:divBdr>
        <w:top w:val="none" w:sz="0" w:space="0" w:color="auto"/>
        <w:left w:val="none" w:sz="0" w:space="0" w:color="auto"/>
        <w:bottom w:val="none" w:sz="0" w:space="0" w:color="auto"/>
        <w:right w:val="none" w:sz="0" w:space="0" w:color="auto"/>
      </w:divBdr>
    </w:div>
    <w:div w:id="1372614604">
      <w:bodyDiv w:val="1"/>
      <w:marLeft w:val="0"/>
      <w:marRight w:val="0"/>
      <w:marTop w:val="0"/>
      <w:marBottom w:val="0"/>
      <w:divBdr>
        <w:top w:val="none" w:sz="0" w:space="0" w:color="auto"/>
        <w:left w:val="none" w:sz="0" w:space="0" w:color="auto"/>
        <w:bottom w:val="none" w:sz="0" w:space="0" w:color="auto"/>
        <w:right w:val="none" w:sz="0" w:space="0" w:color="auto"/>
      </w:divBdr>
    </w:div>
    <w:div w:id="1479150228">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07607691">
      <w:bodyDiv w:val="1"/>
      <w:marLeft w:val="0"/>
      <w:marRight w:val="0"/>
      <w:marTop w:val="0"/>
      <w:marBottom w:val="0"/>
      <w:divBdr>
        <w:top w:val="none" w:sz="0" w:space="0" w:color="auto"/>
        <w:left w:val="none" w:sz="0" w:space="0" w:color="auto"/>
        <w:bottom w:val="none" w:sz="0" w:space="0" w:color="auto"/>
        <w:right w:val="none" w:sz="0" w:space="0" w:color="auto"/>
      </w:divBdr>
      <w:divsChild>
        <w:div w:id="673414018">
          <w:marLeft w:val="360"/>
          <w:marRight w:val="0"/>
          <w:marTop w:val="0"/>
          <w:marBottom w:val="0"/>
          <w:divBdr>
            <w:top w:val="none" w:sz="0" w:space="0" w:color="auto"/>
            <w:left w:val="none" w:sz="0" w:space="0" w:color="auto"/>
            <w:bottom w:val="none" w:sz="0" w:space="0" w:color="auto"/>
            <w:right w:val="none" w:sz="0" w:space="0" w:color="auto"/>
          </w:divBdr>
        </w:div>
        <w:div w:id="958950109">
          <w:marLeft w:val="360"/>
          <w:marRight w:val="0"/>
          <w:marTop w:val="0"/>
          <w:marBottom w:val="0"/>
          <w:divBdr>
            <w:top w:val="none" w:sz="0" w:space="0" w:color="auto"/>
            <w:left w:val="none" w:sz="0" w:space="0" w:color="auto"/>
            <w:bottom w:val="none" w:sz="0" w:space="0" w:color="auto"/>
            <w:right w:val="none" w:sz="0" w:space="0" w:color="auto"/>
          </w:divBdr>
        </w:div>
        <w:div w:id="1813407534">
          <w:marLeft w:val="360"/>
          <w:marRight w:val="0"/>
          <w:marTop w:val="0"/>
          <w:marBottom w:val="0"/>
          <w:divBdr>
            <w:top w:val="none" w:sz="0" w:space="0" w:color="auto"/>
            <w:left w:val="none" w:sz="0" w:space="0" w:color="auto"/>
            <w:bottom w:val="none" w:sz="0" w:space="0" w:color="auto"/>
            <w:right w:val="none" w:sz="0" w:space="0" w:color="auto"/>
          </w:divBdr>
        </w:div>
      </w:divsChild>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20251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93/aje/kwj117"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www.mass.gov/files/documents/2017/04/zx/birth-report-2015.pdf"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mass.gov/safeslee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www.mass.gov/service-details/pregnancy-risk-assessment-monitoring-system-prams"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onder.cdc.gov/lbd-current.html" TargetMode="Externa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wonder.cdc.gov/lbd-v2006.html"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093/ajerev/mxp003" TargetMode="External"/><Relationship Id="rId2" Type="http://schemas.openxmlformats.org/officeDocument/2006/relationships/hyperlink" Target="http://pediatrics.aappublications.org/content/138/5/e20162940.long" TargetMode="External"/><Relationship Id="rId1" Type="http://schemas.openxmlformats.org/officeDocument/2006/relationships/hyperlink" Target="https://www.cdc.gov/sids/AboutSUIDandSIDS.htm" TargetMode="External"/><Relationship Id="rId5" Type="http://schemas.openxmlformats.org/officeDocument/2006/relationships/hyperlink" Target="http://pediatrics.aappublications.org/content/138/5/e20162940.long" TargetMode="External"/><Relationship Id="rId4" Type="http://schemas.openxmlformats.org/officeDocument/2006/relationships/hyperlink" Target="https://dx.doi.org/10.2105%2FAJPH.2004.06074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000"/>
              <a:t>Figure 1: SUID by Cause,</a:t>
            </a:r>
            <a:r>
              <a:rPr lang="en-US" sz="1000" baseline="0"/>
              <a:t> MA Residents </a:t>
            </a:r>
          </a:p>
          <a:p>
            <a:pPr>
              <a:defRPr sz="1100"/>
            </a:pPr>
            <a:r>
              <a:rPr lang="en-US" sz="1000" baseline="0"/>
              <a:t>&lt;1 year, 2011-2015 (n=163)</a:t>
            </a:r>
            <a:endParaRPr lang="en-US" sz="1000"/>
          </a:p>
        </c:rich>
      </c:tx>
      <c:layout>
        <c:manualLayout>
          <c:xMode val="edge"/>
          <c:yMode val="edge"/>
          <c:x val="0.14853408029878601"/>
          <c:y val="0"/>
        </c:manualLayout>
      </c:layout>
      <c:overlay val="0"/>
    </c:title>
    <c:autoTitleDeleted val="0"/>
    <c:plotArea>
      <c:layout>
        <c:manualLayout>
          <c:layoutTarget val="inner"/>
          <c:xMode val="edge"/>
          <c:yMode val="edge"/>
          <c:x val="0.31239539564280921"/>
          <c:y val="0.2930371694804525"/>
          <c:w val="0.41076865391826023"/>
          <c:h val="0.64036860021318298"/>
        </c:manualLayout>
      </c:layout>
      <c:pieChart>
        <c:varyColors val="1"/>
        <c:ser>
          <c:idx val="0"/>
          <c:order val="0"/>
          <c:tx>
            <c:strRef>
              <c:f>Sheet1!$B$1</c:f>
              <c:strCache>
                <c:ptCount val="1"/>
                <c:pt idx="0">
                  <c:v>MA</c:v>
                </c:pt>
              </c:strCache>
            </c:strRef>
          </c:tx>
          <c:spPr>
            <a:ln>
              <a:solidFill>
                <a:schemeClr val="tx1"/>
              </a:solidFill>
            </a:ln>
          </c:spPr>
          <c:dPt>
            <c:idx val="0"/>
            <c:bubble3D val="0"/>
            <c:spPr>
              <a:solidFill>
                <a:schemeClr val="accent3"/>
              </a:solidFill>
              <a:ln>
                <a:solidFill>
                  <a:schemeClr val="tx1"/>
                </a:solidFill>
              </a:ln>
            </c:spPr>
            <c:extLst xmlns:c16r2="http://schemas.microsoft.com/office/drawing/2015/06/chart">
              <c:ext xmlns:c16="http://schemas.microsoft.com/office/drawing/2014/chart" uri="{C3380CC4-5D6E-409C-BE32-E72D297353CC}">
                <c16:uniqueId val="{00000001-D0BE-44D4-8F92-87408884DA44}"/>
              </c:ext>
            </c:extLst>
          </c:dPt>
          <c:dPt>
            <c:idx val="2"/>
            <c:bubble3D val="0"/>
            <c:spPr>
              <a:solidFill>
                <a:schemeClr val="accent1"/>
              </a:solidFill>
              <a:ln>
                <a:solidFill>
                  <a:schemeClr val="tx1"/>
                </a:solidFill>
              </a:ln>
            </c:spPr>
            <c:extLst xmlns:c16r2="http://schemas.microsoft.com/office/drawing/2015/06/chart">
              <c:ext xmlns:c16="http://schemas.microsoft.com/office/drawing/2014/chart" uri="{C3380CC4-5D6E-409C-BE32-E72D297353CC}">
                <c16:uniqueId val="{00000003-D0BE-44D4-8F92-87408884DA44}"/>
              </c:ext>
            </c:extLst>
          </c:dPt>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0BE-44D4-8F92-87408884DA44}"/>
                </c:ext>
              </c:extLst>
            </c:dLbl>
            <c:spPr>
              <a:noFill/>
              <a:ln>
                <a:noFill/>
              </a:ln>
              <a:effectLst/>
            </c:spPr>
            <c:txPr>
              <a:bodyPr/>
              <a:lstStyle/>
              <a:p>
                <a:pPr>
                  <a:defRPr sz="1000" b="1"/>
                </a:pPr>
                <a:endParaRPr lang="en-US"/>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SIDS</c:v>
                </c:pt>
                <c:pt idx="1">
                  <c:v>Undetermined</c:v>
                </c:pt>
                <c:pt idx="2">
                  <c:v>ASSB</c:v>
                </c:pt>
              </c:strCache>
            </c:strRef>
          </c:cat>
          <c:val>
            <c:numRef>
              <c:f>Sheet1!$B$2:$B$4</c:f>
              <c:numCache>
                <c:formatCode>0%</c:formatCode>
                <c:ptCount val="3"/>
                <c:pt idx="0">
                  <c:v>0.61</c:v>
                </c:pt>
                <c:pt idx="1">
                  <c:v>0.36</c:v>
                </c:pt>
                <c:pt idx="2">
                  <c:v>0.03</c:v>
                </c:pt>
              </c:numCache>
            </c:numRef>
          </c:val>
          <c:extLst xmlns:c16r2="http://schemas.microsoft.com/office/drawing/2015/06/chart">
            <c:ext xmlns:c16="http://schemas.microsoft.com/office/drawing/2014/chart" uri="{C3380CC4-5D6E-409C-BE32-E72D297353CC}">
              <c16:uniqueId val="{00000005-D0BE-44D4-8F92-87408884DA44}"/>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00"/>
              <a:t>Figure</a:t>
            </a:r>
            <a:r>
              <a:rPr lang="en-US" sz="1000" baseline="0"/>
              <a:t> 2: </a:t>
            </a:r>
            <a:r>
              <a:rPr lang="en-US" sz="1000"/>
              <a:t>Sudden Unexpected</a:t>
            </a:r>
            <a:r>
              <a:rPr lang="en-US" sz="1000" baseline="0"/>
              <a:t> Infant Deaths, MA Residents &lt;1 year, 2011-2015 (n=163)</a:t>
            </a:r>
            <a:endParaRPr lang="en-US" sz="1000"/>
          </a:p>
        </c:rich>
      </c:tx>
      <c:layout>
        <c:manualLayout>
          <c:xMode val="edge"/>
          <c:yMode val="edge"/>
          <c:x val="0.113053892215569"/>
          <c:y val="3.5087719298245598E-2"/>
        </c:manualLayout>
      </c:layout>
      <c:overlay val="0"/>
    </c:title>
    <c:autoTitleDeleted val="0"/>
    <c:plotArea>
      <c:layout>
        <c:manualLayout>
          <c:layoutTarget val="inner"/>
          <c:xMode val="edge"/>
          <c:yMode val="edge"/>
          <c:x val="0.18329671365929601"/>
          <c:y val="0.22640833796190413"/>
          <c:w val="0.77279111069200201"/>
          <c:h val="0.61049346010171968"/>
        </c:manualLayout>
      </c:layout>
      <c:barChart>
        <c:barDir val="col"/>
        <c:grouping val="clustered"/>
        <c:varyColors val="0"/>
        <c:ser>
          <c:idx val="0"/>
          <c:order val="0"/>
          <c:tx>
            <c:strRef>
              <c:f>Sheet1!$B$1</c:f>
              <c:strCache>
                <c:ptCount val="1"/>
                <c:pt idx="0">
                  <c:v>Series 1</c:v>
                </c:pt>
              </c:strCache>
            </c:strRef>
          </c:tx>
          <c:spPr>
            <a:solidFill>
              <a:schemeClr val="accent3"/>
            </a:solidFill>
            <a:ln>
              <a:solidFill>
                <a:schemeClr val="tx1"/>
              </a:solidFill>
            </a:ln>
          </c:spPr>
          <c:invertIfNegative val="0"/>
          <c:dLbls>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30</c:v>
                </c:pt>
                <c:pt idx="1">
                  <c:v>36</c:v>
                </c:pt>
                <c:pt idx="2">
                  <c:v>28</c:v>
                </c:pt>
                <c:pt idx="3">
                  <c:v>31</c:v>
                </c:pt>
                <c:pt idx="4">
                  <c:v>38</c:v>
                </c:pt>
              </c:numCache>
            </c:numRef>
          </c:val>
          <c:extLst xmlns:c16r2="http://schemas.microsoft.com/office/drawing/2015/06/chart">
            <c:ext xmlns:c16="http://schemas.microsoft.com/office/drawing/2014/chart" uri="{C3380CC4-5D6E-409C-BE32-E72D297353CC}">
              <c16:uniqueId val="{00000000-1BD6-432D-A542-9967033C90EF}"/>
            </c:ext>
          </c:extLst>
        </c:ser>
        <c:dLbls>
          <c:dLblPos val="outEnd"/>
          <c:showLegendKey val="0"/>
          <c:showVal val="1"/>
          <c:showCatName val="0"/>
          <c:showSerName val="0"/>
          <c:showPercent val="0"/>
          <c:showBubbleSize val="0"/>
        </c:dLbls>
        <c:gapWidth val="150"/>
        <c:axId val="68032768"/>
        <c:axId val="68039808"/>
      </c:barChart>
      <c:catAx>
        <c:axId val="68032768"/>
        <c:scaling>
          <c:orientation val="minMax"/>
        </c:scaling>
        <c:delete val="0"/>
        <c:axPos val="b"/>
        <c:numFmt formatCode="General" sourceLinked="1"/>
        <c:majorTickMark val="out"/>
        <c:minorTickMark val="none"/>
        <c:tickLblPos val="nextTo"/>
        <c:crossAx val="68039808"/>
        <c:crosses val="autoZero"/>
        <c:auto val="1"/>
        <c:lblAlgn val="ctr"/>
        <c:lblOffset val="100"/>
        <c:noMultiLvlLbl val="0"/>
      </c:catAx>
      <c:valAx>
        <c:axId val="68039808"/>
        <c:scaling>
          <c:orientation val="minMax"/>
        </c:scaling>
        <c:delete val="0"/>
        <c:axPos val="l"/>
        <c:majorGridlines>
          <c:spPr>
            <a:ln>
              <a:solidFill>
                <a:schemeClr val="bg1">
                  <a:lumMod val="95000"/>
                </a:schemeClr>
              </a:solidFill>
            </a:ln>
          </c:spPr>
        </c:majorGridlines>
        <c:title>
          <c:tx>
            <c:rich>
              <a:bodyPr rot="-5400000" vert="horz"/>
              <a:lstStyle/>
              <a:p>
                <a:pPr>
                  <a:defRPr b="0"/>
                </a:pPr>
                <a:r>
                  <a:rPr lang="en-US" b="0"/>
                  <a:t>Number of deaths</a:t>
                </a:r>
              </a:p>
            </c:rich>
          </c:tx>
          <c:layout>
            <c:manualLayout>
              <c:xMode val="edge"/>
              <c:yMode val="edge"/>
              <c:x val="4.3912874527047799E-2"/>
              <c:y val="0.32718062333463099"/>
            </c:manualLayout>
          </c:layout>
          <c:overlay val="0"/>
        </c:title>
        <c:numFmt formatCode="General" sourceLinked="1"/>
        <c:majorTickMark val="out"/>
        <c:minorTickMark val="none"/>
        <c:tickLblPos val="nextTo"/>
        <c:crossAx val="68032768"/>
        <c:crosses val="autoZero"/>
        <c:crossBetween val="between"/>
      </c:valAx>
      <c:spPr>
        <a:ln>
          <a:solidFill>
            <a:schemeClr val="bg1">
              <a:lumMod val="95000"/>
            </a:schemeClr>
          </a:solidFill>
        </a:ln>
      </c:spPr>
    </c:plotArea>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00"/>
              <a:t>Figure 3: Average</a:t>
            </a:r>
            <a:r>
              <a:rPr lang="en-US" sz="1000" baseline="0"/>
              <a:t> Annual Rate of SUID by District of Residence, MA Residents &lt;1 Year, 2006-2015 (n=366)</a:t>
            </a:r>
            <a:endParaRPr lang="en-US" sz="1000"/>
          </a:p>
        </c:rich>
      </c:tx>
      <c:layout/>
      <c:overlay val="0"/>
    </c:title>
    <c:autoTitleDeleted val="0"/>
    <c:plotArea>
      <c:layout>
        <c:manualLayout>
          <c:layoutTarget val="inner"/>
          <c:xMode val="edge"/>
          <c:yMode val="edge"/>
          <c:x val="0.14707618069480446"/>
          <c:y val="0.20753651192374001"/>
          <c:w val="0.81883104649047578"/>
          <c:h val="0.45833341384474202"/>
        </c:manualLayout>
      </c:layout>
      <c:barChart>
        <c:barDir val="col"/>
        <c:grouping val="clustered"/>
        <c:varyColors val="0"/>
        <c:ser>
          <c:idx val="0"/>
          <c:order val="0"/>
          <c:tx>
            <c:strRef>
              <c:f>Sheet1!$B$1</c:f>
              <c:strCache>
                <c:ptCount val="1"/>
                <c:pt idx="0">
                  <c:v>Series 1</c:v>
                </c:pt>
              </c:strCache>
            </c:strRef>
          </c:tx>
          <c:spPr>
            <a:solidFill>
              <a:schemeClr val="accent5"/>
            </a:solidFill>
            <a:ln>
              <a:solidFill>
                <a:schemeClr val="tx1"/>
              </a:solidFill>
            </a:ln>
          </c:spPr>
          <c:invertIfNegative val="0"/>
          <c:dPt>
            <c:idx val="11"/>
            <c:invertIfNegative val="0"/>
            <c:bubble3D val="0"/>
            <c:spPr>
              <a:pattFill prst="lgCheck">
                <a:fgClr>
                  <a:schemeClr val="accent5">
                    <a:lumMod val="50000"/>
                  </a:schemeClr>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C83E-45A7-AB5A-D50468B91298}"/>
              </c:ext>
            </c:extLst>
          </c:dPt>
          <c:dLbls>
            <c:dLbl>
              <c:idx val="0"/>
              <c:layout>
                <c:manualLayout>
                  <c:x val="1.15715506743213E-2"/>
                  <c:y val="2.044989775051130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83E-45A7-AB5A-D50468B91298}"/>
                </c:ext>
              </c:extLst>
            </c:dLbl>
            <c:dLbl>
              <c:idx val="1"/>
              <c:layout>
                <c:manualLayout>
                  <c:x val="3.5222135538038001E-17"/>
                  <c:y val="-1.2269938650306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83E-45A7-AB5A-D50468B91298}"/>
                </c:ext>
              </c:extLst>
            </c:dLbl>
            <c:dLbl>
              <c:idx val="6"/>
              <c:layout>
                <c:manualLayout>
                  <c:x val="-7.0444271076076199E-17"/>
                  <c:y val="2.453987730061360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83E-45A7-AB5A-D50468B91298}"/>
                </c:ext>
              </c:extLst>
            </c:dLbl>
            <c:dLbl>
              <c:idx val="7"/>
              <c:layout>
                <c:manualLayout>
                  <c:x val="0"/>
                  <c:y val="8.179959100204499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83E-45A7-AB5A-D50468B91298}"/>
                </c:ext>
              </c:extLst>
            </c:dLbl>
            <c:dLbl>
              <c:idx val="9"/>
              <c:layout>
                <c:manualLayout>
                  <c:x val="0"/>
                  <c:y val="2.044989775051130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83E-45A7-AB5A-D50468B91298}"/>
                </c:ext>
              </c:extLst>
            </c:dLbl>
            <c:dLbl>
              <c:idx val="10"/>
              <c:layout>
                <c:manualLayout>
                  <c:x val="0"/>
                  <c:y val="-1.2269938650306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83E-45A7-AB5A-D50468B91298}"/>
                </c:ext>
              </c:extLst>
            </c:dLbl>
            <c:dLbl>
              <c:idx val="11"/>
              <c:layout>
                <c:manualLayout>
                  <c:x val="0"/>
                  <c:y val="2.044989775051130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83E-45A7-AB5A-D50468B91298}"/>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Berkshire</c:v>
                </c:pt>
                <c:pt idx="1">
                  <c:v>Bristol</c:v>
                </c:pt>
                <c:pt idx="2">
                  <c:v>Cape &amp; Islands</c:v>
                </c:pt>
                <c:pt idx="3">
                  <c:v>Essex</c:v>
                </c:pt>
                <c:pt idx="4">
                  <c:v>Hampden</c:v>
                </c:pt>
                <c:pt idx="5">
                  <c:v>Middlesex</c:v>
                </c:pt>
                <c:pt idx="6">
                  <c:v>Norfolk</c:v>
                </c:pt>
                <c:pt idx="7">
                  <c:v>Northwest</c:v>
                </c:pt>
                <c:pt idx="8">
                  <c:v>Plymouth</c:v>
                </c:pt>
                <c:pt idx="9">
                  <c:v>Suffolk</c:v>
                </c:pt>
                <c:pt idx="10">
                  <c:v>Worcester</c:v>
                </c:pt>
                <c:pt idx="11">
                  <c:v>MA</c:v>
                </c:pt>
              </c:strCache>
            </c:strRef>
          </c:cat>
          <c:val>
            <c:numRef>
              <c:f>Sheet1!$B$2:$B$13</c:f>
              <c:numCache>
                <c:formatCode>0.0</c:formatCode>
                <c:ptCount val="12"/>
                <c:pt idx="0">
                  <c:v>60.9</c:v>
                </c:pt>
                <c:pt idx="1">
                  <c:v>62.1</c:v>
                </c:pt>
                <c:pt idx="2">
                  <c:v>79.400000000000006</c:v>
                </c:pt>
                <c:pt idx="3">
                  <c:v>45</c:v>
                </c:pt>
                <c:pt idx="4">
                  <c:v>67.2</c:v>
                </c:pt>
                <c:pt idx="5">
                  <c:v>32.1</c:v>
                </c:pt>
                <c:pt idx="6">
                  <c:v>25.9</c:v>
                </c:pt>
                <c:pt idx="7">
                  <c:v>101.2</c:v>
                </c:pt>
                <c:pt idx="8">
                  <c:v>61.6</c:v>
                </c:pt>
                <c:pt idx="9">
                  <c:v>55.7</c:v>
                </c:pt>
                <c:pt idx="10">
                  <c:v>55.3</c:v>
                </c:pt>
                <c:pt idx="11">
                  <c:v>49.4</c:v>
                </c:pt>
              </c:numCache>
            </c:numRef>
          </c:val>
          <c:extLst xmlns:c16r2="http://schemas.microsoft.com/office/drawing/2015/06/chart">
            <c:ext xmlns:c16="http://schemas.microsoft.com/office/drawing/2014/chart" uri="{C3380CC4-5D6E-409C-BE32-E72D297353CC}">
              <c16:uniqueId val="{00000008-C83E-45A7-AB5A-D50468B91298}"/>
            </c:ext>
          </c:extLst>
        </c:ser>
        <c:dLbls>
          <c:dLblPos val="outEnd"/>
          <c:showLegendKey val="0"/>
          <c:showVal val="1"/>
          <c:showCatName val="0"/>
          <c:showSerName val="0"/>
          <c:showPercent val="0"/>
          <c:showBubbleSize val="0"/>
        </c:dLbls>
        <c:gapWidth val="150"/>
        <c:axId val="68075520"/>
        <c:axId val="68078592"/>
      </c:barChart>
      <c:catAx>
        <c:axId val="68075520"/>
        <c:scaling>
          <c:orientation val="minMax"/>
        </c:scaling>
        <c:delete val="0"/>
        <c:axPos val="b"/>
        <c:numFmt formatCode="General" sourceLinked="0"/>
        <c:majorTickMark val="out"/>
        <c:minorTickMark val="none"/>
        <c:tickLblPos val="nextTo"/>
        <c:crossAx val="68078592"/>
        <c:crosses val="autoZero"/>
        <c:auto val="1"/>
        <c:lblAlgn val="ctr"/>
        <c:lblOffset val="100"/>
        <c:noMultiLvlLbl val="0"/>
      </c:catAx>
      <c:valAx>
        <c:axId val="68078592"/>
        <c:scaling>
          <c:orientation val="minMax"/>
        </c:scaling>
        <c:delete val="0"/>
        <c:axPos val="l"/>
        <c:majorGridlines>
          <c:spPr>
            <a:ln>
              <a:solidFill>
                <a:schemeClr val="bg1">
                  <a:lumMod val="95000"/>
                </a:schemeClr>
              </a:solidFill>
            </a:ln>
          </c:spPr>
        </c:majorGridlines>
        <c:title>
          <c:tx>
            <c:rich>
              <a:bodyPr rot="-5400000" vert="horz"/>
              <a:lstStyle/>
              <a:p>
                <a:pPr>
                  <a:defRPr b="0"/>
                </a:pPr>
                <a:r>
                  <a:rPr lang="en-US" b="0"/>
                  <a:t>Rate per 100,000 infants</a:t>
                </a:r>
              </a:p>
            </c:rich>
          </c:tx>
          <c:layout>
            <c:manualLayout>
              <c:xMode val="edge"/>
              <c:yMode val="edge"/>
              <c:x val="1.56572647439243E-3"/>
              <c:y val="0.23046100832488001"/>
            </c:manualLayout>
          </c:layout>
          <c:overlay val="0"/>
        </c:title>
        <c:numFmt formatCode="0" sourceLinked="0"/>
        <c:majorTickMark val="out"/>
        <c:minorTickMark val="none"/>
        <c:tickLblPos val="nextTo"/>
        <c:crossAx val="68075520"/>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000"/>
              <a:t>Figure 4: SUID Rate, MA and US</a:t>
            </a:r>
            <a:r>
              <a:rPr lang="en-US" sz="1000" baseline="0"/>
              <a:t> Residents </a:t>
            </a:r>
          </a:p>
          <a:p>
            <a:pPr>
              <a:defRPr sz="1100"/>
            </a:pPr>
            <a:r>
              <a:rPr lang="en-US" sz="1000" baseline="0"/>
              <a:t>&lt;1 year, 2006-2015</a:t>
            </a:r>
            <a:r>
              <a:rPr lang="en-US" sz="1000"/>
              <a:t> </a:t>
            </a:r>
          </a:p>
        </c:rich>
      </c:tx>
      <c:layout/>
      <c:overlay val="0"/>
    </c:title>
    <c:autoTitleDeleted val="0"/>
    <c:plotArea>
      <c:layout>
        <c:manualLayout>
          <c:layoutTarget val="inner"/>
          <c:xMode val="edge"/>
          <c:yMode val="edge"/>
          <c:x val="0.16519428277987"/>
          <c:y val="0.21110776883226701"/>
          <c:w val="0.644397134829512"/>
          <c:h val="0.58434673193940601"/>
        </c:manualLayout>
      </c:layout>
      <c:lineChart>
        <c:grouping val="standard"/>
        <c:varyColors val="0"/>
        <c:ser>
          <c:idx val="0"/>
          <c:order val="0"/>
          <c:tx>
            <c:strRef>
              <c:f>Sheet1!$B$1</c:f>
              <c:strCache>
                <c:ptCount val="1"/>
                <c:pt idx="0">
                  <c:v>MA</c:v>
                </c:pt>
              </c:strCache>
            </c:strRef>
          </c:tx>
          <c:spPr>
            <a:ln>
              <a:solidFill>
                <a:schemeClr val="accent1"/>
              </a:solidFill>
            </a:ln>
          </c:spPr>
          <c:marker>
            <c:spPr>
              <a:ln>
                <a:solidFill>
                  <a:schemeClr val="accent1"/>
                </a:solidFill>
              </a:ln>
            </c:spPr>
          </c:marker>
          <c:dLbls>
            <c:spPr>
              <a:noFill/>
              <a:ln>
                <a:noFill/>
              </a:ln>
              <a:effectLst/>
            </c:spPr>
            <c:txPr>
              <a:bodyPr/>
              <a:lstStyle/>
              <a:p>
                <a:pPr>
                  <a:defRPr sz="900"/>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Sheet1!$B$2:$B$11</c:f>
              <c:numCache>
                <c:formatCode>0.0</c:formatCode>
                <c:ptCount val="10"/>
                <c:pt idx="0">
                  <c:v>45.1</c:v>
                </c:pt>
                <c:pt idx="1">
                  <c:v>54</c:v>
                </c:pt>
                <c:pt idx="2">
                  <c:v>47</c:v>
                </c:pt>
                <c:pt idx="3">
                  <c:v>68.400000000000006</c:v>
                </c:pt>
                <c:pt idx="4">
                  <c:v>53.6</c:v>
                </c:pt>
                <c:pt idx="5">
                  <c:v>42.3</c:v>
                </c:pt>
                <c:pt idx="6">
                  <c:v>50.6</c:v>
                </c:pt>
                <c:pt idx="7">
                  <c:v>39.200000000000003</c:v>
                </c:pt>
                <c:pt idx="8">
                  <c:v>43.3</c:v>
                </c:pt>
                <c:pt idx="9">
                  <c:v>53.2</c:v>
                </c:pt>
              </c:numCache>
            </c:numRef>
          </c:val>
          <c:smooth val="0"/>
          <c:extLst xmlns:c16r2="http://schemas.microsoft.com/office/drawing/2015/06/chart">
            <c:ext xmlns:c16="http://schemas.microsoft.com/office/drawing/2014/chart" uri="{C3380CC4-5D6E-409C-BE32-E72D297353CC}">
              <c16:uniqueId val="{00000000-2F65-4780-AC81-0A56FBF5301A}"/>
            </c:ext>
          </c:extLst>
        </c:ser>
        <c:ser>
          <c:idx val="1"/>
          <c:order val="1"/>
          <c:tx>
            <c:strRef>
              <c:f>Sheet1!$C$1</c:f>
              <c:strCache>
                <c:ptCount val="1"/>
                <c:pt idx="0">
                  <c:v>US</c:v>
                </c:pt>
              </c:strCache>
            </c:strRef>
          </c:tx>
          <c:dLbls>
            <c:spPr>
              <a:noFill/>
              <a:ln>
                <a:noFill/>
              </a:ln>
              <a:effectLst/>
            </c:spPr>
            <c:txPr>
              <a:bodyPr/>
              <a:lstStyle/>
              <a:p>
                <a:pPr>
                  <a:defRPr sz="9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Sheet1!$C$2:$C$11</c:f>
              <c:numCache>
                <c:formatCode>0.0</c:formatCode>
                <c:ptCount val="10"/>
                <c:pt idx="0">
                  <c:v>92.812417874841756</c:v>
                </c:pt>
                <c:pt idx="1">
                  <c:v>97.631429999260945</c:v>
                </c:pt>
                <c:pt idx="2">
                  <c:v>98.664556047164979</c:v>
                </c:pt>
                <c:pt idx="3">
                  <c:v>96.739871182969281</c:v>
                </c:pt>
                <c:pt idx="4">
                  <c:v>90.063824797106363</c:v>
                </c:pt>
                <c:pt idx="5">
                  <c:v>85.972495883488122</c:v>
                </c:pt>
                <c:pt idx="6">
                  <c:v>87.405488862314442</c:v>
                </c:pt>
                <c:pt idx="7">
                  <c:v>87.000064340883583</c:v>
                </c:pt>
                <c:pt idx="8">
                  <c:v>87.184898181478957</c:v>
                </c:pt>
                <c:pt idx="9">
                  <c:v>92.245890847724624</c:v>
                </c:pt>
              </c:numCache>
            </c:numRef>
          </c:val>
          <c:smooth val="0"/>
          <c:extLst xmlns:c16r2="http://schemas.microsoft.com/office/drawing/2015/06/chart">
            <c:ext xmlns:c16="http://schemas.microsoft.com/office/drawing/2014/chart" uri="{C3380CC4-5D6E-409C-BE32-E72D297353CC}">
              <c16:uniqueId val="{00000001-2F65-4780-AC81-0A56FBF5301A}"/>
            </c:ext>
          </c:extLst>
        </c:ser>
        <c:dLbls>
          <c:dLblPos val="b"/>
          <c:showLegendKey val="0"/>
          <c:showVal val="1"/>
          <c:showCatName val="0"/>
          <c:showSerName val="0"/>
          <c:showPercent val="0"/>
          <c:showBubbleSize val="0"/>
        </c:dLbls>
        <c:marker val="1"/>
        <c:smooth val="0"/>
        <c:axId val="68302336"/>
        <c:axId val="68303872"/>
      </c:lineChart>
      <c:catAx>
        <c:axId val="68302336"/>
        <c:scaling>
          <c:orientation val="minMax"/>
        </c:scaling>
        <c:delete val="0"/>
        <c:axPos val="b"/>
        <c:numFmt formatCode="General" sourceLinked="1"/>
        <c:majorTickMark val="out"/>
        <c:minorTickMark val="none"/>
        <c:tickLblPos val="nextTo"/>
        <c:txPr>
          <a:bodyPr/>
          <a:lstStyle/>
          <a:p>
            <a:pPr>
              <a:defRPr sz="1000" b="0"/>
            </a:pPr>
            <a:endParaRPr lang="en-US"/>
          </a:p>
        </c:txPr>
        <c:crossAx val="68303872"/>
        <c:crosses val="autoZero"/>
        <c:auto val="1"/>
        <c:lblAlgn val="ctr"/>
        <c:lblOffset val="100"/>
        <c:noMultiLvlLbl val="0"/>
      </c:catAx>
      <c:valAx>
        <c:axId val="68303872"/>
        <c:scaling>
          <c:orientation val="minMax"/>
        </c:scaling>
        <c:delete val="0"/>
        <c:axPos val="l"/>
        <c:majorGridlines>
          <c:spPr>
            <a:ln>
              <a:solidFill>
                <a:schemeClr val="bg1">
                  <a:lumMod val="95000"/>
                </a:schemeClr>
              </a:solidFill>
            </a:ln>
          </c:spPr>
        </c:majorGridlines>
        <c:title>
          <c:tx>
            <c:rich>
              <a:bodyPr/>
              <a:lstStyle/>
              <a:p>
                <a:pPr>
                  <a:defRPr/>
                </a:pPr>
                <a:r>
                  <a:rPr lang="en-US" sz="1000"/>
                  <a:t>Rate per 100,000 infants</a:t>
                </a:r>
              </a:p>
            </c:rich>
          </c:tx>
          <c:layout/>
          <c:overlay val="0"/>
        </c:title>
        <c:numFmt formatCode="0" sourceLinked="0"/>
        <c:majorTickMark val="out"/>
        <c:minorTickMark val="none"/>
        <c:tickLblPos val="nextTo"/>
        <c:txPr>
          <a:bodyPr/>
          <a:lstStyle/>
          <a:p>
            <a:pPr>
              <a:defRPr b="0"/>
            </a:pPr>
            <a:endParaRPr lang="en-US"/>
          </a:p>
        </c:txPr>
        <c:crossAx val="68302336"/>
        <c:crosses val="autoZero"/>
        <c:crossBetween val="between"/>
      </c:valAx>
    </c:plotArea>
    <c:legend>
      <c:legendPos val="r"/>
      <c:layout>
        <c:manualLayout>
          <c:xMode val="edge"/>
          <c:yMode val="edge"/>
          <c:x val="0.75150271505318034"/>
          <c:y val="0.6636944030644818"/>
          <c:w val="0.18205088525783999"/>
          <c:h val="0.11898911370255934"/>
        </c:manualLayout>
      </c:layout>
      <c:overlay val="0"/>
      <c:txPr>
        <a:bodyPr/>
        <a:lstStyle/>
        <a:p>
          <a:pPr>
            <a:defRPr sz="900"/>
          </a:pPr>
          <a:endParaRPr lang="en-US"/>
        </a:p>
      </c:txPr>
    </c:legend>
    <c:plotVisOnly val="1"/>
    <c:dispBlanksAs val="gap"/>
    <c:showDLblsOverMax val="0"/>
  </c:chart>
  <c:spPr>
    <a:ln>
      <a:solidFill>
        <a:schemeClr val="bg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000"/>
              <a:t>Figure 5: 3-Year</a:t>
            </a:r>
            <a:r>
              <a:rPr lang="en-US" sz="1000" baseline="0"/>
              <a:t> Rolling Average SUID Rate, MA Residents &lt;1 Year, 2006-2008 to 2013-2015</a:t>
            </a:r>
            <a:endParaRPr lang="en-US" sz="1000"/>
          </a:p>
        </c:rich>
      </c:tx>
      <c:layout>
        <c:manualLayout>
          <c:xMode val="edge"/>
          <c:yMode val="edge"/>
          <c:x val="0.151869280434901"/>
          <c:y val="0"/>
        </c:manualLayout>
      </c:layout>
      <c:overlay val="0"/>
    </c:title>
    <c:autoTitleDeleted val="0"/>
    <c:plotArea>
      <c:layout>
        <c:manualLayout>
          <c:layoutTarget val="inner"/>
          <c:xMode val="edge"/>
          <c:yMode val="edge"/>
          <c:x val="0.18068593496818799"/>
          <c:y val="0.16773496711787431"/>
          <c:w val="0.77327700901292595"/>
          <c:h val="0.51446452996192382"/>
        </c:manualLayout>
      </c:layout>
      <c:lineChart>
        <c:grouping val="standard"/>
        <c:varyColors val="0"/>
        <c:ser>
          <c:idx val="0"/>
          <c:order val="0"/>
          <c:tx>
            <c:strRef>
              <c:f>Sheet1!$B$1</c:f>
              <c:strCache>
                <c:ptCount val="1"/>
                <c:pt idx="0">
                  <c:v>MA</c:v>
                </c:pt>
              </c:strCache>
            </c:strRef>
          </c:tx>
          <c:spPr>
            <a:ln>
              <a:solidFill>
                <a:schemeClr val="tx2"/>
              </a:solidFill>
            </a:ln>
          </c:spPr>
          <c:marker>
            <c:spPr>
              <a:solidFill>
                <a:schemeClr val="tx2"/>
              </a:solidFill>
              <a:ln>
                <a:solidFill>
                  <a:schemeClr val="tx2"/>
                </a:solidFill>
              </a:ln>
            </c:spPr>
          </c:marker>
          <c:dLbls>
            <c:spPr>
              <a:noFill/>
              <a:ln>
                <a:noFill/>
              </a:ln>
              <a:effectLst/>
            </c:spPr>
            <c:txPr>
              <a:bodyPr/>
              <a:lstStyle/>
              <a:p>
                <a:pPr>
                  <a:defRPr b="1"/>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8"/>
                <c:pt idx="0">
                  <c:v>2006-2008</c:v>
                </c:pt>
                <c:pt idx="1">
                  <c:v>2007-2009</c:v>
                </c:pt>
                <c:pt idx="2">
                  <c:v>2008-2010</c:v>
                </c:pt>
                <c:pt idx="3">
                  <c:v>2009-2011</c:v>
                </c:pt>
                <c:pt idx="4">
                  <c:v>2010-2012</c:v>
                </c:pt>
                <c:pt idx="5">
                  <c:v>2011-2013</c:v>
                </c:pt>
                <c:pt idx="6">
                  <c:v>2012-2014</c:v>
                </c:pt>
                <c:pt idx="7">
                  <c:v>2013-2015</c:v>
                </c:pt>
              </c:strCache>
            </c:strRef>
          </c:cat>
          <c:val>
            <c:numRef>
              <c:f>Sheet1!$B$2:$B$9</c:f>
              <c:numCache>
                <c:formatCode>0.0</c:formatCode>
                <c:ptCount val="8"/>
                <c:pt idx="0">
                  <c:v>48.3</c:v>
                </c:pt>
                <c:pt idx="1">
                  <c:v>55.9</c:v>
                </c:pt>
                <c:pt idx="2">
                  <c:v>55.8</c:v>
                </c:pt>
                <c:pt idx="3">
                  <c:v>55</c:v>
                </c:pt>
                <c:pt idx="4">
                  <c:v>48.9</c:v>
                </c:pt>
                <c:pt idx="5">
                  <c:v>44</c:v>
                </c:pt>
                <c:pt idx="6">
                  <c:v>44.4</c:v>
                </c:pt>
                <c:pt idx="7">
                  <c:v>45.2</c:v>
                </c:pt>
              </c:numCache>
            </c:numRef>
          </c:val>
          <c:smooth val="0"/>
          <c:extLst xmlns:c16r2="http://schemas.microsoft.com/office/drawing/2015/06/chart">
            <c:ext xmlns:c16="http://schemas.microsoft.com/office/drawing/2014/chart" uri="{C3380CC4-5D6E-409C-BE32-E72D297353CC}">
              <c16:uniqueId val="{00000000-FBD4-4BCF-9FDD-E58513784062}"/>
            </c:ext>
          </c:extLst>
        </c:ser>
        <c:dLbls>
          <c:dLblPos val="t"/>
          <c:showLegendKey val="0"/>
          <c:showVal val="1"/>
          <c:showCatName val="0"/>
          <c:showSerName val="0"/>
          <c:showPercent val="0"/>
          <c:showBubbleSize val="0"/>
        </c:dLbls>
        <c:marker val="1"/>
        <c:smooth val="0"/>
        <c:axId val="68292992"/>
        <c:axId val="68295680"/>
      </c:lineChart>
      <c:catAx>
        <c:axId val="68292992"/>
        <c:scaling>
          <c:orientation val="minMax"/>
        </c:scaling>
        <c:delete val="0"/>
        <c:axPos val="b"/>
        <c:numFmt formatCode="General" sourceLinked="1"/>
        <c:majorTickMark val="out"/>
        <c:minorTickMark val="none"/>
        <c:tickLblPos val="nextTo"/>
        <c:crossAx val="68295680"/>
        <c:crosses val="autoZero"/>
        <c:auto val="1"/>
        <c:lblAlgn val="ctr"/>
        <c:lblOffset val="100"/>
        <c:noMultiLvlLbl val="0"/>
      </c:catAx>
      <c:valAx>
        <c:axId val="68295680"/>
        <c:scaling>
          <c:orientation val="minMax"/>
          <c:max val="80"/>
          <c:min val="0"/>
        </c:scaling>
        <c:delete val="0"/>
        <c:axPos val="l"/>
        <c:majorGridlines>
          <c:spPr>
            <a:ln>
              <a:solidFill>
                <a:schemeClr val="bg1">
                  <a:lumMod val="95000"/>
                </a:schemeClr>
              </a:solidFill>
            </a:ln>
          </c:spPr>
        </c:majorGridlines>
        <c:title>
          <c:tx>
            <c:rich>
              <a:bodyPr rot="-5400000" vert="horz"/>
              <a:lstStyle/>
              <a:p>
                <a:pPr>
                  <a:defRPr b="0"/>
                </a:pPr>
                <a:r>
                  <a:rPr lang="en-US" b="0"/>
                  <a:t>Rate per 100,000 infants</a:t>
                </a:r>
              </a:p>
            </c:rich>
          </c:tx>
          <c:layout>
            <c:manualLayout>
              <c:xMode val="edge"/>
              <c:yMode val="edge"/>
              <c:x val="3.8356205474315702E-3"/>
              <c:y val="0.20581008499765299"/>
            </c:manualLayout>
          </c:layout>
          <c:overlay val="0"/>
        </c:title>
        <c:numFmt formatCode="0" sourceLinked="0"/>
        <c:majorTickMark val="out"/>
        <c:minorTickMark val="none"/>
        <c:tickLblPos val="nextTo"/>
        <c:crossAx val="68292992"/>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Figure 6: Trend of Supine</a:t>
            </a:r>
            <a:r>
              <a:rPr lang="en-US" sz="1000" baseline="0"/>
              <a:t> Sleep, MA PRAMS, 2007-2015</a:t>
            </a:r>
            <a:endParaRPr lang="en-US" sz="1000"/>
          </a:p>
        </c:rich>
      </c:tx>
      <c:layout/>
      <c:overlay val="0"/>
    </c:title>
    <c:autoTitleDeleted val="0"/>
    <c:plotArea>
      <c:layout>
        <c:manualLayout>
          <c:layoutTarget val="inner"/>
          <c:xMode val="edge"/>
          <c:yMode val="edge"/>
          <c:x val="0.1873906877111213"/>
          <c:y val="0.19560337763209501"/>
          <c:w val="0.76267113669614828"/>
          <c:h val="0.56072101281457498"/>
        </c:manualLayout>
      </c:layout>
      <c:lineChart>
        <c:grouping val="standard"/>
        <c:varyColors val="0"/>
        <c:ser>
          <c:idx val="0"/>
          <c:order val="0"/>
          <c:tx>
            <c:strRef>
              <c:f>Sheet1!$B$1</c:f>
              <c:strCache>
                <c:ptCount val="1"/>
                <c:pt idx="0">
                  <c:v>Series 1</c:v>
                </c:pt>
              </c:strCache>
            </c:strRef>
          </c:tx>
          <c:spPr>
            <a:ln>
              <a:solidFill>
                <a:schemeClr val="accent2"/>
              </a:solidFill>
            </a:ln>
          </c:spPr>
          <c:marker>
            <c:spPr>
              <a:solidFill>
                <a:schemeClr val="accent2"/>
              </a:solidFill>
              <a:ln>
                <a:solidFill>
                  <a:schemeClr val="accent2"/>
                </a:solidFill>
              </a:ln>
            </c:spPr>
          </c:marker>
          <c:dLbls>
            <c:dLbl>
              <c:idx val="0"/>
              <c:layout>
                <c:manualLayout>
                  <c:x val="-6.6078504892770798E-2"/>
                  <c:y val="-4.798033720361229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784-4F92-9985-8198D8077215}"/>
                </c:ext>
              </c:extLst>
            </c:dLbl>
            <c:dLbl>
              <c:idx val="3"/>
              <c:layout>
                <c:manualLayout>
                  <c:x val="-7.7282986685487901E-2"/>
                  <c:y val="-5.363005471773660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784-4F92-9985-8198D8077215}"/>
                </c:ext>
              </c:extLst>
            </c:dLbl>
            <c:dLbl>
              <c:idx val="5"/>
              <c:layout>
                <c:manualLayout>
                  <c:x val="-7.3548159421248802E-2"/>
                  <c:y val="-4.23306196894880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784-4F92-9985-8198D8077215}"/>
                </c:ext>
              </c:extLst>
            </c:dLbl>
            <c:dLbl>
              <c:idx val="8"/>
              <c:layout>
                <c:manualLayout>
                  <c:x val="-2.3116659967053699E-2"/>
                  <c:y val="-8.14028336955617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784-4F92-9985-8198D8077215}"/>
                </c:ext>
              </c:extLst>
            </c:dLbl>
            <c:spPr>
              <a:noFill/>
              <a:ln>
                <a:noFill/>
              </a:ln>
              <a:effectLst/>
            </c:spPr>
            <c:txPr>
              <a:bodyPr/>
              <a:lstStyle/>
              <a:p>
                <a:pPr>
                  <a:defRPr sz="9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Sheet1!$B$2:$B$10</c:f>
              <c:numCache>
                <c:formatCode>0.0%</c:formatCode>
                <c:ptCount val="9"/>
                <c:pt idx="0">
                  <c:v>0.74099999999999999</c:v>
                </c:pt>
                <c:pt idx="1">
                  <c:v>0.76200000000000001</c:v>
                </c:pt>
                <c:pt idx="2">
                  <c:v>0.78600000000000003</c:v>
                </c:pt>
                <c:pt idx="3">
                  <c:v>0.77400000000000002</c:v>
                </c:pt>
                <c:pt idx="4">
                  <c:v>0.79600000000000004</c:v>
                </c:pt>
                <c:pt idx="5">
                  <c:v>0.8</c:v>
                </c:pt>
                <c:pt idx="6">
                  <c:v>0.82699999999999996</c:v>
                </c:pt>
                <c:pt idx="7">
                  <c:v>0.85099999999999998</c:v>
                </c:pt>
                <c:pt idx="8">
                  <c:v>0.85799999999999998</c:v>
                </c:pt>
              </c:numCache>
            </c:numRef>
          </c:val>
          <c:smooth val="0"/>
          <c:extLst xmlns:c16r2="http://schemas.microsoft.com/office/drawing/2015/06/chart">
            <c:ext xmlns:c16="http://schemas.microsoft.com/office/drawing/2014/chart" uri="{C3380CC4-5D6E-409C-BE32-E72D297353CC}">
              <c16:uniqueId val="{00000004-8784-4F92-9985-8198D8077215}"/>
            </c:ext>
          </c:extLst>
        </c:ser>
        <c:dLbls>
          <c:dLblPos val="t"/>
          <c:showLegendKey val="0"/>
          <c:showVal val="1"/>
          <c:showCatName val="0"/>
          <c:showSerName val="0"/>
          <c:showPercent val="0"/>
          <c:showBubbleSize val="0"/>
        </c:dLbls>
        <c:marker val="1"/>
        <c:smooth val="0"/>
        <c:axId val="68973312"/>
        <c:axId val="68976000"/>
      </c:lineChart>
      <c:catAx>
        <c:axId val="68973312"/>
        <c:scaling>
          <c:orientation val="minMax"/>
        </c:scaling>
        <c:delete val="0"/>
        <c:axPos val="b"/>
        <c:numFmt formatCode="General" sourceLinked="1"/>
        <c:majorTickMark val="out"/>
        <c:minorTickMark val="none"/>
        <c:tickLblPos val="nextTo"/>
        <c:crossAx val="68976000"/>
        <c:crosses val="autoZero"/>
        <c:auto val="1"/>
        <c:lblAlgn val="ctr"/>
        <c:lblOffset val="100"/>
        <c:noMultiLvlLbl val="0"/>
      </c:catAx>
      <c:valAx>
        <c:axId val="68976000"/>
        <c:scaling>
          <c:orientation val="minMax"/>
        </c:scaling>
        <c:delete val="0"/>
        <c:axPos val="l"/>
        <c:majorGridlines>
          <c:spPr>
            <a:ln>
              <a:solidFill>
                <a:schemeClr val="bg1">
                  <a:lumMod val="95000"/>
                </a:schemeClr>
              </a:solidFill>
            </a:ln>
          </c:spPr>
        </c:majorGridlines>
        <c:title>
          <c:tx>
            <c:rich>
              <a:bodyPr rot="-5400000" vert="horz"/>
              <a:lstStyle/>
              <a:p>
                <a:pPr>
                  <a:defRPr b="0"/>
                </a:pPr>
                <a:r>
                  <a:rPr lang="en-US" b="0"/>
                  <a:t>% reporting supine sleep</a:t>
                </a:r>
              </a:p>
            </c:rich>
          </c:tx>
          <c:layout>
            <c:manualLayout>
              <c:xMode val="edge"/>
              <c:yMode val="edge"/>
              <c:x val="9.6351674452245812E-3"/>
              <c:y val="0.13175187983258849"/>
            </c:manualLayout>
          </c:layout>
          <c:overlay val="0"/>
        </c:title>
        <c:numFmt formatCode="0%" sourceLinked="0"/>
        <c:majorTickMark val="out"/>
        <c:minorTickMark val="none"/>
        <c:tickLblPos val="nextTo"/>
        <c:crossAx val="68973312"/>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Figure 7: MA</a:t>
            </a:r>
            <a:r>
              <a:rPr lang="en-US" sz="1000" baseline="0"/>
              <a:t> PRAMS: </a:t>
            </a:r>
            <a:r>
              <a:rPr lang="en-US" sz="1000"/>
              <a:t>"How</a:t>
            </a:r>
            <a:r>
              <a:rPr lang="en-US" sz="1000" baseline="0"/>
              <a:t> often does your new baby sleep or nap on the same sleep surface with you and/or anyone else?", 2015 (Sample n=1,258)</a:t>
            </a:r>
            <a:endParaRPr lang="en-US" sz="1000"/>
          </a:p>
        </c:rich>
      </c:tx>
      <c:layout/>
      <c:overlay val="0"/>
    </c:title>
    <c:autoTitleDeleted val="0"/>
    <c:plotArea>
      <c:layout>
        <c:manualLayout>
          <c:layoutTarget val="inner"/>
          <c:xMode val="edge"/>
          <c:yMode val="edge"/>
          <c:x val="0.27643716047122002"/>
          <c:y val="0.35740438349265402"/>
          <c:w val="0.45326405420252702"/>
          <c:h val="0.575361013452654"/>
        </c:manualLayout>
      </c:layout>
      <c:pieChart>
        <c:varyColors val="1"/>
        <c:ser>
          <c:idx val="0"/>
          <c:order val="0"/>
          <c:tx>
            <c:strRef>
              <c:f>Sheet1!$B$1</c:f>
              <c:strCache>
                <c:ptCount val="1"/>
                <c:pt idx="0">
                  <c:v>Column1</c:v>
                </c:pt>
              </c:strCache>
            </c:strRef>
          </c:tx>
          <c:spPr>
            <a:ln>
              <a:solidFill>
                <a:schemeClr val="tx1"/>
              </a:solidFill>
            </a:ln>
          </c:spPr>
          <c:dLbls>
            <c:dLbl>
              <c:idx val="0"/>
              <c:layout>
                <c:manualLayout>
                  <c:x val="-9.0760394081174593E-3"/>
                  <c:y val="-0.13508533152812899"/>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B46-4E3F-AE22-11858A9796B0}"/>
                </c:ext>
              </c:extLst>
            </c:dLbl>
            <c:dLbl>
              <c:idx val="1"/>
              <c:layout>
                <c:manualLayout>
                  <c:x val="-4.1181936610002003E-2"/>
                  <c:y val="-8.2533936651583706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B46-4E3F-AE22-11858A9796B0}"/>
                </c:ext>
              </c:extLst>
            </c:dLbl>
            <c:dLbl>
              <c:idx val="2"/>
              <c:layout>
                <c:manualLayout>
                  <c:x val="-9.4396515652934707E-2"/>
                  <c:y val="0.148417681270017"/>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B46-4E3F-AE22-11858A9796B0}"/>
                </c:ext>
              </c:extLst>
            </c:dLbl>
            <c:spPr>
              <a:noFill/>
              <a:ln>
                <a:noFill/>
              </a:ln>
              <a:effectLst/>
            </c:spPr>
            <c:dLblPos val="bestFit"/>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&lt;1 time per week or never</c:v>
                </c:pt>
                <c:pt idx="1">
                  <c:v>5+ times per week or always</c:v>
                </c:pt>
                <c:pt idx="2">
                  <c:v>1-4 times per week</c:v>
                </c:pt>
              </c:strCache>
            </c:strRef>
          </c:cat>
          <c:val>
            <c:numRef>
              <c:f>Sheet1!$B$2:$B$4</c:f>
              <c:numCache>
                <c:formatCode>0.0%</c:formatCode>
                <c:ptCount val="3"/>
                <c:pt idx="0">
                  <c:v>0.46</c:v>
                </c:pt>
                <c:pt idx="1">
                  <c:v>0.377</c:v>
                </c:pt>
                <c:pt idx="2">
                  <c:v>0.16300000000000001</c:v>
                </c:pt>
              </c:numCache>
            </c:numRef>
          </c:val>
          <c:extLst xmlns:c16r2="http://schemas.microsoft.com/office/drawing/2015/06/chart">
            <c:ext xmlns:c16="http://schemas.microsoft.com/office/drawing/2014/chart" uri="{C3380CC4-5D6E-409C-BE32-E72D297353CC}">
              <c16:uniqueId val="{00000003-FB46-4E3F-AE22-11858A9796B0}"/>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solidFill>
        <a:schemeClr val="bg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Figure 9: Average Annual SUID Rate</a:t>
            </a:r>
            <a:r>
              <a:rPr lang="en-US" sz="1000" baseline="0"/>
              <a:t> by  Race/Ethnicity, MA Residents &lt;1 year, </a:t>
            </a:r>
          </a:p>
          <a:p>
            <a:pPr>
              <a:defRPr sz="1000"/>
            </a:pPr>
            <a:r>
              <a:rPr lang="en-US" sz="1000" baseline="0"/>
              <a:t>2011-2015 (n=163)</a:t>
            </a:r>
            <a:endParaRPr lang="en-US" sz="1000"/>
          </a:p>
        </c:rich>
      </c:tx>
      <c:layout/>
      <c:overlay val="0"/>
    </c:title>
    <c:autoTitleDeleted val="0"/>
    <c:plotArea>
      <c:layout>
        <c:manualLayout>
          <c:layoutTarget val="inner"/>
          <c:xMode val="edge"/>
          <c:yMode val="edge"/>
          <c:x val="0.17704673934988896"/>
          <c:y val="0.3400333276685738"/>
          <c:w val="0.77888274782959821"/>
          <c:h val="0.50977690288713906"/>
        </c:manualLayout>
      </c:layout>
      <c:barChart>
        <c:barDir val="col"/>
        <c:grouping val="clustered"/>
        <c:varyColors val="0"/>
        <c:ser>
          <c:idx val="0"/>
          <c:order val="0"/>
          <c:tx>
            <c:strRef>
              <c:f>Sheet1!$B$1</c:f>
              <c:strCache>
                <c:ptCount val="1"/>
                <c:pt idx="0">
                  <c:v>Series 1</c:v>
                </c:pt>
              </c:strCache>
            </c:strRef>
          </c:tx>
          <c:spPr>
            <a:solidFill>
              <a:schemeClr val="accent5"/>
            </a:solidFill>
            <a:ln>
              <a:solidFill>
                <a:schemeClr val="tx1"/>
              </a:solidFill>
            </a:ln>
          </c:spPr>
          <c:invertIfNegative val="0"/>
          <c:dLbls>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Asian NH</c:v>
                </c:pt>
                <c:pt idx="1">
                  <c:v>Black NH</c:v>
                </c:pt>
                <c:pt idx="2">
                  <c:v>Hispanic</c:v>
                </c:pt>
                <c:pt idx="3">
                  <c:v>White NH</c:v>
                </c:pt>
              </c:strCache>
            </c:strRef>
          </c:cat>
          <c:val>
            <c:numRef>
              <c:f>Sheet1!$B$2:$B$5</c:f>
              <c:numCache>
                <c:formatCode>General</c:formatCode>
                <c:ptCount val="4"/>
                <c:pt idx="1">
                  <c:v>91.6</c:v>
                </c:pt>
                <c:pt idx="2">
                  <c:v>54.9</c:v>
                </c:pt>
                <c:pt idx="3">
                  <c:v>41.3</c:v>
                </c:pt>
              </c:numCache>
            </c:numRef>
          </c:val>
          <c:extLst xmlns:c16r2="http://schemas.microsoft.com/office/drawing/2015/06/chart">
            <c:ext xmlns:c16="http://schemas.microsoft.com/office/drawing/2014/chart" uri="{C3380CC4-5D6E-409C-BE32-E72D297353CC}">
              <c16:uniqueId val="{00000000-CD59-4CCC-99C1-22F26686775B}"/>
            </c:ext>
          </c:extLst>
        </c:ser>
        <c:dLbls>
          <c:dLblPos val="outEnd"/>
          <c:showLegendKey val="0"/>
          <c:showVal val="1"/>
          <c:showCatName val="0"/>
          <c:showSerName val="0"/>
          <c:showPercent val="0"/>
          <c:showBubbleSize val="0"/>
        </c:dLbls>
        <c:gapWidth val="150"/>
        <c:axId val="69072384"/>
        <c:axId val="68759936"/>
      </c:barChart>
      <c:catAx>
        <c:axId val="69072384"/>
        <c:scaling>
          <c:orientation val="minMax"/>
        </c:scaling>
        <c:delete val="0"/>
        <c:axPos val="b"/>
        <c:numFmt formatCode="General" sourceLinked="0"/>
        <c:majorTickMark val="out"/>
        <c:minorTickMark val="none"/>
        <c:tickLblPos val="nextTo"/>
        <c:crossAx val="68759936"/>
        <c:crosses val="autoZero"/>
        <c:auto val="1"/>
        <c:lblAlgn val="ctr"/>
        <c:lblOffset val="100"/>
        <c:noMultiLvlLbl val="0"/>
      </c:catAx>
      <c:valAx>
        <c:axId val="68759936"/>
        <c:scaling>
          <c:orientation val="minMax"/>
        </c:scaling>
        <c:delete val="0"/>
        <c:axPos val="l"/>
        <c:majorGridlines>
          <c:spPr>
            <a:ln>
              <a:solidFill>
                <a:schemeClr val="bg1">
                  <a:lumMod val="95000"/>
                </a:schemeClr>
              </a:solidFill>
            </a:ln>
          </c:spPr>
        </c:majorGridlines>
        <c:title>
          <c:tx>
            <c:rich>
              <a:bodyPr rot="-5400000" vert="horz"/>
              <a:lstStyle/>
              <a:p>
                <a:pPr>
                  <a:defRPr b="0"/>
                </a:pPr>
                <a:r>
                  <a:rPr lang="en-US" b="0"/>
                  <a:t>Rate per 100,00 persons</a:t>
                </a:r>
              </a:p>
            </c:rich>
          </c:tx>
          <c:layout>
            <c:manualLayout>
              <c:xMode val="edge"/>
              <c:yMode val="edge"/>
              <c:x val="1.1458416182825629E-2"/>
              <c:y val="0.23754791442436601"/>
            </c:manualLayout>
          </c:layout>
          <c:overlay val="0"/>
        </c:title>
        <c:numFmt formatCode="General" sourceLinked="1"/>
        <c:majorTickMark val="out"/>
        <c:minorTickMark val="none"/>
        <c:tickLblPos val="nextTo"/>
        <c:crossAx val="69072384"/>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Figure 10: Infant Sleep</a:t>
            </a:r>
            <a:r>
              <a:rPr lang="en-US" sz="1000" baseline="0"/>
              <a:t> Practices </a:t>
            </a:r>
            <a:r>
              <a:rPr lang="en-US" sz="1000"/>
              <a:t>by Race/Ethnicity, </a:t>
            </a:r>
          </a:p>
          <a:p>
            <a:pPr>
              <a:defRPr sz="1000"/>
            </a:pPr>
            <a:r>
              <a:rPr lang="en-US" sz="1000"/>
              <a:t>MA PRAMS,</a:t>
            </a:r>
            <a:r>
              <a:rPr lang="en-US" sz="1000" baseline="0"/>
              <a:t> 2015 (Sample n=1,245)</a:t>
            </a:r>
            <a:endParaRPr lang="en-US" sz="1000"/>
          </a:p>
        </c:rich>
      </c:tx>
      <c:layout>
        <c:manualLayout>
          <c:xMode val="edge"/>
          <c:yMode val="edge"/>
          <c:x val="0.18189504244930277"/>
          <c:y val="8.3341434172580161E-4"/>
        </c:manualLayout>
      </c:layout>
      <c:overlay val="0"/>
    </c:title>
    <c:autoTitleDeleted val="0"/>
    <c:plotArea>
      <c:layout>
        <c:manualLayout>
          <c:layoutTarget val="inner"/>
          <c:xMode val="edge"/>
          <c:yMode val="edge"/>
          <c:x val="0.47793288996770139"/>
          <c:y val="0.19132652107806913"/>
          <c:w val="0.47312822739262855"/>
          <c:h val="0.61994852585174431"/>
        </c:manualLayout>
      </c:layout>
      <c:barChart>
        <c:barDir val="bar"/>
        <c:grouping val="clustered"/>
        <c:varyColors val="0"/>
        <c:ser>
          <c:idx val="0"/>
          <c:order val="0"/>
          <c:tx>
            <c:strRef>
              <c:f>Sheet1!$B$1</c:f>
              <c:strCache>
                <c:ptCount val="1"/>
                <c:pt idx="0">
                  <c:v>Asian NH</c:v>
                </c:pt>
              </c:strCache>
            </c:strRef>
          </c:tx>
          <c:spPr>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Non-supine sleep position</c:v>
                </c:pt>
                <c:pt idx="1">
                  <c:v>Bed shares 5+ times per week or always</c:v>
                </c:pt>
              </c:strCache>
            </c:strRef>
          </c:cat>
          <c:val>
            <c:numRef>
              <c:f>Sheet1!$B$2:$B$3</c:f>
              <c:numCache>
                <c:formatCode>0.0%</c:formatCode>
                <c:ptCount val="2"/>
                <c:pt idx="0">
                  <c:v>0.125</c:v>
                </c:pt>
                <c:pt idx="1">
                  <c:v>0.59399999999999997</c:v>
                </c:pt>
              </c:numCache>
            </c:numRef>
          </c:val>
          <c:extLst xmlns:c16r2="http://schemas.microsoft.com/office/drawing/2015/06/chart">
            <c:ext xmlns:c16="http://schemas.microsoft.com/office/drawing/2014/chart" uri="{C3380CC4-5D6E-409C-BE32-E72D297353CC}">
              <c16:uniqueId val="{00000000-2B45-4FAF-86AB-DEBBA52FBD73}"/>
            </c:ext>
          </c:extLst>
        </c:ser>
        <c:ser>
          <c:idx val="1"/>
          <c:order val="1"/>
          <c:tx>
            <c:strRef>
              <c:f>Sheet1!$C$1</c:f>
              <c:strCache>
                <c:ptCount val="1"/>
                <c:pt idx="0">
                  <c:v>Black NH</c:v>
                </c:pt>
              </c:strCache>
            </c:strRef>
          </c:tx>
          <c:spPr>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Non-supine sleep position</c:v>
                </c:pt>
                <c:pt idx="1">
                  <c:v>Bed shares 5+ times per week or always</c:v>
                </c:pt>
              </c:strCache>
            </c:strRef>
          </c:cat>
          <c:val>
            <c:numRef>
              <c:f>Sheet1!$C$2:$C$3</c:f>
              <c:numCache>
                <c:formatCode>0.0%</c:formatCode>
                <c:ptCount val="2"/>
                <c:pt idx="0">
                  <c:v>0.247</c:v>
                </c:pt>
                <c:pt idx="1">
                  <c:v>0.54</c:v>
                </c:pt>
              </c:numCache>
            </c:numRef>
          </c:val>
          <c:extLst xmlns:c16r2="http://schemas.microsoft.com/office/drawing/2015/06/chart">
            <c:ext xmlns:c16="http://schemas.microsoft.com/office/drawing/2014/chart" uri="{C3380CC4-5D6E-409C-BE32-E72D297353CC}">
              <c16:uniqueId val="{00000001-2B45-4FAF-86AB-DEBBA52FBD73}"/>
            </c:ext>
          </c:extLst>
        </c:ser>
        <c:ser>
          <c:idx val="2"/>
          <c:order val="2"/>
          <c:tx>
            <c:strRef>
              <c:f>Sheet1!$D$1</c:f>
              <c:strCache>
                <c:ptCount val="1"/>
                <c:pt idx="0">
                  <c:v>Hispanic</c:v>
                </c:pt>
              </c:strCache>
            </c:strRef>
          </c:tx>
          <c:spPr>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Non-supine sleep position</c:v>
                </c:pt>
                <c:pt idx="1">
                  <c:v>Bed shares 5+ times per week or always</c:v>
                </c:pt>
              </c:strCache>
            </c:strRef>
          </c:cat>
          <c:val>
            <c:numRef>
              <c:f>Sheet1!$D$2:$D$3</c:f>
              <c:numCache>
                <c:formatCode>0.0%</c:formatCode>
                <c:ptCount val="2"/>
                <c:pt idx="0">
                  <c:v>0.25600000000000001</c:v>
                </c:pt>
                <c:pt idx="1">
                  <c:v>0.47199999999999998</c:v>
                </c:pt>
              </c:numCache>
            </c:numRef>
          </c:val>
          <c:extLst xmlns:c16r2="http://schemas.microsoft.com/office/drawing/2015/06/chart">
            <c:ext xmlns:c16="http://schemas.microsoft.com/office/drawing/2014/chart" uri="{C3380CC4-5D6E-409C-BE32-E72D297353CC}">
              <c16:uniqueId val="{00000002-2B45-4FAF-86AB-DEBBA52FBD73}"/>
            </c:ext>
          </c:extLst>
        </c:ser>
        <c:ser>
          <c:idx val="3"/>
          <c:order val="3"/>
          <c:tx>
            <c:strRef>
              <c:f>Sheet1!$E$1</c:f>
              <c:strCache>
                <c:ptCount val="1"/>
                <c:pt idx="0">
                  <c:v>White NH</c:v>
                </c:pt>
              </c:strCache>
            </c:strRef>
          </c:tx>
          <c:spPr>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Non-supine sleep position</c:v>
                </c:pt>
                <c:pt idx="1">
                  <c:v>Bed shares 5+ times per week or always</c:v>
                </c:pt>
              </c:strCache>
            </c:strRef>
          </c:cat>
          <c:val>
            <c:numRef>
              <c:f>Sheet1!$E$2:$E$3</c:f>
              <c:numCache>
                <c:formatCode>0.0%</c:formatCode>
                <c:ptCount val="2"/>
                <c:pt idx="0">
                  <c:v>9.7000000000000003E-2</c:v>
                </c:pt>
                <c:pt idx="1">
                  <c:v>0.29899999999999999</c:v>
                </c:pt>
              </c:numCache>
            </c:numRef>
          </c:val>
          <c:extLst xmlns:c16r2="http://schemas.microsoft.com/office/drawing/2015/06/chart">
            <c:ext xmlns:c16="http://schemas.microsoft.com/office/drawing/2014/chart" uri="{C3380CC4-5D6E-409C-BE32-E72D297353CC}">
              <c16:uniqueId val="{00000003-2B45-4FAF-86AB-DEBBA52FBD73}"/>
            </c:ext>
          </c:extLst>
        </c:ser>
        <c:dLbls>
          <c:dLblPos val="outEnd"/>
          <c:showLegendKey val="0"/>
          <c:showVal val="1"/>
          <c:showCatName val="0"/>
          <c:showSerName val="0"/>
          <c:showPercent val="0"/>
          <c:showBubbleSize val="0"/>
        </c:dLbls>
        <c:gapWidth val="150"/>
        <c:axId val="68869120"/>
        <c:axId val="69083904"/>
      </c:barChart>
      <c:catAx>
        <c:axId val="68869120"/>
        <c:scaling>
          <c:orientation val="minMax"/>
        </c:scaling>
        <c:delete val="0"/>
        <c:axPos val="l"/>
        <c:numFmt formatCode="General" sourceLinked="0"/>
        <c:majorTickMark val="out"/>
        <c:minorTickMark val="none"/>
        <c:tickLblPos val="nextTo"/>
        <c:txPr>
          <a:bodyPr/>
          <a:lstStyle/>
          <a:p>
            <a:pPr>
              <a:defRPr sz="1000" b="0"/>
            </a:pPr>
            <a:endParaRPr lang="en-US"/>
          </a:p>
        </c:txPr>
        <c:crossAx val="69083904"/>
        <c:crosses val="autoZero"/>
        <c:auto val="1"/>
        <c:lblAlgn val="ctr"/>
        <c:lblOffset val="100"/>
        <c:noMultiLvlLbl val="0"/>
      </c:catAx>
      <c:valAx>
        <c:axId val="69083904"/>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crossAx val="68869120"/>
        <c:crosses val="autoZero"/>
        <c:crossBetween val="between"/>
      </c:valAx>
    </c:plotArea>
    <c:legend>
      <c:legendPos val="r"/>
      <c:layout>
        <c:manualLayout>
          <c:xMode val="edge"/>
          <c:yMode val="edge"/>
          <c:x val="2.4093830376466098E-2"/>
          <c:y val="0.74054712959537772"/>
          <c:w val="0.27383888093533798"/>
          <c:h val="0.18492965879265089"/>
        </c:manualLayout>
      </c:layout>
      <c:overlay val="0"/>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D095C-E289-4B57-81D1-5DA0AC31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 </cp:lastModifiedBy>
  <cp:revision>11</cp:revision>
  <cp:lastPrinted>2018-10-09T19:07:00Z</cp:lastPrinted>
  <dcterms:created xsi:type="dcterms:W3CDTF">2019-03-01T17:14:00Z</dcterms:created>
  <dcterms:modified xsi:type="dcterms:W3CDTF">2019-03-01T18:37:00Z</dcterms:modified>
</cp:coreProperties>
</file>