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8A6" w:rsidRPr="00AE4494" w:rsidRDefault="00AD6A98" w:rsidP="00497504">
      <w:pPr>
        <w:jc w:val="center"/>
        <w:rPr>
          <w:rFonts w:ascii="Times New Roman" w:hAnsi="Times New Roman"/>
          <w:sz w:val="96"/>
          <w:szCs w:val="112"/>
        </w:rPr>
      </w:pPr>
      <w:bookmarkStart w:id="0" w:name="_GoBack"/>
      <w:bookmarkEnd w:id="0"/>
      <w:r>
        <w:rPr>
          <w:rFonts w:ascii="Times New Roman" w:hAnsi="Times New Roman"/>
          <w:sz w:val="96"/>
          <w:szCs w:val="112"/>
        </w:rPr>
        <w:t>Fall 2018</w:t>
      </w:r>
      <w:r w:rsidR="00497504" w:rsidRPr="00AE4494">
        <w:rPr>
          <w:rFonts w:ascii="Times New Roman" w:hAnsi="Times New Roman"/>
          <w:sz w:val="96"/>
          <w:szCs w:val="112"/>
        </w:rPr>
        <w:t xml:space="preserve"> Report on Dealership Lemon Law Compliance</w:t>
      </w:r>
    </w:p>
    <w:p w:rsidR="00381B7A" w:rsidRDefault="00251D4D" w:rsidP="00076652">
      <w:pPr>
        <w:jc w:val="center"/>
        <w:rPr>
          <w:sz w:val="12"/>
          <w:szCs w:val="112"/>
        </w:rPr>
      </w:pPr>
      <w:r>
        <w:rPr>
          <w:noProof/>
        </w:rPr>
        <w:drawing>
          <wp:inline distT="0" distB="0" distL="0" distR="0" wp14:anchorId="21DC8E0E" wp14:editId="2542796B">
            <wp:extent cx="5943600" cy="3344545"/>
            <wp:effectExtent l="0" t="0" r="0" b="8255"/>
            <wp:docPr id="1" name="Picture 1" descr="blur, building,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r, building, busines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4545"/>
                    </a:xfrm>
                    <a:prstGeom prst="rect">
                      <a:avLst/>
                    </a:prstGeom>
                    <a:noFill/>
                    <a:ln>
                      <a:noFill/>
                    </a:ln>
                  </pic:spPr>
                </pic:pic>
              </a:graphicData>
            </a:graphic>
          </wp:inline>
        </w:drawing>
      </w:r>
    </w:p>
    <w:p w:rsidR="00076652" w:rsidRDefault="00076652" w:rsidP="00381B7A">
      <w:pPr>
        <w:jc w:val="center"/>
        <w:rPr>
          <w:rFonts w:ascii="Arial" w:eastAsia="Times New Roman" w:hAnsi="Arial" w:cs="Arial"/>
          <w:b/>
          <w:bCs/>
          <w:color w:val="002060"/>
          <w:sz w:val="28"/>
          <w:szCs w:val="26"/>
        </w:rPr>
      </w:pPr>
    </w:p>
    <w:p w:rsidR="00381B7A" w:rsidRPr="00381B7A" w:rsidRDefault="00381B7A" w:rsidP="00381B7A">
      <w:pPr>
        <w:jc w:val="center"/>
        <w:rPr>
          <w:rFonts w:ascii="Arial" w:eastAsia="Times New Roman" w:hAnsi="Arial" w:cs="Arial"/>
          <w:b/>
          <w:bCs/>
          <w:color w:val="002060"/>
          <w:sz w:val="28"/>
          <w:szCs w:val="26"/>
        </w:rPr>
      </w:pPr>
      <w:r w:rsidRPr="00381B7A">
        <w:rPr>
          <w:rFonts w:ascii="Arial" w:eastAsia="Times New Roman" w:hAnsi="Arial" w:cs="Arial"/>
          <w:b/>
          <w:bCs/>
          <w:color w:val="002060"/>
          <w:sz w:val="28"/>
          <w:szCs w:val="26"/>
        </w:rPr>
        <w:t>COMMONWEALTH OF MASSACHUSETTS</w:t>
      </w:r>
    </w:p>
    <w:p w:rsidR="00381B7A" w:rsidRPr="00AE4494" w:rsidRDefault="00381B7A" w:rsidP="00381B7A">
      <w:pPr>
        <w:jc w:val="center"/>
        <w:rPr>
          <w:sz w:val="12"/>
          <w:szCs w:val="112"/>
        </w:rPr>
      </w:pPr>
      <w:r w:rsidRPr="00AB3A3A">
        <w:rPr>
          <w:rFonts w:ascii="Arial" w:eastAsia="Times New Roman" w:hAnsi="Arial" w:cs="Arial"/>
          <w:b/>
          <w:bCs/>
          <w:color w:val="002060"/>
          <w:sz w:val="21"/>
          <w:szCs w:val="21"/>
        </w:rPr>
        <w:t>Office of Consumer Affairs and Business Regulation</w:t>
      </w:r>
    </w:p>
    <w:p w:rsidR="00381B7A" w:rsidRDefault="00E17915" w:rsidP="00381B7A">
      <w:pPr>
        <w:jc w:val="center"/>
        <w:rPr>
          <w:sz w:val="12"/>
          <w:szCs w:val="112"/>
        </w:rPr>
      </w:pPr>
      <w:r>
        <w:rPr>
          <w:noProof/>
          <w:sz w:val="12"/>
          <w:szCs w:val="112"/>
        </w:rPr>
        <w:drawing>
          <wp:anchor distT="0" distB="0" distL="114300" distR="114300" simplePos="0" relativeHeight="251660288" behindDoc="1" locked="0" layoutInCell="1" allowOverlap="1" wp14:anchorId="4FFCF44E" wp14:editId="36353B4A">
            <wp:simplePos x="0" y="0"/>
            <wp:positionH relativeFrom="margin">
              <wp:posOffset>2251710</wp:posOffset>
            </wp:positionH>
            <wp:positionV relativeFrom="paragraph">
              <wp:posOffset>188671</wp:posOffset>
            </wp:positionV>
            <wp:extent cx="1558290" cy="1528445"/>
            <wp:effectExtent l="0" t="0" r="3810" b="0"/>
            <wp:wrapNone/>
            <wp:docPr id="2" name="Picture 2" descr="Copy of OCABR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 of OCABR Logo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8290" cy="152844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4945"/>
        <w:gridCol w:w="2155"/>
      </w:tblGrid>
      <w:tr w:rsidR="00AE4494" w:rsidTr="003336A3">
        <w:trPr>
          <w:trHeight w:val="2123"/>
        </w:trPr>
        <w:tc>
          <w:tcPr>
            <w:tcW w:w="2250" w:type="dxa"/>
          </w:tcPr>
          <w:p w:rsidR="003336A3" w:rsidRDefault="003336A3" w:rsidP="003336A3">
            <w:pPr>
              <w:rPr>
                <w:rFonts w:ascii="Arial" w:eastAsia="Times New Roman" w:hAnsi="Arial" w:cs="Arial"/>
                <w:b/>
                <w:color w:val="002060"/>
                <w:sz w:val="20"/>
                <w:szCs w:val="19"/>
              </w:rPr>
            </w:pPr>
          </w:p>
          <w:p w:rsidR="003336A3" w:rsidRDefault="003336A3" w:rsidP="003336A3">
            <w:pPr>
              <w:rPr>
                <w:rFonts w:ascii="Arial" w:eastAsia="Times New Roman" w:hAnsi="Arial" w:cs="Arial"/>
                <w:b/>
                <w:color w:val="002060"/>
                <w:sz w:val="20"/>
                <w:szCs w:val="19"/>
              </w:rPr>
            </w:pPr>
          </w:p>
          <w:p w:rsidR="003336A3" w:rsidRDefault="003336A3" w:rsidP="003336A3">
            <w:pPr>
              <w:rPr>
                <w:rFonts w:ascii="Arial" w:eastAsia="Times New Roman" w:hAnsi="Arial" w:cs="Arial"/>
                <w:b/>
                <w:color w:val="002060"/>
                <w:sz w:val="16"/>
                <w:szCs w:val="16"/>
              </w:rPr>
            </w:pPr>
          </w:p>
          <w:p w:rsidR="00AE4494" w:rsidRPr="00AE4494" w:rsidRDefault="003336A3" w:rsidP="003336A3">
            <w:pPr>
              <w:jc w:val="center"/>
              <w:rPr>
                <w:rFonts w:ascii="Arial" w:eastAsia="Times New Roman" w:hAnsi="Arial" w:cs="Arial"/>
                <w:b/>
                <w:color w:val="002060"/>
                <w:sz w:val="20"/>
                <w:szCs w:val="19"/>
              </w:rPr>
            </w:pPr>
            <w:r>
              <w:rPr>
                <w:rFonts w:ascii="Arial" w:eastAsia="Times New Roman" w:hAnsi="Arial" w:cs="Arial"/>
                <w:b/>
                <w:color w:val="002060"/>
                <w:sz w:val="20"/>
                <w:szCs w:val="19"/>
              </w:rPr>
              <w:t xml:space="preserve">CHARLES D. </w:t>
            </w:r>
            <w:r w:rsidR="00AE4494" w:rsidRPr="00AE4494">
              <w:rPr>
                <w:rFonts w:ascii="Arial" w:eastAsia="Times New Roman" w:hAnsi="Arial" w:cs="Arial"/>
                <w:b/>
                <w:color w:val="002060"/>
                <w:sz w:val="20"/>
                <w:szCs w:val="19"/>
              </w:rPr>
              <w:t>BAKER</w:t>
            </w:r>
          </w:p>
          <w:p w:rsidR="00AE4494" w:rsidRDefault="00AE4494" w:rsidP="003336A3">
            <w:pPr>
              <w:jc w:val="center"/>
              <w:rPr>
                <w:rFonts w:ascii="Arial" w:eastAsia="Times New Roman" w:hAnsi="Arial" w:cs="Arial"/>
                <w:color w:val="002060"/>
                <w:sz w:val="13"/>
                <w:szCs w:val="15"/>
              </w:rPr>
            </w:pPr>
            <w:r w:rsidRPr="00AE4494">
              <w:rPr>
                <w:rFonts w:ascii="Arial" w:eastAsia="Times New Roman" w:hAnsi="Arial" w:cs="Arial"/>
                <w:color w:val="002060"/>
                <w:sz w:val="13"/>
                <w:szCs w:val="15"/>
              </w:rPr>
              <w:t>GOVERNOR</w:t>
            </w:r>
          </w:p>
          <w:p w:rsidR="003336A3" w:rsidRPr="00AE4494" w:rsidRDefault="003336A3" w:rsidP="003336A3">
            <w:pPr>
              <w:jc w:val="center"/>
              <w:rPr>
                <w:rFonts w:ascii="Arial" w:eastAsia="Times New Roman" w:hAnsi="Arial" w:cs="Arial"/>
                <w:color w:val="002060"/>
                <w:sz w:val="13"/>
                <w:szCs w:val="15"/>
              </w:rPr>
            </w:pPr>
          </w:p>
          <w:p w:rsidR="00AE4494" w:rsidRPr="00AE4494" w:rsidRDefault="00AE4494" w:rsidP="003336A3">
            <w:pPr>
              <w:rPr>
                <w:rFonts w:ascii="Arial" w:eastAsia="Times New Roman" w:hAnsi="Arial" w:cs="Arial"/>
                <w:b/>
                <w:color w:val="002060"/>
                <w:sz w:val="10"/>
                <w:szCs w:val="12"/>
              </w:rPr>
            </w:pPr>
          </w:p>
          <w:p w:rsidR="00AE4494" w:rsidRPr="00AE4494" w:rsidRDefault="00AE4494" w:rsidP="003336A3">
            <w:pPr>
              <w:tabs>
                <w:tab w:val="left" w:pos="450"/>
                <w:tab w:val="center" w:pos="1287"/>
              </w:tabs>
              <w:jc w:val="center"/>
              <w:rPr>
                <w:rFonts w:ascii="Arial" w:eastAsia="Times New Roman" w:hAnsi="Arial" w:cs="Arial"/>
                <w:b/>
                <w:color w:val="002060"/>
                <w:sz w:val="18"/>
                <w:szCs w:val="19"/>
              </w:rPr>
            </w:pPr>
          </w:p>
          <w:p w:rsidR="00AE4494" w:rsidRPr="00AE4494" w:rsidRDefault="00AE4494" w:rsidP="003336A3">
            <w:pPr>
              <w:tabs>
                <w:tab w:val="left" w:pos="450"/>
                <w:tab w:val="center" w:pos="1287"/>
              </w:tabs>
              <w:jc w:val="center"/>
              <w:rPr>
                <w:rFonts w:ascii="Arial" w:eastAsia="Times New Roman" w:hAnsi="Arial" w:cs="Arial"/>
                <w:b/>
                <w:color w:val="002060"/>
                <w:sz w:val="20"/>
                <w:szCs w:val="19"/>
              </w:rPr>
            </w:pPr>
            <w:r w:rsidRPr="00AE4494">
              <w:rPr>
                <w:rFonts w:ascii="Arial" w:eastAsia="Times New Roman" w:hAnsi="Arial" w:cs="Arial"/>
                <w:b/>
                <w:color w:val="002060"/>
                <w:sz w:val="20"/>
                <w:szCs w:val="19"/>
              </w:rPr>
              <w:t>KARYN E. POLITO</w:t>
            </w:r>
          </w:p>
          <w:p w:rsidR="00AE4494" w:rsidRDefault="00AE4494" w:rsidP="003336A3">
            <w:pPr>
              <w:jc w:val="center"/>
              <w:rPr>
                <w:sz w:val="12"/>
                <w:szCs w:val="112"/>
              </w:rPr>
            </w:pPr>
            <w:r w:rsidRPr="00AE4494">
              <w:rPr>
                <w:rFonts w:ascii="Arial" w:eastAsia="Times New Roman" w:hAnsi="Arial" w:cs="Arial"/>
                <w:color w:val="002060"/>
                <w:sz w:val="13"/>
                <w:szCs w:val="15"/>
              </w:rPr>
              <w:t>LIEUTENANT GOVERNOR</w:t>
            </w:r>
          </w:p>
        </w:tc>
        <w:tc>
          <w:tcPr>
            <w:tcW w:w="4945" w:type="dxa"/>
          </w:tcPr>
          <w:p w:rsidR="00AE4494" w:rsidRDefault="00AE4494" w:rsidP="00AE4494">
            <w:pPr>
              <w:ind w:right="-198"/>
              <w:jc w:val="center"/>
              <w:rPr>
                <w:sz w:val="12"/>
                <w:szCs w:val="112"/>
              </w:rPr>
            </w:pPr>
          </w:p>
          <w:p w:rsidR="00AE4494" w:rsidRDefault="00AE4494" w:rsidP="00AE4494">
            <w:pPr>
              <w:ind w:right="-198"/>
              <w:jc w:val="center"/>
              <w:rPr>
                <w:sz w:val="12"/>
                <w:szCs w:val="112"/>
              </w:rPr>
            </w:pPr>
          </w:p>
          <w:p w:rsidR="00AE4494" w:rsidRDefault="00AE4494" w:rsidP="00AE4494">
            <w:pPr>
              <w:ind w:right="-198"/>
              <w:jc w:val="center"/>
              <w:rPr>
                <w:sz w:val="12"/>
                <w:szCs w:val="112"/>
              </w:rPr>
            </w:pPr>
          </w:p>
          <w:p w:rsidR="00AE4494" w:rsidRDefault="00AE4494" w:rsidP="00AE4494">
            <w:pPr>
              <w:ind w:right="-198"/>
              <w:jc w:val="center"/>
              <w:rPr>
                <w:sz w:val="12"/>
                <w:szCs w:val="112"/>
              </w:rPr>
            </w:pPr>
          </w:p>
          <w:p w:rsidR="00381B7A" w:rsidRDefault="00381B7A" w:rsidP="00AE4494">
            <w:pPr>
              <w:jc w:val="center"/>
              <w:rPr>
                <w:rFonts w:ascii="Arial" w:eastAsia="Times New Roman" w:hAnsi="Arial" w:cs="Arial"/>
                <w:b/>
                <w:bCs/>
                <w:color w:val="002060"/>
                <w:sz w:val="26"/>
                <w:szCs w:val="26"/>
              </w:rPr>
            </w:pPr>
          </w:p>
          <w:p w:rsidR="00AE4494" w:rsidRPr="00381B7A" w:rsidRDefault="00AE4494" w:rsidP="00381B7A">
            <w:pPr>
              <w:jc w:val="center"/>
              <w:rPr>
                <w:rFonts w:ascii="Arial" w:eastAsia="Times New Roman" w:hAnsi="Arial" w:cs="Arial"/>
                <w:b/>
                <w:bCs/>
                <w:color w:val="002060"/>
                <w:sz w:val="26"/>
                <w:szCs w:val="26"/>
              </w:rPr>
            </w:pPr>
          </w:p>
        </w:tc>
        <w:tc>
          <w:tcPr>
            <w:tcW w:w="2155" w:type="dxa"/>
          </w:tcPr>
          <w:p w:rsidR="00AE4494" w:rsidRPr="00381B7A" w:rsidRDefault="00AE4494" w:rsidP="00AE4494">
            <w:pPr>
              <w:jc w:val="center"/>
              <w:rPr>
                <w:rFonts w:ascii="Arial" w:eastAsia="Times New Roman" w:hAnsi="Arial" w:cs="Arial"/>
                <w:b/>
                <w:color w:val="002060"/>
                <w:sz w:val="20"/>
                <w:szCs w:val="20"/>
              </w:rPr>
            </w:pPr>
          </w:p>
          <w:p w:rsidR="00AE4494" w:rsidRDefault="00AE4494" w:rsidP="00AE4494">
            <w:pPr>
              <w:jc w:val="center"/>
              <w:rPr>
                <w:rFonts w:ascii="Arial" w:eastAsia="Times New Roman" w:hAnsi="Arial" w:cs="Arial"/>
                <w:b/>
                <w:color w:val="002060"/>
                <w:sz w:val="20"/>
                <w:szCs w:val="19"/>
              </w:rPr>
            </w:pPr>
          </w:p>
          <w:p w:rsidR="00381B7A" w:rsidRPr="003336A3" w:rsidRDefault="00381B7A" w:rsidP="00AE4494">
            <w:pPr>
              <w:jc w:val="center"/>
              <w:rPr>
                <w:rFonts w:ascii="Arial" w:eastAsia="Times New Roman" w:hAnsi="Arial" w:cs="Arial"/>
                <w:b/>
                <w:color w:val="002060"/>
                <w:sz w:val="16"/>
                <w:szCs w:val="19"/>
              </w:rPr>
            </w:pPr>
          </w:p>
          <w:p w:rsidR="00AE4494" w:rsidRPr="00AE4494" w:rsidRDefault="00AE4494" w:rsidP="00AE4494">
            <w:pPr>
              <w:jc w:val="center"/>
              <w:rPr>
                <w:rFonts w:ascii="Arial" w:eastAsia="Times New Roman" w:hAnsi="Arial" w:cs="Arial"/>
                <w:b/>
                <w:color w:val="002060"/>
                <w:sz w:val="20"/>
                <w:szCs w:val="19"/>
              </w:rPr>
            </w:pPr>
            <w:r w:rsidRPr="00AE4494">
              <w:rPr>
                <w:rFonts w:ascii="Arial" w:eastAsia="Times New Roman" w:hAnsi="Arial" w:cs="Arial"/>
                <w:b/>
                <w:color w:val="002060"/>
                <w:sz w:val="20"/>
                <w:szCs w:val="19"/>
              </w:rPr>
              <w:t>JAY ASH</w:t>
            </w:r>
          </w:p>
          <w:p w:rsidR="00AE4494" w:rsidRPr="00AE4494" w:rsidRDefault="00AE4494" w:rsidP="00AE4494">
            <w:pPr>
              <w:jc w:val="center"/>
              <w:rPr>
                <w:rFonts w:ascii="Arial" w:eastAsia="Times New Roman" w:hAnsi="Arial" w:cs="Arial"/>
                <w:color w:val="002060"/>
                <w:sz w:val="13"/>
                <w:szCs w:val="15"/>
              </w:rPr>
            </w:pPr>
            <w:r w:rsidRPr="00AE4494">
              <w:rPr>
                <w:rFonts w:ascii="Arial" w:eastAsia="Times New Roman" w:hAnsi="Arial" w:cs="Arial"/>
                <w:color w:val="002060"/>
                <w:sz w:val="13"/>
                <w:szCs w:val="15"/>
              </w:rPr>
              <w:t>SECRETARY OF HOUSING AND ECONOMIC DEVELOPMENT</w:t>
            </w:r>
          </w:p>
          <w:p w:rsidR="00AE4494" w:rsidRPr="00381B7A" w:rsidRDefault="00AE4494" w:rsidP="00AE4494">
            <w:pPr>
              <w:jc w:val="center"/>
              <w:rPr>
                <w:rFonts w:ascii="Arial" w:eastAsia="Times New Roman" w:hAnsi="Arial" w:cs="Arial"/>
                <w:color w:val="002060"/>
                <w:sz w:val="13"/>
                <w:szCs w:val="15"/>
              </w:rPr>
            </w:pPr>
          </w:p>
          <w:p w:rsidR="00AE4494" w:rsidRPr="00AE4494" w:rsidRDefault="00AE4494" w:rsidP="00AE4494">
            <w:pPr>
              <w:tabs>
                <w:tab w:val="left" w:pos="1905"/>
              </w:tabs>
              <w:jc w:val="center"/>
              <w:rPr>
                <w:rFonts w:ascii="Arial" w:eastAsia="Times New Roman" w:hAnsi="Arial" w:cs="Arial"/>
                <w:b/>
                <w:color w:val="002060"/>
                <w:sz w:val="12"/>
                <w:szCs w:val="12"/>
              </w:rPr>
            </w:pPr>
          </w:p>
          <w:p w:rsidR="00AE4494" w:rsidRPr="00AE4494" w:rsidRDefault="00AE4494" w:rsidP="00AE4494">
            <w:pPr>
              <w:jc w:val="center"/>
              <w:rPr>
                <w:rFonts w:ascii="Arial" w:eastAsia="Times New Roman" w:hAnsi="Arial" w:cs="Arial"/>
                <w:b/>
                <w:color w:val="002060"/>
                <w:sz w:val="20"/>
                <w:szCs w:val="19"/>
              </w:rPr>
            </w:pPr>
            <w:r w:rsidRPr="00AE4494">
              <w:rPr>
                <w:rFonts w:ascii="Arial" w:eastAsia="Times New Roman" w:hAnsi="Arial" w:cs="Arial"/>
                <w:b/>
                <w:color w:val="002060"/>
                <w:sz w:val="20"/>
                <w:szCs w:val="19"/>
              </w:rPr>
              <w:t>JOHN C. CHAPMAN</w:t>
            </w:r>
          </w:p>
          <w:p w:rsidR="00AE4494" w:rsidRPr="00AE4494" w:rsidRDefault="00AE4494" w:rsidP="00AE4494">
            <w:pPr>
              <w:jc w:val="center"/>
              <w:rPr>
                <w:rFonts w:ascii="Arial" w:eastAsia="Times New Roman" w:hAnsi="Arial" w:cs="Arial"/>
                <w:color w:val="002060"/>
                <w:sz w:val="15"/>
                <w:szCs w:val="15"/>
              </w:rPr>
            </w:pPr>
            <w:r w:rsidRPr="00AE4494">
              <w:rPr>
                <w:rFonts w:ascii="Arial" w:eastAsia="Times New Roman" w:hAnsi="Arial" w:cs="Arial"/>
                <w:color w:val="002060"/>
                <w:sz w:val="15"/>
                <w:szCs w:val="15"/>
              </w:rPr>
              <w:t>UNDERSECRETARY</w:t>
            </w:r>
          </w:p>
          <w:p w:rsidR="00AE4494" w:rsidRDefault="00AE4494" w:rsidP="00AE4494">
            <w:pPr>
              <w:jc w:val="center"/>
              <w:rPr>
                <w:sz w:val="12"/>
                <w:szCs w:val="112"/>
              </w:rPr>
            </w:pPr>
          </w:p>
        </w:tc>
      </w:tr>
    </w:tbl>
    <w:p w:rsidR="00AE4494" w:rsidRDefault="00AE4494" w:rsidP="00381B7A">
      <w:pPr>
        <w:rPr>
          <w:sz w:val="12"/>
          <w:szCs w:val="112"/>
        </w:rPr>
      </w:pPr>
    </w:p>
    <w:p w:rsidR="00381B7A" w:rsidRDefault="00381B7A" w:rsidP="00381B7A">
      <w:pPr>
        <w:rPr>
          <w:rFonts w:ascii="Arial" w:eastAsia="Times New Roman" w:hAnsi="Arial" w:cs="Arial"/>
          <w:b/>
          <w:bCs/>
          <w:color w:val="002060"/>
          <w:sz w:val="21"/>
          <w:szCs w:val="21"/>
        </w:rPr>
      </w:pPr>
    </w:p>
    <w:p w:rsidR="009C3836" w:rsidRPr="009235DA" w:rsidRDefault="009C3836" w:rsidP="009C3836">
      <w:pPr>
        <w:ind w:firstLine="720"/>
        <w:rPr>
          <w:rFonts w:ascii="Times New Roman" w:hAnsi="Times New Roman" w:cs="Times New Roman"/>
          <w:sz w:val="24"/>
          <w:szCs w:val="24"/>
        </w:rPr>
      </w:pPr>
      <w:r w:rsidRPr="009235DA">
        <w:rPr>
          <w:rFonts w:ascii="Times New Roman" w:hAnsi="Times New Roman" w:cs="Times New Roman"/>
          <w:sz w:val="24"/>
          <w:szCs w:val="24"/>
        </w:rPr>
        <w:t xml:space="preserve">In an effort to assess and encourage compliance with regulations regarding the state’s Lemon Laws, the Office of Consumer Affairs and Business Regulation (OCABR) conducts </w:t>
      </w:r>
      <w:r w:rsidR="00AD6A98" w:rsidRPr="009235DA">
        <w:rPr>
          <w:rFonts w:ascii="Times New Roman" w:hAnsi="Times New Roman" w:cs="Times New Roman"/>
          <w:sz w:val="24"/>
          <w:szCs w:val="24"/>
        </w:rPr>
        <w:t>semi-</w:t>
      </w:r>
      <w:r w:rsidRPr="009235DA">
        <w:rPr>
          <w:rFonts w:ascii="Times New Roman" w:hAnsi="Times New Roman" w:cs="Times New Roman"/>
          <w:sz w:val="24"/>
          <w:szCs w:val="24"/>
        </w:rPr>
        <w:t>annual dealership audits to identify the number of vehicles properly displaying Lemon Law stickers. Massachusetts law requires that every new or used vehicle offered or displayed for sale in the state must bear a sticker informing the consumer of their rights under the Lemon Laws. The requirements are set forth in M.G.L. Chapter 90 § 7N1/2, 7N1/4, and 201 CMR 11:00. Dealerships that fail to comply are subject to potential penalties at the discretion of the municipality in which they operate.</w:t>
      </w:r>
    </w:p>
    <w:p w:rsidR="00D54A94" w:rsidRDefault="00251D4D" w:rsidP="00D54A94">
      <w:pPr>
        <w:rPr>
          <w:rFonts w:ascii="Times New Roman" w:hAnsi="Times New Roman" w:cs="Times New Roman"/>
          <w:sz w:val="24"/>
          <w:szCs w:val="24"/>
        </w:rPr>
      </w:pPr>
      <w:r w:rsidRPr="009235DA">
        <w:rPr>
          <w:rFonts w:ascii="Times New Roman" w:eastAsia="Times New Roman" w:hAnsi="Times New Roman" w:cs="Times New Roman"/>
          <w:sz w:val="24"/>
          <w:szCs w:val="24"/>
        </w:rPr>
        <w:tab/>
      </w:r>
      <w:r w:rsidR="00120F20" w:rsidRPr="009235DA">
        <w:rPr>
          <w:rFonts w:ascii="Times New Roman" w:hAnsi="Times New Roman" w:cs="Times New Roman"/>
          <w:sz w:val="24"/>
          <w:szCs w:val="24"/>
        </w:rPr>
        <w:t>During</w:t>
      </w:r>
      <w:r w:rsidR="00EE6941" w:rsidRPr="009235DA">
        <w:rPr>
          <w:rFonts w:ascii="Times New Roman" w:hAnsi="Times New Roman" w:cs="Times New Roman"/>
          <w:sz w:val="24"/>
          <w:szCs w:val="24"/>
        </w:rPr>
        <w:t xml:space="preserve"> the fall</w:t>
      </w:r>
      <w:r w:rsidR="00C5229E" w:rsidRPr="009235DA">
        <w:rPr>
          <w:rFonts w:ascii="Times New Roman" w:hAnsi="Times New Roman" w:cs="Times New Roman"/>
          <w:sz w:val="24"/>
          <w:szCs w:val="24"/>
        </w:rPr>
        <w:t xml:space="preserve"> 2</w:t>
      </w:r>
      <w:r w:rsidR="00AD6A98" w:rsidRPr="009235DA">
        <w:rPr>
          <w:rFonts w:ascii="Times New Roman" w:hAnsi="Times New Roman" w:cs="Times New Roman"/>
          <w:sz w:val="24"/>
          <w:szCs w:val="24"/>
        </w:rPr>
        <w:t>018</w:t>
      </w:r>
      <w:r w:rsidR="00EE6941" w:rsidRPr="009235DA">
        <w:rPr>
          <w:rFonts w:ascii="Times New Roman" w:hAnsi="Times New Roman" w:cs="Times New Roman"/>
          <w:sz w:val="24"/>
          <w:szCs w:val="24"/>
        </w:rPr>
        <w:t xml:space="preserve"> audit</w:t>
      </w:r>
      <w:r w:rsidR="00F51DC3">
        <w:rPr>
          <w:rFonts w:ascii="Times New Roman" w:hAnsi="Times New Roman" w:cs="Times New Roman"/>
          <w:sz w:val="24"/>
          <w:szCs w:val="24"/>
        </w:rPr>
        <w:t>, 17</w:t>
      </w:r>
      <w:r w:rsidR="00F51DC3" w:rsidRPr="009235DA">
        <w:rPr>
          <w:rFonts w:ascii="Times New Roman" w:hAnsi="Times New Roman" w:cs="Times New Roman"/>
          <w:sz w:val="24"/>
          <w:szCs w:val="24"/>
        </w:rPr>
        <w:t xml:space="preserve"> auditors from OCABR, its five regulatory agencies, and partners from the Office of the Attorney General’s (AGO) local consumer programs</w:t>
      </w:r>
      <w:r w:rsidR="00F51DC3">
        <w:rPr>
          <w:rFonts w:ascii="Times New Roman" w:hAnsi="Times New Roman" w:cs="Times New Roman"/>
          <w:sz w:val="24"/>
          <w:szCs w:val="24"/>
        </w:rPr>
        <w:t xml:space="preserve"> </w:t>
      </w:r>
      <w:r w:rsidR="00F51DC3" w:rsidRPr="009235DA">
        <w:rPr>
          <w:rFonts w:ascii="Times New Roman" w:hAnsi="Times New Roman" w:cs="Times New Roman"/>
          <w:sz w:val="24"/>
          <w:szCs w:val="24"/>
        </w:rPr>
        <w:t xml:space="preserve">inspected </w:t>
      </w:r>
      <w:r w:rsidR="00F51DC3">
        <w:rPr>
          <w:rFonts w:ascii="Times New Roman" w:hAnsi="Times New Roman" w:cs="Times New Roman"/>
          <w:sz w:val="24"/>
          <w:szCs w:val="24"/>
        </w:rPr>
        <w:t>127</w:t>
      </w:r>
      <w:r w:rsidR="00F51DC3" w:rsidRPr="009235DA">
        <w:rPr>
          <w:rFonts w:ascii="Times New Roman" w:hAnsi="Times New Roman" w:cs="Times New Roman"/>
          <w:sz w:val="24"/>
          <w:szCs w:val="24"/>
        </w:rPr>
        <w:t xml:space="preserve"> </w:t>
      </w:r>
      <w:r w:rsidR="00F51DC3">
        <w:rPr>
          <w:rFonts w:ascii="Times New Roman" w:hAnsi="Times New Roman" w:cs="Times New Roman"/>
          <w:sz w:val="24"/>
          <w:szCs w:val="24"/>
        </w:rPr>
        <w:t>dealerships in</w:t>
      </w:r>
      <w:r w:rsidR="00F51DC3" w:rsidRPr="009235DA">
        <w:rPr>
          <w:rFonts w:ascii="Times New Roman" w:hAnsi="Times New Roman" w:cs="Times New Roman"/>
          <w:sz w:val="24"/>
          <w:szCs w:val="24"/>
        </w:rPr>
        <w:t xml:space="preserve"> </w:t>
      </w:r>
      <w:r w:rsidR="00F51DC3">
        <w:rPr>
          <w:rFonts w:ascii="Times New Roman" w:hAnsi="Times New Roman" w:cs="Times New Roman"/>
          <w:sz w:val="24"/>
          <w:szCs w:val="24"/>
        </w:rPr>
        <w:t xml:space="preserve">70 municipalities.  </w:t>
      </w:r>
      <w:r w:rsidR="00C5229E" w:rsidRPr="009235DA">
        <w:rPr>
          <w:rFonts w:ascii="Times New Roman" w:hAnsi="Times New Roman" w:cs="Times New Roman"/>
          <w:sz w:val="24"/>
          <w:szCs w:val="24"/>
        </w:rPr>
        <w:t xml:space="preserve"> </w:t>
      </w:r>
    </w:p>
    <w:p w:rsidR="00B84376" w:rsidRDefault="0075210A" w:rsidP="00D54A94">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7696" behindDoc="0" locked="0" layoutInCell="1" allowOverlap="1">
            <wp:simplePos x="0" y="0"/>
            <wp:positionH relativeFrom="margin">
              <wp:posOffset>-828675</wp:posOffset>
            </wp:positionH>
            <wp:positionV relativeFrom="paragraph">
              <wp:posOffset>1218565</wp:posOffset>
            </wp:positionV>
            <wp:extent cx="7600950" cy="36861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udited car by city.PNG"/>
                    <pic:cNvPicPr/>
                  </pic:nvPicPr>
                  <pic:blipFill>
                    <a:blip r:embed="rId7">
                      <a:extLst>
                        <a:ext uri="{28A0092B-C50C-407E-A947-70E740481C1C}">
                          <a14:useLocalDpi xmlns:a14="http://schemas.microsoft.com/office/drawing/2010/main" val="0"/>
                        </a:ext>
                      </a:extLst>
                    </a:blip>
                    <a:stretch>
                      <a:fillRect/>
                    </a:stretch>
                  </pic:blipFill>
                  <pic:spPr>
                    <a:xfrm>
                      <a:off x="0" y="0"/>
                      <a:ext cx="7600950" cy="3686175"/>
                    </a:xfrm>
                    <a:prstGeom prst="rect">
                      <a:avLst/>
                    </a:prstGeom>
                  </pic:spPr>
                </pic:pic>
              </a:graphicData>
            </a:graphic>
            <wp14:sizeRelH relativeFrom="margin">
              <wp14:pctWidth>0</wp14:pctWidth>
            </wp14:sizeRelH>
            <wp14:sizeRelV relativeFrom="margin">
              <wp14:pctHeight>0</wp14:pctHeight>
            </wp14:sizeRelV>
          </wp:anchor>
        </w:drawing>
      </w:r>
      <w:r w:rsidR="00D54A94">
        <w:rPr>
          <w:rFonts w:ascii="Times New Roman" w:hAnsi="Times New Roman" w:cs="Times New Roman"/>
          <w:sz w:val="24"/>
          <w:szCs w:val="24"/>
        </w:rPr>
        <w:t xml:space="preserve">            </w:t>
      </w:r>
      <w:r w:rsidR="00C71AE0" w:rsidRPr="009235DA">
        <w:rPr>
          <w:rFonts w:ascii="Times New Roman" w:hAnsi="Times New Roman" w:cs="Times New Roman"/>
          <w:sz w:val="24"/>
          <w:szCs w:val="24"/>
        </w:rPr>
        <w:t xml:space="preserve">West Springfield dealerships had the most audited vehicles </w:t>
      </w:r>
      <w:r w:rsidR="00AD6A98" w:rsidRPr="009235DA">
        <w:rPr>
          <w:rFonts w:ascii="Times New Roman" w:hAnsi="Times New Roman" w:cs="Times New Roman"/>
          <w:sz w:val="24"/>
          <w:szCs w:val="24"/>
        </w:rPr>
        <w:t>(409 vehicles)</w:t>
      </w:r>
      <w:r w:rsidR="00C71AE0" w:rsidRPr="009235DA">
        <w:rPr>
          <w:rFonts w:ascii="Times New Roman" w:hAnsi="Times New Roman" w:cs="Times New Roman"/>
          <w:sz w:val="24"/>
          <w:szCs w:val="24"/>
        </w:rPr>
        <w:t>, followed by Greenfield dealerships (135</w:t>
      </w:r>
      <w:r w:rsidR="00AD6A98" w:rsidRPr="009235DA">
        <w:rPr>
          <w:rFonts w:ascii="Times New Roman" w:hAnsi="Times New Roman" w:cs="Times New Roman"/>
          <w:sz w:val="24"/>
          <w:szCs w:val="24"/>
        </w:rPr>
        <w:t xml:space="preserve"> vehicles</w:t>
      </w:r>
      <w:r w:rsidR="00C71AE0" w:rsidRPr="009235DA">
        <w:rPr>
          <w:rFonts w:ascii="Times New Roman" w:hAnsi="Times New Roman" w:cs="Times New Roman"/>
          <w:sz w:val="24"/>
          <w:szCs w:val="24"/>
        </w:rPr>
        <w:t>) and Attleboro dealerships (127</w:t>
      </w:r>
      <w:r w:rsidR="00AD6A98" w:rsidRPr="009235DA">
        <w:rPr>
          <w:rFonts w:ascii="Times New Roman" w:hAnsi="Times New Roman" w:cs="Times New Roman"/>
          <w:sz w:val="24"/>
          <w:szCs w:val="24"/>
        </w:rPr>
        <w:t xml:space="preserve"> vehicles</w:t>
      </w:r>
      <w:r w:rsidR="00C71AE0" w:rsidRPr="009235DA">
        <w:rPr>
          <w:rFonts w:ascii="Times New Roman" w:hAnsi="Times New Roman" w:cs="Times New Roman"/>
          <w:sz w:val="24"/>
          <w:szCs w:val="24"/>
        </w:rPr>
        <w:t>). Below are visual representations of the</w:t>
      </w:r>
      <w:r w:rsidR="00F51DC3">
        <w:rPr>
          <w:rFonts w:ascii="Times New Roman" w:hAnsi="Times New Roman" w:cs="Times New Roman"/>
          <w:sz w:val="24"/>
          <w:szCs w:val="24"/>
        </w:rPr>
        <w:t xml:space="preserve"> number of vehicles audited within</w:t>
      </w:r>
      <w:r w:rsidR="00C71AE0" w:rsidRPr="009235DA">
        <w:rPr>
          <w:rFonts w:ascii="Times New Roman" w:hAnsi="Times New Roman" w:cs="Times New Roman"/>
          <w:sz w:val="24"/>
          <w:szCs w:val="24"/>
        </w:rPr>
        <w:t xml:space="preserve"> </w:t>
      </w:r>
      <w:r w:rsidR="00EF33FC" w:rsidRPr="009235DA">
        <w:rPr>
          <w:rFonts w:ascii="Times New Roman" w:hAnsi="Times New Roman" w:cs="Times New Roman"/>
          <w:sz w:val="24"/>
          <w:szCs w:val="24"/>
        </w:rPr>
        <w:t xml:space="preserve">the </w:t>
      </w:r>
      <w:r w:rsidR="00C71AE0" w:rsidRPr="009235DA">
        <w:rPr>
          <w:rFonts w:ascii="Times New Roman" w:hAnsi="Times New Roman" w:cs="Times New Roman"/>
          <w:sz w:val="24"/>
          <w:szCs w:val="24"/>
        </w:rPr>
        <w:t>various municipalities and counties:</w:t>
      </w:r>
    </w:p>
    <w:p w:rsidR="00B84376" w:rsidRDefault="00B84376" w:rsidP="00B84376">
      <w:pPr>
        <w:ind w:firstLine="720"/>
        <w:rPr>
          <w:rFonts w:ascii="Times New Roman" w:hAnsi="Times New Roman" w:cs="Times New Roman"/>
          <w:sz w:val="24"/>
          <w:szCs w:val="24"/>
        </w:rPr>
      </w:pPr>
    </w:p>
    <w:p w:rsidR="00EF33FC" w:rsidRPr="00D54A94" w:rsidRDefault="00E17915" w:rsidP="00D54A94">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673458" cy="3350362"/>
            <wp:effectExtent l="0" t="0" r="381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tal vehicles Audited by County (Fall 2018).PNG"/>
                    <pic:cNvPicPr/>
                  </pic:nvPicPr>
                  <pic:blipFill>
                    <a:blip r:embed="rId8">
                      <a:extLst>
                        <a:ext uri="{28A0092B-C50C-407E-A947-70E740481C1C}">
                          <a14:useLocalDpi xmlns:a14="http://schemas.microsoft.com/office/drawing/2010/main" val="0"/>
                        </a:ext>
                      </a:extLst>
                    </a:blip>
                    <a:stretch>
                      <a:fillRect/>
                    </a:stretch>
                  </pic:blipFill>
                  <pic:spPr>
                    <a:xfrm>
                      <a:off x="0" y="0"/>
                      <a:ext cx="3700509" cy="3375033"/>
                    </a:xfrm>
                    <a:prstGeom prst="rect">
                      <a:avLst/>
                    </a:prstGeom>
                  </pic:spPr>
                </pic:pic>
              </a:graphicData>
            </a:graphic>
          </wp:inline>
        </w:drawing>
      </w:r>
    </w:p>
    <w:p w:rsidR="00C71AE0" w:rsidRDefault="00EF33FC" w:rsidP="00C53E0F">
      <w:pPr>
        <w:ind w:firstLine="720"/>
        <w:rPr>
          <w:rFonts w:ascii="Times New Roman" w:eastAsia="Times New Roman" w:hAnsi="Times New Roman" w:cs="Times New Roman"/>
          <w:bCs/>
          <w:sz w:val="24"/>
          <w:szCs w:val="24"/>
        </w:rPr>
      </w:pPr>
      <w:r w:rsidRPr="009235DA">
        <w:rPr>
          <w:rFonts w:ascii="Times New Roman" w:eastAsia="Times New Roman" w:hAnsi="Times New Roman" w:cs="Times New Roman"/>
          <w:bCs/>
          <w:sz w:val="24"/>
          <w:szCs w:val="24"/>
        </w:rPr>
        <w:t xml:space="preserve">A total of </w:t>
      </w:r>
      <w:r w:rsidR="004B73EE">
        <w:rPr>
          <w:rFonts w:ascii="Times New Roman" w:eastAsia="Times New Roman" w:hAnsi="Times New Roman" w:cs="Times New Roman"/>
          <w:bCs/>
          <w:sz w:val="24"/>
          <w:szCs w:val="24"/>
        </w:rPr>
        <w:t xml:space="preserve">54 </w:t>
      </w:r>
      <w:r w:rsidR="006A0A64">
        <w:rPr>
          <w:rFonts w:ascii="Times New Roman" w:eastAsia="Times New Roman" w:hAnsi="Times New Roman" w:cs="Times New Roman"/>
          <w:bCs/>
          <w:sz w:val="24"/>
          <w:szCs w:val="24"/>
        </w:rPr>
        <w:t xml:space="preserve">dealerships </w:t>
      </w:r>
      <w:r w:rsidR="004B73EE">
        <w:rPr>
          <w:rFonts w:ascii="Times New Roman" w:eastAsia="Times New Roman" w:hAnsi="Times New Roman" w:cs="Times New Roman"/>
          <w:bCs/>
          <w:sz w:val="24"/>
          <w:szCs w:val="24"/>
        </w:rPr>
        <w:t>of the 127</w:t>
      </w:r>
      <w:r w:rsidR="00AC7D52" w:rsidRPr="009235DA">
        <w:rPr>
          <w:rFonts w:ascii="Times New Roman" w:eastAsia="Times New Roman" w:hAnsi="Times New Roman" w:cs="Times New Roman"/>
          <w:bCs/>
          <w:sz w:val="24"/>
          <w:szCs w:val="24"/>
        </w:rPr>
        <w:t xml:space="preserve"> </w:t>
      </w:r>
      <w:r w:rsidR="006A0A64">
        <w:t>(~42%)</w:t>
      </w:r>
      <w:r w:rsidR="006A0A64" w:rsidRPr="002E5F98">
        <w:rPr>
          <w:rFonts w:ascii="Times New Roman" w:hAnsi="Times New Roman" w:cs="Times New Roman"/>
        </w:rPr>
        <w:t xml:space="preserve"> </w:t>
      </w:r>
      <w:r w:rsidR="00AD00C2" w:rsidRPr="002E5F98">
        <w:rPr>
          <w:rFonts w:ascii="Times New Roman" w:hAnsi="Times New Roman" w:cs="Times New Roman"/>
          <w:sz w:val="24"/>
          <w:szCs w:val="24"/>
        </w:rPr>
        <w:t>dealerships</w:t>
      </w:r>
      <w:r w:rsidR="00AD00C2">
        <w:t xml:space="preserve"> </w:t>
      </w:r>
      <w:r w:rsidR="006A0A64">
        <w:rPr>
          <w:rFonts w:ascii="Times New Roman" w:eastAsia="Times New Roman" w:hAnsi="Times New Roman" w:cs="Times New Roman"/>
          <w:bCs/>
          <w:sz w:val="24"/>
          <w:szCs w:val="24"/>
        </w:rPr>
        <w:t>which</w:t>
      </w:r>
      <w:r w:rsidR="00AC7D52" w:rsidRPr="009235DA">
        <w:rPr>
          <w:rFonts w:ascii="Times New Roman" w:eastAsia="Times New Roman" w:hAnsi="Times New Roman" w:cs="Times New Roman"/>
          <w:bCs/>
          <w:sz w:val="24"/>
          <w:szCs w:val="24"/>
        </w:rPr>
        <w:t xml:space="preserve"> had v</w:t>
      </w:r>
      <w:r w:rsidR="00E17915">
        <w:rPr>
          <w:rFonts w:ascii="Times New Roman" w:eastAsia="Times New Roman" w:hAnsi="Times New Roman" w:cs="Times New Roman"/>
          <w:bCs/>
          <w:sz w:val="24"/>
          <w:szCs w:val="24"/>
        </w:rPr>
        <w:t xml:space="preserve">ehicles audited achieved a 100% </w:t>
      </w:r>
      <w:r w:rsidR="00AC7D52" w:rsidRPr="009235DA">
        <w:rPr>
          <w:rFonts w:ascii="Times New Roman" w:eastAsia="Times New Roman" w:hAnsi="Times New Roman" w:cs="Times New Roman"/>
          <w:bCs/>
          <w:sz w:val="24"/>
          <w:szCs w:val="24"/>
        </w:rPr>
        <w:t>compliance</w:t>
      </w:r>
      <w:r w:rsidR="008C5DC9" w:rsidRPr="009235DA">
        <w:rPr>
          <w:rFonts w:ascii="Times New Roman" w:eastAsia="Times New Roman" w:hAnsi="Times New Roman" w:cs="Times New Roman"/>
          <w:bCs/>
          <w:sz w:val="24"/>
          <w:szCs w:val="24"/>
        </w:rPr>
        <w:t>, meaning all of these</w:t>
      </w:r>
      <w:r w:rsidR="00AC7D52" w:rsidRPr="009235DA">
        <w:rPr>
          <w:rFonts w:ascii="Times New Roman" w:eastAsia="Times New Roman" w:hAnsi="Times New Roman" w:cs="Times New Roman"/>
          <w:bCs/>
          <w:sz w:val="24"/>
          <w:szCs w:val="24"/>
        </w:rPr>
        <w:t xml:space="preserve"> audited vehicles featured a </w:t>
      </w:r>
      <w:r w:rsidR="006A0A64">
        <w:rPr>
          <w:rFonts w:ascii="Times New Roman" w:eastAsia="Times New Roman" w:hAnsi="Times New Roman" w:cs="Times New Roman"/>
          <w:bCs/>
          <w:sz w:val="24"/>
          <w:szCs w:val="24"/>
        </w:rPr>
        <w:t>“</w:t>
      </w:r>
      <w:r w:rsidR="00AC7D52" w:rsidRPr="009235DA">
        <w:rPr>
          <w:rFonts w:ascii="Times New Roman" w:eastAsia="Times New Roman" w:hAnsi="Times New Roman" w:cs="Times New Roman"/>
          <w:bCs/>
          <w:sz w:val="24"/>
          <w:szCs w:val="24"/>
        </w:rPr>
        <w:t>form</w:t>
      </w:r>
      <w:r w:rsidR="006A0A64">
        <w:rPr>
          <w:rFonts w:ascii="Times New Roman" w:eastAsia="Times New Roman" w:hAnsi="Times New Roman" w:cs="Times New Roman"/>
          <w:bCs/>
          <w:sz w:val="24"/>
          <w:szCs w:val="24"/>
        </w:rPr>
        <w:t>”</w:t>
      </w:r>
      <w:r w:rsidR="00AC7D52" w:rsidRPr="009235DA">
        <w:rPr>
          <w:rFonts w:ascii="Times New Roman" w:eastAsia="Times New Roman" w:hAnsi="Times New Roman" w:cs="Times New Roman"/>
          <w:bCs/>
          <w:sz w:val="24"/>
          <w:szCs w:val="24"/>
        </w:rPr>
        <w:t xml:space="preserve"> of a Lemon Law sticker. The breakdown of overall dealership compliance is listed below</w:t>
      </w:r>
      <w:r w:rsidR="00B51B78" w:rsidRPr="009235DA">
        <w:rPr>
          <w:rFonts w:ascii="Times New Roman" w:eastAsia="Times New Roman" w:hAnsi="Times New Roman" w:cs="Times New Roman"/>
          <w:bCs/>
          <w:sz w:val="24"/>
          <w:szCs w:val="24"/>
        </w:rPr>
        <w:t xml:space="preserve"> with a comparison to the </w:t>
      </w:r>
      <w:r w:rsidR="00B5109F" w:rsidRPr="009235DA">
        <w:rPr>
          <w:rFonts w:ascii="Times New Roman" w:eastAsia="Times New Roman" w:hAnsi="Times New Roman" w:cs="Times New Roman"/>
          <w:bCs/>
          <w:sz w:val="24"/>
          <w:szCs w:val="24"/>
        </w:rPr>
        <w:t>spring</w:t>
      </w:r>
      <w:r w:rsidR="008C5DC9" w:rsidRPr="009235DA">
        <w:rPr>
          <w:rFonts w:ascii="Times New Roman" w:eastAsia="Times New Roman" w:hAnsi="Times New Roman" w:cs="Times New Roman"/>
          <w:bCs/>
          <w:sz w:val="24"/>
          <w:szCs w:val="24"/>
        </w:rPr>
        <w:t xml:space="preserve"> </w:t>
      </w:r>
      <w:r w:rsidR="00CA242B" w:rsidRPr="009235DA">
        <w:rPr>
          <w:rFonts w:ascii="Times New Roman" w:eastAsia="Times New Roman" w:hAnsi="Times New Roman" w:cs="Times New Roman"/>
          <w:bCs/>
          <w:sz w:val="24"/>
          <w:szCs w:val="24"/>
        </w:rPr>
        <w:t>2018 a</w:t>
      </w:r>
      <w:r w:rsidR="00B51B78" w:rsidRPr="009235DA">
        <w:rPr>
          <w:rFonts w:ascii="Times New Roman" w:eastAsia="Times New Roman" w:hAnsi="Times New Roman" w:cs="Times New Roman"/>
          <w:bCs/>
          <w:sz w:val="24"/>
          <w:szCs w:val="24"/>
        </w:rPr>
        <w:t>udit</w:t>
      </w:r>
      <w:r w:rsidR="00AC7D52" w:rsidRPr="009235DA">
        <w:rPr>
          <w:rFonts w:ascii="Times New Roman" w:eastAsia="Times New Roman" w:hAnsi="Times New Roman" w:cs="Times New Roman"/>
          <w:bCs/>
          <w:sz w:val="24"/>
          <w:szCs w:val="24"/>
        </w:rPr>
        <w:t>.</w:t>
      </w:r>
    </w:p>
    <w:p w:rsidR="00B84376" w:rsidRPr="009235DA" w:rsidRDefault="007A7C33" w:rsidP="00B84376">
      <w:pPr>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drawing>
          <wp:anchor distT="0" distB="0" distL="114300" distR="114300" simplePos="0" relativeHeight="251681792" behindDoc="0" locked="0" layoutInCell="1" allowOverlap="1">
            <wp:simplePos x="0" y="0"/>
            <wp:positionH relativeFrom="margin">
              <wp:align>left</wp:align>
            </wp:positionH>
            <wp:positionV relativeFrom="paragraph">
              <wp:posOffset>-1905</wp:posOffset>
            </wp:positionV>
            <wp:extent cx="5589270" cy="30194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verall Dealership Compliance (Fall 2018).PNG"/>
                    <pic:cNvPicPr/>
                  </pic:nvPicPr>
                  <pic:blipFill>
                    <a:blip r:embed="rId9">
                      <a:extLst>
                        <a:ext uri="{28A0092B-C50C-407E-A947-70E740481C1C}">
                          <a14:useLocalDpi xmlns:a14="http://schemas.microsoft.com/office/drawing/2010/main" val="0"/>
                        </a:ext>
                      </a:extLst>
                    </a:blip>
                    <a:stretch>
                      <a:fillRect/>
                    </a:stretch>
                  </pic:blipFill>
                  <pic:spPr>
                    <a:xfrm>
                      <a:off x="0" y="0"/>
                      <a:ext cx="5589270" cy="3019425"/>
                    </a:xfrm>
                    <a:prstGeom prst="rect">
                      <a:avLst/>
                    </a:prstGeom>
                  </pic:spPr>
                </pic:pic>
              </a:graphicData>
            </a:graphic>
            <wp14:sizeRelH relativeFrom="margin">
              <wp14:pctWidth>0</wp14:pctWidth>
            </wp14:sizeRelH>
            <wp14:sizeRelV relativeFrom="margin">
              <wp14:pctHeight>0</wp14:pctHeight>
            </wp14:sizeRelV>
          </wp:anchor>
        </w:drawing>
      </w:r>
    </w:p>
    <w:p w:rsidR="006A0A64" w:rsidRDefault="00B51B78" w:rsidP="006A0A64">
      <w:pPr>
        <w:pStyle w:val="Default"/>
        <w:spacing w:after="160"/>
        <w:ind w:firstLine="720"/>
      </w:pPr>
      <w:r w:rsidRPr="009235DA">
        <w:t xml:space="preserve">Although </w:t>
      </w:r>
      <w:r w:rsidR="008C5DC9" w:rsidRPr="009235DA">
        <w:t xml:space="preserve">total </w:t>
      </w:r>
      <w:r w:rsidRPr="009235DA">
        <w:t>compliance is the ultimate goal of the Office</w:t>
      </w:r>
      <w:r w:rsidR="001F493E">
        <w:t xml:space="preserve"> conducting the dealership audits, the Office recognizes the efforts and </w:t>
      </w:r>
      <w:r w:rsidR="006A0A64">
        <w:t>commends</w:t>
      </w:r>
      <w:r w:rsidRPr="009235DA">
        <w:t xml:space="preserve"> dealership</w:t>
      </w:r>
      <w:r w:rsidR="006A0A64">
        <w:t>s</w:t>
      </w:r>
      <w:r w:rsidRPr="009235DA">
        <w:t xml:space="preserve"> with a compliance rate </w:t>
      </w:r>
      <w:r w:rsidR="00120F20" w:rsidRPr="009235DA">
        <w:t xml:space="preserve">of </w:t>
      </w:r>
      <w:r w:rsidRPr="009235DA">
        <w:t xml:space="preserve">90%. Based on this criteria, 72 of the </w:t>
      </w:r>
      <w:r w:rsidR="004B73EE">
        <w:t>127</w:t>
      </w:r>
      <w:r w:rsidR="00A3388B">
        <w:t xml:space="preserve"> dealerships audited</w:t>
      </w:r>
      <w:r w:rsidR="003E7517">
        <w:t xml:space="preserve"> (~56%)</w:t>
      </w:r>
      <w:r w:rsidRPr="009235DA">
        <w:t xml:space="preserve"> featured Lemon Law stic</w:t>
      </w:r>
      <w:r w:rsidR="003E7517">
        <w:t>kers at a satisfactory rate, a 13</w:t>
      </w:r>
      <w:r w:rsidRPr="009235DA">
        <w:t xml:space="preserve">% </w:t>
      </w:r>
      <w:r w:rsidR="003A0E24" w:rsidRPr="009235DA">
        <w:t>decrease</w:t>
      </w:r>
      <w:r w:rsidRPr="009235DA">
        <w:t xml:space="preserve"> from </w:t>
      </w:r>
      <w:r w:rsidR="009D6EB5">
        <w:t>the 93</w:t>
      </w:r>
      <w:r w:rsidR="003E7517">
        <w:t xml:space="preserve"> </w:t>
      </w:r>
      <w:r w:rsidR="009D6EB5">
        <w:t xml:space="preserve">dealerships with a satisfactory rate audited during </w:t>
      </w:r>
      <w:r w:rsidR="00B5109F" w:rsidRPr="009235DA">
        <w:t xml:space="preserve">the </w:t>
      </w:r>
      <w:r w:rsidR="00CA242B" w:rsidRPr="009235DA">
        <w:t>spring</w:t>
      </w:r>
      <w:r w:rsidR="00B5109F" w:rsidRPr="009235DA">
        <w:t xml:space="preserve"> audit</w:t>
      </w:r>
      <w:r w:rsidR="00120F20" w:rsidRPr="009235DA">
        <w:t xml:space="preserve"> earlier this year</w:t>
      </w:r>
      <w:r w:rsidRPr="009235DA">
        <w:t xml:space="preserve">. </w:t>
      </w:r>
    </w:p>
    <w:p w:rsidR="006A0A64" w:rsidRPr="009235DA" w:rsidRDefault="006A0A64" w:rsidP="006A0A64">
      <w:pPr>
        <w:pStyle w:val="Default"/>
        <w:spacing w:after="160"/>
        <w:ind w:firstLine="720"/>
      </w:pPr>
    </w:p>
    <w:p w:rsidR="004B73EE" w:rsidRPr="009235DA" w:rsidRDefault="00B51B78" w:rsidP="005550D3">
      <w:pPr>
        <w:pStyle w:val="Default"/>
        <w:spacing w:after="160"/>
        <w:ind w:firstLine="720"/>
      </w:pPr>
      <w:r w:rsidRPr="009235DA">
        <w:t xml:space="preserve">Among the </w:t>
      </w:r>
      <w:r w:rsidR="003A0E24" w:rsidRPr="009235DA">
        <w:t>133</w:t>
      </w:r>
      <w:r w:rsidRPr="009235DA">
        <w:t xml:space="preserve"> dealerships audited </w:t>
      </w:r>
      <w:r w:rsidR="00CA242B" w:rsidRPr="009235DA">
        <w:t>during this spring</w:t>
      </w:r>
      <w:r w:rsidRPr="009235DA">
        <w:t xml:space="preserve"> and the </w:t>
      </w:r>
      <w:r w:rsidR="004B73EE">
        <w:t>127</w:t>
      </w:r>
      <w:r w:rsidR="00303B78" w:rsidRPr="009235DA">
        <w:t xml:space="preserve"> dealerships</w:t>
      </w:r>
      <w:r w:rsidRPr="009235DA">
        <w:t xml:space="preserve"> audited this </w:t>
      </w:r>
      <w:r w:rsidR="00CA242B" w:rsidRPr="009235DA">
        <w:t>fall</w:t>
      </w:r>
      <w:r w:rsidRPr="009235DA">
        <w:t xml:space="preserve">, </w:t>
      </w:r>
      <w:r w:rsidR="004B73EE">
        <w:t>25</w:t>
      </w:r>
      <w:r w:rsidRPr="009235DA">
        <w:t xml:space="preserve"> of those dealerships were visited during both audit periods. </w:t>
      </w:r>
      <w:r w:rsidR="00DF5DCA">
        <w:t>Three</w:t>
      </w:r>
      <w:r w:rsidR="00AD6A98" w:rsidRPr="0068725B">
        <w:t xml:space="preserve"> dealerships have closed down</w:t>
      </w:r>
      <w:r w:rsidR="006A0A64">
        <w:t xml:space="preserve"> leaving</w:t>
      </w:r>
      <w:r w:rsidR="00413B76" w:rsidRPr="0068725B">
        <w:t xml:space="preserve"> </w:t>
      </w:r>
      <w:r w:rsidR="00DF5DCA">
        <w:t>22</w:t>
      </w:r>
      <w:r w:rsidR="006A0A64">
        <w:t xml:space="preserve"> dealerships</w:t>
      </w:r>
      <w:r w:rsidR="00413B76" w:rsidRPr="0068725B">
        <w:t xml:space="preserve"> remaining.</w:t>
      </w:r>
      <w:r w:rsidR="00303B78" w:rsidRPr="009235DA">
        <w:t xml:space="preserve"> </w:t>
      </w:r>
      <w:r w:rsidR="00881C5A" w:rsidRPr="009235DA">
        <w:t xml:space="preserve">Of </w:t>
      </w:r>
      <w:r w:rsidR="00413B76" w:rsidRPr="009235DA">
        <w:t>these</w:t>
      </w:r>
      <w:r w:rsidR="00A45FDF">
        <w:t xml:space="preserve"> </w:t>
      </w:r>
      <w:r w:rsidR="006A0A64">
        <w:t xml:space="preserve">22 </w:t>
      </w:r>
      <w:r w:rsidR="00A45FDF">
        <w:t>dealerships</w:t>
      </w:r>
      <w:r w:rsidR="00390BEA">
        <w:t>,</w:t>
      </w:r>
      <w:r w:rsidR="00A45FDF">
        <w:t xml:space="preserve"> seven</w:t>
      </w:r>
      <w:r w:rsidR="00881C5A" w:rsidRPr="009235DA">
        <w:t xml:space="preserve"> were at 100% compliance, </w:t>
      </w:r>
      <w:r w:rsidR="00A45FDF">
        <w:t>five</w:t>
      </w:r>
      <w:r w:rsidR="00881C5A" w:rsidRPr="009235DA">
        <w:t xml:space="preserve"> were between 90% and 99% compliance, </w:t>
      </w:r>
      <w:r w:rsidR="00A45FDF">
        <w:t>three</w:t>
      </w:r>
      <w:r w:rsidR="00881C5A" w:rsidRPr="009235DA">
        <w:t xml:space="preserve"> were b</w:t>
      </w:r>
      <w:r w:rsidR="00A45FDF">
        <w:t>etween 80% and 89% compliance, three</w:t>
      </w:r>
      <w:r w:rsidR="00881C5A" w:rsidRPr="009235DA">
        <w:t xml:space="preserve"> were between 70% and 79% compliance</w:t>
      </w:r>
      <w:r w:rsidR="005550D3">
        <w:t>, one</w:t>
      </w:r>
      <w:r w:rsidR="00A45FDF">
        <w:t xml:space="preserve"> was at 10% compliance, and six</w:t>
      </w:r>
      <w:r w:rsidR="00881C5A" w:rsidRPr="009235DA">
        <w:t xml:space="preserve"> were at 0% compliance.</w:t>
      </w:r>
      <w:r w:rsidR="00DF5DCA">
        <w:t xml:space="preserve"> Eleven</w:t>
      </w:r>
      <w:r w:rsidR="00413B76" w:rsidRPr="009235DA">
        <w:t xml:space="preserve"> have shown more than a 70% improvement in compliance.</w:t>
      </w:r>
    </w:p>
    <w:p w:rsidR="004B73EE" w:rsidRDefault="00B84376" w:rsidP="004B73EE">
      <w:pPr>
        <w:ind w:firstLine="72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8720" behindDoc="0" locked="0" layoutInCell="1" allowOverlap="1">
            <wp:simplePos x="0" y="0"/>
            <wp:positionH relativeFrom="page">
              <wp:posOffset>285750</wp:posOffset>
            </wp:positionH>
            <wp:positionV relativeFrom="paragraph">
              <wp:posOffset>771525</wp:posOffset>
            </wp:positionV>
            <wp:extent cx="7146290" cy="3552825"/>
            <wp:effectExtent l="0" t="0" r="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emon Law Compliance by City.PNG"/>
                    <pic:cNvPicPr/>
                  </pic:nvPicPr>
                  <pic:blipFill>
                    <a:blip r:embed="rId10">
                      <a:extLst>
                        <a:ext uri="{28A0092B-C50C-407E-A947-70E740481C1C}">
                          <a14:useLocalDpi xmlns:a14="http://schemas.microsoft.com/office/drawing/2010/main" val="0"/>
                        </a:ext>
                      </a:extLst>
                    </a:blip>
                    <a:stretch>
                      <a:fillRect/>
                    </a:stretch>
                  </pic:blipFill>
                  <pic:spPr>
                    <a:xfrm>
                      <a:off x="0" y="0"/>
                      <a:ext cx="7146290" cy="3552825"/>
                    </a:xfrm>
                    <a:prstGeom prst="rect">
                      <a:avLst/>
                    </a:prstGeom>
                  </pic:spPr>
                </pic:pic>
              </a:graphicData>
            </a:graphic>
            <wp14:sizeRelH relativeFrom="margin">
              <wp14:pctWidth>0</wp14:pctWidth>
            </wp14:sizeRelH>
            <wp14:sizeRelV relativeFrom="margin">
              <wp14:pctHeight>0</wp14:pctHeight>
            </wp14:sizeRelV>
          </wp:anchor>
        </w:drawing>
      </w:r>
      <w:r w:rsidR="0068725B">
        <w:rPr>
          <w:rFonts w:ascii="Times New Roman" w:hAnsi="Times New Roman" w:cs="Times New Roman"/>
          <w:sz w:val="24"/>
          <w:szCs w:val="24"/>
        </w:rPr>
        <w:t>As noted below, of the 70</w:t>
      </w:r>
      <w:r w:rsidR="00B51B78" w:rsidRPr="009235DA">
        <w:rPr>
          <w:rFonts w:ascii="Times New Roman" w:hAnsi="Times New Roman" w:cs="Times New Roman"/>
          <w:sz w:val="24"/>
          <w:szCs w:val="24"/>
        </w:rPr>
        <w:t xml:space="preserve"> municipalities wh</w:t>
      </w:r>
      <w:r w:rsidR="00591164" w:rsidRPr="009235DA">
        <w:rPr>
          <w:rFonts w:ascii="Times New Roman" w:hAnsi="Times New Roman" w:cs="Times New Roman"/>
          <w:sz w:val="24"/>
          <w:szCs w:val="24"/>
        </w:rPr>
        <w:t>ere dealerships were audited</w:t>
      </w:r>
      <w:r w:rsidR="00CD6FDC">
        <w:rPr>
          <w:rFonts w:ascii="Times New Roman" w:hAnsi="Times New Roman" w:cs="Times New Roman"/>
          <w:sz w:val="24"/>
          <w:szCs w:val="24"/>
        </w:rPr>
        <w:t xml:space="preserve"> in fall 2018</w:t>
      </w:r>
      <w:r w:rsidR="00591164" w:rsidRPr="009235DA">
        <w:rPr>
          <w:rFonts w:ascii="Times New Roman" w:hAnsi="Times New Roman" w:cs="Times New Roman"/>
          <w:sz w:val="24"/>
          <w:szCs w:val="24"/>
        </w:rPr>
        <w:t>, 27</w:t>
      </w:r>
      <w:r w:rsidR="00B51B78" w:rsidRPr="009235DA">
        <w:rPr>
          <w:rFonts w:ascii="Times New Roman" w:hAnsi="Times New Roman" w:cs="Times New Roman"/>
          <w:sz w:val="24"/>
          <w:szCs w:val="24"/>
        </w:rPr>
        <w:t xml:space="preserve"> were 100% compliant with the Lemon Laws. </w:t>
      </w:r>
      <w:r w:rsidR="0068725B">
        <w:rPr>
          <w:rFonts w:ascii="Times New Roman" w:hAnsi="Times New Roman" w:cs="Times New Roman"/>
          <w:sz w:val="24"/>
          <w:szCs w:val="24"/>
        </w:rPr>
        <w:t>15</w:t>
      </w:r>
      <w:r w:rsidR="00B51B78" w:rsidRPr="009235DA">
        <w:rPr>
          <w:rFonts w:ascii="Times New Roman" w:hAnsi="Times New Roman" w:cs="Times New Roman"/>
          <w:sz w:val="24"/>
          <w:szCs w:val="24"/>
        </w:rPr>
        <w:t xml:space="preserve"> municipalities had less than an average of 50% compliance by dealerships operating within them, including </w:t>
      </w:r>
      <w:r w:rsidR="00322113">
        <w:rPr>
          <w:rFonts w:ascii="Times New Roman" w:hAnsi="Times New Roman" w:cs="Times New Roman"/>
          <w:sz w:val="24"/>
          <w:szCs w:val="24"/>
        </w:rPr>
        <w:t>eight</w:t>
      </w:r>
      <w:r w:rsidR="00B51B78" w:rsidRPr="009235DA">
        <w:rPr>
          <w:rFonts w:ascii="Times New Roman" w:hAnsi="Times New Roman" w:cs="Times New Roman"/>
          <w:sz w:val="24"/>
          <w:szCs w:val="24"/>
        </w:rPr>
        <w:t xml:space="preserve"> </w:t>
      </w:r>
      <w:r w:rsidR="00591164" w:rsidRPr="009235DA">
        <w:rPr>
          <w:rFonts w:ascii="Times New Roman" w:hAnsi="Times New Roman" w:cs="Times New Roman"/>
          <w:sz w:val="24"/>
          <w:szCs w:val="24"/>
        </w:rPr>
        <w:t>municipalities</w:t>
      </w:r>
      <w:r w:rsidR="00B51B78" w:rsidRPr="009235DA">
        <w:rPr>
          <w:rFonts w:ascii="Times New Roman" w:hAnsi="Times New Roman" w:cs="Times New Roman"/>
          <w:sz w:val="24"/>
          <w:szCs w:val="24"/>
        </w:rPr>
        <w:t xml:space="preserve"> with 0% compliance:</w:t>
      </w:r>
    </w:p>
    <w:p w:rsidR="005550D3" w:rsidRDefault="005550D3" w:rsidP="004A7B39">
      <w:pPr>
        <w:ind w:firstLine="720"/>
        <w:rPr>
          <w:rFonts w:ascii="Times New Roman" w:hAnsi="Times New Roman" w:cs="Times New Roman"/>
          <w:sz w:val="24"/>
          <w:szCs w:val="24"/>
        </w:rPr>
      </w:pPr>
    </w:p>
    <w:p w:rsidR="005550D3" w:rsidRDefault="005550D3" w:rsidP="004A7B39">
      <w:pPr>
        <w:ind w:firstLine="720"/>
        <w:rPr>
          <w:rFonts w:ascii="Times New Roman" w:hAnsi="Times New Roman" w:cs="Times New Roman"/>
          <w:sz w:val="24"/>
          <w:szCs w:val="24"/>
        </w:rPr>
      </w:pPr>
    </w:p>
    <w:p w:rsidR="005550D3" w:rsidRDefault="005550D3" w:rsidP="004A7B39">
      <w:pPr>
        <w:ind w:firstLine="720"/>
        <w:rPr>
          <w:rFonts w:ascii="Times New Roman" w:hAnsi="Times New Roman" w:cs="Times New Roman"/>
          <w:sz w:val="24"/>
          <w:szCs w:val="24"/>
        </w:rPr>
      </w:pPr>
    </w:p>
    <w:p w:rsidR="005550D3" w:rsidRDefault="005550D3" w:rsidP="004A7B39">
      <w:pPr>
        <w:ind w:firstLine="720"/>
        <w:rPr>
          <w:rFonts w:ascii="Times New Roman" w:hAnsi="Times New Roman" w:cs="Times New Roman"/>
          <w:sz w:val="24"/>
          <w:szCs w:val="24"/>
        </w:rPr>
      </w:pPr>
    </w:p>
    <w:p w:rsidR="005550D3" w:rsidRDefault="005550D3" w:rsidP="004A7B39">
      <w:pPr>
        <w:ind w:firstLine="720"/>
        <w:rPr>
          <w:rFonts w:ascii="Times New Roman" w:hAnsi="Times New Roman" w:cs="Times New Roman"/>
          <w:sz w:val="24"/>
          <w:szCs w:val="24"/>
        </w:rPr>
      </w:pPr>
    </w:p>
    <w:p w:rsidR="005550D3" w:rsidRDefault="005550D3" w:rsidP="004A7B39">
      <w:pPr>
        <w:ind w:firstLine="720"/>
        <w:rPr>
          <w:rFonts w:ascii="Times New Roman" w:hAnsi="Times New Roman" w:cs="Times New Roman"/>
          <w:sz w:val="24"/>
          <w:szCs w:val="24"/>
        </w:rPr>
      </w:pPr>
    </w:p>
    <w:p w:rsidR="005550D3" w:rsidRDefault="005550D3" w:rsidP="004A7B39">
      <w:pPr>
        <w:ind w:firstLine="720"/>
        <w:rPr>
          <w:rFonts w:ascii="Times New Roman" w:hAnsi="Times New Roman" w:cs="Times New Roman"/>
          <w:sz w:val="24"/>
          <w:szCs w:val="24"/>
        </w:rPr>
      </w:pPr>
    </w:p>
    <w:p w:rsidR="005550D3" w:rsidRDefault="005550D3" w:rsidP="004A7B39">
      <w:pPr>
        <w:ind w:firstLine="720"/>
        <w:rPr>
          <w:rFonts w:ascii="Times New Roman" w:hAnsi="Times New Roman" w:cs="Times New Roman"/>
          <w:sz w:val="24"/>
          <w:szCs w:val="24"/>
        </w:rPr>
      </w:pPr>
    </w:p>
    <w:p w:rsidR="005550D3" w:rsidRDefault="005550D3" w:rsidP="004A7B39">
      <w:pPr>
        <w:ind w:firstLine="720"/>
        <w:rPr>
          <w:rFonts w:ascii="Times New Roman" w:hAnsi="Times New Roman" w:cs="Times New Roman"/>
          <w:sz w:val="24"/>
          <w:szCs w:val="24"/>
        </w:rPr>
      </w:pPr>
    </w:p>
    <w:p w:rsidR="005550D3" w:rsidRDefault="005550D3" w:rsidP="004A7B39">
      <w:pPr>
        <w:ind w:firstLine="720"/>
        <w:rPr>
          <w:rFonts w:ascii="Times New Roman" w:hAnsi="Times New Roman" w:cs="Times New Roman"/>
          <w:sz w:val="24"/>
          <w:szCs w:val="24"/>
        </w:rPr>
      </w:pPr>
    </w:p>
    <w:p w:rsidR="009235DA" w:rsidRPr="009235DA" w:rsidRDefault="00591164" w:rsidP="004A7B39">
      <w:pPr>
        <w:ind w:firstLine="720"/>
        <w:rPr>
          <w:rFonts w:ascii="Times New Roman" w:hAnsi="Times New Roman" w:cs="Times New Roman"/>
          <w:sz w:val="24"/>
          <w:szCs w:val="24"/>
        </w:rPr>
      </w:pPr>
      <w:r w:rsidRPr="009235DA">
        <w:rPr>
          <w:rFonts w:ascii="Times New Roman" w:hAnsi="Times New Roman" w:cs="Times New Roman"/>
          <w:sz w:val="24"/>
          <w:szCs w:val="24"/>
        </w:rPr>
        <w:t xml:space="preserve">The Office also analyzed general compliance trends by multiple municipalities within the </w:t>
      </w:r>
      <w:r w:rsidR="004B272E" w:rsidRPr="009235DA">
        <w:rPr>
          <w:rFonts w:ascii="Times New Roman" w:hAnsi="Times New Roman" w:cs="Times New Roman"/>
          <w:sz w:val="24"/>
          <w:szCs w:val="24"/>
        </w:rPr>
        <w:t>12</w:t>
      </w:r>
      <w:r w:rsidRPr="009235DA">
        <w:rPr>
          <w:rFonts w:ascii="Times New Roman" w:hAnsi="Times New Roman" w:cs="Times New Roman"/>
          <w:sz w:val="24"/>
          <w:szCs w:val="24"/>
        </w:rPr>
        <w:t xml:space="preserve"> counties</w:t>
      </w:r>
      <w:r w:rsidR="004B272E" w:rsidRPr="009235DA">
        <w:rPr>
          <w:rFonts w:ascii="Times New Roman" w:hAnsi="Times New Roman" w:cs="Times New Roman"/>
          <w:sz w:val="24"/>
          <w:szCs w:val="24"/>
        </w:rPr>
        <w:t xml:space="preserve"> in the </w:t>
      </w:r>
      <w:r w:rsidR="00EE6941" w:rsidRPr="009235DA">
        <w:rPr>
          <w:rFonts w:ascii="Times New Roman" w:hAnsi="Times New Roman" w:cs="Times New Roman"/>
          <w:sz w:val="24"/>
          <w:szCs w:val="24"/>
        </w:rPr>
        <w:t>fall 2018</w:t>
      </w:r>
      <w:r w:rsidR="004B272E" w:rsidRPr="009235DA">
        <w:rPr>
          <w:rFonts w:ascii="Times New Roman" w:hAnsi="Times New Roman" w:cs="Times New Roman"/>
          <w:sz w:val="24"/>
          <w:szCs w:val="24"/>
        </w:rPr>
        <w:t xml:space="preserve"> audit</w:t>
      </w:r>
      <w:r w:rsidRPr="009235DA">
        <w:rPr>
          <w:rFonts w:ascii="Times New Roman" w:hAnsi="Times New Roman" w:cs="Times New Roman"/>
          <w:sz w:val="24"/>
          <w:szCs w:val="24"/>
        </w:rPr>
        <w:t>.</w:t>
      </w:r>
      <w:r w:rsidR="004B272E" w:rsidRPr="009235DA">
        <w:rPr>
          <w:rFonts w:ascii="Times New Roman" w:hAnsi="Times New Roman" w:cs="Times New Roman"/>
          <w:sz w:val="24"/>
          <w:szCs w:val="24"/>
        </w:rPr>
        <w:t xml:space="preserve"> Berkshire, Franklin, and Hampshire </w:t>
      </w:r>
      <w:r w:rsidR="00841970">
        <w:rPr>
          <w:rFonts w:ascii="Times New Roman" w:hAnsi="Times New Roman" w:cs="Times New Roman"/>
          <w:sz w:val="24"/>
          <w:szCs w:val="24"/>
        </w:rPr>
        <w:t xml:space="preserve">counties </w:t>
      </w:r>
      <w:r w:rsidR="004B272E" w:rsidRPr="009235DA">
        <w:rPr>
          <w:rFonts w:ascii="Times New Roman" w:hAnsi="Times New Roman" w:cs="Times New Roman"/>
          <w:sz w:val="24"/>
          <w:szCs w:val="24"/>
        </w:rPr>
        <w:t>all achieved 100% compliance</w:t>
      </w:r>
      <w:r w:rsidRPr="009235DA">
        <w:rPr>
          <w:rFonts w:ascii="Times New Roman" w:hAnsi="Times New Roman" w:cs="Times New Roman"/>
          <w:sz w:val="24"/>
          <w:szCs w:val="24"/>
        </w:rPr>
        <w:t>.</w:t>
      </w:r>
      <w:r w:rsidR="004B272E" w:rsidRPr="009235DA">
        <w:rPr>
          <w:rFonts w:ascii="Times New Roman" w:hAnsi="Times New Roman" w:cs="Times New Roman"/>
          <w:sz w:val="24"/>
          <w:szCs w:val="24"/>
        </w:rPr>
        <w:t xml:space="preserve"> Norfolk was the next</w:t>
      </w:r>
      <w:r w:rsidR="00841970">
        <w:rPr>
          <w:rFonts w:ascii="Times New Roman" w:hAnsi="Times New Roman" w:cs="Times New Roman"/>
          <w:sz w:val="24"/>
          <w:szCs w:val="24"/>
        </w:rPr>
        <w:t xml:space="preserve"> </w:t>
      </w:r>
      <w:r w:rsidR="00CD6FDC">
        <w:rPr>
          <w:rFonts w:ascii="Times New Roman" w:hAnsi="Times New Roman" w:cs="Times New Roman"/>
          <w:sz w:val="24"/>
          <w:szCs w:val="24"/>
        </w:rPr>
        <w:t>in compliance</w:t>
      </w:r>
      <w:r w:rsidR="0068725B">
        <w:rPr>
          <w:rFonts w:ascii="Times New Roman" w:hAnsi="Times New Roman" w:cs="Times New Roman"/>
          <w:sz w:val="24"/>
          <w:szCs w:val="24"/>
        </w:rPr>
        <w:t xml:space="preserve"> at 95</w:t>
      </w:r>
      <w:r w:rsidR="004B272E" w:rsidRPr="009235DA">
        <w:rPr>
          <w:rFonts w:ascii="Times New Roman" w:hAnsi="Times New Roman" w:cs="Times New Roman"/>
          <w:sz w:val="24"/>
          <w:szCs w:val="24"/>
        </w:rPr>
        <w:t>%</w:t>
      </w:r>
      <w:r w:rsidRPr="009235DA">
        <w:rPr>
          <w:rFonts w:ascii="Times New Roman" w:hAnsi="Times New Roman" w:cs="Times New Roman"/>
          <w:sz w:val="24"/>
          <w:szCs w:val="24"/>
        </w:rPr>
        <w:t xml:space="preserve"> </w:t>
      </w:r>
      <w:r w:rsidR="004B272E" w:rsidRPr="009235DA">
        <w:rPr>
          <w:rFonts w:ascii="Times New Roman" w:hAnsi="Times New Roman" w:cs="Times New Roman"/>
          <w:sz w:val="24"/>
          <w:szCs w:val="24"/>
        </w:rPr>
        <w:t>and Suffolk County w</w:t>
      </w:r>
      <w:r w:rsidR="0068725B">
        <w:rPr>
          <w:rFonts w:ascii="Times New Roman" w:hAnsi="Times New Roman" w:cs="Times New Roman"/>
          <w:sz w:val="24"/>
          <w:szCs w:val="24"/>
        </w:rPr>
        <w:t>as the least compliant with a 40</w:t>
      </w:r>
      <w:r w:rsidR="004B272E" w:rsidRPr="009235DA">
        <w:rPr>
          <w:rFonts w:ascii="Times New Roman" w:hAnsi="Times New Roman" w:cs="Times New Roman"/>
          <w:sz w:val="24"/>
          <w:szCs w:val="24"/>
        </w:rPr>
        <w:t xml:space="preserve">% Lemon Law compliance rating. </w:t>
      </w:r>
      <w:r w:rsidRPr="009235DA">
        <w:rPr>
          <w:rFonts w:ascii="Times New Roman" w:hAnsi="Times New Roman" w:cs="Times New Roman"/>
          <w:sz w:val="24"/>
          <w:szCs w:val="24"/>
        </w:rPr>
        <w:t xml:space="preserve">Below is the breakdown of </w:t>
      </w:r>
      <w:r w:rsidR="008C5DC9" w:rsidRPr="009235DA">
        <w:rPr>
          <w:rFonts w:ascii="Times New Roman" w:hAnsi="Times New Roman" w:cs="Times New Roman"/>
          <w:sz w:val="24"/>
          <w:szCs w:val="24"/>
        </w:rPr>
        <w:t>the fall 2018</w:t>
      </w:r>
      <w:r w:rsidRPr="009235DA">
        <w:rPr>
          <w:rFonts w:ascii="Times New Roman" w:hAnsi="Times New Roman" w:cs="Times New Roman"/>
          <w:sz w:val="24"/>
          <w:szCs w:val="24"/>
        </w:rPr>
        <w:t xml:space="preserve"> performance:</w:t>
      </w:r>
      <w:r w:rsidR="00BA045C" w:rsidRPr="00BA045C">
        <w:rPr>
          <w:rFonts w:ascii="Times New Roman" w:hAnsi="Times New Roman" w:cs="Times New Roman"/>
          <w:noProof/>
          <w:sz w:val="24"/>
          <w:szCs w:val="24"/>
        </w:rPr>
        <w:t xml:space="preserve"> </w:t>
      </w:r>
      <w:r w:rsidR="00BA045C">
        <w:rPr>
          <w:rFonts w:ascii="Times New Roman" w:hAnsi="Times New Roman" w:cs="Times New Roman"/>
          <w:noProof/>
          <w:sz w:val="24"/>
          <w:szCs w:val="24"/>
        </w:rPr>
        <w:drawing>
          <wp:inline distT="0" distB="0" distL="0" distR="0" wp14:anchorId="26C10F82" wp14:editId="577CA36D">
            <wp:extent cx="6035040" cy="3020635"/>
            <wp:effectExtent l="0" t="0" r="381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mon Law Compliance by County.PNG"/>
                    <pic:cNvPicPr/>
                  </pic:nvPicPr>
                  <pic:blipFill>
                    <a:blip r:embed="rId11">
                      <a:extLst>
                        <a:ext uri="{28A0092B-C50C-407E-A947-70E740481C1C}">
                          <a14:useLocalDpi xmlns:a14="http://schemas.microsoft.com/office/drawing/2010/main" val="0"/>
                        </a:ext>
                      </a:extLst>
                    </a:blip>
                    <a:stretch>
                      <a:fillRect/>
                    </a:stretch>
                  </pic:blipFill>
                  <pic:spPr>
                    <a:xfrm>
                      <a:off x="0" y="0"/>
                      <a:ext cx="6054424" cy="3030337"/>
                    </a:xfrm>
                    <a:prstGeom prst="rect">
                      <a:avLst/>
                    </a:prstGeom>
                  </pic:spPr>
                </pic:pic>
              </a:graphicData>
            </a:graphic>
          </wp:inline>
        </w:drawing>
      </w:r>
    </w:p>
    <w:p w:rsidR="00913C6F" w:rsidRDefault="00236772" w:rsidP="00913C6F">
      <w:pPr>
        <w:ind w:firstLine="720"/>
        <w:rPr>
          <w:rFonts w:ascii="Times New Roman" w:hAnsi="Times New Roman" w:cs="Times New Roman"/>
          <w:noProof/>
          <w:sz w:val="24"/>
          <w:szCs w:val="24"/>
        </w:rPr>
      </w:pPr>
      <w:r w:rsidRPr="009235DA">
        <w:rPr>
          <w:rFonts w:ascii="Times New Roman" w:hAnsi="Times New Roman" w:cs="Times New Roman"/>
          <w:noProof/>
          <w:sz w:val="24"/>
          <w:szCs w:val="24"/>
        </w:rPr>
        <w:t>The following</w:t>
      </w:r>
      <w:r w:rsidR="00F50A9F" w:rsidRPr="009235DA">
        <w:rPr>
          <w:rFonts w:ascii="Times New Roman" w:eastAsia="Times New Roman" w:hAnsi="Times New Roman" w:cs="Times New Roman"/>
          <w:bCs/>
          <w:sz w:val="24"/>
          <w:szCs w:val="24"/>
        </w:rPr>
        <w:t xml:space="preserve"> counties were audited </w:t>
      </w:r>
      <w:r w:rsidRPr="009235DA">
        <w:rPr>
          <w:rFonts w:ascii="Times New Roman" w:eastAsia="Times New Roman" w:hAnsi="Times New Roman" w:cs="Times New Roman"/>
          <w:bCs/>
          <w:sz w:val="24"/>
          <w:szCs w:val="24"/>
        </w:rPr>
        <w:t>during</w:t>
      </w:r>
      <w:r w:rsidR="00F50A9F" w:rsidRPr="009235DA">
        <w:rPr>
          <w:rFonts w:ascii="Times New Roman" w:eastAsia="Times New Roman" w:hAnsi="Times New Roman" w:cs="Times New Roman"/>
          <w:bCs/>
          <w:sz w:val="24"/>
          <w:szCs w:val="24"/>
        </w:rPr>
        <w:t xml:space="preserve"> both the </w:t>
      </w:r>
      <w:r w:rsidR="00EE6941" w:rsidRPr="009235DA">
        <w:rPr>
          <w:rFonts w:ascii="Times New Roman" w:eastAsia="Times New Roman" w:hAnsi="Times New Roman" w:cs="Times New Roman"/>
          <w:bCs/>
          <w:sz w:val="24"/>
          <w:szCs w:val="24"/>
        </w:rPr>
        <w:t>fall 2018</w:t>
      </w:r>
      <w:r w:rsidR="00CA242B" w:rsidRPr="009235DA">
        <w:rPr>
          <w:rFonts w:ascii="Times New Roman" w:eastAsia="Times New Roman" w:hAnsi="Times New Roman" w:cs="Times New Roman"/>
          <w:bCs/>
          <w:sz w:val="24"/>
          <w:szCs w:val="24"/>
        </w:rPr>
        <w:t xml:space="preserve"> a</w:t>
      </w:r>
      <w:r w:rsidR="00F50A9F" w:rsidRPr="009235DA">
        <w:rPr>
          <w:rFonts w:ascii="Times New Roman" w:eastAsia="Times New Roman" w:hAnsi="Times New Roman" w:cs="Times New Roman"/>
          <w:bCs/>
          <w:sz w:val="24"/>
          <w:szCs w:val="24"/>
        </w:rPr>
        <w:t xml:space="preserve">udit and the </w:t>
      </w:r>
      <w:r w:rsidR="00B5109F" w:rsidRPr="009235DA">
        <w:rPr>
          <w:rFonts w:ascii="Times New Roman" w:eastAsia="Times New Roman" w:hAnsi="Times New Roman" w:cs="Times New Roman"/>
          <w:bCs/>
          <w:sz w:val="24"/>
          <w:szCs w:val="24"/>
        </w:rPr>
        <w:t>spring</w:t>
      </w:r>
      <w:r w:rsidR="00EE6941" w:rsidRPr="009235DA">
        <w:rPr>
          <w:rFonts w:ascii="Times New Roman" w:eastAsia="Times New Roman" w:hAnsi="Times New Roman" w:cs="Times New Roman"/>
          <w:bCs/>
          <w:sz w:val="24"/>
          <w:szCs w:val="24"/>
        </w:rPr>
        <w:t xml:space="preserve"> </w:t>
      </w:r>
      <w:r w:rsidR="00CA242B" w:rsidRPr="009235DA">
        <w:rPr>
          <w:rFonts w:ascii="Times New Roman" w:eastAsia="Times New Roman" w:hAnsi="Times New Roman" w:cs="Times New Roman"/>
          <w:bCs/>
          <w:sz w:val="24"/>
          <w:szCs w:val="24"/>
        </w:rPr>
        <w:t>2018 a</w:t>
      </w:r>
      <w:r w:rsidR="00F50A9F" w:rsidRPr="009235DA">
        <w:rPr>
          <w:rFonts w:ascii="Times New Roman" w:eastAsia="Times New Roman" w:hAnsi="Times New Roman" w:cs="Times New Roman"/>
          <w:bCs/>
          <w:sz w:val="24"/>
          <w:szCs w:val="24"/>
        </w:rPr>
        <w:t>udit. Barnstable, Bristol, Essex, Middlesex, Norfolk, Plymouth, Suffolk, and Worcester.</w:t>
      </w:r>
      <w:r w:rsidR="00736DCF" w:rsidRPr="009235DA">
        <w:rPr>
          <w:rFonts w:ascii="Times New Roman" w:eastAsia="Times New Roman" w:hAnsi="Times New Roman" w:cs="Times New Roman"/>
          <w:bCs/>
          <w:sz w:val="24"/>
          <w:szCs w:val="24"/>
        </w:rPr>
        <w:t xml:space="preserve"> </w:t>
      </w:r>
      <w:r w:rsidR="009235DA" w:rsidRPr="009235DA">
        <w:rPr>
          <w:rFonts w:ascii="Times New Roman" w:eastAsia="Times New Roman" w:hAnsi="Times New Roman" w:cs="Times New Roman"/>
          <w:bCs/>
          <w:sz w:val="24"/>
          <w:szCs w:val="24"/>
        </w:rPr>
        <w:t>Based on the recent audit results t</w:t>
      </w:r>
      <w:r w:rsidR="00736DCF" w:rsidRPr="009235DA">
        <w:rPr>
          <w:rFonts w:ascii="Times New Roman" w:eastAsia="Times New Roman" w:hAnsi="Times New Roman" w:cs="Times New Roman"/>
          <w:bCs/>
          <w:sz w:val="24"/>
          <w:szCs w:val="24"/>
        </w:rPr>
        <w:t>wo cou</w:t>
      </w:r>
      <w:r w:rsidR="00841970">
        <w:rPr>
          <w:rFonts w:ascii="Times New Roman" w:eastAsia="Times New Roman" w:hAnsi="Times New Roman" w:cs="Times New Roman"/>
          <w:bCs/>
          <w:sz w:val="24"/>
          <w:szCs w:val="24"/>
        </w:rPr>
        <w:t xml:space="preserve">nties - Barnstable and Middlesex - </w:t>
      </w:r>
      <w:r w:rsidR="00736DCF" w:rsidRPr="009235DA">
        <w:rPr>
          <w:rFonts w:ascii="Times New Roman" w:eastAsia="Times New Roman" w:hAnsi="Times New Roman" w:cs="Times New Roman"/>
          <w:bCs/>
          <w:sz w:val="24"/>
          <w:szCs w:val="24"/>
        </w:rPr>
        <w:t xml:space="preserve">exhibited improvements in compliance while </w:t>
      </w:r>
      <w:r w:rsidR="00841970">
        <w:rPr>
          <w:rFonts w:ascii="Times New Roman" w:eastAsia="Times New Roman" w:hAnsi="Times New Roman" w:cs="Times New Roman"/>
          <w:bCs/>
          <w:sz w:val="24"/>
          <w:szCs w:val="24"/>
        </w:rPr>
        <w:t xml:space="preserve">three counties - </w:t>
      </w:r>
      <w:r w:rsidR="0068725B">
        <w:rPr>
          <w:rFonts w:ascii="Times New Roman" w:eastAsia="Times New Roman" w:hAnsi="Times New Roman" w:cs="Times New Roman"/>
          <w:bCs/>
          <w:sz w:val="24"/>
          <w:szCs w:val="24"/>
        </w:rPr>
        <w:t xml:space="preserve">Essex, Bristol, </w:t>
      </w:r>
      <w:r w:rsidR="00736DCF" w:rsidRPr="009235DA">
        <w:rPr>
          <w:rFonts w:ascii="Times New Roman" w:eastAsia="Times New Roman" w:hAnsi="Times New Roman" w:cs="Times New Roman"/>
          <w:bCs/>
          <w:sz w:val="24"/>
          <w:szCs w:val="24"/>
        </w:rPr>
        <w:t>and Suffol</w:t>
      </w:r>
      <w:r w:rsidR="00841970">
        <w:rPr>
          <w:rFonts w:ascii="Times New Roman" w:eastAsia="Times New Roman" w:hAnsi="Times New Roman" w:cs="Times New Roman"/>
          <w:bCs/>
          <w:sz w:val="24"/>
          <w:szCs w:val="24"/>
        </w:rPr>
        <w:t>k -</w:t>
      </w:r>
      <w:r w:rsidR="00322113">
        <w:rPr>
          <w:rFonts w:ascii="Times New Roman" w:eastAsia="Times New Roman" w:hAnsi="Times New Roman" w:cs="Times New Roman"/>
          <w:bCs/>
          <w:sz w:val="24"/>
          <w:szCs w:val="24"/>
        </w:rPr>
        <w:t xml:space="preserve"> </w:t>
      </w:r>
      <w:r w:rsidR="00BE30C5" w:rsidRPr="009235DA">
        <w:rPr>
          <w:rFonts w:ascii="Times New Roman" w:eastAsia="Times New Roman" w:hAnsi="Times New Roman" w:cs="Times New Roman"/>
          <w:bCs/>
          <w:sz w:val="24"/>
          <w:szCs w:val="24"/>
        </w:rPr>
        <w:t>decreased in compliance by 15</w:t>
      </w:r>
      <w:r w:rsidR="00736DCF" w:rsidRPr="009235DA">
        <w:rPr>
          <w:rFonts w:ascii="Times New Roman" w:eastAsia="Times New Roman" w:hAnsi="Times New Roman" w:cs="Times New Roman"/>
          <w:bCs/>
          <w:sz w:val="24"/>
          <w:szCs w:val="24"/>
        </w:rPr>
        <w:t>% or more.</w:t>
      </w:r>
      <w:r w:rsidR="00F50A9F" w:rsidRPr="009235DA">
        <w:rPr>
          <w:rFonts w:ascii="Times New Roman" w:eastAsia="Times New Roman" w:hAnsi="Times New Roman" w:cs="Times New Roman"/>
          <w:bCs/>
          <w:sz w:val="24"/>
          <w:szCs w:val="24"/>
        </w:rPr>
        <w:t xml:space="preserve"> </w:t>
      </w:r>
      <w:r w:rsidR="00736DCF" w:rsidRPr="009235DA">
        <w:rPr>
          <w:rFonts w:ascii="Times New Roman" w:eastAsia="Times New Roman" w:hAnsi="Times New Roman" w:cs="Times New Roman"/>
          <w:bCs/>
          <w:sz w:val="24"/>
          <w:szCs w:val="24"/>
        </w:rPr>
        <w:t>The gr</w:t>
      </w:r>
      <w:r w:rsidR="00BE30C5" w:rsidRPr="009235DA">
        <w:rPr>
          <w:rFonts w:ascii="Times New Roman" w:eastAsia="Times New Roman" w:hAnsi="Times New Roman" w:cs="Times New Roman"/>
          <w:bCs/>
          <w:sz w:val="24"/>
          <w:szCs w:val="24"/>
        </w:rPr>
        <w:t>aph below visually depicts the fall 2018 audit and spring 2018 audit comparison.</w:t>
      </w:r>
      <w:r w:rsidR="00913C6F" w:rsidRPr="009235DA">
        <w:rPr>
          <w:rFonts w:ascii="Times New Roman" w:hAnsi="Times New Roman" w:cs="Times New Roman"/>
          <w:noProof/>
          <w:sz w:val="24"/>
          <w:szCs w:val="24"/>
        </w:rPr>
        <w:t xml:space="preserve"> </w:t>
      </w:r>
    </w:p>
    <w:p w:rsidR="009F2F00" w:rsidRPr="009235DA" w:rsidRDefault="00BA045C" w:rsidP="00913C6F">
      <w:pPr>
        <w:ind w:firstLine="720"/>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80768" behindDoc="0" locked="0" layoutInCell="1" allowOverlap="1">
            <wp:simplePos x="0" y="0"/>
            <wp:positionH relativeFrom="margin">
              <wp:align>left</wp:align>
            </wp:positionH>
            <wp:positionV relativeFrom="paragraph">
              <wp:posOffset>290450</wp:posOffset>
            </wp:positionV>
            <wp:extent cx="6391275" cy="3060065"/>
            <wp:effectExtent l="0" t="0" r="0" b="698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emon Law Compliance fall-spring.PNG"/>
                    <pic:cNvPicPr/>
                  </pic:nvPicPr>
                  <pic:blipFill>
                    <a:blip r:embed="rId12">
                      <a:extLst>
                        <a:ext uri="{28A0092B-C50C-407E-A947-70E740481C1C}">
                          <a14:useLocalDpi xmlns:a14="http://schemas.microsoft.com/office/drawing/2010/main" val="0"/>
                        </a:ext>
                      </a:extLst>
                    </a:blip>
                    <a:stretch>
                      <a:fillRect/>
                    </a:stretch>
                  </pic:blipFill>
                  <pic:spPr>
                    <a:xfrm>
                      <a:off x="0" y="0"/>
                      <a:ext cx="6399421" cy="3064493"/>
                    </a:xfrm>
                    <a:prstGeom prst="rect">
                      <a:avLst/>
                    </a:prstGeom>
                  </pic:spPr>
                </pic:pic>
              </a:graphicData>
            </a:graphic>
            <wp14:sizeRelH relativeFrom="margin">
              <wp14:pctWidth>0</wp14:pctWidth>
            </wp14:sizeRelH>
            <wp14:sizeRelV relativeFrom="margin">
              <wp14:pctHeight>0</wp14:pctHeight>
            </wp14:sizeRelV>
          </wp:anchor>
        </w:drawing>
      </w:r>
    </w:p>
    <w:p w:rsidR="00C53E0F" w:rsidRPr="009235DA" w:rsidRDefault="00C53E0F" w:rsidP="00913C6F">
      <w:pPr>
        <w:ind w:firstLine="720"/>
        <w:rPr>
          <w:rFonts w:ascii="Times New Roman" w:eastAsia="Times New Roman" w:hAnsi="Times New Roman" w:cs="Times New Roman"/>
          <w:b/>
          <w:bCs/>
          <w:sz w:val="24"/>
          <w:szCs w:val="24"/>
        </w:rPr>
      </w:pPr>
    </w:p>
    <w:p w:rsidR="00736DCF" w:rsidRPr="009235DA" w:rsidRDefault="00736DCF" w:rsidP="00736DCF">
      <w:pPr>
        <w:ind w:firstLine="720"/>
        <w:rPr>
          <w:rFonts w:ascii="Times New Roman" w:eastAsia="Times New Roman" w:hAnsi="Times New Roman" w:cs="Times New Roman"/>
          <w:bCs/>
          <w:sz w:val="24"/>
          <w:szCs w:val="24"/>
        </w:rPr>
      </w:pPr>
      <w:r w:rsidRPr="009235DA">
        <w:rPr>
          <w:rFonts w:ascii="Times New Roman" w:hAnsi="Times New Roman" w:cs="Times New Roman"/>
          <w:sz w:val="24"/>
          <w:szCs w:val="24"/>
        </w:rPr>
        <w:t>While every Massachusetts municipality is not represented in the report, the da</w:t>
      </w:r>
      <w:r w:rsidR="00B2683E">
        <w:rPr>
          <w:rFonts w:ascii="Times New Roman" w:hAnsi="Times New Roman" w:cs="Times New Roman"/>
          <w:sz w:val="24"/>
          <w:szCs w:val="24"/>
        </w:rPr>
        <w:t>ta provides a sampling of state</w:t>
      </w:r>
      <w:r w:rsidRPr="009235DA">
        <w:rPr>
          <w:rFonts w:ascii="Times New Roman" w:hAnsi="Times New Roman" w:cs="Times New Roman"/>
          <w:sz w:val="24"/>
          <w:szCs w:val="24"/>
        </w:rPr>
        <w:t>wide compliance rates. The purpose of our efforts is to enhance consumer protection and collaborate with individual municipalities to encourage compliance for all dealerships.</w:t>
      </w:r>
    </w:p>
    <w:sectPr w:rsidR="00736DCF" w:rsidRPr="009235DA" w:rsidSect="00381B7A">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504"/>
    <w:rsid w:val="0004035A"/>
    <w:rsid w:val="00076652"/>
    <w:rsid w:val="0008084D"/>
    <w:rsid w:val="000C0DCF"/>
    <w:rsid w:val="00120F20"/>
    <w:rsid w:val="00144520"/>
    <w:rsid w:val="001F493E"/>
    <w:rsid w:val="00236772"/>
    <w:rsid w:val="00251D4D"/>
    <w:rsid w:val="002E5F98"/>
    <w:rsid w:val="00303B78"/>
    <w:rsid w:val="00322113"/>
    <w:rsid w:val="00323414"/>
    <w:rsid w:val="003336A3"/>
    <w:rsid w:val="0035682E"/>
    <w:rsid w:val="00381B7A"/>
    <w:rsid w:val="00390BEA"/>
    <w:rsid w:val="003A0E24"/>
    <w:rsid w:val="003E45BD"/>
    <w:rsid w:val="003E7517"/>
    <w:rsid w:val="0040660D"/>
    <w:rsid w:val="00413B76"/>
    <w:rsid w:val="00497504"/>
    <w:rsid w:val="0049759A"/>
    <w:rsid w:val="004A7B39"/>
    <w:rsid w:val="004B272E"/>
    <w:rsid w:val="004B73EE"/>
    <w:rsid w:val="004C269A"/>
    <w:rsid w:val="004D7B47"/>
    <w:rsid w:val="004E6247"/>
    <w:rsid w:val="004F11E6"/>
    <w:rsid w:val="004F6A88"/>
    <w:rsid w:val="005550D3"/>
    <w:rsid w:val="005734A0"/>
    <w:rsid w:val="00591164"/>
    <w:rsid w:val="00645583"/>
    <w:rsid w:val="0068725B"/>
    <w:rsid w:val="00694121"/>
    <w:rsid w:val="006A0A64"/>
    <w:rsid w:val="006B2E9A"/>
    <w:rsid w:val="00736DCF"/>
    <w:rsid w:val="0075123C"/>
    <w:rsid w:val="0075210A"/>
    <w:rsid w:val="007A7C33"/>
    <w:rsid w:val="007B3170"/>
    <w:rsid w:val="00841970"/>
    <w:rsid w:val="00881C5A"/>
    <w:rsid w:val="008C5DC9"/>
    <w:rsid w:val="00913C6F"/>
    <w:rsid w:val="009235DA"/>
    <w:rsid w:val="009C3836"/>
    <w:rsid w:val="009D6EB5"/>
    <w:rsid w:val="009E6EE6"/>
    <w:rsid w:val="009F2F00"/>
    <w:rsid w:val="00A04550"/>
    <w:rsid w:val="00A3388B"/>
    <w:rsid w:val="00A45FDF"/>
    <w:rsid w:val="00A57218"/>
    <w:rsid w:val="00A85A06"/>
    <w:rsid w:val="00AB7E0F"/>
    <w:rsid w:val="00AC7D52"/>
    <w:rsid w:val="00AD00C2"/>
    <w:rsid w:val="00AD6A98"/>
    <w:rsid w:val="00AE4494"/>
    <w:rsid w:val="00B264E4"/>
    <w:rsid w:val="00B2683E"/>
    <w:rsid w:val="00B5109F"/>
    <w:rsid w:val="00B51B78"/>
    <w:rsid w:val="00B76231"/>
    <w:rsid w:val="00B84376"/>
    <w:rsid w:val="00BA045C"/>
    <w:rsid w:val="00BE30C5"/>
    <w:rsid w:val="00C3238B"/>
    <w:rsid w:val="00C41841"/>
    <w:rsid w:val="00C5229E"/>
    <w:rsid w:val="00C53E0F"/>
    <w:rsid w:val="00C71AE0"/>
    <w:rsid w:val="00CA10BE"/>
    <w:rsid w:val="00CA242B"/>
    <w:rsid w:val="00CD6FDC"/>
    <w:rsid w:val="00D54A94"/>
    <w:rsid w:val="00DB48A6"/>
    <w:rsid w:val="00DF5DCA"/>
    <w:rsid w:val="00E15FDB"/>
    <w:rsid w:val="00E17915"/>
    <w:rsid w:val="00E21B92"/>
    <w:rsid w:val="00E5111C"/>
    <w:rsid w:val="00E54485"/>
    <w:rsid w:val="00E666DA"/>
    <w:rsid w:val="00EE6941"/>
    <w:rsid w:val="00EF33FC"/>
    <w:rsid w:val="00F142F8"/>
    <w:rsid w:val="00F50A9F"/>
    <w:rsid w:val="00F51DC3"/>
    <w:rsid w:val="00FC3D4F"/>
    <w:rsid w:val="00FE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C7F6F-7D8A-4659-BF6E-E90E9D54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E4494"/>
    <w:rPr>
      <w:color w:val="0000FF"/>
      <w:u w:val="single"/>
    </w:rPr>
  </w:style>
  <w:style w:type="table" w:styleId="TableGrid">
    <w:name w:val="Table Grid"/>
    <w:basedOn w:val="TableNormal"/>
    <w:uiPriority w:val="39"/>
    <w:rsid w:val="00AE4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1B7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E6E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E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C300A-EE49-4788-B599-A045934F6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 Brian (SCA)</dc:creator>
  <cp:keywords/>
  <dc:description/>
  <cp:lastModifiedBy>Neri, Jackson (SCA)</cp:lastModifiedBy>
  <cp:revision>2</cp:revision>
  <cp:lastPrinted>2018-12-07T15:45:00Z</cp:lastPrinted>
  <dcterms:created xsi:type="dcterms:W3CDTF">2018-12-07T15:47:00Z</dcterms:created>
  <dcterms:modified xsi:type="dcterms:W3CDTF">2018-12-07T15:47:00Z</dcterms:modified>
</cp:coreProperties>
</file>