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C9" w:rsidRPr="00C6298A" w:rsidRDefault="00F45DDB" w:rsidP="00C6298A">
      <w:pPr>
        <w:pStyle w:val="Title"/>
        <w:rPr>
          <w:sz w:val="48"/>
        </w:rPr>
      </w:pPr>
      <w:bookmarkStart w:id="0" w:name="_GoBack"/>
      <w:bookmarkEnd w:id="0"/>
      <w:r>
        <w:rPr>
          <w:sz w:val="48"/>
        </w:rPr>
        <w:t>Massachusetts Department of Public Health</w:t>
      </w:r>
    </w:p>
    <w:p w:rsidR="00A748C9" w:rsidRPr="00302D99" w:rsidRDefault="00A748C9" w:rsidP="00C6298A">
      <w:pPr>
        <w:pStyle w:val="Title"/>
        <w:rPr>
          <w:b/>
          <w:sz w:val="48"/>
        </w:rPr>
      </w:pPr>
      <w:r w:rsidRPr="00302D99">
        <w:rPr>
          <w:b/>
          <w:sz w:val="48"/>
        </w:rPr>
        <w:t>2018 Statewide Antibiogram Report</w:t>
      </w:r>
    </w:p>
    <w:p w:rsidR="00A748C9" w:rsidRPr="00274C63" w:rsidRDefault="00A748C9" w:rsidP="005C2030">
      <w:pPr>
        <w:widowControl w:val="0"/>
        <w:spacing w:after="0" w:line="240" w:lineRule="auto"/>
        <w:ind w:left="86"/>
        <w:contextualSpacing/>
        <w:rPr>
          <w:rStyle w:val="IntenseEmphasis"/>
          <w:i w:val="0"/>
        </w:rPr>
      </w:pPr>
      <w:r w:rsidRPr="00274C63">
        <w:rPr>
          <w:rStyle w:val="IntenseEmphasis"/>
          <w:i w:val="0"/>
          <w:color w:val="002060"/>
        </w:rPr>
        <w:t>Bureau of Infectious Disease and Laboratory Sciences</w:t>
      </w:r>
      <w:r w:rsidRPr="00274C63">
        <w:rPr>
          <w:rStyle w:val="IntenseEmphasis"/>
          <w:i w:val="0"/>
        </w:rPr>
        <w:tab/>
      </w:r>
      <w:r w:rsidRPr="00274C63">
        <w:rPr>
          <w:rStyle w:val="IntenseEmphasis"/>
          <w:i w:val="0"/>
        </w:rPr>
        <w:tab/>
        <w:t xml:space="preserve">  </w:t>
      </w:r>
    </w:p>
    <w:p w:rsidR="00A748C9" w:rsidRPr="00A748C9" w:rsidRDefault="00A748C9" w:rsidP="005C2030">
      <w:pPr>
        <w:widowControl w:val="0"/>
        <w:tabs>
          <w:tab w:val="left" w:pos="7319"/>
        </w:tabs>
        <w:spacing w:before="45" w:after="0" w:line="240" w:lineRule="auto"/>
        <w:ind w:left="86"/>
        <w:contextualSpacing/>
        <w:rPr>
          <w:rFonts w:ascii="Calibri" w:eastAsia="Calibri" w:hAnsi="Calibri" w:cs="Calibri"/>
          <w:sz w:val="24"/>
          <w:szCs w:val="24"/>
        </w:rPr>
      </w:pPr>
      <w:r w:rsidRPr="00A748C9">
        <w:rPr>
          <w:rFonts w:ascii="Calibri" w:eastAsia="Calibri" w:hAnsi="Calibri" w:cs="Times New Roman"/>
          <w:spacing w:val="-1"/>
          <w:sz w:val="24"/>
        </w:rPr>
        <w:t>Massachusetts</w:t>
      </w:r>
      <w:r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 w:rsidR="00F45DDB">
        <w:rPr>
          <w:rFonts w:ascii="Calibri" w:eastAsia="Calibri" w:hAnsi="Calibri" w:cs="Times New Roman"/>
          <w:spacing w:val="-1"/>
          <w:sz w:val="24"/>
        </w:rPr>
        <w:t>Department of Public Health</w:t>
      </w:r>
      <w:r w:rsidRPr="00A748C9">
        <w:rPr>
          <w:rFonts w:ascii="Calibri" w:eastAsia="Calibri" w:hAnsi="Calibri" w:cs="Times New Roman"/>
          <w:spacing w:val="-1"/>
          <w:sz w:val="24"/>
        </w:rPr>
        <w:tab/>
      </w:r>
    </w:p>
    <w:p w:rsidR="00A748C9" w:rsidRPr="00A748C9" w:rsidRDefault="00A748C9" w:rsidP="005C2030">
      <w:pPr>
        <w:widowControl w:val="0"/>
        <w:tabs>
          <w:tab w:val="left" w:pos="7319"/>
        </w:tabs>
        <w:spacing w:before="43" w:after="0" w:line="240" w:lineRule="auto"/>
        <w:ind w:left="86"/>
        <w:contextualSpacing/>
        <w:rPr>
          <w:rFonts w:ascii="Calibri" w:eastAsia="Calibri" w:hAnsi="Calibri" w:cs="Calibri"/>
          <w:sz w:val="24"/>
          <w:szCs w:val="24"/>
        </w:rPr>
      </w:pPr>
      <w:r w:rsidRPr="00A748C9">
        <w:rPr>
          <w:rFonts w:ascii="Calibri" w:eastAsia="Calibri" w:hAnsi="Calibri" w:cs="Times New Roman"/>
          <w:sz w:val="24"/>
        </w:rPr>
        <w:t>305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South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Street</w:t>
      </w:r>
      <w:r w:rsidRPr="00A748C9">
        <w:rPr>
          <w:rFonts w:ascii="Calibri" w:eastAsia="Calibri" w:hAnsi="Calibri" w:cs="Times New Roman"/>
          <w:spacing w:val="-1"/>
          <w:sz w:val="24"/>
        </w:rPr>
        <w:tab/>
      </w:r>
    </w:p>
    <w:p w:rsidR="00A748C9" w:rsidRPr="00A748C9" w:rsidRDefault="005C2030" w:rsidP="005C2030">
      <w:pPr>
        <w:widowControl w:val="0"/>
        <w:spacing w:before="43" w:after="0" w:line="240" w:lineRule="auto"/>
        <w:ind w:left="86" w:right="10397"/>
        <w:contextualSpacing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32F8A2" wp14:editId="1779328D">
            <wp:simplePos x="0" y="0"/>
            <wp:positionH relativeFrom="column">
              <wp:posOffset>4368165</wp:posOffset>
            </wp:positionH>
            <wp:positionV relativeFrom="paragraph">
              <wp:posOffset>285115</wp:posOffset>
            </wp:positionV>
            <wp:extent cx="3529965" cy="1764665"/>
            <wp:effectExtent l="0" t="0" r="0" b="6985"/>
            <wp:wrapThrough wrapText="bothSides">
              <wp:wrapPolygon edited="0">
                <wp:start x="0" y="0"/>
                <wp:lineTo x="0" y="21452"/>
                <wp:lineTo x="21448" y="21452"/>
                <wp:lineTo x="2144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C9" w:rsidRPr="00A748C9">
        <w:rPr>
          <w:rFonts w:ascii="Calibri" w:eastAsia="Calibri" w:hAnsi="Calibri" w:cs="Times New Roman"/>
          <w:spacing w:val="-1"/>
          <w:sz w:val="24"/>
        </w:rPr>
        <w:t>Jamaica</w:t>
      </w:r>
      <w:r w:rsidR="00A748C9"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="00A748C9" w:rsidRPr="00A748C9">
        <w:rPr>
          <w:rFonts w:ascii="Calibri" w:eastAsia="Calibri" w:hAnsi="Calibri" w:cs="Times New Roman"/>
          <w:spacing w:val="-1"/>
          <w:sz w:val="24"/>
        </w:rPr>
        <w:t>Plain,</w:t>
      </w:r>
      <w:r w:rsidR="00A748C9"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 w:rsidR="00A748C9" w:rsidRPr="00A748C9">
        <w:rPr>
          <w:rFonts w:ascii="Calibri" w:eastAsia="Calibri" w:hAnsi="Calibri" w:cs="Times New Roman"/>
          <w:sz w:val="24"/>
        </w:rPr>
        <w:t>MA</w:t>
      </w:r>
      <w:r w:rsidR="00A748C9"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="00A748C9" w:rsidRPr="00A748C9">
        <w:rPr>
          <w:rFonts w:ascii="Calibri" w:eastAsia="Calibri" w:hAnsi="Calibri" w:cs="Times New Roman"/>
          <w:spacing w:val="-1"/>
          <w:sz w:val="24"/>
        </w:rPr>
        <w:t>02130</w:t>
      </w:r>
      <w:r w:rsidR="00A748C9" w:rsidRPr="00A748C9">
        <w:rPr>
          <w:rFonts w:ascii="Calibri" w:eastAsia="Calibri" w:hAnsi="Calibri" w:cs="Times New Roman"/>
          <w:spacing w:val="25"/>
          <w:w w:val="99"/>
          <w:sz w:val="24"/>
        </w:rPr>
        <w:t xml:space="preserve"> </w:t>
      </w:r>
      <w:r w:rsidR="00A748C9" w:rsidRPr="00A748C9">
        <w:rPr>
          <w:rFonts w:ascii="Calibri" w:eastAsia="Calibri" w:hAnsi="Calibri" w:cs="Times New Roman"/>
          <w:sz w:val="24"/>
        </w:rPr>
        <w:t>Tel:</w:t>
      </w:r>
      <w:r w:rsidR="00A748C9" w:rsidRPr="00A748C9">
        <w:rPr>
          <w:rFonts w:ascii="Calibri" w:eastAsia="Calibri" w:hAnsi="Calibri" w:cs="Times New Roman"/>
          <w:spacing w:val="-7"/>
          <w:sz w:val="24"/>
        </w:rPr>
        <w:t xml:space="preserve"> </w:t>
      </w:r>
      <w:r w:rsidR="00A748C9" w:rsidRPr="00A748C9">
        <w:rPr>
          <w:rFonts w:ascii="Calibri" w:eastAsia="Calibri" w:hAnsi="Calibri" w:cs="Times New Roman"/>
          <w:spacing w:val="-1"/>
          <w:sz w:val="24"/>
        </w:rPr>
        <w:t>(617)</w:t>
      </w:r>
      <w:r w:rsidR="00A748C9"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 w:rsidR="00A748C9" w:rsidRPr="00A748C9">
        <w:rPr>
          <w:rFonts w:ascii="Calibri" w:eastAsia="Calibri" w:hAnsi="Calibri" w:cs="Times New Roman"/>
          <w:spacing w:val="-1"/>
          <w:sz w:val="24"/>
        </w:rPr>
        <w:t>983-6550</w:t>
      </w:r>
    </w:p>
    <w:p w:rsidR="00A748C9" w:rsidRPr="0021659E" w:rsidRDefault="00A748C9" w:rsidP="0021659E">
      <w:pPr>
        <w:widowControl w:val="0"/>
        <w:tabs>
          <w:tab w:val="left" w:pos="7319"/>
        </w:tabs>
        <w:spacing w:after="0" w:line="240" w:lineRule="auto"/>
        <w:ind w:left="86"/>
        <w:contextualSpacing/>
        <w:rPr>
          <w:rFonts w:ascii="Calibri" w:eastAsia="Calibri" w:hAnsi="Calibri" w:cs="Times New Roman"/>
          <w:spacing w:val="-1"/>
          <w:sz w:val="24"/>
        </w:rPr>
      </w:pPr>
      <w:r w:rsidRPr="00A748C9">
        <w:rPr>
          <w:rFonts w:ascii="Calibri" w:eastAsia="Calibri" w:hAnsi="Calibri" w:cs="Times New Roman"/>
          <w:spacing w:val="-1"/>
          <w:sz w:val="24"/>
        </w:rPr>
        <w:t>Fax:</w:t>
      </w:r>
      <w:r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(617)</w:t>
      </w:r>
      <w:r w:rsidRPr="00A748C9">
        <w:rPr>
          <w:rFonts w:ascii="Calibri" w:eastAsia="Calibri" w:hAnsi="Calibri" w:cs="Times New Roman"/>
          <w:spacing w:val="-7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983-6925</w:t>
      </w:r>
      <w:r w:rsidRPr="00A748C9">
        <w:rPr>
          <w:rFonts w:ascii="Calibri" w:eastAsia="Calibri" w:hAnsi="Calibri" w:cs="Times New Roman"/>
          <w:spacing w:val="-1"/>
          <w:sz w:val="24"/>
        </w:rPr>
        <w:tab/>
      </w:r>
    </w:p>
    <w:p w:rsidR="00A748C9" w:rsidRPr="00A748C9" w:rsidRDefault="00A748C9" w:rsidP="00A748C9">
      <w:pPr>
        <w:widowControl w:val="0"/>
        <w:spacing w:after="0"/>
        <w:ind w:left="90" w:right="2880"/>
        <w:rPr>
          <w:rFonts w:ascii="Calibri" w:eastAsia="Calibri" w:hAnsi="Calibri" w:cs="Times New Roman"/>
          <w:spacing w:val="-1"/>
          <w:sz w:val="24"/>
        </w:rPr>
      </w:pPr>
      <w:r w:rsidRPr="00A748C9">
        <w:rPr>
          <w:rFonts w:ascii="Calibri" w:eastAsia="Calibri" w:hAnsi="Calibri" w:cs="Times New Roman"/>
          <w:spacing w:val="-1"/>
          <w:sz w:val="24"/>
        </w:rPr>
        <w:tab/>
      </w:r>
      <w:r w:rsidRPr="00A748C9">
        <w:rPr>
          <w:rFonts w:ascii="Calibri" w:eastAsia="Calibri" w:hAnsi="Calibri" w:cs="Times New Roman"/>
          <w:spacing w:val="-1"/>
          <w:sz w:val="24"/>
        </w:rPr>
        <w:tab/>
      </w:r>
      <w:r w:rsidRPr="00A748C9">
        <w:rPr>
          <w:rFonts w:ascii="Calibri" w:eastAsia="Calibri" w:hAnsi="Calibri" w:cs="Times New Roman"/>
          <w:spacing w:val="-1"/>
          <w:sz w:val="24"/>
        </w:rPr>
        <w:tab/>
      </w:r>
      <w:r w:rsidRPr="00A748C9">
        <w:rPr>
          <w:rFonts w:ascii="Calibri" w:eastAsia="Calibri" w:hAnsi="Calibri" w:cs="Times New Roman"/>
          <w:spacing w:val="25"/>
          <w:sz w:val="24"/>
        </w:rPr>
        <w:t xml:space="preserve"> </w:t>
      </w:r>
    </w:p>
    <w:p w:rsidR="005C2030" w:rsidRPr="00274C63" w:rsidRDefault="005C2030" w:rsidP="005C2030">
      <w:pPr>
        <w:widowControl w:val="0"/>
        <w:tabs>
          <w:tab w:val="left" w:pos="7319"/>
        </w:tabs>
        <w:spacing w:after="0" w:line="240" w:lineRule="auto"/>
        <w:ind w:left="86"/>
        <w:rPr>
          <w:rStyle w:val="IntenseEmphasis"/>
          <w:i w:val="0"/>
          <w:color w:val="002060"/>
        </w:rPr>
      </w:pPr>
      <w:r w:rsidRPr="00274C63">
        <w:rPr>
          <w:rStyle w:val="IntenseEmphasis"/>
          <w:i w:val="0"/>
          <w:color w:val="002060"/>
        </w:rPr>
        <w:t>Acknowledgements:</w:t>
      </w:r>
    </w:p>
    <w:p w:rsidR="005C2030" w:rsidRPr="00A748C9" w:rsidRDefault="005C2030" w:rsidP="005C2030">
      <w:pPr>
        <w:widowControl w:val="0"/>
        <w:spacing w:after="0" w:line="240" w:lineRule="auto"/>
        <w:ind w:left="86" w:right="2880"/>
        <w:rPr>
          <w:rFonts w:ascii="Calibri" w:eastAsia="Calibri" w:hAnsi="Calibri" w:cs="Calibri"/>
          <w:sz w:val="24"/>
          <w:szCs w:val="24"/>
        </w:rPr>
      </w:pPr>
      <w:r w:rsidRPr="00A748C9">
        <w:rPr>
          <w:rFonts w:ascii="Calibri" w:eastAsia="Calibri" w:hAnsi="Calibri" w:cs="Times New Roman"/>
          <w:sz w:val="24"/>
        </w:rPr>
        <w:t>Joe Gerth, MPH</w:t>
      </w:r>
    </w:p>
    <w:p w:rsidR="005C2030" w:rsidRPr="00A748C9" w:rsidRDefault="005C2030" w:rsidP="005C2030">
      <w:pPr>
        <w:widowControl w:val="0"/>
        <w:spacing w:after="0" w:line="240" w:lineRule="auto"/>
        <w:ind w:left="86" w:right="2880"/>
        <w:rPr>
          <w:rFonts w:ascii="Calibri" w:eastAsia="Calibri" w:hAnsi="Calibri" w:cs="Times New Roman"/>
          <w:spacing w:val="-1"/>
          <w:sz w:val="24"/>
        </w:rPr>
      </w:pPr>
      <w:r w:rsidRPr="00A748C9">
        <w:rPr>
          <w:rFonts w:ascii="Calibri" w:eastAsia="Calibri" w:hAnsi="Calibri" w:cs="Times New Roman"/>
          <w:spacing w:val="-1"/>
          <w:sz w:val="24"/>
        </w:rPr>
        <w:t>Quynh Vo, MPH</w:t>
      </w:r>
    </w:p>
    <w:p w:rsidR="005C2030" w:rsidRPr="00A748C9" w:rsidRDefault="005C2030" w:rsidP="005C2030">
      <w:pPr>
        <w:widowControl w:val="0"/>
        <w:spacing w:after="0" w:line="240" w:lineRule="auto"/>
        <w:ind w:left="86" w:right="2880"/>
        <w:rPr>
          <w:rFonts w:ascii="Calibri" w:eastAsia="Calibri" w:hAnsi="Calibri" w:cs="Times New Roman"/>
          <w:spacing w:val="-1"/>
          <w:sz w:val="24"/>
        </w:rPr>
      </w:pPr>
      <w:r w:rsidRPr="00A748C9">
        <w:rPr>
          <w:rFonts w:ascii="Calibri" w:eastAsia="Calibri" w:hAnsi="Calibri" w:cs="Times New Roman"/>
          <w:spacing w:val="-1"/>
          <w:sz w:val="24"/>
        </w:rPr>
        <w:t>Melissa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Cumming,</w:t>
      </w:r>
      <w:r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M</w:t>
      </w:r>
      <w:r w:rsidR="002C333C">
        <w:rPr>
          <w:rFonts w:ascii="Calibri" w:eastAsia="Calibri" w:hAnsi="Calibri" w:cs="Times New Roman"/>
          <w:sz w:val="24"/>
        </w:rPr>
        <w:t>S</w:t>
      </w:r>
      <w:r w:rsidRPr="00A748C9">
        <w:rPr>
          <w:rFonts w:ascii="Calibri" w:eastAsia="Calibri" w:hAnsi="Calibri" w:cs="Times New Roman"/>
          <w:sz w:val="24"/>
        </w:rPr>
        <w:t>PH</w:t>
      </w:r>
      <w:r w:rsidRPr="00A748C9">
        <w:rPr>
          <w:rFonts w:ascii="Calibri" w:eastAsia="Calibri" w:hAnsi="Calibri" w:cs="Times New Roman"/>
          <w:spacing w:val="25"/>
          <w:sz w:val="24"/>
        </w:rPr>
        <w:t xml:space="preserve"> </w:t>
      </w:r>
    </w:p>
    <w:p w:rsidR="005C2030" w:rsidRPr="00A748C9" w:rsidRDefault="005C2030" w:rsidP="005C2030">
      <w:pPr>
        <w:widowControl w:val="0"/>
        <w:tabs>
          <w:tab w:val="left" w:pos="7319"/>
        </w:tabs>
        <w:spacing w:after="0" w:line="240" w:lineRule="auto"/>
        <w:ind w:left="8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A</w:t>
      </w:r>
      <w:r w:rsidRPr="00A748C9">
        <w:rPr>
          <w:rFonts w:ascii="Calibri" w:eastAsia="Calibri" w:hAnsi="Calibri" w:cs="Times New Roman"/>
          <w:sz w:val="24"/>
        </w:rPr>
        <w:t>lfred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DeMaria,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Jr.,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MD</w:t>
      </w:r>
    </w:p>
    <w:p w:rsidR="005C2030" w:rsidRPr="00A748C9" w:rsidRDefault="005C2030" w:rsidP="005C2030">
      <w:pPr>
        <w:widowControl w:val="0"/>
        <w:tabs>
          <w:tab w:val="left" w:pos="7319"/>
        </w:tabs>
        <w:spacing w:after="0" w:line="240" w:lineRule="auto"/>
        <w:ind w:left="86"/>
        <w:rPr>
          <w:rFonts w:ascii="Calibri" w:eastAsia="Calibri" w:hAnsi="Calibri" w:cs="Times New Roman"/>
          <w:sz w:val="24"/>
        </w:rPr>
      </w:pPr>
      <w:r w:rsidRPr="00A748C9">
        <w:rPr>
          <w:rFonts w:ascii="Calibri" w:eastAsia="Calibri" w:hAnsi="Calibri" w:cs="Times New Roman"/>
          <w:sz w:val="24"/>
        </w:rPr>
        <w:t>Larry Madoff, MD</w:t>
      </w:r>
    </w:p>
    <w:p w:rsidR="005C2030" w:rsidRDefault="005C2030" w:rsidP="005C2030">
      <w:pPr>
        <w:widowControl w:val="0"/>
        <w:tabs>
          <w:tab w:val="left" w:pos="7319"/>
        </w:tabs>
        <w:spacing w:after="0" w:line="240" w:lineRule="auto"/>
        <w:ind w:left="86"/>
        <w:rPr>
          <w:rFonts w:ascii="Calibri" w:eastAsia="Calibri" w:hAnsi="Calibri" w:cs="Times New Roman"/>
          <w:sz w:val="24"/>
        </w:rPr>
      </w:pPr>
      <w:r w:rsidRPr="00A748C9">
        <w:rPr>
          <w:rFonts w:ascii="Calibri" w:eastAsia="Calibri" w:hAnsi="Calibri" w:cs="Times New Roman"/>
          <w:sz w:val="24"/>
        </w:rPr>
        <w:t xml:space="preserve">Catherine Brown, DVM, </w:t>
      </w:r>
      <w:r w:rsidR="004B29A5">
        <w:rPr>
          <w:rFonts w:ascii="Calibri" w:eastAsia="Calibri" w:hAnsi="Calibri" w:cs="Times New Roman"/>
          <w:sz w:val="24"/>
        </w:rPr>
        <w:t xml:space="preserve">MSc, </w:t>
      </w:r>
      <w:r w:rsidRPr="00A748C9">
        <w:rPr>
          <w:rFonts w:ascii="Calibri" w:eastAsia="Calibri" w:hAnsi="Calibri" w:cs="Times New Roman"/>
          <w:sz w:val="24"/>
        </w:rPr>
        <w:t>MPH</w:t>
      </w:r>
    </w:p>
    <w:p w:rsidR="00C6298A" w:rsidRDefault="00C6298A" w:rsidP="005C2030">
      <w:pPr>
        <w:widowControl w:val="0"/>
        <w:tabs>
          <w:tab w:val="left" w:pos="7319"/>
        </w:tabs>
        <w:spacing w:after="0" w:line="240" w:lineRule="auto"/>
        <w:ind w:left="8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Eileen McHale, </w:t>
      </w:r>
      <w:r w:rsidR="002C333C">
        <w:rPr>
          <w:rFonts w:ascii="Calibri" w:eastAsia="Calibri" w:hAnsi="Calibri" w:cs="Times New Roman"/>
          <w:sz w:val="24"/>
        </w:rPr>
        <w:t xml:space="preserve">BSN, </w:t>
      </w:r>
      <w:r>
        <w:rPr>
          <w:rFonts w:ascii="Calibri" w:eastAsia="Calibri" w:hAnsi="Calibri" w:cs="Times New Roman"/>
          <w:sz w:val="24"/>
        </w:rPr>
        <w:t>RN</w:t>
      </w:r>
    </w:p>
    <w:p w:rsidR="00420965" w:rsidRDefault="00420965" w:rsidP="005C2030">
      <w:pPr>
        <w:widowControl w:val="0"/>
        <w:tabs>
          <w:tab w:val="left" w:pos="7319"/>
        </w:tabs>
        <w:spacing w:after="0" w:line="240" w:lineRule="auto"/>
        <w:ind w:left="8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Gillian Haney, MPH</w:t>
      </w:r>
    </w:p>
    <w:p w:rsidR="00AE044B" w:rsidRPr="0021659E" w:rsidRDefault="00C6298A" w:rsidP="0021659E">
      <w:pPr>
        <w:widowControl w:val="0"/>
        <w:spacing w:after="0" w:line="240" w:lineRule="auto"/>
        <w:ind w:left="86" w:right="2410"/>
        <w:rPr>
          <w:rFonts w:ascii="Calibri" w:eastAsia="Calibri" w:hAnsi="Calibri" w:cs="Times New Roman"/>
          <w:sz w:val="24"/>
        </w:rPr>
      </w:pPr>
      <w:r w:rsidRPr="00A748C9">
        <w:rPr>
          <w:rFonts w:ascii="Calibri" w:eastAsia="Calibri" w:hAnsi="Calibri" w:cs="Times New Roman"/>
          <w:sz w:val="24"/>
        </w:rPr>
        <w:t>Scott</w:t>
      </w:r>
      <w:r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spacing w:val="25"/>
          <w:sz w:val="24"/>
        </w:rPr>
        <w:t>T</w:t>
      </w:r>
      <w:r w:rsidRPr="00A748C9">
        <w:rPr>
          <w:rFonts w:ascii="Calibri" w:eastAsia="Calibri" w:hAnsi="Calibri" w:cs="Times New Roman"/>
          <w:spacing w:val="-1"/>
          <w:sz w:val="24"/>
        </w:rPr>
        <w:t>roppy,</w:t>
      </w:r>
      <w:r w:rsidRPr="00A748C9">
        <w:rPr>
          <w:rFonts w:ascii="Calibri" w:eastAsia="Calibri" w:hAnsi="Calibri" w:cs="Times New Roman"/>
          <w:spacing w:val="-9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 xml:space="preserve">MPH, PMP, CIC </w:t>
      </w:r>
    </w:p>
    <w:p w:rsidR="00420965" w:rsidRDefault="00420965" w:rsidP="00A707A8">
      <w:pPr>
        <w:widowControl w:val="0"/>
        <w:spacing w:before="45" w:after="0" w:line="275" w:lineRule="auto"/>
        <w:ind w:right="3480"/>
        <w:rPr>
          <w:rFonts w:ascii="Calibri" w:eastAsia="Calibri" w:hAnsi="Calibri" w:cs="Calibri"/>
          <w:sz w:val="24"/>
          <w:szCs w:val="24"/>
        </w:rPr>
      </w:pPr>
    </w:p>
    <w:p w:rsidR="005C2030" w:rsidRDefault="005C2030" w:rsidP="005C2030">
      <w:pPr>
        <w:widowControl w:val="0"/>
        <w:spacing w:after="0" w:line="240" w:lineRule="auto"/>
        <w:ind w:left="90"/>
        <w:rPr>
          <w:rFonts w:ascii="Calibri" w:eastAsia="Calibri" w:hAnsi="Calibri" w:cs="Times New Roman"/>
          <w:color w:val="0000FF"/>
          <w:spacing w:val="-1"/>
          <w:sz w:val="24"/>
          <w:u w:val="single" w:color="0000FF"/>
        </w:rPr>
      </w:pPr>
      <w:r w:rsidRPr="00274C63">
        <w:rPr>
          <w:rFonts w:ascii="Calibri" w:eastAsia="Calibri" w:hAnsi="Calibri" w:cs="Times New Roman"/>
          <w:b/>
          <w:color w:val="002060"/>
          <w:spacing w:val="-1"/>
          <w:sz w:val="24"/>
        </w:rPr>
        <w:t>Requests</w:t>
      </w:r>
      <w:r w:rsidRPr="00274C63">
        <w:rPr>
          <w:rFonts w:ascii="Calibri" w:eastAsia="Calibri" w:hAnsi="Calibri" w:cs="Times New Roman"/>
          <w:b/>
          <w:color w:val="002060"/>
          <w:spacing w:val="-3"/>
          <w:sz w:val="24"/>
        </w:rPr>
        <w:t xml:space="preserve"> </w:t>
      </w:r>
      <w:r w:rsidRPr="00274C63">
        <w:rPr>
          <w:rFonts w:ascii="Calibri" w:eastAsia="Calibri" w:hAnsi="Calibri" w:cs="Times New Roman"/>
          <w:b/>
          <w:color w:val="002060"/>
          <w:spacing w:val="-1"/>
          <w:sz w:val="24"/>
        </w:rPr>
        <w:t>for</w:t>
      </w:r>
      <w:r w:rsidRPr="00274C63">
        <w:rPr>
          <w:rFonts w:ascii="Calibri" w:eastAsia="Calibri" w:hAnsi="Calibri" w:cs="Times New Roman"/>
          <w:b/>
          <w:color w:val="002060"/>
          <w:spacing w:val="-3"/>
          <w:sz w:val="24"/>
        </w:rPr>
        <w:t xml:space="preserve"> </w:t>
      </w:r>
      <w:r w:rsidRPr="00274C63">
        <w:rPr>
          <w:rFonts w:ascii="Calibri" w:eastAsia="Calibri" w:hAnsi="Calibri" w:cs="Times New Roman"/>
          <w:b/>
          <w:color w:val="002060"/>
          <w:spacing w:val="-1"/>
          <w:sz w:val="24"/>
        </w:rPr>
        <w:t>additional</w:t>
      </w:r>
      <w:r w:rsidRPr="00274C63">
        <w:rPr>
          <w:rFonts w:ascii="Calibri" w:eastAsia="Calibri" w:hAnsi="Calibri" w:cs="Times New Roman"/>
          <w:b/>
          <w:color w:val="002060"/>
          <w:spacing w:val="-7"/>
          <w:sz w:val="24"/>
        </w:rPr>
        <w:t xml:space="preserve"> </w:t>
      </w:r>
      <w:r w:rsidRPr="00274C63">
        <w:rPr>
          <w:rFonts w:ascii="Calibri" w:eastAsia="Calibri" w:hAnsi="Calibri" w:cs="Times New Roman"/>
          <w:b/>
          <w:color w:val="002060"/>
          <w:spacing w:val="-1"/>
          <w:sz w:val="24"/>
        </w:rPr>
        <w:t>data</w:t>
      </w:r>
      <w:r w:rsidRPr="00274C63">
        <w:rPr>
          <w:rFonts w:ascii="Calibri" w:eastAsia="Calibri" w:hAnsi="Calibri" w:cs="Times New Roman"/>
          <w:b/>
          <w:color w:val="002060"/>
          <w:spacing w:val="-5"/>
          <w:sz w:val="24"/>
        </w:rPr>
        <w:t xml:space="preserve"> </w:t>
      </w:r>
      <w:r w:rsidRPr="00274C63">
        <w:rPr>
          <w:rFonts w:ascii="Calibri" w:eastAsia="Calibri" w:hAnsi="Calibri" w:cs="Times New Roman"/>
          <w:b/>
          <w:color w:val="002060"/>
          <w:spacing w:val="-1"/>
          <w:sz w:val="24"/>
        </w:rPr>
        <w:t>can</w:t>
      </w:r>
      <w:r w:rsidRPr="00274C63">
        <w:rPr>
          <w:rFonts w:ascii="Calibri" w:eastAsia="Calibri" w:hAnsi="Calibri" w:cs="Times New Roman"/>
          <w:b/>
          <w:color w:val="002060"/>
          <w:spacing w:val="-3"/>
          <w:sz w:val="24"/>
        </w:rPr>
        <w:t xml:space="preserve"> </w:t>
      </w:r>
      <w:r w:rsidRPr="00274C63">
        <w:rPr>
          <w:rFonts w:ascii="Calibri" w:eastAsia="Calibri" w:hAnsi="Calibri" w:cs="Times New Roman"/>
          <w:b/>
          <w:color w:val="002060"/>
          <w:sz w:val="24"/>
        </w:rPr>
        <w:t>be</w:t>
      </w:r>
      <w:r w:rsidRPr="00274C63">
        <w:rPr>
          <w:rFonts w:ascii="Calibri" w:eastAsia="Calibri" w:hAnsi="Calibri" w:cs="Times New Roman"/>
          <w:b/>
          <w:color w:val="002060"/>
          <w:spacing w:val="-5"/>
          <w:sz w:val="24"/>
        </w:rPr>
        <w:t xml:space="preserve"> </w:t>
      </w:r>
      <w:r w:rsidRPr="00274C63">
        <w:rPr>
          <w:rFonts w:ascii="Calibri" w:eastAsia="Calibri" w:hAnsi="Calibri" w:cs="Times New Roman"/>
          <w:b/>
          <w:color w:val="002060"/>
          <w:spacing w:val="-1"/>
          <w:sz w:val="24"/>
        </w:rPr>
        <w:t>emailed</w:t>
      </w:r>
      <w:r w:rsidRPr="00274C63">
        <w:rPr>
          <w:rFonts w:ascii="Calibri" w:eastAsia="Calibri" w:hAnsi="Calibri" w:cs="Times New Roman"/>
          <w:b/>
          <w:color w:val="002060"/>
          <w:spacing w:val="-5"/>
          <w:sz w:val="24"/>
        </w:rPr>
        <w:t xml:space="preserve"> </w:t>
      </w:r>
      <w:r w:rsidRPr="00274C63">
        <w:rPr>
          <w:rFonts w:ascii="Calibri" w:eastAsia="Calibri" w:hAnsi="Calibri" w:cs="Times New Roman"/>
          <w:b/>
          <w:color w:val="002060"/>
          <w:sz w:val="24"/>
        </w:rPr>
        <w:t>to:</w:t>
      </w:r>
      <w:r w:rsidRPr="00274C63">
        <w:rPr>
          <w:rFonts w:ascii="Calibri" w:eastAsia="Calibri" w:hAnsi="Calibri" w:cs="Times New Roman"/>
          <w:color w:val="002060"/>
        </w:rPr>
        <w:t xml:space="preserve"> </w:t>
      </w:r>
      <w:hyperlink r:id="rId10">
        <w:r w:rsidRPr="00A748C9">
          <w:rPr>
            <w:rFonts w:ascii="Calibri" w:eastAsia="Calibri" w:hAnsi="Calibri" w:cs="Times New Roman"/>
            <w:color w:val="0000FF"/>
            <w:spacing w:val="-1"/>
            <w:sz w:val="24"/>
            <w:u w:val="single" w:color="0000FF"/>
          </w:rPr>
          <w:t>dph-antibiogram@state.ma.us</w:t>
        </w:r>
      </w:hyperlink>
    </w:p>
    <w:p w:rsidR="004D7C2B" w:rsidRDefault="004D7C2B" w:rsidP="00420965">
      <w:pPr>
        <w:widowControl w:val="0"/>
        <w:spacing w:before="45" w:after="0" w:line="275" w:lineRule="auto"/>
        <w:ind w:right="3480"/>
        <w:rPr>
          <w:rFonts w:ascii="Calibri" w:eastAsia="Calibri" w:hAnsi="Calibri" w:cs="Calibri"/>
          <w:sz w:val="24"/>
          <w:szCs w:val="24"/>
        </w:rPr>
      </w:pPr>
    </w:p>
    <w:p w:rsidR="0021659E" w:rsidRPr="00AE044B" w:rsidRDefault="0021659E" w:rsidP="0021659E">
      <w:pPr>
        <w:widowControl w:val="0"/>
        <w:spacing w:after="0"/>
        <w:ind w:left="119" w:right="6"/>
        <w:rPr>
          <w:rStyle w:val="IntenseEmphasis"/>
          <w:rFonts w:ascii="Calibri" w:eastAsia="Calibri" w:hAnsi="Calibri" w:cs="Calibri"/>
          <w:b w:val="0"/>
          <w:bCs w:val="0"/>
          <w:i w:val="0"/>
          <w:iCs w:val="0"/>
          <w:color w:val="auto"/>
          <w:sz w:val="24"/>
          <w:szCs w:val="24"/>
        </w:rPr>
      </w:pPr>
      <w:r w:rsidRPr="00A748C9">
        <w:rPr>
          <w:rFonts w:ascii="Calibri" w:eastAsia="Calibri" w:hAnsi="Calibri" w:cs="Times New Roman"/>
          <w:spacing w:val="-1"/>
          <w:sz w:val="24"/>
        </w:rPr>
        <w:t>In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2018,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>
        <w:rPr>
          <w:rFonts w:ascii="Calibri" w:eastAsia="Calibri" w:hAnsi="Calibri" w:cs="Times New Roman"/>
          <w:spacing w:val="-2"/>
          <w:sz w:val="24"/>
        </w:rPr>
        <w:t xml:space="preserve">hospital </w:t>
      </w:r>
      <w:r w:rsidR="002C333C">
        <w:rPr>
          <w:rFonts w:ascii="Calibri" w:eastAsia="Calibri" w:hAnsi="Calibri" w:cs="Times New Roman"/>
          <w:spacing w:val="-1"/>
          <w:sz w:val="24"/>
        </w:rPr>
        <w:t xml:space="preserve">antibiotic </w:t>
      </w:r>
      <w:r>
        <w:rPr>
          <w:rFonts w:ascii="Calibri" w:eastAsia="Calibri" w:hAnsi="Calibri" w:cs="Times New Roman"/>
          <w:spacing w:val="-1"/>
          <w:sz w:val="24"/>
        </w:rPr>
        <w:t>susceptibility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data</w:t>
      </w:r>
      <w:r>
        <w:rPr>
          <w:rFonts w:ascii="Calibri" w:eastAsia="Calibri" w:hAnsi="Calibri" w:cs="Times New Roman"/>
          <w:spacing w:val="-1"/>
          <w:sz w:val="24"/>
        </w:rPr>
        <w:t>,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>
        <w:rPr>
          <w:rFonts w:ascii="Calibri" w:eastAsia="Calibri" w:hAnsi="Calibri" w:cs="Times New Roman"/>
          <w:spacing w:val="-2"/>
          <w:sz w:val="24"/>
        </w:rPr>
        <w:t xml:space="preserve">in the form of antibiograms, were submitted </w:t>
      </w:r>
      <w:r w:rsidRPr="00A748C9">
        <w:rPr>
          <w:rFonts w:ascii="Calibri" w:eastAsia="Calibri" w:hAnsi="Calibri" w:cs="Times New Roman"/>
          <w:spacing w:val="-1"/>
          <w:sz w:val="24"/>
        </w:rPr>
        <w:t>representing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>
        <w:rPr>
          <w:rFonts w:ascii="Calibri" w:eastAsia="Calibri" w:hAnsi="Calibri" w:cs="Times New Roman"/>
          <w:spacing w:val="-5"/>
          <w:sz w:val="24"/>
        </w:rPr>
        <w:t xml:space="preserve">the testing </w:t>
      </w:r>
      <w:r w:rsidR="008F189E">
        <w:rPr>
          <w:rFonts w:ascii="Calibri" w:eastAsia="Calibri" w:hAnsi="Calibri" w:cs="Times New Roman"/>
          <w:spacing w:val="-5"/>
          <w:sz w:val="24"/>
        </w:rPr>
        <w:t>performed</w:t>
      </w:r>
      <w:r>
        <w:rPr>
          <w:rFonts w:ascii="Calibri" w:eastAsia="Calibri" w:hAnsi="Calibri" w:cs="Times New Roman"/>
          <w:spacing w:val="-5"/>
          <w:sz w:val="24"/>
        </w:rPr>
        <w:t xml:space="preserve"> in </w:t>
      </w:r>
      <w:r w:rsidRPr="00557C8E">
        <w:rPr>
          <w:rFonts w:ascii="Calibri" w:eastAsia="Calibri" w:hAnsi="Calibri" w:cs="Times New Roman"/>
          <w:sz w:val="24"/>
        </w:rPr>
        <w:t>75</w:t>
      </w:r>
      <w:r w:rsidRPr="00A748C9">
        <w:rPr>
          <w:rFonts w:ascii="Calibri" w:eastAsia="Calibri" w:hAnsi="Calibri" w:cs="Times New Roman"/>
          <w:color w:val="FF0000"/>
          <w:spacing w:val="-4"/>
          <w:sz w:val="24"/>
        </w:rPr>
        <w:t xml:space="preserve"> </w:t>
      </w:r>
      <w:r w:rsidRPr="00C8750D">
        <w:rPr>
          <w:rFonts w:ascii="Calibri" w:eastAsia="Calibri" w:hAnsi="Calibri" w:cs="Times New Roman"/>
          <w:spacing w:val="-1"/>
          <w:sz w:val="24"/>
        </w:rPr>
        <w:t>(100%)</w:t>
      </w:r>
      <w:r w:rsidRPr="00A748C9">
        <w:rPr>
          <w:rFonts w:ascii="Calibri" w:eastAsia="Calibri" w:hAnsi="Calibri" w:cs="Times New Roman"/>
          <w:color w:val="FF0000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acute</w:t>
      </w:r>
      <w:r>
        <w:rPr>
          <w:rFonts w:ascii="Calibri" w:eastAsia="Calibri" w:hAnsi="Calibri" w:cs="Times New Roman"/>
          <w:spacing w:val="-1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care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>
        <w:rPr>
          <w:rFonts w:ascii="Calibri" w:eastAsia="Calibri" w:hAnsi="Calibri" w:cs="Times New Roman"/>
          <w:spacing w:val="-1"/>
          <w:sz w:val="24"/>
        </w:rPr>
        <w:t>hospital clinical microbiology laboratories.  These data are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included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in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this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statewide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report</w:t>
      </w:r>
      <w:r>
        <w:rPr>
          <w:rFonts w:ascii="Calibri" w:eastAsia="Calibri" w:hAnsi="Calibri" w:cs="Times New Roman"/>
          <w:spacing w:val="-1"/>
          <w:sz w:val="24"/>
        </w:rPr>
        <w:t>.</w:t>
      </w:r>
      <w:r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>
        <w:rPr>
          <w:rFonts w:ascii="Calibri" w:eastAsia="Calibri" w:hAnsi="Calibri" w:cs="Times New Roman"/>
          <w:spacing w:val="-6"/>
          <w:sz w:val="24"/>
        </w:rPr>
        <w:t>Data are shown by species</w:t>
      </w:r>
      <w:r w:rsidR="00CA131E">
        <w:rPr>
          <w:rFonts w:ascii="Calibri" w:eastAsia="Calibri" w:hAnsi="Calibri" w:cs="Times New Roman"/>
          <w:spacing w:val="-6"/>
          <w:sz w:val="24"/>
        </w:rPr>
        <w:t>,</w:t>
      </w:r>
      <w:r>
        <w:rPr>
          <w:rFonts w:ascii="Calibri" w:eastAsia="Calibri" w:hAnsi="Calibri" w:cs="Times New Roman"/>
          <w:spacing w:val="-6"/>
          <w:sz w:val="24"/>
        </w:rPr>
        <w:t xml:space="preserve"> with </w:t>
      </w:r>
      <w:r>
        <w:rPr>
          <w:rFonts w:ascii="Calibri" w:eastAsia="Calibri" w:hAnsi="Calibri" w:cs="Times New Roman"/>
          <w:spacing w:val="-1"/>
          <w:sz w:val="24"/>
        </w:rPr>
        <w:t>e</w:t>
      </w:r>
      <w:r w:rsidRPr="00A748C9">
        <w:rPr>
          <w:rFonts w:ascii="Calibri" w:eastAsia="Calibri" w:hAnsi="Calibri" w:cs="Times New Roman"/>
          <w:spacing w:val="-1"/>
          <w:sz w:val="24"/>
        </w:rPr>
        <w:t>ach</w:t>
      </w:r>
      <w:r>
        <w:rPr>
          <w:rFonts w:ascii="Calibri" w:eastAsia="Calibri" w:hAnsi="Calibri" w:cs="Times New Roman"/>
          <w:spacing w:val="129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page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display</w:t>
      </w:r>
      <w:r>
        <w:rPr>
          <w:rFonts w:ascii="Calibri" w:eastAsia="Calibri" w:hAnsi="Calibri" w:cs="Times New Roman"/>
          <w:sz w:val="24"/>
        </w:rPr>
        <w:t>ing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the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average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percent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susceptibility</w:t>
      </w:r>
      <w:r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of</w:t>
      </w:r>
      <w:r w:rsidRPr="00A748C9">
        <w:rPr>
          <w:rFonts w:ascii="Calibri" w:eastAsia="Calibri" w:hAnsi="Calibri" w:cs="Times New Roman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bacterial</w:t>
      </w:r>
      <w:r w:rsidRPr="00A748C9">
        <w:rPr>
          <w:rFonts w:ascii="Calibri" w:eastAsia="Calibri" w:hAnsi="Calibri" w:cs="Times New Roman"/>
          <w:spacing w:val="111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isolates to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relevant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antibiotics (red</w:t>
      </w:r>
      <w:r w:rsidRPr="00A748C9">
        <w:rPr>
          <w:rFonts w:ascii="Calibri" w:eastAsia="Calibri" w:hAnsi="Calibri" w:cs="Times New Roman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dots</w:t>
      </w:r>
      <w:r>
        <w:rPr>
          <w:rFonts w:ascii="Calibri" w:eastAsia="Calibri" w:hAnsi="Calibri" w:cs="Times New Roman"/>
          <w:spacing w:val="-1"/>
          <w:sz w:val="24"/>
        </w:rPr>
        <w:t>, with</w:t>
      </w:r>
      <w:r w:rsidRPr="00A748C9">
        <w:rPr>
          <w:rFonts w:ascii="Calibri" w:eastAsia="Calibri" w:hAnsi="Calibri" w:cs="Times New Roman"/>
          <w:spacing w:val="-1"/>
          <w:sz w:val="24"/>
        </w:rPr>
        <w:t xml:space="preserve"> standard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 xml:space="preserve">deviation </w:t>
      </w:r>
      <w:r>
        <w:rPr>
          <w:rFonts w:ascii="Calibri" w:eastAsia="Calibri" w:hAnsi="Calibri" w:cs="Times New Roman"/>
          <w:spacing w:val="-1"/>
          <w:sz w:val="24"/>
        </w:rPr>
        <w:t xml:space="preserve">as </w:t>
      </w:r>
      <w:r w:rsidRPr="00A748C9">
        <w:rPr>
          <w:rFonts w:ascii="Calibri" w:eastAsia="Calibri" w:hAnsi="Calibri" w:cs="Times New Roman"/>
          <w:spacing w:val="-1"/>
          <w:sz w:val="24"/>
        </w:rPr>
        <w:t>red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bars)</w:t>
      </w:r>
      <w:r w:rsidRPr="00A748C9">
        <w:rPr>
          <w:rFonts w:ascii="Calibri" w:eastAsia="Calibri" w:hAnsi="Calibri" w:cs="Times New Roman"/>
          <w:spacing w:val="-1"/>
          <w:sz w:val="24"/>
        </w:rPr>
        <w:t>.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These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data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are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representative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of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>
        <w:rPr>
          <w:rFonts w:ascii="Calibri" w:eastAsia="Calibri" w:hAnsi="Calibri" w:cs="Times New Roman"/>
          <w:spacing w:val="-4"/>
          <w:sz w:val="24"/>
        </w:rPr>
        <w:t xml:space="preserve">the </w:t>
      </w:r>
      <w:r w:rsidRPr="00A748C9">
        <w:rPr>
          <w:rFonts w:ascii="Calibri" w:eastAsia="Calibri" w:hAnsi="Calibri" w:cs="Times New Roman"/>
          <w:spacing w:val="-1"/>
          <w:sz w:val="24"/>
        </w:rPr>
        <w:t>antibiotic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susceptibility</w:t>
      </w:r>
      <w:r w:rsidRPr="00A748C9">
        <w:rPr>
          <w:rFonts w:ascii="Calibri" w:eastAsia="Calibri" w:hAnsi="Calibri" w:cs="Times New Roman"/>
          <w:spacing w:val="-6"/>
          <w:sz w:val="24"/>
        </w:rPr>
        <w:t xml:space="preserve"> </w:t>
      </w:r>
      <w:r>
        <w:rPr>
          <w:rFonts w:ascii="Calibri" w:eastAsia="Calibri" w:hAnsi="Calibri" w:cs="Times New Roman"/>
          <w:spacing w:val="-6"/>
          <w:sz w:val="24"/>
        </w:rPr>
        <w:t xml:space="preserve">patterns </w:t>
      </w:r>
      <w:r>
        <w:rPr>
          <w:rFonts w:ascii="Calibri" w:eastAsia="Calibri" w:hAnsi="Calibri" w:cs="Times New Roman"/>
          <w:spacing w:val="-2"/>
          <w:sz w:val="24"/>
        </w:rPr>
        <w:t xml:space="preserve">of </w:t>
      </w:r>
      <w:r w:rsidRPr="008B52FF">
        <w:rPr>
          <w:rFonts w:ascii="Calibri" w:eastAsia="Calibri" w:hAnsi="Calibri" w:cs="Times New Roman"/>
          <w:spacing w:val="-1"/>
          <w:sz w:val="24"/>
        </w:rPr>
        <w:t>226,541</w:t>
      </w:r>
      <w:r>
        <w:rPr>
          <w:rFonts w:ascii="Calibri" w:eastAsia="Calibri" w:hAnsi="Calibri" w:cs="Times New Roman"/>
          <w:spacing w:val="-1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bacterial</w:t>
      </w:r>
      <w:r w:rsidRPr="00A748C9">
        <w:rPr>
          <w:rFonts w:ascii="Calibri" w:eastAsia="Calibri" w:hAnsi="Calibri" w:cs="Times New Roman"/>
          <w:spacing w:val="-5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isolates</w:t>
      </w:r>
      <w:r>
        <w:rPr>
          <w:rFonts w:ascii="Calibri" w:eastAsia="Calibri" w:hAnsi="Calibri" w:cs="Times New Roman"/>
          <w:spacing w:val="-1"/>
          <w:sz w:val="24"/>
        </w:rPr>
        <w:t xml:space="preserve"> from cultures performed on</w:t>
      </w:r>
      <w:r w:rsidRPr="008B52FF">
        <w:rPr>
          <w:rFonts w:ascii="Calibri" w:eastAsia="Calibri" w:hAnsi="Calibri" w:cs="Times New Roman"/>
          <w:spacing w:val="-1"/>
          <w:sz w:val="24"/>
        </w:rPr>
        <w:t xml:space="preserve"> inpatient</w:t>
      </w:r>
      <w:r>
        <w:rPr>
          <w:rFonts w:ascii="Calibri" w:eastAsia="Calibri" w:hAnsi="Calibri" w:cs="Times New Roman"/>
          <w:spacing w:val="-1"/>
          <w:sz w:val="24"/>
        </w:rPr>
        <w:t>s</w:t>
      </w:r>
      <w:r w:rsidRPr="008B52FF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and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outpatient</w:t>
      </w:r>
      <w:r>
        <w:rPr>
          <w:rFonts w:ascii="Calibri" w:eastAsia="Calibri" w:hAnsi="Calibri" w:cs="Times New Roman"/>
          <w:spacing w:val="-1"/>
          <w:sz w:val="24"/>
        </w:rPr>
        <w:t>s at the reporting acute care hospitals and practices they serve. These data</w:t>
      </w:r>
      <w:r w:rsidRPr="00A748C9">
        <w:rPr>
          <w:rFonts w:ascii="Calibri" w:eastAsia="Calibri" w:hAnsi="Calibri" w:cs="Times New Roman"/>
          <w:spacing w:val="-2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do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not</w:t>
      </w:r>
      <w:r w:rsidRPr="00A748C9">
        <w:rPr>
          <w:rFonts w:ascii="Calibri" w:eastAsia="Calibri" w:hAnsi="Calibri" w:cs="Times New Roman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represent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the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z w:val="24"/>
        </w:rPr>
        <w:t>full</w:t>
      </w:r>
      <w:r w:rsidRPr="00A748C9">
        <w:rPr>
          <w:rFonts w:ascii="Calibri" w:eastAsia="Calibri" w:hAnsi="Calibri" w:cs="Times New Roman"/>
          <w:spacing w:val="-7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extent</w:t>
      </w:r>
      <w:r w:rsidRPr="00A748C9">
        <w:rPr>
          <w:rFonts w:ascii="Calibri" w:eastAsia="Calibri" w:hAnsi="Calibri" w:cs="Times New Roman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of antibiotic</w:t>
      </w:r>
      <w:r w:rsidRPr="00A748C9">
        <w:rPr>
          <w:rFonts w:ascii="Calibri" w:eastAsia="Calibri" w:hAnsi="Calibri" w:cs="Times New Roman"/>
          <w:spacing w:val="-3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 xml:space="preserve">resistance </w:t>
      </w:r>
      <w:r w:rsidRPr="00A748C9">
        <w:rPr>
          <w:rFonts w:ascii="Calibri" w:eastAsia="Calibri" w:hAnsi="Calibri" w:cs="Times New Roman"/>
          <w:sz w:val="24"/>
        </w:rPr>
        <w:t>in</w:t>
      </w:r>
      <w:r w:rsidRPr="00A748C9">
        <w:rPr>
          <w:rFonts w:ascii="Calibri" w:eastAsia="Calibri" w:hAnsi="Calibri" w:cs="Times New Roman"/>
          <w:spacing w:val="-4"/>
          <w:sz w:val="24"/>
        </w:rPr>
        <w:t xml:space="preserve"> </w:t>
      </w:r>
      <w:r w:rsidRPr="00A748C9">
        <w:rPr>
          <w:rFonts w:ascii="Calibri" w:eastAsia="Calibri" w:hAnsi="Calibri" w:cs="Times New Roman"/>
          <w:spacing w:val="-1"/>
          <w:sz w:val="24"/>
        </w:rPr>
        <w:t>Massachusetts.</w:t>
      </w:r>
      <w:bookmarkStart w:id="1" w:name="_Toc14957743"/>
    </w:p>
    <w:bookmarkEnd w:id="1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3992107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A7A70" w:rsidRDefault="00CA7A70" w:rsidP="00FD583B">
          <w:pPr>
            <w:pStyle w:val="TOCHeading"/>
            <w:spacing w:line="360" w:lineRule="auto"/>
            <w:jc w:val="center"/>
          </w:pPr>
          <w:r>
            <w:t>Table of Contents</w:t>
          </w:r>
          <w:r w:rsidR="004D04B1">
            <w:t xml:space="preserve"> (Percent Susceptibility)</w:t>
          </w:r>
        </w:p>
        <w:p w:rsidR="00CA7A70" w:rsidRPr="00CA7A70" w:rsidRDefault="00CA7A70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r w:rsidRPr="00CA7A70">
            <w:rPr>
              <w:sz w:val="24"/>
            </w:rPr>
            <w:fldChar w:fldCharType="begin"/>
          </w:r>
          <w:r w:rsidRPr="00CA7A70">
            <w:rPr>
              <w:sz w:val="24"/>
            </w:rPr>
            <w:instrText xml:space="preserve"> TOC \o "1-3" \h \z \u </w:instrText>
          </w:r>
          <w:r w:rsidRPr="00CA7A70">
            <w:rPr>
              <w:sz w:val="24"/>
            </w:rPr>
            <w:fldChar w:fldCharType="separate"/>
          </w:r>
          <w:hyperlink w:anchor="_Toc14959820" w:history="1">
            <w:r w:rsidRPr="00420965">
              <w:rPr>
                <w:rStyle w:val="Hyperlink"/>
                <w:i/>
                <w:noProof/>
                <w:sz w:val="24"/>
              </w:rPr>
              <w:t>Acinetobacter baumannii</w:t>
            </w:r>
            <w:r w:rsidRPr="00CA7A70">
              <w:rPr>
                <w:noProof/>
                <w:webHidden/>
                <w:sz w:val="24"/>
              </w:rPr>
              <w:tab/>
            </w:r>
            <w:r w:rsidRPr="00CA7A70">
              <w:rPr>
                <w:noProof/>
                <w:webHidden/>
                <w:sz w:val="24"/>
              </w:rPr>
              <w:fldChar w:fldCharType="begin"/>
            </w:r>
            <w:r w:rsidRPr="00CA7A70">
              <w:rPr>
                <w:noProof/>
                <w:webHidden/>
                <w:sz w:val="24"/>
              </w:rPr>
              <w:instrText xml:space="preserve"> PAGEREF _Toc14959820 \h </w:instrText>
            </w:r>
            <w:r w:rsidRPr="00CA7A70">
              <w:rPr>
                <w:noProof/>
                <w:webHidden/>
                <w:sz w:val="24"/>
              </w:rPr>
            </w:r>
            <w:r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2</w:t>
            </w:r>
            <w:r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1" w:history="1">
            <w:r w:rsidR="00CA7A70" w:rsidRPr="00420965">
              <w:rPr>
                <w:rStyle w:val="Hyperlink"/>
                <w:i/>
                <w:noProof/>
                <w:sz w:val="24"/>
              </w:rPr>
              <w:t>Enterobacter cloacae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_Toc14959821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3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2" w:history="1">
            <w:r w:rsidR="00CA7A70" w:rsidRPr="00420965">
              <w:rPr>
                <w:rStyle w:val="Hyperlink"/>
                <w:i/>
                <w:noProof/>
                <w:sz w:val="24"/>
              </w:rPr>
              <w:t>Escherichia coli</w:t>
            </w:r>
            <w:r w:rsidR="004D04B1">
              <w:rPr>
                <w:rStyle w:val="Hyperlink"/>
                <w:noProof/>
                <w:sz w:val="24"/>
              </w:rPr>
              <w:t xml:space="preserve"> 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_Toc14959822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4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3" w:history="1">
            <w:r w:rsidR="00CA7A70" w:rsidRPr="00420965">
              <w:rPr>
                <w:rStyle w:val="Hyperlink"/>
                <w:i/>
                <w:noProof/>
                <w:sz w:val="24"/>
              </w:rPr>
              <w:t>Klebsiella aerogenes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_Toc14959823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5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4" w:history="1">
            <w:r w:rsidR="00CA7A70" w:rsidRPr="00420965">
              <w:rPr>
                <w:rStyle w:val="Hyperlink"/>
                <w:i/>
                <w:noProof/>
                <w:sz w:val="24"/>
              </w:rPr>
              <w:t>Klebsiella oxytoca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_Toc14959824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6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5" w:history="1">
            <w:r w:rsidR="00CA7A70" w:rsidRPr="00420965">
              <w:rPr>
                <w:rStyle w:val="Hyperlink"/>
                <w:i/>
                <w:noProof/>
                <w:sz w:val="24"/>
              </w:rPr>
              <w:t>Klebsiella pneumoniae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_Toc14959825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7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6" w:history="1">
            <w:r w:rsidR="00CA7A70" w:rsidRPr="00420965">
              <w:rPr>
                <w:rStyle w:val="Hyperlink"/>
                <w:i/>
                <w:noProof/>
                <w:sz w:val="24"/>
              </w:rPr>
              <w:t>Pseudomonas aeruginosa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_Toc14959826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8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7" w:history="1">
            <w:r w:rsidR="00CA7A70" w:rsidRPr="00420965">
              <w:rPr>
                <w:rStyle w:val="Hyperlink"/>
                <w:i/>
                <w:noProof/>
                <w:sz w:val="24"/>
              </w:rPr>
              <w:t>Serratia marcescens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_Toc14959827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9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8" w:history="1">
            <w:r w:rsidR="00CA7A70" w:rsidRPr="00420965">
              <w:rPr>
                <w:rStyle w:val="Hyperlink"/>
                <w:i/>
                <w:noProof/>
                <w:sz w:val="24"/>
              </w:rPr>
              <w:t>Stenotrophomonas maltophilia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_Toc14959828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10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29" w:history="1">
            <w:r w:rsidR="00CA7A70" w:rsidRPr="00420965">
              <w:rPr>
                <w:rStyle w:val="Hyperlink"/>
                <w:i/>
                <w:noProof/>
                <w:sz w:val="24"/>
              </w:rPr>
              <w:t>Staphylococcus aureus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_Toc14959829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11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30" w:history="1">
            <w:r w:rsidR="00CA7A70" w:rsidRPr="00420965">
              <w:rPr>
                <w:rStyle w:val="Hyperlink"/>
                <w:i/>
                <w:noProof/>
                <w:sz w:val="24"/>
              </w:rPr>
              <w:t>Streptococcus pneumoniae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_Toc14959830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12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31" w:history="1">
            <w:r w:rsidR="00CA7A70" w:rsidRPr="00CA7A70">
              <w:rPr>
                <w:rStyle w:val="Hyperlink"/>
                <w:noProof/>
                <w:sz w:val="24"/>
              </w:rPr>
              <w:t>Antibiogram Collection Form 2018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_Toc14959831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13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P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  <w:rPr>
              <w:noProof/>
              <w:sz w:val="24"/>
              <w:lang w:eastAsia="en-US"/>
            </w:rPr>
          </w:pPr>
          <w:hyperlink w:anchor="_Toc14959832" w:history="1">
            <w:r w:rsidR="00600158">
              <w:rPr>
                <w:rStyle w:val="Hyperlink"/>
                <w:noProof/>
                <w:sz w:val="24"/>
              </w:rPr>
              <w:t>Reporting Facilities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_Toc14959832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14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</w:p>
        <w:p w:rsidR="00CA7A70" w:rsidRDefault="008756F9" w:rsidP="00CA7A70">
          <w:pPr>
            <w:pStyle w:val="TOC3"/>
            <w:tabs>
              <w:tab w:val="right" w:leader="dot" w:pos="12950"/>
            </w:tabs>
            <w:spacing w:line="480" w:lineRule="auto"/>
          </w:pPr>
          <w:hyperlink w:anchor="_Toc14959833" w:history="1">
            <w:r w:rsidR="00CA7A70" w:rsidRPr="00CA7A70">
              <w:rPr>
                <w:rStyle w:val="Hyperlink"/>
                <w:noProof/>
                <w:sz w:val="24"/>
                <w:u w:color="000000"/>
              </w:rPr>
              <w:t>Antibiotic</w:t>
            </w:r>
            <w:r w:rsidR="00CA7A70" w:rsidRPr="00CA7A70">
              <w:rPr>
                <w:rStyle w:val="Hyperlink"/>
                <w:noProof/>
                <w:spacing w:val="-2"/>
                <w:sz w:val="24"/>
                <w:u w:color="000000"/>
              </w:rPr>
              <w:t xml:space="preserve"> </w:t>
            </w:r>
            <w:r w:rsidR="00CA7A70" w:rsidRPr="00CA7A70">
              <w:rPr>
                <w:rStyle w:val="Hyperlink"/>
                <w:noProof/>
                <w:sz w:val="24"/>
                <w:u w:color="000000"/>
              </w:rPr>
              <w:t>Susceptibility</w:t>
            </w:r>
            <w:r w:rsidR="00CA7A70" w:rsidRPr="00CA7A70">
              <w:rPr>
                <w:rStyle w:val="Hyperlink"/>
                <w:noProof/>
                <w:spacing w:val="-2"/>
                <w:sz w:val="24"/>
                <w:u w:color="000000"/>
              </w:rPr>
              <w:t xml:space="preserve"> </w:t>
            </w:r>
            <w:r w:rsidR="00CA7A70" w:rsidRPr="00CA7A70">
              <w:rPr>
                <w:rStyle w:val="Hyperlink"/>
                <w:noProof/>
                <w:sz w:val="24"/>
                <w:u w:color="000000"/>
              </w:rPr>
              <w:t>Testing</w:t>
            </w:r>
            <w:r w:rsidR="00CA7A70" w:rsidRPr="00CA7A70">
              <w:rPr>
                <w:rStyle w:val="Hyperlink"/>
                <w:noProof/>
                <w:spacing w:val="-2"/>
                <w:sz w:val="24"/>
                <w:u w:color="000000"/>
              </w:rPr>
              <w:t xml:space="preserve"> </w:t>
            </w:r>
            <w:r w:rsidR="00CA7A70" w:rsidRPr="00CA7A70">
              <w:rPr>
                <w:rStyle w:val="Hyperlink"/>
                <w:noProof/>
                <w:sz w:val="24"/>
                <w:u w:color="000000"/>
              </w:rPr>
              <w:t>Guidelines</w:t>
            </w:r>
            <w:r w:rsidR="00CA7A70" w:rsidRPr="00CA7A70">
              <w:rPr>
                <w:noProof/>
                <w:webHidden/>
                <w:sz w:val="24"/>
              </w:rPr>
              <w:tab/>
            </w:r>
            <w:r w:rsidR="00CA7A70" w:rsidRPr="00CA7A70">
              <w:rPr>
                <w:noProof/>
                <w:webHidden/>
                <w:sz w:val="24"/>
              </w:rPr>
              <w:fldChar w:fldCharType="begin"/>
            </w:r>
            <w:r w:rsidR="00CA7A70" w:rsidRPr="00CA7A70">
              <w:rPr>
                <w:noProof/>
                <w:webHidden/>
                <w:sz w:val="24"/>
              </w:rPr>
              <w:instrText xml:space="preserve"> PAGEREF _Toc14959833 \h </w:instrText>
            </w:r>
            <w:r w:rsidR="00CA7A70" w:rsidRPr="00CA7A70">
              <w:rPr>
                <w:noProof/>
                <w:webHidden/>
                <w:sz w:val="24"/>
              </w:rPr>
            </w:r>
            <w:r w:rsidR="00CA7A70" w:rsidRPr="00CA7A70">
              <w:rPr>
                <w:noProof/>
                <w:webHidden/>
                <w:sz w:val="24"/>
              </w:rPr>
              <w:fldChar w:fldCharType="separate"/>
            </w:r>
            <w:r w:rsidR="00F60507">
              <w:rPr>
                <w:noProof/>
                <w:webHidden/>
                <w:sz w:val="24"/>
              </w:rPr>
              <w:t>15</w:t>
            </w:r>
            <w:r w:rsidR="00CA7A70" w:rsidRPr="00CA7A70">
              <w:rPr>
                <w:noProof/>
                <w:webHidden/>
                <w:sz w:val="24"/>
              </w:rPr>
              <w:fldChar w:fldCharType="end"/>
            </w:r>
          </w:hyperlink>
          <w:r w:rsidR="00CA7A70" w:rsidRPr="00CA7A70">
            <w:rPr>
              <w:b/>
              <w:bCs/>
              <w:noProof/>
              <w:sz w:val="24"/>
            </w:rPr>
            <w:fldChar w:fldCharType="end"/>
          </w:r>
        </w:p>
      </w:sdtContent>
    </w:sdt>
    <w:p w:rsidR="00333B6A" w:rsidRDefault="00333B6A" w:rsidP="00333B6A">
      <w:pPr>
        <w:spacing w:line="360" w:lineRule="auto"/>
        <w:contextualSpacing/>
        <w:rPr>
          <w:rFonts w:ascii="Calibri" w:eastAsia="Calibri" w:hAnsi="Calibri" w:cs="Calibri"/>
          <w:sz w:val="24"/>
          <w:szCs w:val="24"/>
        </w:rPr>
      </w:pPr>
    </w:p>
    <w:p w:rsidR="00003F88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CA7A70" w:rsidRDefault="00CA7A70" w:rsidP="00CA7A70">
      <w:pPr>
        <w:spacing w:line="360" w:lineRule="auto"/>
        <w:contextualSpacing/>
        <w:rPr>
          <w:rFonts w:ascii="Calibri" w:eastAsia="Calibri" w:hAnsi="Calibri" w:cs="Calibri"/>
          <w:sz w:val="24"/>
          <w:szCs w:val="24"/>
        </w:rPr>
      </w:pPr>
    </w:p>
    <w:p w:rsidR="00003F88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003F88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003F88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003F88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003F88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0C4FE6" w:rsidRDefault="000C4FE6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0C4FE6" w:rsidRDefault="000C4FE6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003F88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sz w:val="24"/>
          <w:szCs w:val="24"/>
        </w:rPr>
      </w:pPr>
    </w:p>
    <w:p w:rsidR="00A748C9" w:rsidRDefault="00003F88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  <w:r w:rsidRPr="00003F88">
        <w:rPr>
          <w:rFonts w:ascii="Calibri" w:eastAsia="Calibri" w:hAnsi="Calibri" w:cs="Calibri"/>
          <w:color w:val="7F7F7F" w:themeColor="text1" w:themeTint="80"/>
          <w:sz w:val="24"/>
          <w:szCs w:val="24"/>
        </w:rPr>
        <w:t>This page is intentionally left blank</w:t>
      </w:r>
      <w:r>
        <w:rPr>
          <w:rFonts w:ascii="Calibri" w:eastAsia="Calibri" w:hAnsi="Calibri" w:cs="Calibri"/>
          <w:color w:val="7F7F7F" w:themeColor="text1" w:themeTint="80"/>
          <w:sz w:val="24"/>
          <w:szCs w:val="24"/>
        </w:rPr>
        <w:t>.</w:t>
      </w: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86C01" w:rsidRDefault="00C86C01" w:rsidP="00003F88">
      <w:pPr>
        <w:spacing w:line="360" w:lineRule="auto"/>
        <w:contextualSpacing/>
        <w:jc w:val="center"/>
        <w:rPr>
          <w:rFonts w:ascii="Calibri" w:eastAsia="Calibri" w:hAnsi="Calibri" w:cs="Calibri"/>
          <w:color w:val="7F7F7F" w:themeColor="text1" w:themeTint="80"/>
          <w:sz w:val="24"/>
          <w:szCs w:val="24"/>
        </w:rPr>
      </w:pPr>
    </w:p>
    <w:p w:rsidR="00CA7A70" w:rsidRPr="00003F88" w:rsidRDefault="00CA7A70" w:rsidP="00CA7A70">
      <w:pPr>
        <w:spacing w:line="360" w:lineRule="auto"/>
        <w:contextualSpacing/>
        <w:rPr>
          <w:rFonts w:ascii="Calibri" w:eastAsia="Calibri" w:hAnsi="Calibri" w:cs="Calibri"/>
          <w:color w:val="7F7F7F" w:themeColor="text1" w:themeTint="80"/>
          <w:sz w:val="24"/>
          <w:szCs w:val="24"/>
        </w:rPr>
        <w:sectPr w:rsidR="00CA7A70" w:rsidRPr="00003F88" w:rsidSect="00003F88">
          <w:pgSz w:w="15840" w:h="12240" w:orient="landscape"/>
          <w:pgMar w:top="1080" w:right="1440" w:bottom="1440" w:left="1440" w:header="720" w:footer="720" w:gutter="0"/>
          <w:cols w:space="720"/>
          <w:docGrid w:linePitch="299"/>
        </w:sectPr>
      </w:pPr>
    </w:p>
    <w:p w:rsidR="00CA7A70" w:rsidRDefault="00CA7A70" w:rsidP="00CA7A70">
      <w:pPr>
        <w:pStyle w:val="Heading3"/>
        <w:contextualSpacing/>
        <w:rPr>
          <w:sz w:val="32"/>
        </w:rPr>
      </w:pPr>
      <w:bookmarkStart w:id="2" w:name="_Acinetobacter_baumanii_Percent"/>
      <w:bookmarkEnd w:id="2"/>
    </w:p>
    <w:p w:rsidR="00CA7A70" w:rsidRPr="00CA7A70" w:rsidRDefault="00CA7A70" w:rsidP="00CA7A70"/>
    <w:p w:rsidR="005E54C8" w:rsidRPr="00CA7A70" w:rsidRDefault="005E54C8" w:rsidP="00CA7A70">
      <w:pPr>
        <w:pStyle w:val="Heading3"/>
        <w:jc w:val="center"/>
        <w:rPr>
          <w:sz w:val="36"/>
        </w:rPr>
      </w:pPr>
      <w:bookmarkStart w:id="3" w:name="_Toc14959820"/>
      <w:r w:rsidRPr="00CA7A70">
        <w:rPr>
          <w:i/>
          <w:sz w:val="36"/>
        </w:rPr>
        <w:lastRenderedPageBreak/>
        <w:t xml:space="preserve">Acinetobacter </w:t>
      </w:r>
      <w:r w:rsidR="003F21C9" w:rsidRPr="00CA7A70">
        <w:rPr>
          <w:i/>
          <w:sz w:val="36"/>
        </w:rPr>
        <w:t>baumannii</w:t>
      </w:r>
      <w:r w:rsidRPr="00CA7A70">
        <w:rPr>
          <w:sz w:val="36"/>
        </w:rPr>
        <w:t xml:space="preserve"> </w:t>
      </w:r>
      <w:r w:rsidR="00BF4616" w:rsidRPr="00CA7A70">
        <w:rPr>
          <w:sz w:val="36"/>
        </w:rPr>
        <w:t xml:space="preserve">Percent </w:t>
      </w:r>
      <w:r w:rsidR="00003F88" w:rsidRPr="00CA7A70">
        <w:rPr>
          <w:sz w:val="36"/>
        </w:rPr>
        <w:t>Susceptibility</w:t>
      </w:r>
      <w:bookmarkEnd w:id="3"/>
    </w:p>
    <w:p w:rsidR="00CA7A70" w:rsidRPr="00CA7A70" w:rsidRDefault="00CA7A70" w:rsidP="00CA7A70"/>
    <w:p w:rsidR="00BF4616" w:rsidRDefault="00BF4616" w:rsidP="00BF4616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Default="006C0748" w:rsidP="00BF4616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6C0748" w:rsidRDefault="00944161" w:rsidP="00BF4616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1622EB5" wp14:editId="28DA6ED1">
            <wp:extent cx="8995544" cy="523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06184" cy="52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97A" w:rsidRDefault="0074697A" w:rsidP="00BF4616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333B6A" w:rsidRPr="00CA7A70" w:rsidRDefault="00333B6A" w:rsidP="003F21C9">
      <w:pPr>
        <w:pStyle w:val="Heading3"/>
        <w:jc w:val="center"/>
        <w:rPr>
          <w:sz w:val="36"/>
        </w:rPr>
      </w:pPr>
      <w:bookmarkStart w:id="4" w:name="_Toc14959821"/>
      <w:r w:rsidRPr="00CA7A70">
        <w:rPr>
          <w:i/>
          <w:noProof/>
          <w:sz w:val="36"/>
        </w:rPr>
        <w:lastRenderedPageBreak/>
        <w:t>Enterobacter cloacae</w:t>
      </w:r>
      <w:r w:rsidRPr="00CA7A70">
        <w:rPr>
          <w:noProof/>
          <w:sz w:val="36"/>
        </w:rPr>
        <w:t xml:space="preserve"> </w:t>
      </w:r>
      <w:r w:rsidRPr="00CA7A70">
        <w:rPr>
          <w:sz w:val="36"/>
        </w:rPr>
        <w:t xml:space="preserve">Percent </w:t>
      </w:r>
      <w:r w:rsidR="00003F88" w:rsidRPr="00CA7A70">
        <w:rPr>
          <w:sz w:val="36"/>
        </w:rPr>
        <w:t>Susceptibility</w:t>
      </w:r>
      <w:bookmarkEnd w:id="4"/>
    </w:p>
    <w:p w:rsidR="00CA7A70" w:rsidRPr="00CA7A70" w:rsidRDefault="00CA7A70" w:rsidP="00CA7A70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6C0748" w:rsidRDefault="00072FA6" w:rsidP="00CA7A70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43822EA" wp14:editId="0966B486">
            <wp:extent cx="8973781" cy="512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85741" cy="513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6A" w:rsidRPr="00CA7A70" w:rsidRDefault="00333B6A" w:rsidP="00CA7A70">
      <w:pPr>
        <w:pStyle w:val="Heading3"/>
        <w:jc w:val="center"/>
        <w:rPr>
          <w:sz w:val="36"/>
        </w:rPr>
      </w:pPr>
      <w:bookmarkStart w:id="5" w:name="_Toc14959822"/>
      <w:r w:rsidRPr="00CA7A70">
        <w:rPr>
          <w:i/>
          <w:noProof/>
          <w:sz w:val="36"/>
        </w:rPr>
        <w:lastRenderedPageBreak/>
        <w:t>Escherichia coli</w:t>
      </w:r>
      <w:r w:rsidRPr="00CA7A70">
        <w:rPr>
          <w:noProof/>
          <w:sz w:val="36"/>
        </w:rPr>
        <w:t xml:space="preserve"> </w:t>
      </w:r>
      <w:r w:rsidRPr="00CA7A70">
        <w:rPr>
          <w:sz w:val="36"/>
        </w:rPr>
        <w:t xml:space="preserve">Percent </w:t>
      </w:r>
      <w:r w:rsidR="00003F88" w:rsidRPr="00CA7A70">
        <w:rPr>
          <w:sz w:val="36"/>
        </w:rPr>
        <w:t>Susceptibility</w:t>
      </w:r>
      <w:bookmarkEnd w:id="5"/>
    </w:p>
    <w:p w:rsidR="00CA7A70" w:rsidRPr="00CA7A70" w:rsidRDefault="00CA7A70" w:rsidP="00CA7A70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6C0748" w:rsidRPr="004D04B1" w:rsidRDefault="004D04B1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2B2B262" wp14:editId="747565BC">
            <wp:extent cx="9086850" cy="520649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07092" cy="521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48" w:rsidRPr="00BF4616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333B6A" w:rsidRDefault="003C3B40" w:rsidP="00CA7A70">
      <w:pPr>
        <w:pStyle w:val="Heading3"/>
        <w:jc w:val="center"/>
        <w:rPr>
          <w:sz w:val="36"/>
        </w:rPr>
      </w:pPr>
      <w:bookmarkStart w:id="6" w:name="_Toc14959823"/>
      <w:r w:rsidRPr="00CA7A70">
        <w:rPr>
          <w:i/>
          <w:noProof/>
          <w:sz w:val="36"/>
        </w:rPr>
        <w:lastRenderedPageBreak/>
        <w:t>Klebsiella aerogenes</w:t>
      </w:r>
      <w:r w:rsidRPr="00CA7A70">
        <w:rPr>
          <w:noProof/>
          <w:sz w:val="36"/>
        </w:rPr>
        <w:t xml:space="preserve"> </w:t>
      </w:r>
      <w:r w:rsidR="00333B6A" w:rsidRPr="00CA7A70">
        <w:rPr>
          <w:sz w:val="36"/>
        </w:rPr>
        <w:t xml:space="preserve">Percent </w:t>
      </w:r>
      <w:r w:rsidR="00003F88" w:rsidRPr="00CA7A70">
        <w:rPr>
          <w:sz w:val="36"/>
        </w:rPr>
        <w:t>Susceptibility</w:t>
      </w:r>
      <w:bookmarkEnd w:id="6"/>
    </w:p>
    <w:p w:rsidR="00CA7A70" w:rsidRPr="00CA7A70" w:rsidRDefault="00CA7A70" w:rsidP="00CA7A70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6C0748" w:rsidRPr="00BF4616" w:rsidRDefault="004D04B1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1D233ED" wp14:editId="5D3FED8F">
            <wp:extent cx="8918681" cy="5181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26288" cy="518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6A" w:rsidRDefault="003C3B40" w:rsidP="00CA7A70">
      <w:pPr>
        <w:pStyle w:val="Heading3"/>
        <w:jc w:val="center"/>
        <w:rPr>
          <w:sz w:val="36"/>
        </w:rPr>
      </w:pPr>
      <w:bookmarkStart w:id="7" w:name="_Toc14959824"/>
      <w:r w:rsidRPr="00CA7A70">
        <w:rPr>
          <w:i/>
          <w:noProof/>
          <w:sz w:val="36"/>
        </w:rPr>
        <w:lastRenderedPageBreak/>
        <w:t>Klebsiella oxytoca</w:t>
      </w:r>
      <w:r w:rsidRPr="00CA7A70">
        <w:rPr>
          <w:noProof/>
          <w:sz w:val="36"/>
        </w:rPr>
        <w:t xml:space="preserve"> </w:t>
      </w:r>
      <w:r w:rsidR="00333B6A" w:rsidRPr="00CA7A70">
        <w:rPr>
          <w:sz w:val="36"/>
        </w:rPr>
        <w:t xml:space="preserve">Percent </w:t>
      </w:r>
      <w:r w:rsidR="00003F88" w:rsidRPr="00CA7A70">
        <w:rPr>
          <w:sz w:val="36"/>
        </w:rPr>
        <w:t>Susceptibility</w:t>
      </w:r>
      <w:bookmarkEnd w:id="7"/>
    </w:p>
    <w:p w:rsidR="00CA7A70" w:rsidRPr="00CA7A70" w:rsidRDefault="00CA7A70" w:rsidP="00CA7A70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Pr="00BF4616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333B6A" w:rsidRDefault="004D04B1" w:rsidP="006C0748">
      <w:pPr>
        <w:pStyle w:val="Header"/>
        <w:jc w:val="center"/>
      </w:pPr>
      <w:r>
        <w:rPr>
          <w:noProof/>
        </w:rPr>
        <w:drawing>
          <wp:inline distT="0" distB="0" distL="0" distR="0" wp14:anchorId="2132D594" wp14:editId="2A7F9199">
            <wp:extent cx="8990037" cy="516255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99184" cy="5167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48" w:rsidRDefault="006C0748" w:rsidP="006C0748">
      <w:pPr>
        <w:pStyle w:val="Header"/>
        <w:jc w:val="center"/>
      </w:pPr>
    </w:p>
    <w:p w:rsidR="00333B6A" w:rsidRPr="00600158" w:rsidRDefault="003C3B40" w:rsidP="00CA7A70">
      <w:pPr>
        <w:pStyle w:val="Heading3"/>
        <w:jc w:val="center"/>
        <w:rPr>
          <w:sz w:val="36"/>
        </w:rPr>
      </w:pPr>
      <w:bookmarkStart w:id="8" w:name="_Toc14959825"/>
      <w:r w:rsidRPr="00600158">
        <w:rPr>
          <w:i/>
          <w:noProof/>
          <w:sz w:val="36"/>
        </w:rPr>
        <w:lastRenderedPageBreak/>
        <w:t>Klebsiella pneumoniae</w:t>
      </w:r>
      <w:r w:rsidRPr="00600158">
        <w:rPr>
          <w:noProof/>
          <w:sz w:val="36"/>
        </w:rPr>
        <w:t xml:space="preserve"> </w:t>
      </w:r>
      <w:r w:rsidR="00333B6A" w:rsidRPr="00600158">
        <w:rPr>
          <w:sz w:val="36"/>
        </w:rPr>
        <w:t xml:space="preserve">Percent </w:t>
      </w:r>
      <w:r w:rsidR="00003F88" w:rsidRPr="00600158">
        <w:rPr>
          <w:sz w:val="36"/>
        </w:rPr>
        <w:t>Susceptibility</w:t>
      </w:r>
      <w:bookmarkEnd w:id="8"/>
    </w:p>
    <w:p w:rsidR="00600158" w:rsidRPr="00600158" w:rsidRDefault="00600158" w:rsidP="00600158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Pr="00BF4616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333B6A" w:rsidRDefault="00072FA6" w:rsidP="006C0748">
      <w:pPr>
        <w:pStyle w:val="Header"/>
        <w:jc w:val="center"/>
      </w:pPr>
      <w:r>
        <w:rPr>
          <w:noProof/>
        </w:rPr>
        <w:drawing>
          <wp:inline distT="0" distB="0" distL="0" distR="0" wp14:anchorId="45BE90B3" wp14:editId="453B95A1">
            <wp:extent cx="9087231" cy="5238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88741" cy="52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748" w:rsidRDefault="006C0748" w:rsidP="006C0748">
      <w:pPr>
        <w:pStyle w:val="Header"/>
        <w:jc w:val="center"/>
      </w:pPr>
    </w:p>
    <w:p w:rsidR="00333B6A" w:rsidRPr="00600158" w:rsidRDefault="003C3B40" w:rsidP="00CA7A70">
      <w:pPr>
        <w:pStyle w:val="Heading3"/>
        <w:jc w:val="center"/>
        <w:rPr>
          <w:sz w:val="36"/>
        </w:rPr>
      </w:pPr>
      <w:bookmarkStart w:id="9" w:name="_Toc14959826"/>
      <w:r w:rsidRPr="00600158">
        <w:rPr>
          <w:i/>
          <w:noProof/>
          <w:sz w:val="36"/>
        </w:rPr>
        <w:lastRenderedPageBreak/>
        <w:t>Pseudomonas aeruginosa</w:t>
      </w:r>
      <w:r w:rsidRPr="00600158">
        <w:rPr>
          <w:noProof/>
          <w:sz w:val="36"/>
        </w:rPr>
        <w:t xml:space="preserve"> </w:t>
      </w:r>
      <w:r w:rsidR="00333B6A" w:rsidRPr="00600158">
        <w:rPr>
          <w:sz w:val="36"/>
        </w:rPr>
        <w:t xml:space="preserve">Percent </w:t>
      </w:r>
      <w:r w:rsidR="00003F88" w:rsidRPr="00600158">
        <w:rPr>
          <w:sz w:val="36"/>
        </w:rPr>
        <w:t>Susceptibility</w:t>
      </w:r>
      <w:bookmarkEnd w:id="9"/>
    </w:p>
    <w:p w:rsidR="00600158" w:rsidRPr="00600158" w:rsidRDefault="00600158" w:rsidP="00600158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6C0748" w:rsidRDefault="0089239F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6DF9F2A" wp14:editId="01861D58">
            <wp:extent cx="9147351" cy="533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4732" cy="533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6A" w:rsidRPr="00CA131E" w:rsidRDefault="003C3B40" w:rsidP="00CA7A70">
      <w:pPr>
        <w:pStyle w:val="Heading3"/>
        <w:jc w:val="center"/>
        <w:rPr>
          <w:sz w:val="36"/>
          <w:szCs w:val="36"/>
        </w:rPr>
      </w:pPr>
      <w:bookmarkStart w:id="10" w:name="_Toc14959827"/>
      <w:r w:rsidRPr="00CA131E">
        <w:rPr>
          <w:i/>
          <w:noProof/>
          <w:sz w:val="36"/>
          <w:szCs w:val="36"/>
        </w:rPr>
        <w:lastRenderedPageBreak/>
        <w:t>Serratia marcescens</w:t>
      </w:r>
      <w:r w:rsidRPr="00CA131E">
        <w:rPr>
          <w:noProof/>
          <w:sz w:val="36"/>
          <w:szCs w:val="36"/>
        </w:rPr>
        <w:t xml:space="preserve"> </w:t>
      </w:r>
      <w:r w:rsidR="00333B6A" w:rsidRPr="00CA131E">
        <w:rPr>
          <w:sz w:val="36"/>
          <w:szCs w:val="36"/>
        </w:rPr>
        <w:t xml:space="preserve">Percent </w:t>
      </w:r>
      <w:r w:rsidR="00003F88" w:rsidRPr="00CA131E">
        <w:rPr>
          <w:sz w:val="36"/>
          <w:szCs w:val="36"/>
        </w:rPr>
        <w:t>Susceptibility</w:t>
      </w:r>
      <w:bookmarkEnd w:id="10"/>
    </w:p>
    <w:p w:rsidR="00600158" w:rsidRPr="00600158" w:rsidRDefault="00600158" w:rsidP="00600158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0748" w:rsidRPr="00BF4616" w:rsidRDefault="006C0748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333B6A" w:rsidRDefault="004D04B1" w:rsidP="006C0748">
      <w:pPr>
        <w:pStyle w:val="Header"/>
        <w:jc w:val="center"/>
      </w:pPr>
      <w:r>
        <w:rPr>
          <w:noProof/>
        </w:rPr>
        <w:drawing>
          <wp:inline distT="0" distB="0" distL="0" distR="0" wp14:anchorId="192CC6A1" wp14:editId="148F7774">
            <wp:extent cx="8922009" cy="5143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22009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CC" w:rsidRDefault="001D59CC" w:rsidP="006C0748">
      <w:pPr>
        <w:pStyle w:val="Header"/>
        <w:jc w:val="center"/>
      </w:pPr>
    </w:p>
    <w:p w:rsidR="00333B6A" w:rsidRPr="00CA131E" w:rsidRDefault="003C3B40" w:rsidP="00CA7A70">
      <w:pPr>
        <w:pStyle w:val="Heading3"/>
        <w:jc w:val="center"/>
        <w:rPr>
          <w:sz w:val="36"/>
          <w:szCs w:val="36"/>
        </w:rPr>
      </w:pPr>
      <w:bookmarkStart w:id="11" w:name="_Toc14959828"/>
      <w:r w:rsidRPr="00CA131E">
        <w:rPr>
          <w:i/>
          <w:noProof/>
          <w:sz w:val="36"/>
          <w:szCs w:val="36"/>
        </w:rPr>
        <w:lastRenderedPageBreak/>
        <w:t>Stenotrophomonas maltophilia</w:t>
      </w:r>
      <w:r w:rsidRPr="00CA131E">
        <w:rPr>
          <w:noProof/>
          <w:sz w:val="36"/>
          <w:szCs w:val="36"/>
        </w:rPr>
        <w:t xml:space="preserve"> </w:t>
      </w:r>
      <w:r w:rsidR="00333B6A" w:rsidRPr="00CA131E">
        <w:rPr>
          <w:sz w:val="36"/>
          <w:szCs w:val="36"/>
        </w:rPr>
        <w:t xml:space="preserve">Percent </w:t>
      </w:r>
      <w:r w:rsidR="00003F88" w:rsidRPr="00CA131E">
        <w:rPr>
          <w:sz w:val="36"/>
          <w:szCs w:val="36"/>
        </w:rPr>
        <w:t>Susceptibility</w:t>
      </w:r>
      <w:bookmarkEnd w:id="11"/>
    </w:p>
    <w:p w:rsidR="00600158" w:rsidRPr="00600158" w:rsidRDefault="00600158" w:rsidP="00600158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6C6803" w:rsidRDefault="006C6803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6C0748" w:rsidRDefault="004D04B1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5E45071" wp14:editId="226D78B2">
            <wp:extent cx="8920349" cy="51530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949579" cy="5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6A" w:rsidRPr="00CA131E" w:rsidRDefault="003C3B40" w:rsidP="00CA7A70">
      <w:pPr>
        <w:pStyle w:val="Heading3"/>
        <w:jc w:val="center"/>
        <w:rPr>
          <w:sz w:val="36"/>
          <w:szCs w:val="36"/>
        </w:rPr>
      </w:pPr>
      <w:bookmarkStart w:id="12" w:name="_Toc14959829"/>
      <w:r w:rsidRPr="00CA131E">
        <w:rPr>
          <w:i/>
          <w:noProof/>
          <w:sz w:val="36"/>
          <w:szCs w:val="36"/>
        </w:rPr>
        <w:lastRenderedPageBreak/>
        <w:t>Staphylococcus aureus</w:t>
      </w:r>
      <w:r w:rsidRPr="00CA131E">
        <w:rPr>
          <w:noProof/>
          <w:sz w:val="36"/>
          <w:szCs w:val="36"/>
        </w:rPr>
        <w:t xml:space="preserve"> </w:t>
      </w:r>
      <w:r w:rsidR="00333B6A" w:rsidRPr="00CA131E">
        <w:rPr>
          <w:sz w:val="36"/>
          <w:szCs w:val="36"/>
        </w:rPr>
        <w:t xml:space="preserve">Percent </w:t>
      </w:r>
      <w:r w:rsidR="00003F88" w:rsidRPr="00CA131E">
        <w:rPr>
          <w:sz w:val="36"/>
          <w:szCs w:val="36"/>
        </w:rPr>
        <w:t>Susceptibility</w:t>
      </w:r>
      <w:bookmarkEnd w:id="12"/>
    </w:p>
    <w:p w:rsidR="00600158" w:rsidRPr="00600158" w:rsidRDefault="00600158" w:rsidP="00600158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0D0A16" w:rsidRPr="00BF4616" w:rsidRDefault="000D0A16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333B6A" w:rsidRDefault="00333B6A" w:rsidP="000D0A16">
      <w:pPr>
        <w:pStyle w:val="Header"/>
        <w:jc w:val="center"/>
      </w:pPr>
    </w:p>
    <w:p w:rsidR="00983190" w:rsidRDefault="00E16128" w:rsidP="000D0A16">
      <w:pPr>
        <w:pStyle w:val="Header"/>
        <w:jc w:val="center"/>
      </w:pPr>
      <w:r>
        <w:rPr>
          <w:noProof/>
        </w:rPr>
        <w:drawing>
          <wp:inline distT="0" distB="0" distL="0" distR="0" wp14:anchorId="14BA0392" wp14:editId="3F27BB7A">
            <wp:extent cx="8755900" cy="50196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559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B6A" w:rsidRPr="00600158" w:rsidRDefault="003C3B40" w:rsidP="00CA7A70">
      <w:pPr>
        <w:pStyle w:val="Heading3"/>
        <w:jc w:val="center"/>
        <w:rPr>
          <w:sz w:val="36"/>
        </w:rPr>
      </w:pPr>
      <w:bookmarkStart w:id="13" w:name="_Toc14959830"/>
      <w:r w:rsidRPr="00600158">
        <w:rPr>
          <w:i/>
          <w:noProof/>
          <w:sz w:val="36"/>
        </w:rPr>
        <w:lastRenderedPageBreak/>
        <w:t>Streptococcus pneumoniae</w:t>
      </w:r>
      <w:r w:rsidRPr="00600158">
        <w:rPr>
          <w:noProof/>
          <w:sz w:val="36"/>
        </w:rPr>
        <w:t xml:space="preserve"> </w:t>
      </w:r>
      <w:r w:rsidR="00333B6A" w:rsidRPr="00600158">
        <w:rPr>
          <w:sz w:val="36"/>
        </w:rPr>
        <w:t xml:space="preserve">Percent </w:t>
      </w:r>
      <w:r w:rsidR="00003F88" w:rsidRPr="00600158">
        <w:rPr>
          <w:sz w:val="36"/>
        </w:rPr>
        <w:t>Susceptibility</w:t>
      </w:r>
      <w:bookmarkEnd w:id="13"/>
    </w:p>
    <w:p w:rsidR="00600158" w:rsidRPr="00600158" w:rsidRDefault="00600158" w:rsidP="00600158"/>
    <w:p w:rsidR="00333B6A" w:rsidRDefault="00333B6A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  <w:r w:rsidRPr="00BF4616">
        <w:rPr>
          <w:sz w:val="24"/>
          <w:szCs w:val="24"/>
        </w:rPr>
        <w:t>Overall State Mean (with 1 SD)</w:t>
      </w:r>
    </w:p>
    <w:p w:rsidR="00983190" w:rsidRPr="00BF4616" w:rsidRDefault="00983190" w:rsidP="00333B6A">
      <w:pPr>
        <w:pStyle w:val="Footer"/>
        <w:tabs>
          <w:tab w:val="clear" w:pos="4680"/>
          <w:tab w:val="clear" w:pos="9360"/>
          <w:tab w:val="left" w:pos="7826"/>
        </w:tabs>
        <w:jc w:val="center"/>
        <w:rPr>
          <w:sz w:val="24"/>
          <w:szCs w:val="24"/>
        </w:rPr>
      </w:pPr>
    </w:p>
    <w:p w:rsidR="00C86C01" w:rsidRDefault="004D04B1" w:rsidP="00C86C01">
      <w:pPr>
        <w:pStyle w:val="Header"/>
        <w:jc w:val="center"/>
        <w:sectPr w:rsidR="00C86C01" w:rsidSect="00C86C01">
          <w:footerReference w:type="default" r:id="rId21"/>
          <w:type w:val="continuous"/>
          <w:pgSz w:w="15840" w:h="12240" w:orient="landscape"/>
          <w:pgMar w:top="720" w:right="720" w:bottom="720" w:left="72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00AC659A" wp14:editId="6D14759E">
            <wp:extent cx="8963448" cy="5153025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966862" cy="515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F88" w:rsidRPr="006C6803" w:rsidRDefault="002C333C" w:rsidP="00CA7A70">
      <w:pPr>
        <w:pStyle w:val="Heading3"/>
        <w:jc w:val="center"/>
        <w:rPr>
          <w:sz w:val="40"/>
        </w:rPr>
      </w:pPr>
      <w:bookmarkStart w:id="14" w:name="_Toc14959831"/>
      <w:r w:rsidRPr="006C6803">
        <w:rPr>
          <w:sz w:val="40"/>
        </w:rPr>
        <w:lastRenderedPageBreak/>
        <w:t>2018</w:t>
      </w:r>
      <w:r>
        <w:rPr>
          <w:sz w:val="40"/>
        </w:rPr>
        <w:t xml:space="preserve"> </w:t>
      </w:r>
      <w:r w:rsidR="00003F88" w:rsidRPr="006C6803">
        <w:rPr>
          <w:sz w:val="40"/>
        </w:rPr>
        <w:t>Antibiogram Collection Form</w:t>
      </w:r>
      <w:bookmarkEnd w:id="14"/>
    </w:p>
    <w:p w:rsidR="00003F88" w:rsidRPr="00003F88" w:rsidRDefault="00003F88" w:rsidP="00003F88">
      <w:r>
        <w:rPr>
          <w:noProof/>
        </w:rPr>
        <w:drawing>
          <wp:anchor distT="0" distB="0" distL="114300" distR="114300" simplePos="0" relativeHeight="251680768" behindDoc="1" locked="0" layoutInCell="1" allowOverlap="1" wp14:anchorId="657AECA6" wp14:editId="37D58AAD">
            <wp:simplePos x="0" y="0"/>
            <wp:positionH relativeFrom="column">
              <wp:posOffset>51435</wp:posOffset>
            </wp:positionH>
            <wp:positionV relativeFrom="paragraph">
              <wp:posOffset>229235</wp:posOffset>
            </wp:positionV>
            <wp:extent cx="9086215" cy="5509895"/>
            <wp:effectExtent l="0" t="0" r="635" b="0"/>
            <wp:wrapThrough wrapText="bothSides">
              <wp:wrapPolygon edited="0">
                <wp:start x="0" y="0"/>
                <wp:lineTo x="0" y="21508"/>
                <wp:lineTo x="21556" y="21508"/>
                <wp:lineTo x="215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215" cy="5509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9A9" w:rsidRPr="00AF19A9" w:rsidRDefault="00003F88" w:rsidP="00AF19A9">
      <w:pPr>
        <w:pStyle w:val="Heading3"/>
        <w:jc w:val="center"/>
        <w:rPr>
          <w:sz w:val="36"/>
        </w:rPr>
      </w:pPr>
      <w:bookmarkStart w:id="15" w:name="_Toc14959832"/>
      <w:r w:rsidRPr="00600158">
        <w:rPr>
          <w:sz w:val="36"/>
        </w:rPr>
        <w:lastRenderedPageBreak/>
        <w:t>Hospitals</w:t>
      </w:r>
      <w:r w:rsidRPr="00600158">
        <w:rPr>
          <w:spacing w:val="-2"/>
          <w:sz w:val="36"/>
        </w:rPr>
        <w:t xml:space="preserve"> </w:t>
      </w:r>
      <w:r w:rsidRPr="00600158">
        <w:rPr>
          <w:sz w:val="36"/>
        </w:rPr>
        <w:t>that reported</w:t>
      </w:r>
      <w:r w:rsidRPr="00600158">
        <w:rPr>
          <w:spacing w:val="-3"/>
          <w:sz w:val="36"/>
        </w:rPr>
        <w:t xml:space="preserve"> </w:t>
      </w:r>
      <w:r w:rsidRPr="00600158">
        <w:rPr>
          <w:sz w:val="36"/>
        </w:rPr>
        <w:t>2018</w:t>
      </w:r>
      <w:r w:rsidRPr="00600158">
        <w:rPr>
          <w:spacing w:val="1"/>
          <w:sz w:val="36"/>
        </w:rPr>
        <w:t xml:space="preserve"> </w:t>
      </w:r>
      <w:r w:rsidRPr="00600158">
        <w:rPr>
          <w:spacing w:val="-2"/>
          <w:sz w:val="36"/>
        </w:rPr>
        <w:t>antibiogram</w:t>
      </w:r>
      <w:r w:rsidRPr="00600158">
        <w:rPr>
          <w:spacing w:val="1"/>
          <w:sz w:val="36"/>
        </w:rPr>
        <w:t xml:space="preserve"> </w:t>
      </w:r>
      <w:r w:rsidRPr="00600158">
        <w:rPr>
          <w:sz w:val="36"/>
        </w:rPr>
        <w:t>data in accordance with regulations</w:t>
      </w:r>
      <w:r w:rsidR="00CA7A70" w:rsidRPr="00600158">
        <w:rPr>
          <w:sz w:val="36"/>
        </w:rPr>
        <w:t xml:space="preserve"> </w:t>
      </w:r>
      <w:r w:rsidR="00600158">
        <w:rPr>
          <w:sz w:val="36"/>
        </w:rPr>
        <w:br/>
      </w:r>
      <w:r w:rsidRPr="00600158">
        <w:rPr>
          <w:sz w:val="36"/>
        </w:rPr>
        <w:t>(105</w:t>
      </w:r>
      <w:r w:rsidRPr="00600158">
        <w:rPr>
          <w:spacing w:val="1"/>
          <w:sz w:val="36"/>
        </w:rPr>
        <w:t xml:space="preserve"> </w:t>
      </w:r>
      <w:r w:rsidRPr="00600158">
        <w:rPr>
          <w:spacing w:val="-2"/>
          <w:sz w:val="36"/>
        </w:rPr>
        <w:t>CMR</w:t>
      </w:r>
      <w:r w:rsidRPr="00600158">
        <w:rPr>
          <w:spacing w:val="1"/>
          <w:sz w:val="36"/>
        </w:rPr>
        <w:t xml:space="preserve"> </w:t>
      </w:r>
      <w:r w:rsidRPr="00600158">
        <w:rPr>
          <w:sz w:val="36"/>
        </w:rPr>
        <w:t>300.000)</w:t>
      </w:r>
      <w:r w:rsidRPr="00600158">
        <w:rPr>
          <w:spacing w:val="1"/>
          <w:sz w:val="36"/>
        </w:rPr>
        <w:t xml:space="preserve"> </w:t>
      </w:r>
      <w:r w:rsidRPr="00600158">
        <w:rPr>
          <w:spacing w:val="-2"/>
          <w:sz w:val="36"/>
        </w:rPr>
        <w:t>by</w:t>
      </w:r>
      <w:r w:rsidRPr="00600158">
        <w:rPr>
          <w:spacing w:val="1"/>
          <w:sz w:val="36"/>
        </w:rPr>
        <w:t xml:space="preserve"> </w:t>
      </w:r>
      <w:r w:rsidRPr="00600158">
        <w:rPr>
          <w:sz w:val="36"/>
        </w:rPr>
        <w:t>reporting deadline</w:t>
      </w:r>
      <w:bookmarkEnd w:id="15"/>
    </w:p>
    <w:tbl>
      <w:tblPr>
        <w:tblStyle w:val="TableGrid"/>
        <w:tblW w:w="14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68"/>
        <w:gridCol w:w="5232"/>
        <w:gridCol w:w="5343"/>
      </w:tblGrid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Anna Jaques Hospital</w:t>
            </w:r>
          </w:p>
        </w:tc>
        <w:tc>
          <w:tcPr>
            <w:tcW w:w="5232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Hallmark Health System - Lawrence Memorial Hospital of Medford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North Shore Medical Center - Union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Athol Memorial Hospital</w:t>
            </w:r>
          </w:p>
        </w:tc>
        <w:tc>
          <w:tcPr>
            <w:tcW w:w="5232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Hallmark Health System - Melrose-Wakefield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Saint Vincent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Baystate Franklin Medical Center</w:t>
            </w:r>
          </w:p>
        </w:tc>
        <w:tc>
          <w:tcPr>
            <w:tcW w:w="5232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Harrington Memorial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Shriners Hospital for Children - Boston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Baystate Medical Center</w:t>
            </w:r>
          </w:p>
        </w:tc>
        <w:tc>
          <w:tcPr>
            <w:tcW w:w="5232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Heywood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Signature Healthcare - Brockton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Baystate Noble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Holyoke Medical Center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South Shore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Baystate Wing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Lahey Health - Addison Gilbert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Southcoast Health - Charlton Memorial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Berkshire Health Systems - Berkshire Medical Center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Lahey Health – Beverly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Southcoast Health - St. Luke's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Berkshire Health Systems - Fairview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Lahey Health - Lahey Hospital &amp; Medical Center (Burlington)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Southcoast Health - Tobey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Beth Israel Deaconess Hospital - Milton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Lahey Health – Lahey Medical Center, Peabody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Carney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Beth Israel Deaconess Hospital - Needham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Lahey Health – Winchester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Good Samaritan Medical Center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Beth Israel Deaconess Hospital - Plymouth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Lawrence General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Holy Family Hospital (Methuen)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Beth Israel Deaconess Medical Center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Lowell General Hospital - Main Campus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Holy Family Hospital at Merrimack Valley (Haverhill)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Boston Children's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Lowell General Hospital - Saints Campus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Morton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Boston Medical Center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Martha's Vineyard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Nashoba Valley Medical Center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Boston Medical Center - East Newton campus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Massachusetts Eye and Ear Infirmary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Norwood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Brigham and Women’s Faulkner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Massachusetts General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Saint Anne's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Brigham and Women's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Mercy Medical Center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Steward Health Care - St. Elizabeth's Medical Center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Cambridge Health Alliance - Cambridge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MetroWest Medical Center - Framingham Union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Sturdy Memorial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Cambridge Health Alliance - Everett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MetroWest Medical Center - Leonard Morse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The Veteran’s Administration Boston Healthcare System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Cambridge Health Alliance - Somerville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Milford Regional Medical Center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Tufts Medical Center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Cape Cod Healthcare - Cape Cod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Mount Auburn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UMass Memorial Health Care – Clinton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Cape Cod Healthcare - Falmouth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Nantucket Cottage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 w:rsidP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UMass Memorial Health Care – HealthAlliance Hospital Leominster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Cooley Dickinson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New England Baptist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UMass Memorial Health Care – Marlborough Hospital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  <w:hideMark/>
          </w:tcPr>
          <w:p w:rsidR="001F5709" w:rsidRPr="001F5709" w:rsidRDefault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Dana-Farber Cancer Institute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Newton-Wellesley Hospital</w:t>
            </w:r>
          </w:p>
        </w:tc>
        <w:tc>
          <w:tcPr>
            <w:tcW w:w="5343" w:type="dxa"/>
            <w:noWrap/>
            <w:vAlign w:val="bottom"/>
            <w:hideMark/>
          </w:tcPr>
          <w:p w:rsidR="001F5709" w:rsidRPr="001F5709" w:rsidRDefault="00F45DDB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UMass Memorial Health Care – UM</w:t>
            </w:r>
            <w:r w:rsidR="001F5709" w:rsidRPr="001F5709">
              <w:rPr>
                <w:rFonts w:ascii="Calibri" w:hAnsi="Calibri"/>
                <w:color w:val="000000"/>
                <w:sz w:val="20"/>
              </w:rPr>
              <w:t>ass Memorial Campus</w:t>
            </w:r>
          </w:p>
        </w:tc>
      </w:tr>
      <w:tr w:rsidR="001F5709" w:rsidRPr="00003F88" w:rsidTr="00CB5224">
        <w:trPr>
          <w:trHeight w:val="319"/>
        </w:trPr>
        <w:tc>
          <w:tcPr>
            <w:tcW w:w="4168" w:type="dxa"/>
            <w:noWrap/>
            <w:vAlign w:val="bottom"/>
          </w:tcPr>
          <w:p w:rsidR="001F5709" w:rsidRPr="001F5709" w:rsidRDefault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Emerson Hospital</w:t>
            </w:r>
          </w:p>
        </w:tc>
        <w:tc>
          <w:tcPr>
            <w:tcW w:w="5232" w:type="dxa"/>
            <w:noWrap/>
            <w:vAlign w:val="bottom"/>
          </w:tcPr>
          <w:p w:rsidR="001F5709" w:rsidRPr="001F5709" w:rsidRDefault="001F5709">
            <w:pPr>
              <w:rPr>
                <w:rFonts w:ascii="Calibri" w:hAnsi="Calibri"/>
                <w:color w:val="000000"/>
                <w:sz w:val="20"/>
              </w:rPr>
            </w:pPr>
            <w:r w:rsidRPr="001F5709">
              <w:rPr>
                <w:rFonts w:ascii="Calibri" w:hAnsi="Calibri"/>
                <w:color w:val="000000"/>
                <w:sz w:val="20"/>
              </w:rPr>
              <w:t>North Shore Medical Center - Salem Hospital</w:t>
            </w:r>
          </w:p>
        </w:tc>
        <w:tc>
          <w:tcPr>
            <w:tcW w:w="5343" w:type="dxa"/>
            <w:noWrap/>
            <w:vAlign w:val="bottom"/>
          </w:tcPr>
          <w:p w:rsidR="001F5709" w:rsidRPr="001F5709" w:rsidRDefault="00F45DDB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UMass Memorial Health Care – UM</w:t>
            </w:r>
            <w:r w:rsidR="001F5709" w:rsidRPr="001F5709">
              <w:rPr>
                <w:rFonts w:ascii="Calibri" w:hAnsi="Calibri"/>
                <w:color w:val="000000"/>
                <w:sz w:val="20"/>
              </w:rPr>
              <w:t>ass University Campus</w:t>
            </w:r>
          </w:p>
        </w:tc>
      </w:tr>
    </w:tbl>
    <w:p w:rsidR="00983190" w:rsidRPr="006C6803" w:rsidRDefault="00983190" w:rsidP="00CA7A70">
      <w:pPr>
        <w:pStyle w:val="Heading3"/>
        <w:jc w:val="center"/>
        <w:rPr>
          <w:sz w:val="40"/>
          <w:u w:color="000000"/>
        </w:rPr>
      </w:pPr>
      <w:bookmarkStart w:id="16" w:name="_Toc14959833"/>
      <w:r w:rsidRPr="006C6803">
        <w:rPr>
          <w:sz w:val="40"/>
          <w:u w:color="000000"/>
        </w:rPr>
        <w:lastRenderedPageBreak/>
        <w:t>Antibiotic</w:t>
      </w:r>
      <w:r w:rsidRPr="006C6803">
        <w:rPr>
          <w:spacing w:val="-2"/>
          <w:sz w:val="40"/>
          <w:u w:color="000000"/>
        </w:rPr>
        <w:t xml:space="preserve"> </w:t>
      </w:r>
      <w:r w:rsidR="00D76C4D" w:rsidRPr="006C6803">
        <w:rPr>
          <w:sz w:val="40"/>
          <w:u w:color="000000"/>
        </w:rPr>
        <w:t>S</w:t>
      </w:r>
      <w:r w:rsidRPr="006C6803">
        <w:rPr>
          <w:sz w:val="40"/>
          <w:u w:color="000000"/>
        </w:rPr>
        <w:t>usceptibility</w:t>
      </w:r>
      <w:r w:rsidRPr="006C6803">
        <w:rPr>
          <w:spacing w:val="-2"/>
          <w:sz w:val="40"/>
          <w:u w:color="000000"/>
        </w:rPr>
        <w:t xml:space="preserve"> </w:t>
      </w:r>
      <w:r w:rsidR="00D76C4D" w:rsidRPr="006C6803">
        <w:rPr>
          <w:sz w:val="40"/>
          <w:u w:color="000000"/>
        </w:rPr>
        <w:t>T</w:t>
      </w:r>
      <w:r w:rsidRPr="006C6803">
        <w:rPr>
          <w:sz w:val="40"/>
          <w:u w:color="000000"/>
        </w:rPr>
        <w:t>esting</w:t>
      </w:r>
      <w:r w:rsidRPr="006C6803">
        <w:rPr>
          <w:spacing w:val="-2"/>
          <w:sz w:val="40"/>
          <w:u w:color="000000"/>
        </w:rPr>
        <w:t xml:space="preserve"> </w:t>
      </w:r>
      <w:r w:rsidR="00D76C4D" w:rsidRPr="006C6803">
        <w:rPr>
          <w:sz w:val="40"/>
          <w:u w:color="000000"/>
        </w:rPr>
        <w:t>G</w:t>
      </w:r>
      <w:r w:rsidRPr="006C6803">
        <w:rPr>
          <w:sz w:val="40"/>
          <w:u w:color="000000"/>
        </w:rPr>
        <w:t>uidelines</w:t>
      </w:r>
      <w:bookmarkEnd w:id="16"/>
    </w:p>
    <w:p w:rsidR="00600158" w:rsidRPr="00600158" w:rsidRDefault="00600158" w:rsidP="00600158"/>
    <w:p w:rsidR="004236F2" w:rsidRDefault="004236F2" w:rsidP="004236F2">
      <w:pPr>
        <w:pStyle w:val="BodyText"/>
        <w:spacing w:before="56" w:line="276" w:lineRule="auto"/>
        <w:ind w:left="119" w:right="620"/>
      </w:pPr>
      <w:r>
        <w:rPr>
          <w:spacing w:val="-1"/>
        </w:rPr>
        <w:t>Antibiotic</w:t>
      </w:r>
      <w:r>
        <w:t xml:space="preserve"> </w:t>
      </w:r>
      <w:r>
        <w:rPr>
          <w:spacing w:val="-1"/>
        </w:rPr>
        <w:t>susceptibility</w:t>
      </w:r>
      <w:r>
        <w:rPr>
          <w:spacing w:val="1"/>
        </w:rPr>
        <w:t xml:space="preserve"> </w:t>
      </w:r>
      <w:r>
        <w:rPr>
          <w:spacing w:val="-1"/>
        </w:rPr>
        <w:t>testing is</w:t>
      </w:r>
      <w:r>
        <w:t xml:space="preserve"> </w:t>
      </w:r>
      <w:r>
        <w:rPr>
          <w:spacing w:val="-1"/>
        </w:rPr>
        <w:t>conducted in</w:t>
      </w:r>
      <w:r>
        <w:rPr>
          <w:spacing w:val="-3"/>
        </w:rPr>
        <w:t xml:space="preserve"> </w:t>
      </w:r>
      <w:r>
        <w:rPr>
          <w:spacing w:val="-1"/>
        </w:rPr>
        <w:t>microbiology</w:t>
      </w:r>
      <w:r>
        <w:rPr>
          <w:spacing w:val="1"/>
        </w:rPr>
        <w:t xml:space="preserve"> </w:t>
      </w:r>
      <w:r>
        <w:rPr>
          <w:spacing w:val="-1"/>
        </w:rPr>
        <w:t>laboratories.</w:t>
      </w:r>
      <w:r>
        <w:rPr>
          <w:spacing w:val="-3"/>
        </w:rPr>
        <w:t xml:space="preserve"> </w:t>
      </w:r>
      <w:r>
        <w:rPr>
          <w:spacing w:val="-1"/>
        </w:rPr>
        <w:t>Microbiologists</w:t>
      </w:r>
      <w:r>
        <w:t xml:space="preserve"> </w:t>
      </w:r>
      <w:r>
        <w:rPr>
          <w:spacing w:val="-1"/>
        </w:rPr>
        <w:t>utilize</w:t>
      </w:r>
      <w:r>
        <w:t xml:space="preserve"> </w:t>
      </w:r>
      <w:r>
        <w:rPr>
          <w:spacing w:val="-1"/>
        </w:rPr>
        <w:t>standardized</w:t>
      </w:r>
      <w:r>
        <w:t xml:space="preserve"> </w:t>
      </w:r>
      <w:r>
        <w:rPr>
          <w:spacing w:val="-1"/>
        </w:rPr>
        <w:t>guidelines,</w:t>
      </w:r>
      <w:r>
        <w:t xml:space="preserve"> </w:t>
      </w:r>
      <w:r>
        <w:rPr>
          <w:spacing w:val="-1"/>
        </w:rPr>
        <w:t>such as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79"/>
        </w:rPr>
        <w:t xml:space="preserve"> </w:t>
      </w:r>
      <w:r>
        <w:rPr>
          <w:spacing w:val="-1"/>
        </w:rPr>
        <w:t>distributed by</w:t>
      </w:r>
      <w:r>
        <w:rPr>
          <w:spacing w:val="1"/>
        </w:rPr>
        <w:t xml:space="preserve"> </w:t>
      </w:r>
      <w:r w:rsidR="002C333C">
        <w:rPr>
          <w:spacing w:val="1"/>
        </w:rPr>
        <w:t xml:space="preserve">the </w:t>
      </w:r>
      <w:r>
        <w:rPr>
          <w:spacing w:val="-1"/>
        </w:rPr>
        <w:t>Clinical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>Institute</w:t>
      </w:r>
      <w:r>
        <w:rPr>
          <w:spacing w:val="1"/>
        </w:rPr>
        <w:t xml:space="preserve"> </w:t>
      </w:r>
      <w:r>
        <w:rPr>
          <w:spacing w:val="-1"/>
        </w:rPr>
        <w:t>(CLSI)*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t xml:space="preserve"> a </w:t>
      </w:r>
      <w:r>
        <w:rPr>
          <w:spacing w:val="-1"/>
        </w:rPr>
        <w:t>bacterial</w:t>
      </w:r>
      <w:r>
        <w:rPr>
          <w:spacing w:val="-3"/>
        </w:rPr>
        <w:t xml:space="preserve"> </w:t>
      </w:r>
      <w:r>
        <w:rPr>
          <w:spacing w:val="-1"/>
        </w:rPr>
        <w:t>isolate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susceptible,</w:t>
      </w:r>
      <w:r>
        <w:rPr>
          <w:spacing w:val="-2"/>
        </w:rPr>
        <w:t xml:space="preserve"> </w:t>
      </w:r>
      <w:r>
        <w:rPr>
          <w:spacing w:val="-1"/>
        </w:rPr>
        <w:t>intermediate,</w:t>
      </w:r>
      <w:r>
        <w:rPr>
          <w:spacing w:val="-2"/>
        </w:rPr>
        <w:t xml:space="preserve"> </w:t>
      </w:r>
      <w:r>
        <w:t>or</w:t>
      </w:r>
      <w:r>
        <w:rPr>
          <w:spacing w:val="77"/>
        </w:rPr>
        <w:t xml:space="preserve"> </w:t>
      </w:r>
      <w:r>
        <w:rPr>
          <w:spacing w:val="-1"/>
        </w:rPr>
        <w:t>resistant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an antibiotic.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periodically.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rPr>
          <w:spacing w:val="1"/>
        </w:rPr>
        <w:t xml:space="preserve"> </w:t>
      </w:r>
      <w:r>
        <w:rPr>
          <w:spacing w:val="-1"/>
        </w:rPr>
        <w:t>to which clinical</w:t>
      </w:r>
      <w:r>
        <w:rPr>
          <w:spacing w:val="-2"/>
        </w:rPr>
        <w:t xml:space="preserve"> </w:t>
      </w:r>
      <w:r>
        <w:rPr>
          <w:spacing w:val="-1"/>
        </w:rPr>
        <w:t>microbiology laboratories</w:t>
      </w:r>
      <w:r>
        <w:t xml:space="preserve"> </w:t>
      </w:r>
      <w:r>
        <w:rPr>
          <w:spacing w:val="-1"/>
        </w:rPr>
        <w:t>across</w:t>
      </w:r>
      <w:r>
        <w:rPr>
          <w:spacing w:val="95"/>
        </w:rPr>
        <w:t xml:space="preserve"> </w:t>
      </w:r>
      <w:r>
        <w:rPr>
          <w:spacing w:val="-1"/>
        </w:rPr>
        <w:t>Massachusetts</w:t>
      </w:r>
      <w:r>
        <w:rPr>
          <w:spacing w:val="-2"/>
        </w:rPr>
        <w:t xml:space="preserve"> </w:t>
      </w:r>
      <w:r>
        <w:rPr>
          <w:spacing w:val="-1"/>
        </w:rPr>
        <w:t>are able to implement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recently</w:t>
      </w:r>
      <w:r>
        <w:rPr>
          <w:spacing w:val="1"/>
        </w:rPr>
        <w:t xml:space="preserve"> </w:t>
      </w:r>
      <w:r>
        <w:rPr>
          <w:spacing w:val="-1"/>
        </w:rPr>
        <w:t>updated guidelines</w:t>
      </w:r>
      <w:r>
        <w:t xml:space="preserve"> within a particular time period </w:t>
      </w:r>
      <w:r>
        <w:rPr>
          <w:spacing w:val="-1"/>
        </w:rPr>
        <w:t>varies.</w:t>
      </w:r>
    </w:p>
    <w:p w:rsidR="004236F2" w:rsidRDefault="004236F2" w:rsidP="004236F2">
      <w:pPr>
        <w:rPr>
          <w:rFonts w:ascii="Calibri" w:eastAsia="Calibri" w:hAnsi="Calibri" w:cs="Calibri"/>
        </w:rPr>
      </w:pPr>
    </w:p>
    <w:p w:rsidR="004236F2" w:rsidRDefault="004236F2" w:rsidP="004236F2">
      <w:pPr>
        <w:spacing w:before="195" w:line="261" w:lineRule="auto"/>
        <w:ind w:left="120" w:right="620"/>
        <w:rPr>
          <w:rFonts w:ascii="Calibri" w:eastAsia="Calibri" w:hAnsi="Calibri" w:cs="Calibri"/>
        </w:rPr>
      </w:pPr>
      <w:bookmarkStart w:id="17" w:name="*_Clinical_and_Laboratory_Standards_Inst"/>
      <w:bookmarkEnd w:id="17"/>
      <w:r>
        <w:rPr>
          <w:rFonts w:ascii="Calibri"/>
        </w:rPr>
        <w:t>*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Clinical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and </w:t>
      </w:r>
      <w:r>
        <w:rPr>
          <w:rFonts w:ascii="Calibri"/>
          <w:spacing w:val="-2"/>
        </w:rPr>
        <w:t>Laboratory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Standards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Institute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(CLSI).</w:t>
      </w:r>
      <w:r>
        <w:rPr>
          <w:rFonts w:ascii="Calibri"/>
          <w:spacing w:val="-3"/>
        </w:rPr>
        <w:t xml:space="preserve"> </w:t>
      </w:r>
      <w:r>
        <w:rPr>
          <w:rFonts w:ascii="Calibri"/>
          <w:i/>
          <w:spacing w:val="-1"/>
        </w:rPr>
        <w:t>Performance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Standards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Antimicrobial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Susceptibility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Testing</w:t>
      </w:r>
      <w:r>
        <w:rPr>
          <w:rFonts w:ascii="Calibri"/>
          <w:spacing w:val="-1"/>
        </w:rPr>
        <w:t>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29th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Edition.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CLSI</w:t>
      </w:r>
      <w:r>
        <w:rPr>
          <w:rFonts w:ascii="Calibri"/>
          <w:spacing w:val="91"/>
        </w:rPr>
        <w:t xml:space="preserve"> </w:t>
      </w:r>
      <w:r>
        <w:rPr>
          <w:rFonts w:ascii="Calibri"/>
          <w:spacing w:val="-1"/>
        </w:rPr>
        <w:t>Supplement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M100.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Published July 2019.</w:t>
      </w:r>
    </w:p>
    <w:p w:rsidR="00333B6A" w:rsidRDefault="00333B6A" w:rsidP="00983190"/>
    <w:sectPr w:rsidR="00333B6A" w:rsidSect="00C86C01">
      <w:footerReference w:type="default" r:id="rId24"/>
      <w:pgSz w:w="15840" w:h="12240" w:orient="landscape"/>
      <w:pgMar w:top="720" w:right="720" w:bottom="720" w:left="720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F9" w:rsidRDefault="008756F9" w:rsidP="007A4B45">
      <w:pPr>
        <w:spacing w:after="0" w:line="240" w:lineRule="auto"/>
      </w:pPr>
      <w:r>
        <w:separator/>
      </w:r>
    </w:p>
  </w:endnote>
  <w:endnote w:type="continuationSeparator" w:id="0">
    <w:p w:rsidR="008756F9" w:rsidRDefault="008756F9" w:rsidP="007A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288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9CC" w:rsidRDefault="001D59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C4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F4616" w:rsidRPr="001D59CC" w:rsidRDefault="001D59CC" w:rsidP="001D59CC">
    <w:pPr>
      <w:pStyle w:val="Footer"/>
      <w:tabs>
        <w:tab w:val="clear" w:pos="4680"/>
        <w:tab w:val="clear" w:pos="9360"/>
        <w:tab w:val="left" w:pos="7826"/>
      </w:tabs>
      <w:jc w:val="center"/>
      <w:rPr>
        <w:sz w:val="24"/>
        <w:szCs w:val="24"/>
      </w:rPr>
    </w:pPr>
    <w:r w:rsidRPr="00BF4616">
      <w:rPr>
        <w:spacing w:val="-1"/>
        <w:sz w:val="24"/>
        <w:szCs w:val="24"/>
      </w:rPr>
      <w:t>NOTE:</w:t>
    </w:r>
    <w:r w:rsidRPr="00BF4616">
      <w:rPr>
        <w:spacing w:val="4"/>
        <w:sz w:val="24"/>
        <w:szCs w:val="24"/>
      </w:rPr>
      <w:t xml:space="preserve"> </w:t>
    </w:r>
    <w:r w:rsidRPr="00BF4616">
      <w:rPr>
        <w:spacing w:val="-1"/>
        <w:sz w:val="24"/>
        <w:szCs w:val="24"/>
      </w:rPr>
      <w:t>Data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from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fa</w:t>
    </w:r>
    <w:r w:rsidRPr="00C8750D">
      <w:rPr>
        <w:sz w:val="24"/>
        <w:szCs w:val="24"/>
      </w:rPr>
      <w:t>ci</w:t>
    </w:r>
    <w:r w:rsidRPr="00BF4616">
      <w:rPr>
        <w:sz w:val="24"/>
        <w:szCs w:val="24"/>
      </w:rPr>
      <w:t>lities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may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or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may</w:t>
    </w:r>
    <w:r w:rsidRPr="00BF4616">
      <w:rPr>
        <w:spacing w:val="5"/>
        <w:sz w:val="24"/>
        <w:szCs w:val="24"/>
      </w:rPr>
      <w:t xml:space="preserve"> </w:t>
    </w:r>
    <w:r w:rsidRPr="00BF4616">
      <w:rPr>
        <w:sz w:val="24"/>
        <w:szCs w:val="24"/>
      </w:rPr>
      <w:t>not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include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results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on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duplicate</w:t>
    </w:r>
    <w:r w:rsidRPr="00BF4616">
      <w:rPr>
        <w:spacing w:val="4"/>
        <w:sz w:val="24"/>
        <w:szCs w:val="24"/>
      </w:rPr>
      <w:t xml:space="preserve"> </w:t>
    </w:r>
    <w:r w:rsidRPr="00BF4616">
      <w:rPr>
        <w:sz w:val="24"/>
        <w:szCs w:val="24"/>
      </w:rPr>
      <w:t>isolates.</w:t>
    </w:r>
    <w:r>
      <w:rPr>
        <w:sz w:val="24"/>
        <w:szCs w:val="2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817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6C01" w:rsidRDefault="00C86C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C4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86C01" w:rsidRPr="001D59CC" w:rsidRDefault="00C86C01" w:rsidP="001D59CC">
    <w:pPr>
      <w:pStyle w:val="Footer"/>
      <w:tabs>
        <w:tab w:val="clear" w:pos="4680"/>
        <w:tab w:val="clear" w:pos="9360"/>
        <w:tab w:val="left" w:pos="7826"/>
      </w:tabs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F9" w:rsidRDefault="008756F9" w:rsidP="007A4B45">
      <w:pPr>
        <w:spacing w:after="0" w:line="240" w:lineRule="auto"/>
      </w:pPr>
      <w:r>
        <w:separator/>
      </w:r>
    </w:p>
  </w:footnote>
  <w:footnote w:type="continuationSeparator" w:id="0">
    <w:p w:rsidR="008756F9" w:rsidRDefault="008756F9" w:rsidP="007A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1032"/>
    <w:multiLevelType w:val="hybridMultilevel"/>
    <w:tmpl w:val="F8FE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45"/>
    <w:rsid w:val="00003F88"/>
    <w:rsid w:val="00072FA6"/>
    <w:rsid w:val="000C4FE6"/>
    <w:rsid w:val="000D0A16"/>
    <w:rsid w:val="001309D3"/>
    <w:rsid w:val="00137864"/>
    <w:rsid w:val="001D59CC"/>
    <w:rsid w:val="001F5709"/>
    <w:rsid w:val="0021659E"/>
    <w:rsid w:val="00274C63"/>
    <w:rsid w:val="002C333C"/>
    <w:rsid w:val="00302D99"/>
    <w:rsid w:val="00333B6A"/>
    <w:rsid w:val="003C3B40"/>
    <w:rsid w:val="003F21C9"/>
    <w:rsid w:val="00420965"/>
    <w:rsid w:val="004236F2"/>
    <w:rsid w:val="00450B7A"/>
    <w:rsid w:val="004902CD"/>
    <w:rsid w:val="004B29A5"/>
    <w:rsid w:val="004D04B1"/>
    <w:rsid w:val="004D7C2B"/>
    <w:rsid w:val="00557C8E"/>
    <w:rsid w:val="005C2030"/>
    <w:rsid w:val="005E54C8"/>
    <w:rsid w:val="00600158"/>
    <w:rsid w:val="00693EB6"/>
    <w:rsid w:val="006A33E5"/>
    <w:rsid w:val="006C0748"/>
    <w:rsid w:val="006C6803"/>
    <w:rsid w:val="0074697A"/>
    <w:rsid w:val="00787C4B"/>
    <w:rsid w:val="007A4B45"/>
    <w:rsid w:val="008756F9"/>
    <w:rsid w:val="008826AE"/>
    <w:rsid w:val="0089239F"/>
    <w:rsid w:val="008B52FF"/>
    <w:rsid w:val="008F189E"/>
    <w:rsid w:val="00944161"/>
    <w:rsid w:val="00983190"/>
    <w:rsid w:val="009C08C5"/>
    <w:rsid w:val="00A707A8"/>
    <w:rsid w:val="00A748C9"/>
    <w:rsid w:val="00AE044B"/>
    <w:rsid w:val="00AF19A9"/>
    <w:rsid w:val="00B24F63"/>
    <w:rsid w:val="00B62EF0"/>
    <w:rsid w:val="00B977C5"/>
    <w:rsid w:val="00BF4616"/>
    <w:rsid w:val="00C6298A"/>
    <w:rsid w:val="00C86C01"/>
    <w:rsid w:val="00C8750D"/>
    <w:rsid w:val="00CA131E"/>
    <w:rsid w:val="00CA7A70"/>
    <w:rsid w:val="00CA7ADB"/>
    <w:rsid w:val="00D76C4D"/>
    <w:rsid w:val="00DC66CD"/>
    <w:rsid w:val="00E16128"/>
    <w:rsid w:val="00F45DDB"/>
    <w:rsid w:val="00F60507"/>
    <w:rsid w:val="00F969A8"/>
    <w:rsid w:val="00FD236F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748C9"/>
    <w:pPr>
      <w:widowControl w:val="0"/>
      <w:spacing w:before="34" w:after="0" w:line="240" w:lineRule="auto"/>
      <w:outlineLvl w:val="1"/>
    </w:pPr>
    <w:rPr>
      <w:rFonts w:ascii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3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3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3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3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B45"/>
  </w:style>
  <w:style w:type="paragraph" w:styleId="Footer">
    <w:name w:val="footer"/>
    <w:basedOn w:val="Normal"/>
    <w:link w:val="FooterChar"/>
    <w:uiPriority w:val="99"/>
    <w:unhideWhenUsed/>
    <w:rsid w:val="007A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B45"/>
  </w:style>
  <w:style w:type="paragraph" w:styleId="BalloonText">
    <w:name w:val="Balloon Text"/>
    <w:basedOn w:val="Normal"/>
    <w:link w:val="BalloonTextChar"/>
    <w:uiPriority w:val="99"/>
    <w:semiHidden/>
    <w:unhideWhenUsed/>
    <w:rsid w:val="007A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A748C9"/>
    <w:rPr>
      <w:rFonts w:ascii="Calibri" w:eastAsia="Calibri" w:hAnsi="Calibr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62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C8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C3B4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00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F8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83190"/>
    <w:pPr>
      <w:widowControl w:val="0"/>
      <w:spacing w:after="0" w:line="240" w:lineRule="auto"/>
      <w:ind w:left="1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83190"/>
    <w:rPr>
      <w:rFonts w:ascii="Calibri" w:eastAsia="Calibri" w:hAnsi="Calibri"/>
    </w:rPr>
  </w:style>
  <w:style w:type="character" w:styleId="IntenseEmphasis">
    <w:name w:val="Intense Emphasis"/>
    <w:basedOn w:val="DefaultParagraphFont"/>
    <w:uiPriority w:val="21"/>
    <w:qFormat/>
    <w:rsid w:val="00274C63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D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236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D236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D236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D236F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36F"/>
    <w:pPr>
      <w:spacing w:after="100"/>
      <w:ind w:left="440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F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748C9"/>
    <w:pPr>
      <w:widowControl w:val="0"/>
      <w:spacing w:before="34" w:after="0" w:line="240" w:lineRule="auto"/>
      <w:outlineLvl w:val="1"/>
    </w:pPr>
    <w:rPr>
      <w:rFonts w:ascii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3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3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3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3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B45"/>
  </w:style>
  <w:style w:type="paragraph" w:styleId="Footer">
    <w:name w:val="footer"/>
    <w:basedOn w:val="Normal"/>
    <w:link w:val="FooterChar"/>
    <w:uiPriority w:val="99"/>
    <w:unhideWhenUsed/>
    <w:rsid w:val="007A4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B45"/>
  </w:style>
  <w:style w:type="paragraph" w:styleId="BalloonText">
    <w:name w:val="Balloon Text"/>
    <w:basedOn w:val="Normal"/>
    <w:link w:val="BalloonTextChar"/>
    <w:uiPriority w:val="99"/>
    <w:semiHidden/>
    <w:unhideWhenUsed/>
    <w:rsid w:val="007A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A748C9"/>
    <w:rPr>
      <w:rFonts w:ascii="Calibri" w:eastAsia="Calibri" w:hAnsi="Calibr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62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C8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C3B4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003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F8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83190"/>
    <w:pPr>
      <w:widowControl w:val="0"/>
      <w:spacing w:after="0" w:line="240" w:lineRule="auto"/>
      <w:ind w:left="1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83190"/>
    <w:rPr>
      <w:rFonts w:ascii="Calibri" w:eastAsia="Calibri" w:hAnsi="Calibri"/>
    </w:rPr>
  </w:style>
  <w:style w:type="character" w:styleId="IntenseEmphasis">
    <w:name w:val="Intense Emphasis"/>
    <w:basedOn w:val="DefaultParagraphFont"/>
    <w:uiPriority w:val="21"/>
    <w:qFormat/>
    <w:rsid w:val="00274C63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D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236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D236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D236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D236F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36F"/>
    <w:pPr>
      <w:spacing w:after="100"/>
      <w:ind w:left="440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4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10" Type="http://schemas.openxmlformats.org/officeDocument/2006/relationships/hyperlink" Target="mailto:dph-antibiogram@state.ma.us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732A8-2A2C-45E7-9F59-2851281D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Troppy, Scott (DPH)</dc:creator>
  <cp:lastModifiedBy> </cp:lastModifiedBy>
  <cp:revision>2</cp:revision>
  <cp:lastPrinted>2019-07-25T20:07:00Z</cp:lastPrinted>
  <dcterms:created xsi:type="dcterms:W3CDTF">2019-08-09T14:45:00Z</dcterms:created>
  <dcterms:modified xsi:type="dcterms:W3CDTF">2019-08-09T14:45:00Z</dcterms:modified>
</cp:coreProperties>
</file>