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35D23" w14:textId="4968DE36" w:rsidR="008E1097" w:rsidRDefault="008E1097" w:rsidP="008E1097">
      <w:pPr>
        <w:jc w:val="center"/>
        <w:rPr>
          <w:rFonts w:eastAsia="Times New Roman" w:cstheme="minorHAnsi"/>
          <w:szCs w:val="22"/>
        </w:rPr>
      </w:pPr>
      <w:r>
        <w:rPr>
          <w:noProof/>
        </w:rPr>
        <w:drawing>
          <wp:anchor distT="0" distB="0" distL="114300" distR="114300" simplePos="0" relativeHeight="251658240" behindDoc="1" locked="0" layoutInCell="1" allowOverlap="1" wp14:anchorId="27A01EE9" wp14:editId="4D1993B3">
            <wp:simplePos x="0" y="0"/>
            <wp:positionH relativeFrom="margin">
              <wp:posOffset>1613535</wp:posOffset>
            </wp:positionH>
            <wp:positionV relativeFrom="paragraph">
              <wp:posOffset>0</wp:posOffset>
            </wp:positionV>
            <wp:extent cx="2699385" cy="1333500"/>
            <wp:effectExtent l="0" t="0" r="5715" b="0"/>
            <wp:wrapTight wrapText="bothSides">
              <wp:wrapPolygon edited="0">
                <wp:start x="0" y="0"/>
                <wp:lineTo x="0" y="21291"/>
                <wp:lineTo x="21493" y="21291"/>
                <wp:lineTo x="214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99385" cy="1333500"/>
                    </a:xfrm>
                    <a:prstGeom prst="rect">
                      <a:avLst/>
                    </a:prstGeom>
                  </pic:spPr>
                </pic:pic>
              </a:graphicData>
            </a:graphic>
            <wp14:sizeRelH relativeFrom="margin">
              <wp14:pctWidth>0</wp14:pctWidth>
            </wp14:sizeRelH>
            <wp14:sizeRelV relativeFrom="margin">
              <wp14:pctHeight>0</wp14:pctHeight>
            </wp14:sizeRelV>
          </wp:anchor>
        </w:drawing>
      </w:r>
    </w:p>
    <w:p w14:paraId="29E17EE8" w14:textId="681EE5D7" w:rsidR="00890121" w:rsidRDefault="00890121" w:rsidP="008E1097">
      <w:pPr>
        <w:jc w:val="center"/>
        <w:rPr>
          <w:rFonts w:eastAsia="Times New Roman" w:cstheme="minorHAnsi"/>
          <w:szCs w:val="22"/>
        </w:rPr>
      </w:pPr>
    </w:p>
    <w:p w14:paraId="046469B0" w14:textId="77314609" w:rsidR="008E1097" w:rsidRDefault="008E1097" w:rsidP="008E1097">
      <w:pPr>
        <w:jc w:val="center"/>
        <w:rPr>
          <w:rFonts w:eastAsia="Times New Roman" w:cstheme="minorHAnsi"/>
          <w:szCs w:val="22"/>
        </w:rPr>
      </w:pPr>
    </w:p>
    <w:p w14:paraId="3858C5AD" w14:textId="40A441CF" w:rsidR="008E1097" w:rsidRDefault="008E1097" w:rsidP="008E1097">
      <w:pPr>
        <w:jc w:val="center"/>
        <w:rPr>
          <w:rFonts w:eastAsia="Times New Roman" w:cstheme="minorHAnsi"/>
          <w:szCs w:val="22"/>
        </w:rPr>
      </w:pPr>
    </w:p>
    <w:p w14:paraId="787D725F" w14:textId="77777777" w:rsidR="008E1097" w:rsidRDefault="008E1097" w:rsidP="008E1097">
      <w:pPr>
        <w:jc w:val="center"/>
        <w:rPr>
          <w:rFonts w:eastAsia="Times New Roman" w:cstheme="minorHAnsi"/>
          <w:szCs w:val="22"/>
        </w:rPr>
      </w:pPr>
    </w:p>
    <w:tbl>
      <w:tblPr>
        <w:tblStyle w:val="TableGrid"/>
        <w:tblW w:w="10350" w:type="dxa"/>
        <w:tblInd w:w="-545" w:type="dxa"/>
        <w:tblLook w:val="04A0" w:firstRow="1" w:lastRow="0" w:firstColumn="1" w:lastColumn="0" w:noHBand="0" w:noVBand="1"/>
      </w:tblPr>
      <w:tblGrid>
        <w:gridCol w:w="10350"/>
      </w:tblGrid>
      <w:tr w:rsidR="00780077" w:rsidRPr="00D0661C" w14:paraId="7F56F180" w14:textId="77777777" w:rsidTr="0065620B">
        <w:tc>
          <w:tcPr>
            <w:tcW w:w="10350" w:type="dxa"/>
            <w:shd w:val="clear" w:color="auto" w:fill="5B9BD5" w:themeFill="accent1"/>
          </w:tcPr>
          <w:p w14:paraId="4ACE5429" w14:textId="77777777" w:rsidR="00780077" w:rsidRPr="00D0661C" w:rsidRDefault="00780077" w:rsidP="00780077">
            <w:pPr>
              <w:pStyle w:val="ListParagraph"/>
              <w:numPr>
                <w:ilvl w:val="0"/>
                <w:numId w:val="14"/>
              </w:numPr>
              <w:ind w:left="747"/>
              <w:rPr>
                <w:rFonts w:cstheme="minorHAnsi"/>
                <w:b/>
                <w:szCs w:val="22"/>
              </w:rPr>
            </w:pPr>
            <w:r w:rsidRPr="00D0661C">
              <w:rPr>
                <w:rFonts w:cstheme="minorHAnsi"/>
                <w:b/>
                <w:szCs w:val="22"/>
              </w:rPr>
              <w:t xml:space="preserve">Where are we now? </w:t>
            </w:r>
          </w:p>
          <w:p w14:paraId="687F867A" w14:textId="77777777" w:rsidR="00780077" w:rsidRPr="00D0661C" w:rsidRDefault="00780077" w:rsidP="00780077">
            <w:pPr>
              <w:pStyle w:val="ListParagraph"/>
              <w:ind w:left="0"/>
              <w:rPr>
                <w:rFonts w:cstheme="minorHAnsi"/>
                <w:szCs w:val="22"/>
              </w:rPr>
            </w:pPr>
            <w:r w:rsidRPr="00D0661C">
              <w:rPr>
                <w:rFonts w:cstheme="minorHAnsi"/>
                <w:szCs w:val="22"/>
              </w:rPr>
              <w:t>Describe the current state of your region, including a summary of regional industry and occupational priorities, demographic shifts, and gaps between employer demand and employee supply.</w:t>
            </w:r>
          </w:p>
        </w:tc>
      </w:tr>
      <w:tr w:rsidR="00780077" w:rsidRPr="00D0661C" w14:paraId="5EF49E80" w14:textId="77777777" w:rsidTr="00447E8E">
        <w:tc>
          <w:tcPr>
            <w:tcW w:w="10350" w:type="dxa"/>
            <w:shd w:val="clear" w:color="auto" w:fill="DEEAF6" w:themeFill="accent1" w:themeFillTint="33"/>
          </w:tcPr>
          <w:p w14:paraId="457BAD04" w14:textId="77777777" w:rsidR="00780077" w:rsidRPr="00D0661C" w:rsidRDefault="00780077" w:rsidP="00780077">
            <w:pPr>
              <w:rPr>
                <w:rFonts w:eastAsia="Times New Roman" w:cstheme="minorHAnsi"/>
                <w:szCs w:val="22"/>
                <w:u w:val="single"/>
              </w:rPr>
            </w:pPr>
            <w:r w:rsidRPr="00D0661C">
              <w:rPr>
                <w:rFonts w:eastAsia="Times New Roman" w:cstheme="minorHAnsi"/>
                <w:b/>
                <w:szCs w:val="22"/>
                <w:u w:val="single"/>
              </w:rPr>
              <w:t>Priority Industries and Occupations</w:t>
            </w:r>
          </w:p>
          <w:p w14:paraId="34A9537C" w14:textId="77777777" w:rsidR="00780077" w:rsidRPr="00D0661C" w:rsidRDefault="00780077" w:rsidP="00780077">
            <w:pPr>
              <w:rPr>
                <w:rFonts w:eastAsia="Times New Roman" w:cstheme="minorHAnsi"/>
                <w:szCs w:val="22"/>
              </w:rPr>
            </w:pPr>
            <w:r w:rsidRPr="00D0661C">
              <w:rPr>
                <w:rFonts w:eastAsia="Times New Roman" w:cstheme="minorHAnsi"/>
                <w:szCs w:val="22"/>
              </w:rPr>
              <w:t>Describe the collectively developed industry and occupational priorities for your region.</w:t>
            </w:r>
          </w:p>
        </w:tc>
      </w:tr>
      <w:tr w:rsidR="00780077" w:rsidRPr="00D0661C" w14:paraId="7E71C174" w14:textId="77777777" w:rsidTr="0065620B">
        <w:tc>
          <w:tcPr>
            <w:tcW w:w="10350" w:type="dxa"/>
          </w:tcPr>
          <w:p w14:paraId="2A4E6428" w14:textId="77777777" w:rsidR="008E1097" w:rsidRDefault="00780077" w:rsidP="00780077">
            <w:pPr>
              <w:rPr>
                <w:rFonts w:eastAsia="Times New Roman" w:cstheme="minorHAnsi"/>
                <w:b/>
                <w:szCs w:val="22"/>
              </w:rPr>
            </w:pPr>
            <w:r w:rsidRPr="00D0661C">
              <w:rPr>
                <w:rFonts w:eastAsia="Times New Roman" w:cstheme="minorHAnsi"/>
                <w:b/>
                <w:szCs w:val="22"/>
              </w:rPr>
              <w:t xml:space="preserve">List your 2-3 priority industries by 2-digit NAICS. </w:t>
            </w:r>
          </w:p>
          <w:p w14:paraId="039FF1AB" w14:textId="1C65222F" w:rsidR="008E1097" w:rsidRPr="003B2FEF" w:rsidRDefault="008E1097" w:rsidP="008E1097">
            <w:pPr>
              <w:spacing w:before="0" w:after="0" w:line="240" w:lineRule="auto"/>
              <w:rPr>
                <w:rFonts w:ascii="Garamond" w:eastAsia="Times New Roman" w:hAnsi="Garamond" w:cstheme="minorHAnsi"/>
                <w:sz w:val="24"/>
                <w:szCs w:val="24"/>
              </w:rPr>
            </w:pPr>
            <w:r w:rsidRPr="003B2FEF">
              <w:rPr>
                <w:rFonts w:ascii="Garamond" w:eastAsia="Times New Roman" w:hAnsi="Garamond" w:cstheme="minorHAnsi"/>
                <w:sz w:val="24"/>
                <w:szCs w:val="24"/>
              </w:rPr>
              <w:t>Healthcare &amp; Social Assistance – 62</w:t>
            </w:r>
          </w:p>
          <w:p w14:paraId="6EDD1BC5" w14:textId="741C6E5D" w:rsidR="008E1097" w:rsidRPr="003B2FEF" w:rsidRDefault="008E1097" w:rsidP="008E1097">
            <w:pPr>
              <w:spacing w:before="0" w:after="0" w:line="240" w:lineRule="auto"/>
              <w:rPr>
                <w:rFonts w:ascii="Garamond" w:eastAsia="Times New Roman" w:hAnsi="Garamond" w:cstheme="minorHAnsi"/>
                <w:sz w:val="24"/>
                <w:szCs w:val="24"/>
              </w:rPr>
            </w:pPr>
            <w:r w:rsidRPr="003B2FEF">
              <w:rPr>
                <w:rFonts w:ascii="Garamond" w:eastAsia="Times New Roman" w:hAnsi="Garamond" w:cstheme="minorHAnsi"/>
                <w:sz w:val="24"/>
                <w:szCs w:val="24"/>
              </w:rPr>
              <w:t>Professional &amp; Technical Services – 54</w:t>
            </w:r>
          </w:p>
          <w:p w14:paraId="5BA54160" w14:textId="4106F594" w:rsidR="008E1097" w:rsidRPr="003B2FEF" w:rsidRDefault="008E1097" w:rsidP="008E1097">
            <w:pPr>
              <w:spacing w:before="0" w:after="0" w:line="240" w:lineRule="auto"/>
              <w:rPr>
                <w:rFonts w:ascii="Garamond" w:eastAsia="Times New Roman" w:hAnsi="Garamond" w:cstheme="minorHAnsi"/>
                <w:sz w:val="24"/>
                <w:szCs w:val="24"/>
              </w:rPr>
            </w:pPr>
            <w:r w:rsidRPr="003B2FEF">
              <w:rPr>
                <w:rFonts w:ascii="Garamond" w:eastAsia="Times New Roman" w:hAnsi="Garamond" w:cstheme="minorHAnsi"/>
                <w:sz w:val="24"/>
                <w:szCs w:val="24"/>
              </w:rPr>
              <w:t>Finance &amp; Insurance – 52</w:t>
            </w:r>
          </w:p>
          <w:p w14:paraId="3E92EBF4" w14:textId="6A2BC3FC" w:rsidR="008E1097" w:rsidRPr="003B2FEF" w:rsidRDefault="008E1097" w:rsidP="008E1097">
            <w:pPr>
              <w:spacing w:before="0" w:after="0" w:line="240" w:lineRule="auto"/>
              <w:rPr>
                <w:rFonts w:ascii="Garamond" w:eastAsia="Times New Roman" w:hAnsi="Garamond" w:cstheme="minorHAnsi"/>
                <w:sz w:val="24"/>
                <w:szCs w:val="24"/>
              </w:rPr>
            </w:pPr>
            <w:r w:rsidRPr="003B2FEF">
              <w:rPr>
                <w:rFonts w:ascii="Garamond" w:eastAsia="Times New Roman" w:hAnsi="Garamond" w:cstheme="minorHAnsi"/>
                <w:sz w:val="24"/>
                <w:szCs w:val="24"/>
              </w:rPr>
              <w:t>Manufacturing – 31-33</w:t>
            </w:r>
          </w:p>
          <w:p w14:paraId="2C0A91D6" w14:textId="68144DA8" w:rsidR="008E1097" w:rsidRDefault="008E1097" w:rsidP="008E1097">
            <w:pPr>
              <w:spacing w:before="0" w:after="0" w:line="240" w:lineRule="auto"/>
              <w:rPr>
                <w:rFonts w:ascii="Garamond" w:eastAsia="Times New Roman" w:hAnsi="Garamond" w:cstheme="minorHAnsi"/>
                <w:sz w:val="24"/>
                <w:szCs w:val="24"/>
              </w:rPr>
            </w:pPr>
            <w:r w:rsidRPr="003B2FEF">
              <w:rPr>
                <w:rFonts w:ascii="Garamond" w:eastAsia="Times New Roman" w:hAnsi="Garamond" w:cstheme="minorHAnsi"/>
                <w:sz w:val="24"/>
                <w:szCs w:val="24"/>
              </w:rPr>
              <w:t>Construction -23</w:t>
            </w:r>
          </w:p>
          <w:p w14:paraId="6F6E8859" w14:textId="0BA1FF93" w:rsidR="00780077" w:rsidRPr="00D47D64" w:rsidRDefault="006A0430" w:rsidP="00D47D64">
            <w:pPr>
              <w:spacing w:before="0" w:after="0" w:line="240" w:lineRule="auto"/>
              <w:rPr>
                <w:rFonts w:ascii="Garamond" w:eastAsia="Times New Roman" w:hAnsi="Garamond" w:cstheme="minorHAnsi"/>
                <w:sz w:val="24"/>
                <w:szCs w:val="24"/>
              </w:rPr>
            </w:pPr>
            <w:r>
              <w:rPr>
                <w:rFonts w:ascii="Garamond" w:eastAsia="Times New Roman" w:hAnsi="Garamond" w:cstheme="minorHAnsi"/>
                <w:sz w:val="24"/>
                <w:szCs w:val="24"/>
              </w:rPr>
              <w:t xml:space="preserve">Accommodations &amp; </w:t>
            </w:r>
            <w:r>
              <w:rPr>
                <w:rFonts w:ascii="Garamond" w:eastAsia="Times New Roman" w:hAnsi="Garamond" w:cstheme="minorHAnsi"/>
                <w:sz w:val="24"/>
                <w:szCs w:val="24"/>
              </w:rPr>
              <w:t>Food</w:t>
            </w:r>
            <w:r>
              <w:rPr>
                <w:rFonts w:ascii="Garamond" w:eastAsia="Times New Roman" w:hAnsi="Garamond" w:cstheme="minorHAnsi"/>
                <w:sz w:val="24"/>
                <w:szCs w:val="24"/>
              </w:rPr>
              <w:t xml:space="preserve"> Services - 72</w:t>
            </w:r>
          </w:p>
        </w:tc>
      </w:tr>
      <w:tr w:rsidR="00780077" w:rsidRPr="00D0661C" w14:paraId="451C902B" w14:textId="77777777" w:rsidTr="0065620B">
        <w:tc>
          <w:tcPr>
            <w:tcW w:w="10350" w:type="dxa"/>
          </w:tcPr>
          <w:p w14:paraId="6D177A8C" w14:textId="77777777" w:rsidR="00780077" w:rsidRPr="00D0661C" w:rsidRDefault="00780077" w:rsidP="00780077">
            <w:pPr>
              <w:rPr>
                <w:rFonts w:eastAsia="Times New Roman" w:cstheme="minorHAnsi"/>
                <w:szCs w:val="22"/>
              </w:rPr>
            </w:pPr>
            <w:r w:rsidRPr="00D0661C">
              <w:rPr>
                <w:rFonts w:eastAsia="Times New Roman" w:cstheme="minorHAnsi"/>
                <w:b/>
                <w:szCs w:val="22"/>
              </w:rPr>
              <w:t xml:space="preserve">List 3 to 5 priority occupations or occupational groups by SOC code (4-8 digit, as necessary). </w:t>
            </w:r>
          </w:p>
          <w:p w14:paraId="38C52CFE" w14:textId="04CBC8ED" w:rsidR="00780077" w:rsidRPr="003B2FEF" w:rsidRDefault="008E1097" w:rsidP="008E1097">
            <w:pPr>
              <w:spacing w:before="0" w:after="0" w:line="240" w:lineRule="auto"/>
              <w:rPr>
                <w:rFonts w:ascii="Garamond" w:eastAsia="Times New Roman" w:hAnsi="Garamond" w:cstheme="minorHAnsi"/>
                <w:sz w:val="24"/>
                <w:szCs w:val="24"/>
              </w:rPr>
            </w:pPr>
            <w:r w:rsidRPr="003B2FEF">
              <w:rPr>
                <w:rFonts w:ascii="Garamond" w:eastAsia="Times New Roman" w:hAnsi="Garamond" w:cstheme="minorHAnsi"/>
                <w:sz w:val="24"/>
                <w:szCs w:val="24"/>
              </w:rPr>
              <w:t>Medical Laboratory Technician – 29-2010</w:t>
            </w:r>
          </w:p>
          <w:p w14:paraId="18E7EF16" w14:textId="4C76AFD4" w:rsidR="008E1097" w:rsidRPr="003B2FEF" w:rsidRDefault="008E1097" w:rsidP="008E1097">
            <w:pPr>
              <w:spacing w:before="0" w:after="0" w:line="240" w:lineRule="auto"/>
              <w:rPr>
                <w:rFonts w:ascii="Garamond" w:eastAsia="Times New Roman" w:hAnsi="Garamond" w:cstheme="minorHAnsi"/>
                <w:sz w:val="24"/>
                <w:szCs w:val="24"/>
              </w:rPr>
            </w:pPr>
            <w:r w:rsidRPr="003B2FEF">
              <w:rPr>
                <w:rFonts w:ascii="Garamond" w:eastAsia="Times New Roman" w:hAnsi="Garamond" w:cstheme="minorHAnsi"/>
                <w:sz w:val="24"/>
                <w:szCs w:val="24"/>
              </w:rPr>
              <w:t>Radiologic Technology – 29-2034</w:t>
            </w:r>
          </w:p>
          <w:p w14:paraId="00442426" w14:textId="70C90BCE" w:rsidR="008E1097" w:rsidRPr="003B2FEF" w:rsidRDefault="008E1097" w:rsidP="008E1097">
            <w:pPr>
              <w:spacing w:before="0" w:after="0" w:line="240" w:lineRule="auto"/>
              <w:rPr>
                <w:rFonts w:ascii="Garamond" w:eastAsia="Times New Roman" w:hAnsi="Garamond" w:cstheme="minorHAnsi"/>
                <w:sz w:val="24"/>
                <w:szCs w:val="24"/>
              </w:rPr>
            </w:pPr>
            <w:r w:rsidRPr="003B2FEF">
              <w:rPr>
                <w:rFonts w:ascii="Garamond" w:eastAsia="Times New Roman" w:hAnsi="Garamond" w:cstheme="minorHAnsi"/>
                <w:sz w:val="24"/>
                <w:szCs w:val="24"/>
              </w:rPr>
              <w:t>Finance &amp; Banking – 13-1000</w:t>
            </w:r>
          </w:p>
          <w:p w14:paraId="6BD6D665" w14:textId="33E610E5" w:rsidR="008E1097" w:rsidRPr="003B2FEF" w:rsidRDefault="008E1097" w:rsidP="008E1097">
            <w:pPr>
              <w:spacing w:before="0" w:after="0" w:line="240" w:lineRule="auto"/>
              <w:rPr>
                <w:rFonts w:ascii="Garamond" w:eastAsia="Times New Roman" w:hAnsi="Garamond" w:cstheme="minorHAnsi"/>
                <w:sz w:val="24"/>
                <w:szCs w:val="24"/>
              </w:rPr>
            </w:pPr>
            <w:r w:rsidRPr="003B2FEF">
              <w:rPr>
                <w:rFonts w:ascii="Garamond" w:eastAsia="Times New Roman" w:hAnsi="Garamond" w:cstheme="minorHAnsi"/>
                <w:sz w:val="24"/>
                <w:szCs w:val="24"/>
              </w:rPr>
              <w:t>Front line Construction – 47-1010</w:t>
            </w:r>
          </w:p>
          <w:p w14:paraId="1C22E7B4" w14:textId="3C32E005" w:rsidR="008E1097" w:rsidRDefault="008E1097" w:rsidP="006347CE">
            <w:pPr>
              <w:spacing w:before="0" w:after="0" w:line="240" w:lineRule="auto"/>
              <w:rPr>
                <w:rFonts w:ascii="Garamond" w:eastAsia="Times New Roman" w:hAnsi="Garamond" w:cstheme="minorHAnsi"/>
                <w:sz w:val="24"/>
                <w:szCs w:val="24"/>
              </w:rPr>
            </w:pPr>
            <w:r w:rsidRPr="003B2FEF">
              <w:rPr>
                <w:rFonts w:ascii="Garamond" w:eastAsia="Times New Roman" w:hAnsi="Garamond" w:cstheme="minorHAnsi"/>
                <w:sz w:val="24"/>
                <w:szCs w:val="24"/>
              </w:rPr>
              <w:t>Commercial Driver’s License – 53-3030</w:t>
            </w:r>
          </w:p>
          <w:p w14:paraId="65E801AB" w14:textId="77777777" w:rsidR="006347CE" w:rsidRPr="0079527E" w:rsidRDefault="006347CE" w:rsidP="0079527E">
            <w:pPr>
              <w:spacing w:before="0" w:after="0" w:line="240" w:lineRule="auto"/>
              <w:rPr>
                <w:rFonts w:ascii="Garamond" w:eastAsia="Times New Roman" w:hAnsi="Garamond" w:cstheme="minorHAnsi"/>
                <w:sz w:val="24"/>
                <w:szCs w:val="24"/>
              </w:rPr>
            </w:pPr>
            <w:r w:rsidRPr="0079527E">
              <w:rPr>
                <w:rFonts w:ascii="Garamond" w:eastAsia="Times New Roman" w:hAnsi="Garamond" w:cstheme="minorHAnsi"/>
                <w:sz w:val="24"/>
                <w:szCs w:val="24"/>
              </w:rPr>
              <w:t>Welders, Cutters, Solderers, &amp; Braziers- 51-4121.00</w:t>
            </w:r>
          </w:p>
          <w:p w14:paraId="03DCB51B" w14:textId="09CE3BA5" w:rsidR="00780077" w:rsidRPr="006347CE" w:rsidRDefault="006347CE" w:rsidP="0079527E">
            <w:pPr>
              <w:spacing w:before="0" w:after="0" w:line="240" w:lineRule="auto"/>
              <w:rPr>
                <w:rFonts w:ascii="Garamond" w:eastAsia="Times New Roman" w:hAnsi="Garamond" w:cstheme="minorHAnsi"/>
                <w:color w:val="FF0000"/>
                <w:sz w:val="24"/>
                <w:szCs w:val="24"/>
              </w:rPr>
            </w:pPr>
            <w:r w:rsidRPr="0079527E">
              <w:rPr>
                <w:rFonts w:ascii="Garamond" w:eastAsia="Times New Roman" w:hAnsi="Garamond" w:cstheme="minorHAnsi"/>
                <w:sz w:val="24"/>
                <w:szCs w:val="24"/>
              </w:rPr>
              <w:t>Machinist- 51-4041.00</w:t>
            </w:r>
          </w:p>
        </w:tc>
      </w:tr>
      <w:tr w:rsidR="00780077" w:rsidRPr="00D0661C" w14:paraId="57523016" w14:textId="77777777" w:rsidTr="00447E8E">
        <w:tc>
          <w:tcPr>
            <w:tcW w:w="10350" w:type="dxa"/>
            <w:shd w:val="clear" w:color="auto" w:fill="DEEAF6" w:themeFill="accent1" w:themeFillTint="33"/>
          </w:tcPr>
          <w:p w14:paraId="73D3A6C5" w14:textId="77777777" w:rsidR="00780077" w:rsidRPr="00D0661C" w:rsidRDefault="00780077" w:rsidP="00780077">
            <w:pPr>
              <w:rPr>
                <w:rFonts w:eastAsia="Times New Roman" w:cstheme="minorHAnsi"/>
                <w:b/>
                <w:i/>
                <w:szCs w:val="22"/>
                <w:u w:val="single"/>
              </w:rPr>
            </w:pPr>
            <w:r w:rsidRPr="00D0661C">
              <w:rPr>
                <w:rFonts w:cstheme="minorHAnsi"/>
                <w:b/>
                <w:szCs w:val="22"/>
                <w:u w:val="single"/>
              </w:rPr>
              <w:t>Regional Context</w:t>
            </w:r>
          </w:p>
          <w:p w14:paraId="19B1DC03" w14:textId="77777777" w:rsidR="00780077" w:rsidRPr="00087430" w:rsidRDefault="00780077" w:rsidP="00780077">
            <w:pPr>
              <w:rPr>
                <w:rFonts w:eastAsia="Times New Roman" w:cstheme="minorHAnsi"/>
                <w:szCs w:val="22"/>
              </w:rPr>
            </w:pPr>
            <w:r w:rsidRPr="00D0661C">
              <w:rPr>
                <w:rFonts w:eastAsia="Times New Roman" w:cstheme="minorHAnsi"/>
                <w:szCs w:val="22"/>
              </w:rPr>
              <w:t>Use the information provided through state data sets (i.e. data packages and dynamic data tools) and additional local analysis to explore the following questions and develop consensus for each section.</w:t>
            </w:r>
          </w:p>
        </w:tc>
      </w:tr>
      <w:tr w:rsidR="00780077" w:rsidRPr="00D0661C" w14:paraId="56EA9A61" w14:textId="77777777" w:rsidTr="00447E8E">
        <w:tc>
          <w:tcPr>
            <w:tcW w:w="10350" w:type="dxa"/>
          </w:tcPr>
          <w:p w14:paraId="070BA366" w14:textId="7A343634" w:rsidR="00780077" w:rsidRDefault="00780077" w:rsidP="00780077">
            <w:pPr>
              <w:rPr>
                <w:rFonts w:cstheme="minorHAnsi"/>
                <w:i/>
                <w:szCs w:val="22"/>
              </w:rPr>
            </w:pPr>
            <w:r>
              <w:rPr>
                <w:rFonts w:cstheme="minorHAnsi"/>
                <w:b/>
                <w:szCs w:val="22"/>
              </w:rPr>
              <w:t xml:space="preserve">Are there any new demographic, labor pool or talent pipeline considerations that will have an impact on labor supply in your region? </w:t>
            </w:r>
            <w:r w:rsidRPr="00D0661C">
              <w:rPr>
                <w:rFonts w:cstheme="minorHAnsi"/>
                <w:i/>
                <w:szCs w:val="22"/>
              </w:rPr>
              <w:t>Age, education, worker mobility, etc.</w:t>
            </w:r>
          </w:p>
          <w:p w14:paraId="55F94576" w14:textId="4DEF16FE" w:rsidR="00780077" w:rsidRPr="003B2FEF" w:rsidRDefault="0079527E" w:rsidP="003B2FEF">
            <w:pPr>
              <w:rPr>
                <w:rFonts w:ascii="Garamond" w:hAnsi="Garamond" w:cstheme="minorHAnsi"/>
                <w:bCs/>
                <w:sz w:val="24"/>
                <w:szCs w:val="24"/>
              </w:rPr>
            </w:pPr>
            <w:r w:rsidRPr="0079527E">
              <w:rPr>
                <w:rFonts w:ascii="Garamond" w:hAnsi="Garamond" w:cs="Arial"/>
                <w:sz w:val="24"/>
                <w:szCs w:val="24"/>
              </w:rPr>
              <w:t xml:space="preserve">By 2030 the number of deaths is expected to outnumber new births in the state. An increasing pool of retirees in </w:t>
            </w:r>
            <w:r w:rsidR="006A0430">
              <w:rPr>
                <w:rFonts w:ascii="Garamond" w:hAnsi="Garamond" w:cs="Arial"/>
                <w:sz w:val="24"/>
                <w:szCs w:val="24"/>
              </w:rPr>
              <w:t>s</w:t>
            </w:r>
            <w:r w:rsidRPr="0079527E">
              <w:rPr>
                <w:rFonts w:ascii="Garamond" w:hAnsi="Garamond" w:cs="Arial"/>
                <w:sz w:val="24"/>
                <w:szCs w:val="24"/>
              </w:rPr>
              <w:t xml:space="preserve">outheastern Massachusetts exacerbates this effect to some extent by increasing out-migration </w:t>
            </w:r>
            <w:r w:rsidRPr="0079527E">
              <w:rPr>
                <w:rFonts w:ascii="Garamond" w:hAnsi="Garamond" w:cs="Arial"/>
                <w:sz w:val="24"/>
                <w:szCs w:val="24"/>
              </w:rPr>
              <w:lastRenderedPageBreak/>
              <w:t xml:space="preserve">from other regions of the state to places in the </w:t>
            </w:r>
            <w:r w:rsidR="006A0430">
              <w:rPr>
                <w:rFonts w:ascii="Garamond" w:hAnsi="Garamond" w:cs="Arial"/>
                <w:sz w:val="24"/>
                <w:szCs w:val="24"/>
              </w:rPr>
              <w:t>w</w:t>
            </w:r>
            <w:r w:rsidRPr="0079527E">
              <w:rPr>
                <w:rFonts w:ascii="Garamond" w:hAnsi="Garamond" w:cs="Arial"/>
                <w:sz w:val="24"/>
                <w:szCs w:val="24"/>
              </w:rPr>
              <w:t>est.</w:t>
            </w:r>
            <w:r w:rsidRPr="0079527E">
              <w:rPr>
                <w:rFonts w:ascii="Arial" w:hAnsi="Arial" w:cs="Arial"/>
                <w:sz w:val="28"/>
                <w:szCs w:val="28"/>
              </w:rPr>
              <w:t xml:space="preserve"> </w:t>
            </w:r>
            <w:r w:rsidRPr="0079527E">
              <w:rPr>
                <w:rFonts w:ascii="Garamond" w:hAnsi="Garamond" w:cs="Arial"/>
                <w:sz w:val="24"/>
                <w:szCs w:val="24"/>
              </w:rPr>
              <w:t>By 2035, the population of the Southeast region will approach 1.19million persons, a gain of almost 75,000 residents over the 2010 Decennial Census. By 2030, baby boomers will have moved into the retirement phase of their life cycles. Although some older residents will retire outside the region, they will be eclipsed by those deciding to age in place, shifting the entire population distribution upward (Figure 3.8g). By 2035, 24% of the region’s population will be over the age of 65, compared to 14% in 2010. Yet the Southeast will continue to attract young families, including many from the millennial generation, who will be moving into their forties by 2035. The result will be a regional age profile that, while older, will be more evenly distributed among the different age groups.</w:t>
            </w:r>
            <w:r w:rsidRPr="0079527E">
              <w:rPr>
                <w:rFonts w:ascii="Arial" w:hAnsi="Arial" w:cs="Arial"/>
                <w:sz w:val="28"/>
                <w:szCs w:val="28"/>
              </w:rPr>
              <w:t xml:space="preserve"> </w:t>
            </w:r>
            <w:r w:rsidR="003B2FEF" w:rsidRPr="0079527E">
              <w:rPr>
                <w:rFonts w:ascii="Garamond" w:hAnsi="Garamond" w:cstheme="minorHAnsi"/>
                <w:bCs/>
                <w:sz w:val="24"/>
                <w:szCs w:val="24"/>
              </w:rPr>
              <w:t xml:space="preserve">The region has remained relatively stable over the past few years, with incremental trends continuing in lower high </w:t>
            </w:r>
            <w:r w:rsidR="003B2FEF" w:rsidRPr="003B2FEF">
              <w:rPr>
                <w:rFonts w:ascii="Garamond" w:hAnsi="Garamond" w:cstheme="minorHAnsi"/>
                <w:bCs/>
                <w:sz w:val="24"/>
                <w:szCs w:val="24"/>
              </w:rPr>
              <w:t>school enrollment rates and reliance on non-English speaking workforce.</w:t>
            </w:r>
            <w:r w:rsidR="0051379D" w:rsidRPr="002A75D0">
              <w:rPr>
                <w:rFonts w:ascii="Garamond" w:hAnsi="Garamond" w:cstheme="minorHAnsi"/>
                <w:bCs/>
                <w:color w:val="FF0000"/>
                <w:sz w:val="24"/>
                <w:szCs w:val="24"/>
              </w:rPr>
              <w:t xml:space="preserve"> </w:t>
            </w:r>
            <w:r w:rsidR="0051379D" w:rsidRPr="0051379D">
              <w:rPr>
                <w:rFonts w:ascii="Garamond" w:hAnsi="Garamond" w:cstheme="minorHAnsi"/>
                <w:bCs/>
                <w:sz w:val="24"/>
                <w:szCs w:val="24"/>
              </w:rPr>
              <w:t>The trend of our aging population in the Southeast as cited in our Labor Market Blueprint continues to have incremental impacts on certain industries.  For example, manufacturing faces increased age-related attrition issues.  This trend also ensures continued increased demand for skilled workers in the healthcare industry.</w:t>
            </w:r>
          </w:p>
        </w:tc>
      </w:tr>
      <w:tr w:rsidR="00780077" w:rsidRPr="00D0661C" w14:paraId="18C353F2" w14:textId="77777777" w:rsidTr="00447E8E">
        <w:tc>
          <w:tcPr>
            <w:tcW w:w="10350" w:type="dxa"/>
          </w:tcPr>
          <w:p w14:paraId="01316544" w14:textId="77777777" w:rsidR="00780077" w:rsidRDefault="00780077" w:rsidP="00780077">
            <w:pPr>
              <w:rPr>
                <w:rFonts w:cstheme="minorHAnsi"/>
                <w:i/>
                <w:szCs w:val="22"/>
              </w:rPr>
            </w:pPr>
            <w:r w:rsidRPr="00087430">
              <w:rPr>
                <w:rFonts w:cstheme="minorHAnsi"/>
                <w:b/>
                <w:szCs w:val="22"/>
              </w:rPr>
              <w:lastRenderedPageBreak/>
              <w:t>Have there been any developments related to business and industry that will have an impact on workforce demand</w:t>
            </w:r>
            <w:r>
              <w:rPr>
                <w:rFonts w:cstheme="minorHAnsi"/>
                <w:b/>
                <w:szCs w:val="22"/>
              </w:rPr>
              <w:t xml:space="preserve"> in your region</w:t>
            </w:r>
            <w:r w:rsidRPr="00087430">
              <w:rPr>
                <w:rFonts w:cstheme="minorHAnsi"/>
                <w:b/>
                <w:szCs w:val="22"/>
              </w:rPr>
              <w:t>?</w:t>
            </w:r>
            <w:r>
              <w:rPr>
                <w:rFonts w:cstheme="minorHAnsi"/>
                <w:b/>
                <w:szCs w:val="22"/>
              </w:rPr>
              <w:t xml:space="preserve"> </w:t>
            </w:r>
            <w:r>
              <w:rPr>
                <w:rFonts w:cstheme="minorHAnsi"/>
                <w:i/>
                <w:szCs w:val="22"/>
              </w:rPr>
              <w:t>New employers, policies/regulations, etc.</w:t>
            </w:r>
          </w:p>
          <w:p w14:paraId="6FD6552D" w14:textId="27C70348" w:rsidR="005E4E7F" w:rsidRDefault="003B2FEF" w:rsidP="005E4E7F">
            <w:pPr>
              <w:pStyle w:val="PlainText"/>
            </w:pPr>
            <w:r w:rsidRPr="003B2FEF">
              <w:rPr>
                <w:rFonts w:cstheme="minorHAnsi"/>
                <w:iCs/>
                <w:szCs w:val="24"/>
              </w:rPr>
              <w:t>Like other regions, States and Countries, in our region the Workforce system has been turned upside down</w:t>
            </w:r>
            <w:r>
              <w:rPr>
                <w:rFonts w:cstheme="minorHAnsi"/>
                <w:iCs/>
                <w:szCs w:val="24"/>
              </w:rPr>
              <w:t xml:space="preserve"> by the Covid 19 Pandemic.  While the first part of the year we were looking at expanding growth opportunities for our partners, and exploring new trends in employer collaborations, we are now in a much different place.  </w:t>
            </w:r>
            <w:r w:rsidR="005E4E7F">
              <w:t>The new work environment that we are in has mandated changes on several levels. First and foremost, the return to work under new guidelines and safety precautions, some of which have required business</w:t>
            </w:r>
            <w:r w:rsidR="006A0430">
              <w:t>es</w:t>
            </w:r>
            <w:r w:rsidR="005E4E7F">
              <w:t xml:space="preserve"> to re-strategize on business policies and services. This new environment could also mean a recognition and an assessment of the business outlook, including re-examining staff and their roles and physical locations for some industries.</w:t>
            </w:r>
          </w:p>
          <w:p w14:paraId="4C9BE35B" w14:textId="77777777" w:rsidR="005E4E7F" w:rsidRDefault="005E4E7F" w:rsidP="005E4E7F">
            <w:pPr>
              <w:pStyle w:val="PlainText"/>
            </w:pPr>
          </w:p>
          <w:p w14:paraId="0C8EA3AD" w14:textId="7EB67341" w:rsidR="005E4E7F" w:rsidRDefault="005E4E7F" w:rsidP="005E4E7F">
            <w:pPr>
              <w:pStyle w:val="PlainText"/>
            </w:pPr>
            <w:r>
              <w:t>We anticipate a surge in employers needing assistance on how to forestall further debt and potential closing, employees who are unable to return to the previous employment due to the virus or repercussions such as lack of childcare.</w:t>
            </w:r>
          </w:p>
          <w:p w14:paraId="5729CEEE" w14:textId="77777777" w:rsidR="005E4E7F" w:rsidRDefault="005E4E7F" w:rsidP="005E4E7F">
            <w:pPr>
              <w:pStyle w:val="PlainText"/>
            </w:pPr>
          </w:p>
          <w:p w14:paraId="487C35B7" w14:textId="77777777" w:rsidR="00780077" w:rsidRDefault="005E4E7F" w:rsidP="00E0060C">
            <w:pPr>
              <w:pStyle w:val="PlainText"/>
            </w:pPr>
            <w:r>
              <w:t xml:space="preserve">As we work towards assisting these businesses and our job seekers, we must explore offering training the pipeline and incumbent workforce by virtual or remote means.  </w:t>
            </w:r>
          </w:p>
          <w:p w14:paraId="3E7B3C41" w14:textId="7C223C9C" w:rsidR="00E0060C" w:rsidRPr="00E0060C" w:rsidRDefault="00E0060C" w:rsidP="00E0060C">
            <w:pPr>
              <w:pStyle w:val="PlainText"/>
            </w:pPr>
          </w:p>
        </w:tc>
      </w:tr>
    </w:tbl>
    <w:tbl>
      <w:tblPr>
        <w:tblStyle w:val="TableGrid1"/>
        <w:tblW w:w="10530" w:type="dxa"/>
        <w:jc w:val="center"/>
        <w:tblLook w:val="04A0" w:firstRow="1" w:lastRow="0" w:firstColumn="1" w:lastColumn="0" w:noHBand="0" w:noVBand="1"/>
      </w:tblPr>
      <w:tblGrid>
        <w:gridCol w:w="10530"/>
      </w:tblGrid>
      <w:tr w:rsidR="00A800B4" w:rsidRPr="00D0661C" w14:paraId="3597F2E5" w14:textId="77777777" w:rsidTr="00F13EBA">
        <w:trPr>
          <w:trHeight w:val="1178"/>
          <w:jc w:val="center"/>
        </w:trPr>
        <w:tc>
          <w:tcPr>
            <w:tcW w:w="10530" w:type="dxa"/>
            <w:shd w:val="clear" w:color="auto" w:fill="5B9BD5" w:themeFill="accent1"/>
          </w:tcPr>
          <w:p w14:paraId="18782596" w14:textId="77777777" w:rsidR="00A800B4" w:rsidRPr="00631C29" w:rsidRDefault="00A800B4" w:rsidP="00F13EBA">
            <w:pPr>
              <w:pStyle w:val="ListParagraph"/>
              <w:numPr>
                <w:ilvl w:val="0"/>
                <w:numId w:val="14"/>
              </w:numPr>
              <w:rPr>
                <w:rFonts w:eastAsia="Times New Roman" w:cstheme="minorHAnsi"/>
                <w:b/>
                <w:szCs w:val="22"/>
              </w:rPr>
            </w:pPr>
            <w:r w:rsidRPr="00631C29">
              <w:rPr>
                <w:rFonts w:eastAsia="Times New Roman" w:cstheme="minorHAnsi"/>
                <w:b/>
                <w:szCs w:val="22"/>
              </w:rPr>
              <w:t>How are we doing?</w:t>
            </w:r>
          </w:p>
          <w:p w14:paraId="5446A795" w14:textId="77777777" w:rsidR="00A800B4" w:rsidRPr="00D0661C" w:rsidRDefault="00C20B63" w:rsidP="00F13EBA">
            <w:pPr>
              <w:pStyle w:val="ListParagraph"/>
              <w:ind w:left="0"/>
              <w:rPr>
                <w:rFonts w:eastAsia="Times New Roman" w:cstheme="minorHAnsi"/>
                <w:szCs w:val="22"/>
              </w:rPr>
            </w:pPr>
            <w:r w:rsidRPr="00D0661C">
              <w:rPr>
                <w:rFonts w:eastAsia="Times New Roman" w:cstheme="minorHAnsi"/>
                <w:szCs w:val="22"/>
              </w:rPr>
              <w:t xml:space="preserve">Evaluate </w:t>
            </w:r>
            <w:r w:rsidR="00A800B4" w:rsidRPr="00D0661C">
              <w:rPr>
                <w:rFonts w:eastAsia="Times New Roman" w:cstheme="minorHAnsi"/>
                <w:szCs w:val="22"/>
              </w:rPr>
              <w:t xml:space="preserve">the strategies you </w:t>
            </w:r>
            <w:r w:rsidR="00726E7E" w:rsidRPr="00D0661C">
              <w:rPr>
                <w:rFonts w:eastAsia="Times New Roman" w:cstheme="minorHAnsi"/>
                <w:szCs w:val="22"/>
              </w:rPr>
              <w:t>have jointly</w:t>
            </w:r>
            <w:r w:rsidR="00A800B4" w:rsidRPr="00D0661C">
              <w:rPr>
                <w:rFonts w:eastAsia="Times New Roman" w:cstheme="minorHAnsi"/>
                <w:szCs w:val="22"/>
              </w:rPr>
              <w:t xml:space="preserve"> employ</w:t>
            </w:r>
            <w:r w:rsidR="00726E7E" w:rsidRPr="00D0661C">
              <w:rPr>
                <w:rFonts w:eastAsia="Times New Roman" w:cstheme="minorHAnsi"/>
                <w:szCs w:val="22"/>
              </w:rPr>
              <w:t>ed t</w:t>
            </w:r>
            <w:r w:rsidR="00A800B4" w:rsidRPr="00D0661C">
              <w:rPr>
                <w:rFonts w:eastAsia="Times New Roman" w:cstheme="minorHAnsi"/>
                <w:szCs w:val="22"/>
              </w:rPr>
              <w:t>o align the work of multiple systems around your shared vision, mission and goals</w:t>
            </w:r>
            <w:r w:rsidRPr="00D0661C">
              <w:rPr>
                <w:rFonts w:eastAsia="Times New Roman" w:cstheme="minorHAnsi"/>
                <w:szCs w:val="22"/>
              </w:rPr>
              <w:t>.</w:t>
            </w:r>
          </w:p>
        </w:tc>
      </w:tr>
      <w:tr w:rsidR="00A800B4" w:rsidRPr="00D0661C" w14:paraId="6D329E99" w14:textId="77777777" w:rsidTr="00F13EBA">
        <w:trPr>
          <w:trHeight w:val="1178"/>
          <w:jc w:val="center"/>
        </w:trPr>
        <w:tc>
          <w:tcPr>
            <w:tcW w:w="10530" w:type="dxa"/>
            <w:shd w:val="clear" w:color="auto" w:fill="DEEAF6" w:themeFill="accent1" w:themeFillTint="33"/>
          </w:tcPr>
          <w:p w14:paraId="214E0705" w14:textId="77777777" w:rsidR="00A800B4" w:rsidRPr="00D0661C" w:rsidRDefault="007F4B76" w:rsidP="00F13EBA">
            <w:pPr>
              <w:rPr>
                <w:rFonts w:eastAsia="Times New Roman" w:cstheme="minorHAnsi"/>
                <w:b/>
                <w:szCs w:val="22"/>
                <w:u w:val="single"/>
              </w:rPr>
            </w:pPr>
            <w:r w:rsidRPr="00D0661C">
              <w:rPr>
                <w:rFonts w:eastAsia="Times New Roman" w:cstheme="minorHAnsi"/>
                <w:b/>
                <w:szCs w:val="22"/>
                <w:u w:val="single"/>
              </w:rPr>
              <w:t>Focusing Resources</w:t>
            </w:r>
          </w:p>
          <w:p w14:paraId="49701DC3" w14:textId="77777777" w:rsidR="00A800B4" w:rsidRPr="00D0661C" w:rsidRDefault="004834C2" w:rsidP="004834C2">
            <w:pPr>
              <w:rPr>
                <w:rFonts w:eastAsia="Times New Roman" w:cstheme="minorHAnsi"/>
                <w:szCs w:val="22"/>
              </w:rPr>
            </w:pPr>
            <w:r>
              <w:rPr>
                <w:rFonts w:eastAsia="Times New Roman" w:cstheme="minorHAnsi"/>
                <w:szCs w:val="22"/>
              </w:rPr>
              <w:t>Summarize</w:t>
            </w:r>
            <w:r w:rsidR="002C68EC" w:rsidRPr="00D0661C">
              <w:rPr>
                <w:rFonts w:eastAsia="Times New Roman" w:cstheme="minorHAnsi"/>
                <w:szCs w:val="22"/>
              </w:rPr>
              <w:t xml:space="preserve"> your efforts to align resources that support and meet training and employment needs of priority industry sectors and occupations in your region.</w:t>
            </w:r>
            <w:r w:rsidR="006D3D60">
              <w:rPr>
                <w:rFonts w:eastAsia="Times New Roman" w:cstheme="minorHAnsi"/>
                <w:szCs w:val="22"/>
              </w:rPr>
              <w:t xml:space="preserve"> (See Appendix D</w:t>
            </w:r>
            <w:r>
              <w:rPr>
                <w:rFonts w:eastAsia="Times New Roman" w:cstheme="minorHAnsi"/>
                <w:szCs w:val="22"/>
              </w:rPr>
              <w:t xml:space="preserve"> for additional detail.)</w:t>
            </w:r>
          </w:p>
        </w:tc>
      </w:tr>
      <w:tr w:rsidR="00A800B4" w:rsidRPr="00D0661C" w14:paraId="28AE5EB9" w14:textId="77777777" w:rsidTr="00F13EBA">
        <w:trPr>
          <w:trHeight w:val="1178"/>
          <w:jc w:val="center"/>
        </w:trPr>
        <w:tc>
          <w:tcPr>
            <w:tcW w:w="10530" w:type="dxa"/>
            <w:shd w:val="clear" w:color="auto" w:fill="auto"/>
          </w:tcPr>
          <w:p w14:paraId="49FB4ED7" w14:textId="5D403299" w:rsidR="00A800B4" w:rsidRDefault="00A800B4" w:rsidP="00F13EBA">
            <w:pPr>
              <w:rPr>
                <w:rFonts w:eastAsia="Times New Roman" w:cstheme="minorHAnsi"/>
                <w:b/>
                <w:szCs w:val="22"/>
              </w:rPr>
            </w:pPr>
            <w:r w:rsidRPr="00D0661C">
              <w:rPr>
                <w:rFonts w:eastAsia="Times New Roman" w:cstheme="minorHAnsi"/>
                <w:b/>
                <w:szCs w:val="22"/>
              </w:rPr>
              <w:lastRenderedPageBreak/>
              <w:t xml:space="preserve">Resource Acquisition. </w:t>
            </w:r>
          </w:p>
          <w:p w14:paraId="35897A24" w14:textId="6460FC04" w:rsidR="0051379D" w:rsidRPr="0051379D" w:rsidRDefault="0051379D" w:rsidP="0051379D">
            <w:pPr>
              <w:pStyle w:val="PlainText"/>
            </w:pPr>
            <w:r>
              <w:t xml:space="preserve">The four WB’s in Southeastern Massachusetts, Bristol, Greater New Bedford, Greater Brockton and South Shore have collaborated over the past year in several opportunities to produce additional resources for the region. Focused mainly by industry, resources have been secured for banking &amp; finance and manufacturing.  </w:t>
            </w:r>
            <w:r w:rsidRPr="0051379D">
              <w:t xml:space="preserve">The four Boards also have collaborated on a cyber security grant that has afforded dual enrollment and training opportunities for youth throughout the region.  </w:t>
            </w:r>
            <w:r w:rsidR="006A0430">
              <w:t>W</w:t>
            </w:r>
            <w:r w:rsidRPr="0051379D">
              <w:t xml:space="preserve">e are in the process of acquiring additional funds for healthcare, commercial driver license, and IT.  Within the banking and finance program the Greater Brockton region took the lead on a certified Universal Bankers program which was re-designed to be offered 100% virtually. This modification allows participants from other regions </w:t>
            </w:r>
            <w:r w:rsidR="006A0430">
              <w:t xml:space="preserve">to enroll </w:t>
            </w:r>
            <w:r w:rsidRPr="0051379D">
              <w:t xml:space="preserve">without having to take transportation and location into consideration. Offered to both our youth and adult populations, this program was developed in response to the labor market information for </w:t>
            </w:r>
            <w:r w:rsidR="006A0430">
              <w:t>s</w:t>
            </w:r>
            <w:r w:rsidRPr="0051379D">
              <w:t xml:space="preserve">outheastern </w:t>
            </w:r>
            <w:r w:rsidR="006A0430">
              <w:t>MA</w:t>
            </w:r>
            <w:r w:rsidRPr="0051379D">
              <w:t>.</w:t>
            </w:r>
          </w:p>
          <w:p w14:paraId="761F859A" w14:textId="77777777" w:rsidR="0051379D" w:rsidRPr="0051379D" w:rsidRDefault="0051379D" w:rsidP="0051379D">
            <w:pPr>
              <w:pStyle w:val="PlainText"/>
            </w:pPr>
          </w:p>
          <w:p w14:paraId="0DC648C9" w14:textId="0C942FF1" w:rsidR="0079527E" w:rsidRPr="0079527E" w:rsidRDefault="0051379D" w:rsidP="0079527E">
            <w:pPr>
              <w:pStyle w:val="PlainText"/>
            </w:pPr>
            <w:r w:rsidRPr="0051379D">
              <w:t xml:space="preserve">The efforts to respond to the manufacturing industry have produced additional resources throughout the region. Taking the lead on an Executive Office of Housing and Economic Development grant, the Greater New Bedford Workforce Investment Board, Inc. developed a plan that utilized training in all four regions for both incumbent and pipeline workers. Again, this cross collaboration enabled residents from different WB’s locations, the opportunity for a greater range of training. Also taking the lead on a manufacturing effort, was the South Shore Workforce Board.  Using labor market information and focus groups, the South Shore Workforce Board was able to produce a document that not only promotes manufacturing but also helps to change the perception of manufacturing in the public realm.  </w:t>
            </w:r>
            <w:r w:rsidR="0079527E" w:rsidRPr="0079527E">
              <w:t>Changing the perception and awareness of careers in Manufacturing will continue</w:t>
            </w:r>
            <w:r w:rsidR="006A0430">
              <w:t xml:space="preserve"> as t</w:t>
            </w:r>
            <w:r w:rsidR="0079527E" w:rsidRPr="0079527E">
              <w:t xml:space="preserve">he Executive Office of Housing and Economic Development </w:t>
            </w:r>
            <w:r w:rsidR="006A0430">
              <w:t>ha</w:t>
            </w:r>
            <w:r w:rsidR="0079527E" w:rsidRPr="0079527E">
              <w:t>s allocated funds for the SE Region to rebrand manufacturing and reinvigorate the industry consortium by creating a new website from SMAMC to SAMCnetwork.org. This is intended to be a one-stop-shop and portal for manufacturers</w:t>
            </w:r>
            <w:r w:rsidR="006A0430">
              <w:t xml:space="preserve">, </w:t>
            </w:r>
            <w:proofErr w:type="gramStart"/>
            <w:r w:rsidR="006A0430">
              <w:t>educators</w:t>
            </w:r>
            <w:proofErr w:type="gramEnd"/>
            <w:r w:rsidR="006A0430">
              <w:t xml:space="preserve"> and the workforce system.</w:t>
            </w:r>
          </w:p>
          <w:p w14:paraId="32554C93" w14:textId="0AE2F16F" w:rsidR="0051379D" w:rsidRPr="0051379D" w:rsidRDefault="0051379D" w:rsidP="0051379D">
            <w:pPr>
              <w:pStyle w:val="PlainText"/>
            </w:pPr>
          </w:p>
          <w:p w14:paraId="2BC61DBC" w14:textId="52B0DBF5" w:rsidR="0079527E" w:rsidRPr="0079527E" w:rsidRDefault="0051379D" w:rsidP="0079527E">
            <w:pPr>
              <w:pStyle w:val="PlainText"/>
            </w:pPr>
            <w:r w:rsidRPr="0051379D">
              <w:t>In addition to acquiring these direct resources to the Workforce Boards in the region, the Boards have also participated in bringing in additional resources for our partners. In each region, the Workforce Boards have submitted letters of support along with labor market information for post-secondary chapter 74 approved programs and Capital Skills proposals including a group endorsement for the Aviation program at Bridgewater State University.</w:t>
            </w:r>
            <w:r w:rsidR="0079527E" w:rsidRPr="00D24FE3">
              <w:rPr>
                <w:color w:val="FF0000"/>
              </w:rPr>
              <w:t xml:space="preserve"> </w:t>
            </w:r>
            <w:r w:rsidR="0079527E" w:rsidRPr="0079527E">
              <w:t>This extends to New Bedford’s Vocational Technical school Aviation program that is about to be a full Chapter 74 program as well.</w:t>
            </w:r>
          </w:p>
          <w:p w14:paraId="51B33971" w14:textId="6A6F80E6" w:rsidR="0051379D" w:rsidRPr="0051379D" w:rsidRDefault="0051379D" w:rsidP="0051379D">
            <w:pPr>
              <w:pStyle w:val="PlainText"/>
            </w:pPr>
          </w:p>
          <w:p w14:paraId="3C3A5228" w14:textId="43CDC2E2" w:rsidR="0079527E" w:rsidRPr="0079527E" w:rsidRDefault="0051379D" w:rsidP="0079527E">
            <w:pPr>
              <w:pStyle w:val="PlainText"/>
            </w:pPr>
            <w:r w:rsidRPr="0051379D">
              <w:t xml:space="preserve">Crossing industries, additional resources were brought into the region by the Greater New Bedford Workforce Board to develop an apprenticeship program, responding to the development of the pipeline in industries that are in demand in our </w:t>
            </w:r>
            <w:r w:rsidRPr="0079527E">
              <w:t>region.</w:t>
            </w:r>
            <w:r w:rsidR="0079527E" w:rsidRPr="0079527E">
              <w:t xml:space="preserve"> The Office of Labor and Workforce Development issued an RFP for the Apprentice Innovation Program. New Bedford applied and was awarded funds to develop an apprenticeship program, responding to the development of the pipeline in industries that are in demand in our region. The Executive Office Housing and Economic Development saw the importance of this initiative and allocated repurposed funds to place apprentice liaisons in the other areas of the SE to do the same and to work collaboratively with the New Bedford’s Apprenticeship Integration Manager.  Additional manufacturing funds were used to procure two virtual welders for adults to learn and practice </w:t>
            </w:r>
            <w:proofErr w:type="spellStart"/>
            <w:r w:rsidR="0079527E" w:rsidRPr="0079527E">
              <w:t>mig</w:t>
            </w:r>
            <w:proofErr w:type="spellEnd"/>
            <w:r w:rsidR="0079527E" w:rsidRPr="0079527E">
              <w:t>, tig, arc and stick welding and is an investment that will be utilized long into the future as the skill set is widely needed across many manufacturing industries.</w:t>
            </w:r>
          </w:p>
          <w:p w14:paraId="60B68BE4" w14:textId="246EA572" w:rsidR="0051379D" w:rsidRPr="0051379D" w:rsidRDefault="0051379D" w:rsidP="0051379D">
            <w:pPr>
              <w:pStyle w:val="PlainText"/>
            </w:pPr>
          </w:p>
          <w:p w14:paraId="62E6D933" w14:textId="77777777" w:rsidR="0051379D" w:rsidRPr="0051379D" w:rsidRDefault="0051379D" w:rsidP="0051379D">
            <w:pPr>
              <w:pStyle w:val="PlainText"/>
            </w:pPr>
            <w:r w:rsidRPr="0051379D">
              <w:lastRenderedPageBreak/>
              <w:t>Bristol recently worked with two school districts in its region to support the submission of Career Technical Initiative Planning grant designed to expand capacity of two vocational programs for comprehensive high school students.</w:t>
            </w:r>
          </w:p>
          <w:p w14:paraId="30CFA309" w14:textId="3CFB5393" w:rsidR="00C63EC6" w:rsidRPr="00D0661C" w:rsidRDefault="00C63EC6" w:rsidP="00C63EC6">
            <w:pPr>
              <w:pStyle w:val="PlainText"/>
              <w:rPr>
                <w:rFonts w:eastAsia="Times New Roman" w:cstheme="minorHAnsi"/>
                <w:szCs w:val="22"/>
              </w:rPr>
            </w:pPr>
          </w:p>
        </w:tc>
      </w:tr>
      <w:tr w:rsidR="0051379D" w:rsidRPr="00D0661C" w14:paraId="056A5379" w14:textId="77777777" w:rsidTr="00F13EBA">
        <w:trPr>
          <w:trHeight w:val="1178"/>
          <w:jc w:val="center"/>
        </w:trPr>
        <w:tc>
          <w:tcPr>
            <w:tcW w:w="10530" w:type="dxa"/>
            <w:shd w:val="clear" w:color="auto" w:fill="auto"/>
          </w:tcPr>
          <w:p w14:paraId="37F6E503" w14:textId="77777777" w:rsidR="0051379D" w:rsidRPr="0051379D" w:rsidRDefault="0051379D" w:rsidP="0051379D">
            <w:pPr>
              <w:rPr>
                <w:rFonts w:eastAsia="Times New Roman" w:cstheme="minorHAnsi"/>
                <w:b/>
                <w:szCs w:val="22"/>
              </w:rPr>
            </w:pPr>
            <w:r w:rsidRPr="0051379D">
              <w:rPr>
                <w:rFonts w:eastAsia="Times New Roman" w:cstheme="minorHAnsi"/>
                <w:b/>
                <w:szCs w:val="22"/>
              </w:rPr>
              <w:lastRenderedPageBreak/>
              <w:t xml:space="preserve">Resource Allocation. </w:t>
            </w:r>
          </w:p>
          <w:p w14:paraId="15BC6BA6" w14:textId="63D4A32E" w:rsidR="0051379D" w:rsidRPr="0051379D" w:rsidRDefault="0051379D" w:rsidP="0051379D">
            <w:pPr>
              <w:pStyle w:val="PlainText"/>
            </w:pPr>
            <w:r w:rsidRPr="0051379D">
              <w:t xml:space="preserve">The region, individually and collectively, have recognized priority industries and directed funds to meet that need.  For example, utilizing Connecting Activities funds from the Department of Elementary and Secondary Education into STEM events that include awareness in manufacturing, healthcare and information technology.  In addition, securing additional Connecting Activities resources from DESE has allowed the Board to develop multiple teacher externships in our priority industry clusters in order to ensure current skills required by businesses in those industries are integrated into the classroom. In addition to specific grant allocations designed to promote priority industries, Workforce Boards have utilized Wagner Pysner funding to supplement occupational training.  Examples of this funding would include adding the customer service training </w:t>
            </w:r>
            <w:r w:rsidR="006A0430">
              <w:t xml:space="preserve">added </w:t>
            </w:r>
            <w:r w:rsidRPr="0051379D">
              <w:t xml:space="preserve">onto occupational training in manufacturing or banking, </w:t>
            </w:r>
            <w:proofErr w:type="gramStart"/>
            <w:r w:rsidRPr="0051379D">
              <w:t>and also</w:t>
            </w:r>
            <w:proofErr w:type="gramEnd"/>
            <w:r w:rsidRPr="0051379D">
              <w:t xml:space="preserve"> by using Wagner Pysner funds to add an Alzheimer’s unit and CPR training to the Certified Nursing Assistant occupation.</w:t>
            </w:r>
          </w:p>
          <w:p w14:paraId="787A84AF" w14:textId="77777777" w:rsidR="0051379D" w:rsidRPr="0051379D" w:rsidRDefault="0051379D" w:rsidP="0051379D">
            <w:pPr>
              <w:pStyle w:val="PlainText"/>
            </w:pPr>
          </w:p>
          <w:p w14:paraId="0AD48D90" w14:textId="77777777" w:rsidR="0051379D" w:rsidRDefault="0051379D" w:rsidP="00207B31">
            <w:pPr>
              <w:pStyle w:val="PlainText"/>
            </w:pPr>
            <w:r w:rsidRPr="0051379D">
              <w:t xml:space="preserve">WIOA funds have also been highlighted for utilization and priority areas through the development of Individual Training Accounts (ITA) at each WB. These ITA’s have directed individuals to training in </w:t>
            </w:r>
            <w:proofErr w:type="gramStart"/>
            <w:r w:rsidRPr="0051379D">
              <w:t>all of</w:t>
            </w:r>
            <w:proofErr w:type="gramEnd"/>
            <w:r w:rsidRPr="0051379D">
              <w:t xml:space="preserve"> our priority areas and critical industries including professions that are on the cusp such as Photonics and Cybersecurity. </w:t>
            </w:r>
          </w:p>
          <w:p w14:paraId="343F8F54" w14:textId="5F563FA5" w:rsidR="00207B31" w:rsidRPr="00207B31" w:rsidRDefault="00207B31" w:rsidP="00207B31">
            <w:pPr>
              <w:pStyle w:val="PlainText"/>
            </w:pPr>
          </w:p>
        </w:tc>
      </w:tr>
      <w:tr w:rsidR="0051379D" w:rsidRPr="00D0661C" w14:paraId="7BAED963" w14:textId="77777777" w:rsidTr="00767D14">
        <w:trPr>
          <w:trHeight w:val="1178"/>
          <w:jc w:val="center"/>
        </w:trPr>
        <w:tc>
          <w:tcPr>
            <w:tcW w:w="10530" w:type="dxa"/>
            <w:shd w:val="clear" w:color="auto" w:fill="DEEAF6" w:themeFill="accent1" w:themeFillTint="33"/>
          </w:tcPr>
          <w:p w14:paraId="5B110725" w14:textId="77777777" w:rsidR="0051379D" w:rsidRPr="00D0661C" w:rsidRDefault="0051379D" w:rsidP="0051379D">
            <w:pPr>
              <w:rPr>
                <w:rFonts w:eastAsia="Times New Roman" w:cstheme="minorHAnsi"/>
                <w:b/>
                <w:szCs w:val="22"/>
                <w:u w:val="single"/>
              </w:rPr>
            </w:pPr>
            <w:r>
              <w:rPr>
                <w:rFonts w:eastAsia="Times New Roman" w:cstheme="minorHAnsi"/>
                <w:b/>
                <w:szCs w:val="22"/>
                <w:u w:val="single"/>
              </w:rPr>
              <w:t>Expanding Pipelines</w:t>
            </w:r>
          </w:p>
          <w:p w14:paraId="374C0D81" w14:textId="77777777" w:rsidR="0051379D" w:rsidRPr="00D0661C" w:rsidRDefault="0051379D" w:rsidP="0051379D">
            <w:pPr>
              <w:rPr>
                <w:rFonts w:eastAsia="Times New Roman" w:cstheme="minorHAnsi"/>
                <w:szCs w:val="22"/>
              </w:rPr>
            </w:pPr>
            <w:r>
              <w:rPr>
                <w:rFonts w:eastAsia="Times New Roman" w:cstheme="minorHAnsi"/>
                <w:szCs w:val="22"/>
              </w:rPr>
              <w:t>Identify your efforts to</w:t>
            </w:r>
            <w:r w:rsidRPr="00D0661C">
              <w:rPr>
                <w:rFonts w:eastAsia="Times New Roman" w:cstheme="minorHAnsi"/>
                <w:szCs w:val="22"/>
              </w:rPr>
              <w:t xml:space="preserve"> meet training and employment needs of priority industry sectors and occupations in your region.</w:t>
            </w:r>
            <w:r>
              <w:rPr>
                <w:rFonts w:eastAsia="Times New Roman" w:cstheme="minorHAnsi"/>
                <w:szCs w:val="22"/>
              </w:rPr>
              <w:t xml:space="preserve"> (See Appendix E for additional detail.)</w:t>
            </w:r>
          </w:p>
        </w:tc>
      </w:tr>
      <w:tr w:rsidR="0051379D" w:rsidRPr="00D0661C" w14:paraId="6E0F759B" w14:textId="77777777" w:rsidTr="00F13EBA">
        <w:trPr>
          <w:trHeight w:val="1178"/>
          <w:jc w:val="center"/>
        </w:trPr>
        <w:tc>
          <w:tcPr>
            <w:tcW w:w="10530" w:type="dxa"/>
            <w:shd w:val="clear" w:color="auto" w:fill="auto"/>
          </w:tcPr>
          <w:p w14:paraId="2FFB5C29" w14:textId="42E22975" w:rsidR="0051379D" w:rsidRDefault="0051379D" w:rsidP="0051379D">
            <w:pPr>
              <w:rPr>
                <w:rFonts w:eastAsia="Times New Roman" w:cstheme="minorHAnsi"/>
                <w:b/>
                <w:szCs w:val="22"/>
              </w:rPr>
            </w:pPr>
            <w:r>
              <w:rPr>
                <w:rFonts w:eastAsia="Times New Roman" w:cstheme="minorHAnsi"/>
                <w:b/>
                <w:szCs w:val="22"/>
              </w:rPr>
              <w:t>Pipeline Expansion</w:t>
            </w:r>
            <w:r w:rsidRPr="00D0661C">
              <w:rPr>
                <w:rFonts w:eastAsia="Times New Roman" w:cstheme="minorHAnsi"/>
                <w:b/>
                <w:szCs w:val="22"/>
              </w:rPr>
              <w:t xml:space="preserve">. </w:t>
            </w:r>
          </w:p>
          <w:p w14:paraId="26217EF0" w14:textId="49056216" w:rsidR="0051379D" w:rsidRPr="00D0661C" w:rsidRDefault="00E939B7" w:rsidP="0051379D">
            <w:pPr>
              <w:pStyle w:val="PlainText"/>
              <w:rPr>
                <w:rFonts w:eastAsia="Times New Roman" w:cstheme="minorHAnsi"/>
                <w:szCs w:val="22"/>
              </w:rPr>
            </w:pPr>
            <w:r>
              <w:t>To expand the pipeline in our priority industries we provided training region wide in a variety of areas. In healthcare we completed training for 28 Certified Nursing Assistants, in Banking and Insurance we trained 30 individuals as Universal Bankers</w:t>
            </w:r>
            <w:r w:rsidR="0079527E">
              <w:t xml:space="preserve"> and </w:t>
            </w:r>
            <w:r>
              <w:t>10 individuals as Paraprofessionals</w:t>
            </w:r>
            <w:r w:rsidR="0079527E">
              <w:t>.</w:t>
            </w:r>
            <w:r>
              <w:t xml:space="preserve"> The region also funded priority and critical occupations through individual training accounts, such as Commercial Driver’s License, Web Design &amp; Networking and computer programming</w:t>
            </w:r>
            <w:r w:rsidRPr="00E939B7">
              <w:t xml:space="preserve">.  The MassHire Bristol Workforce Board emphasized the need to align its Individual Training Account resources to support pipeline development in priority industries.  More specifically, 55% (49 in total) of its ITA enrollments.  Additionally, 15% fell within financial services, IT and construction related training. Finally, 27 individuals were trained in CDL through ITAs. The region utilized Year-Round YouthWorks funding to train 8 at-risk youth in welding and metal fabrication to help meet the needs of area manufacturers.  </w:t>
            </w:r>
          </w:p>
        </w:tc>
      </w:tr>
      <w:tr w:rsidR="0051379D" w:rsidRPr="00D0661C" w14:paraId="40FB35FE" w14:textId="77777777" w:rsidTr="00F13EBA">
        <w:trPr>
          <w:trHeight w:val="1178"/>
          <w:jc w:val="center"/>
        </w:trPr>
        <w:tc>
          <w:tcPr>
            <w:tcW w:w="10530" w:type="dxa"/>
            <w:shd w:val="clear" w:color="auto" w:fill="auto"/>
          </w:tcPr>
          <w:p w14:paraId="621FB2E4" w14:textId="26292420" w:rsidR="0051379D" w:rsidRDefault="0051379D" w:rsidP="0051379D">
            <w:pPr>
              <w:rPr>
                <w:rFonts w:eastAsia="Times New Roman" w:cstheme="minorHAnsi"/>
                <w:b/>
                <w:szCs w:val="22"/>
              </w:rPr>
            </w:pPr>
            <w:r>
              <w:rPr>
                <w:rFonts w:eastAsia="Times New Roman" w:cstheme="minorHAnsi"/>
                <w:b/>
                <w:szCs w:val="22"/>
              </w:rPr>
              <w:t>Pipeline Improvement</w:t>
            </w:r>
            <w:r w:rsidRPr="00D0661C">
              <w:rPr>
                <w:rFonts w:eastAsia="Times New Roman" w:cstheme="minorHAnsi"/>
                <w:b/>
                <w:szCs w:val="22"/>
              </w:rPr>
              <w:t xml:space="preserve">. </w:t>
            </w:r>
          </w:p>
          <w:p w14:paraId="54D5D528" w14:textId="51AC2639" w:rsidR="0079527E" w:rsidRPr="0079527E" w:rsidRDefault="0051379D" w:rsidP="0079527E">
            <w:pPr>
              <w:pStyle w:val="NoSpacing"/>
              <w:rPr>
                <w:rFonts w:ascii="Garamond" w:hAnsi="Garamond" w:cs="Times New Roman"/>
                <w:sz w:val="24"/>
                <w:szCs w:val="24"/>
                <w:bdr w:val="none" w:sz="0" w:space="0" w:color="auto" w:frame="1"/>
              </w:rPr>
            </w:pPr>
            <w:r w:rsidRPr="00207B31">
              <w:rPr>
                <w:rFonts w:ascii="Garamond" w:hAnsi="Garamond"/>
                <w:sz w:val="24"/>
                <w:szCs w:val="24"/>
              </w:rPr>
              <w:t xml:space="preserve">We have expanded the pipeline through incumbent training in </w:t>
            </w:r>
            <w:r w:rsidR="0079527E" w:rsidRPr="00207B31">
              <w:rPr>
                <w:rFonts w:ascii="Garamond" w:hAnsi="Garamond"/>
                <w:sz w:val="24"/>
                <w:szCs w:val="24"/>
              </w:rPr>
              <w:t xml:space="preserve">139 in </w:t>
            </w:r>
            <w:r w:rsidRPr="00207B31">
              <w:rPr>
                <w:rFonts w:ascii="Garamond" w:hAnsi="Garamond"/>
                <w:sz w:val="24"/>
                <w:szCs w:val="24"/>
              </w:rPr>
              <w:t>manufacturing</w:t>
            </w:r>
            <w:r w:rsidR="0079527E" w:rsidRPr="00207B31">
              <w:rPr>
                <w:rFonts w:ascii="Garamond" w:hAnsi="Garamond"/>
                <w:sz w:val="24"/>
                <w:szCs w:val="24"/>
              </w:rPr>
              <w:t xml:space="preserve"> and 15 in </w:t>
            </w:r>
            <w:r w:rsidRPr="00207B31">
              <w:rPr>
                <w:rFonts w:ascii="Garamond" w:hAnsi="Garamond"/>
                <w:sz w:val="24"/>
                <w:szCs w:val="24"/>
              </w:rPr>
              <w:t>Customer Service</w:t>
            </w:r>
            <w:r w:rsidR="0079527E" w:rsidRPr="00207B31">
              <w:rPr>
                <w:rFonts w:ascii="Garamond" w:hAnsi="Garamond"/>
                <w:sz w:val="24"/>
                <w:szCs w:val="24"/>
              </w:rPr>
              <w:t>.</w:t>
            </w:r>
            <w:r w:rsidRPr="00207B31">
              <w:rPr>
                <w:rFonts w:ascii="Garamond" w:hAnsi="Garamond"/>
                <w:sz w:val="24"/>
                <w:szCs w:val="24"/>
              </w:rPr>
              <w:t xml:space="preserve"> We are also servicing incumbent workers through collaborations region-wide on various workforce training fund applications and awards.</w:t>
            </w:r>
            <w:r w:rsidR="0079527E" w:rsidRPr="00207B31">
              <w:rPr>
                <w:rFonts w:ascii="Garamond" w:hAnsi="Garamond"/>
                <w:sz w:val="24"/>
                <w:szCs w:val="24"/>
              </w:rPr>
              <w:t xml:space="preserve">  </w:t>
            </w:r>
            <w:r w:rsidR="00207B31" w:rsidRPr="00207B31">
              <w:rPr>
                <w:rFonts w:ascii="Garamond" w:hAnsi="Garamond"/>
                <w:sz w:val="24"/>
                <w:szCs w:val="24"/>
              </w:rPr>
              <w:t xml:space="preserve">Greater </w:t>
            </w:r>
            <w:r w:rsidR="0079527E" w:rsidRPr="00207B31">
              <w:rPr>
                <w:rFonts w:ascii="Garamond" w:hAnsi="Garamond"/>
                <w:sz w:val="24"/>
                <w:szCs w:val="24"/>
              </w:rPr>
              <w:t xml:space="preserve">New Bedford is working with </w:t>
            </w:r>
            <w:r w:rsidR="0079527E" w:rsidRPr="00207B31">
              <w:rPr>
                <w:rFonts w:ascii="Garamond" w:hAnsi="Garamond" w:cs="Times New Roman"/>
                <w:sz w:val="24"/>
                <w:szCs w:val="24"/>
                <w:bdr w:val="none" w:sz="0" w:space="0" w:color="auto" w:frame="1"/>
              </w:rPr>
              <w:t>Mass Clean Energy Center (Mass CEC)</w:t>
            </w:r>
            <w:r w:rsidR="0079527E" w:rsidRPr="00207B31">
              <w:rPr>
                <w:rFonts w:ascii="Garamond" w:hAnsi="Garamond"/>
                <w:sz w:val="24"/>
                <w:szCs w:val="24"/>
              </w:rPr>
              <w:t xml:space="preserve"> to develop </w:t>
            </w:r>
            <w:proofErr w:type="gramStart"/>
            <w:r w:rsidR="0079527E" w:rsidRPr="00207B31">
              <w:rPr>
                <w:rFonts w:ascii="Garamond" w:hAnsi="Garamond"/>
                <w:sz w:val="24"/>
                <w:szCs w:val="24"/>
              </w:rPr>
              <w:t>Off Shore</w:t>
            </w:r>
            <w:proofErr w:type="gramEnd"/>
            <w:r w:rsidR="0079527E" w:rsidRPr="00207B31">
              <w:rPr>
                <w:rFonts w:ascii="Garamond" w:hAnsi="Garamond"/>
                <w:sz w:val="24"/>
                <w:szCs w:val="24"/>
              </w:rPr>
              <w:t xml:space="preserve"> Wind awareness and training modules and curriculum for wind.</w:t>
            </w:r>
            <w:r w:rsidR="0079527E" w:rsidRPr="00207B31">
              <w:rPr>
                <w:rFonts w:ascii="Garamond" w:hAnsi="Garamond" w:cs="Times New Roman"/>
                <w:sz w:val="24"/>
                <w:szCs w:val="24"/>
                <w:bdr w:val="none" w:sz="0" w:space="0" w:color="auto" w:frame="1"/>
              </w:rPr>
              <w:t xml:space="preserve"> With the </w:t>
            </w:r>
            <w:r w:rsidR="0079527E" w:rsidRPr="00207B31">
              <w:rPr>
                <w:rFonts w:ascii="Garamond" w:hAnsi="Garamond" w:cs="Times New Roman"/>
                <w:sz w:val="24"/>
                <w:szCs w:val="24"/>
                <w:bdr w:val="none" w:sz="0" w:space="0" w:color="auto" w:frame="1"/>
              </w:rPr>
              <w:lastRenderedPageBreak/>
              <w:t>advent of COVID-19, the strategies and everyday structures that are usually in place have changed. In trying to provide</w:t>
            </w:r>
            <w:r w:rsidR="0079527E" w:rsidRPr="0079527E">
              <w:rPr>
                <w:rFonts w:ascii="Garamond" w:hAnsi="Garamond" w:cs="Times New Roman"/>
                <w:sz w:val="24"/>
                <w:szCs w:val="24"/>
                <w:bdr w:val="none" w:sz="0" w:space="0" w:color="auto" w:frame="1"/>
              </w:rPr>
              <w:t xml:space="preserve"> opportunities and growth for the youth/students in our </w:t>
            </w:r>
            <w:r w:rsidR="00207B31">
              <w:rPr>
                <w:rFonts w:ascii="Garamond" w:hAnsi="Garamond" w:cs="Times New Roman"/>
                <w:sz w:val="24"/>
                <w:szCs w:val="24"/>
                <w:bdr w:val="none" w:sz="0" w:space="0" w:color="auto" w:frame="1"/>
              </w:rPr>
              <w:t>r</w:t>
            </w:r>
            <w:r w:rsidR="0079527E" w:rsidRPr="0079527E">
              <w:rPr>
                <w:rFonts w:ascii="Garamond" w:hAnsi="Garamond" w:cs="Times New Roman"/>
                <w:sz w:val="24"/>
                <w:szCs w:val="24"/>
                <w:bdr w:val="none" w:sz="0" w:space="0" w:color="auto" w:frame="1"/>
              </w:rPr>
              <w:t xml:space="preserve">egion, the </w:t>
            </w:r>
            <w:proofErr w:type="spellStart"/>
            <w:r w:rsidR="0079527E" w:rsidRPr="0079527E">
              <w:rPr>
                <w:rFonts w:ascii="Garamond" w:hAnsi="Garamond" w:cs="Times New Roman"/>
                <w:sz w:val="24"/>
                <w:szCs w:val="24"/>
                <w:bdr w:val="none" w:sz="0" w:space="0" w:color="auto" w:frame="1"/>
              </w:rPr>
              <w:t>Board</w:t>
            </w:r>
            <w:r w:rsidR="00207B31">
              <w:rPr>
                <w:rFonts w:ascii="Garamond" w:hAnsi="Garamond" w:cs="Times New Roman"/>
                <w:sz w:val="24"/>
                <w:szCs w:val="24"/>
                <w:bdr w:val="none" w:sz="0" w:space="0" w:color="auto" w:frame="1"/>
              </w:rPr>
              <w:t>’s</w:t>
            </w:r>
            <w:proofErr w:type="spellEnd"/>
            <w:r w:rsidR="00207B31">
              <w:rPr>
                <w:rFonts w:ascii="Garamond" w:hAnsi="Garamond" w:cs="Times New Roman"/>
                <w:sz w:val="24"/>
                <w:szCs w:val="24"/>
                <w:bdr w:val="none" w:sz="0" w:space="0" w:color="auto" w:frame="1"/>
              </w:rPr>
              <w:t xml:space="preserve"> are</w:t>
            </w:r>
            <w:r w:rsidR="0079527E" w:rsidRPr="0079527E">
              <w:rPr>
                <w:rFonts w:ascii="Garamond" w:hAnsi="Garamond" w:cs="Times New Roman"/>
                <w:sz w:val="24"/>
                <w:szCs w:val="24"/>
                <w:bdr w:val="none" w:sz="0" w:space="0" w:color="auto" w:frame="1"/>
              </w:rPr>
              <w:t xml:space="preserve"> extremely cognizant of our need to adapt to an ever-changing landscape in education as well as career opportunities. </w:t>
            </w:r>
          </w:p>
          <w:p w14:paraId="3A49EC4E" w14:textId="1C0CD7B8" w:rsidR="0051379D" w:rsidRPr="00E0060C" w:rsidRDefault="0051379D" w:rsidP="0051379D">
            <w:pPr>
              <w:pStyle w:val="PlainText"/>
            </w:pPr>
          </w:p>
        </w:tc>
      </w:tr>
      <w:tr w:rsidR="0051379D" w:rsidRPr="00D0661C" w14:paraId="149C16B0" w14:textId="77777777" w:rsidTr="00093DF5">
        <w:trPr>
          <w:trHeight w:val="1178"/>
          <w:jc w:val="center"/>
        </w:trPr>
        <w:tc>
          <w:tcPr>
            <w:tcW w:w="10530" w:type="dxa"/>
            <w:shd w:val="clear" w:color="auto" w:fill="DEEAF6" w:themeFill="accent1" w:themeFillTint="33"/>
          </w:tcPr>
          <w:p w14:paraId="005319F5" w14:textId="77777777" w:rsidR="0051379D" w:rsidRPr="00D0661C" w:rsidRDefault="0051379D" w:rsidP="0051379D">
            <w:pPr>
              <w:rPr>
                <w:rFonts w:eastAsia="Times New Roman" w:cstheme="minorHAnsi"/>
                <w:b/>
                <w:szCs w:val="22"/>
                <w:u w:val="single"/>
              </w:rPr>
            </w:pPr>
            <w:r w:rsidRPr="00D0661C">
              <w:rPr>
                <w:rFonts w:eastAsia="Times New Roman" w:cstheme="minorHAnsi"/>
                <w:b/>
                <w:szCs w:val="22"/>
                <w:u w:val="single"/>
              </w:rPr>
              <w:lastRenderedPageBreak/>
              <w:t>Shared Strategies</w:t>
            </w:r>
          </w:p>
          <w:p w14:paraId="0F1786D3" w14:textId="77777777" w:rsidR="0051379D" w:rsidRPr="00D0661C" w:rsidRDefault="0051379D" w:rsidP="0051379D">
            <w:pPr>
              <w:rPr>
                <w:rFonts w:eastAsia="Times New Roman" w:cstheme="minorHAnsi"/>
                <w:szCs w:val="22"/>
              </w:rPr>
            </w:pPr>
            <w:r w:rsidRPr="00D0661C">
              <w:rPr>
                <w:rFonts w:eastAsia="Times New Roman" w:cstheme="minorHAnsi"/>
                <w:szCs w:val="22"/>
              </w:rPr>
              <w:t>While each system may make changes in individual programming to align with the region’s priorities, all systems must commit to shared changes in the following areas, stated below. Describe how your region has worked collaboratively in the following two areas.</w:t>
            </w:r>
          </w:p>
        </w:tc>
      </w:tr>
      <w:tr w:rsidR="0051379D" w:rsidRPr="00D0661C" w14:paraId="1F207B53" w14:textId="77777777" w:rsidTr="00093DF5">
        <w:trPr>
          <w:trHeight w:val="1178"/>
          <w:jc w:val="center"/>
        </w:trPr>
        <w:tc>
          <w:tcPr>
            <w:tcW w:w="10530" w:type="dxa"/>
            <w:shd w:val="clear" w:color="auto" w:fill="auto"/>
          </w:tcPr>
          <w:p w14:paraId="431F0B1A" w14:textId="47E20314" w:rsidR="0051379D" w:rsidRDefault="0051379D" w:rsidP="0051379D">
            <w:pPr>
              <w:rPr>
                <w:rFonts w:eastAsia="Times New Roman" w:cstheme="minorHAnsi"/>
                <w:b/>
                <w:szCs w:val="22"/>
              </w:rPr>
            </w:pPr>
            <w:r w:rsidRPr="00D0661C">
              <w:rPr>
                <w:rFonts w:eastAsia="Times New Roman" w:cstheme="minorHAnsi"/>
                <w:b/>
                <w:szCs w:val="22"/>
              </w:rPr>
              <w:t xml:space="preserve">Continuous Communication. </w:t>
            </w:r>
          </w:p>
          <w:p w14:paraId="14E60FD5" w14:textId="54434A13" w:rsidR="0051379D" w:rsidRDefault="0051379D" w:rsidP="0079527E">
            <w:pPr>
              <w:pStyle w:val="PlainText"/>
            </w:pPr>
            <w:r>
              <w:t>The Southeast region has many opportunities for communication and shared goals and implementation. In addition to monthly calls amongst the four Executive Directors, the intent for 2019 to 2020 was to meet with the core stakeholders quarterly and an open meeting to the region semiannually. In addition, the four Workforce Boards have a section on each independent website for the region, which not only lists the link to the other Boards but also to their activities. In addition, we have developed marketing tools to encourage employers and job seekers to look at their job search and employment activities on a wider geographical scope.</w:t>
            </w:r>
            <w:r w:rsidR="0079527E">
              <w:t xml:space="preserve">  </w:t>
            </w:r>
            <w:r w:rsidR="0079527E" w:rsidRPr="0079527E">
              <w:t>To fulfill pipeline and incumbent worker training the five workforce board areas including Cape &amp; Islands meet weekly to discuss training plans. The Executive Office of Housing and Economic Development awarded the SE Region 3.2 ML over a five-year period starting in FY19. The other areas in MA are also part of this grant with different funding amounts. The areas and Captains for each area include David Cruise-West Captain, Kelley French- Central Captain, Brian Norris-North East Captain and Donna Ramos-South East Captain. The Captains have been meeting monthly for the past 18 months to develop Gap Analysis and Demand as well as SWOT analysis. These meetings include EOLWD, DESE, Commonwealth Corporation, MassMEP and Mass Tech Collaborative staff for these deep dive meetings. These meetings extended an invite to the Advanced Manufacturing Collaborative (AMC) table.</w:t>
            </w:r>
          </w:p>
          <w:p w14:paraId="6C15E5DF" w14:textId="33F9E57F" w:rsidR="0079527E" w:rsidRPr="0079527E" w:rsidRDefault="0079527E" w:rsidP="0079527E">
            <w:pPr>
              <w:pStyle w:val="PlainText"/>
              <w:rPr>
                <w:color w:val="FF0000"/>
              </w:rPr>
            </w:pPr>
          </w:p>
        </w:tc>
      </w:tr>
      <w:tr w:rsidR="00E939B7" w:rsidRPr="00D0661C" w14:paraId="362C59C5" w14:textId="77777777" w:rsidTr="00093DF5">
        <w:trPr>
          <w:trHeight w:val="1178"/>
          <w:jc w:val="center"/>
        </w:trPr>
        <w:tc>
          <w:tcPr>
            <w:tcW w:w="10530" w:type="dxa"/>
            <w:shd w:val="clear" w:color="auto" w:fill="auto"/>
          </w:tcPr>
          <w:p w14:paraId="56AF88F2" w14:textId="77777777" w:rsidR="00E939B7" w:rsidRPr="00E939B7" w:rsidRDefault="00E939B7" w:rsidP="00E939B7">
            <w:pPr>
              <w:rPr>
                <w:rFonts w:eastAsia="Times New Roman" w:cstheme="minorHAnsi"/>
                <w:b/>
                <w:szCs w:val="22"/>
              </w:rPr>
            </w:pPr>
            <w:r w:rsidRPr="00E939B7">
              <w:rPr>
                <w:rFonts w:eastAsia="Times New Roman" w:cstheme="minorHAnsi"/>
                <w:b/>
                <w:szCs w:val="22"/>
              </w:rPr>
              <w:t xml:space="preserve">Shared Measurement Systems. </w:t>
            </w:r>
          </w:p>
          <w:p w14:paraId="27257D70" w14:textId="77777777" w:rsidR="00E939B7" w:rsidRPr="00E939B7" w:rsidRDefault="00E939B7" w:rsidP="00E939B7">
            <w:pPr>
              <w:pStyle w:val="PlainText"/>
            </w:pPr>
            <w:r w:rsidRPr="00E939B7">
              <w:t xml:space="preserve">Due to varied and often changing data systems among partners across the skills cabinet, it is challenging to fully integrate and share measurement systems.  However, as a region we avail ourselves to a variety of different data tools. For labor market information, Burning Glass, Bureau of Labor Statistics, Executive Office of Labor and Workforce Development have been some of the resources that we have accessed tools for information. Ground level information has been obtained through focus groups (manufacturing and banking and finance), industry specific surveys through survey monkey and collaborations with associations and industry experts.  By developing and sharing this information with our partners in economic development and education, we can add the Comprehensive Economic Development Survey (CEDS) and information from IPEDS to complete the picture in developing trends and expectations for the workforce system.  We have, where possible, attempted to increase alignment in measurement of outcomes.  For example, increased efforts have been made to share credential attainment and employment data with our Adult Basic Education partners.  </w:t>
            </w:r>
          </w:p>
          <w:p w14:paraId="2A706DAD" w14:textId="77777777" w:rsidR="00E939B7" w:rsidRPr="00E939B7" w:rsidRDefault="00E939B7" w:rsidP="00E939B7">
            <w:pPr>
              <w:rPr>
                <w:rFonts w:eastAsia="Times New Roman" w:cstheme="minorHAnsi"/>
                <w:szCs w:val="22"/>
              </w:rPr>
            </w:pPr>
          </w:p>
        </w:tc>
      </w:tr>
      <w:tr w:rsidR="00E939B7" w:rsidRPr="00D0661C" w14:paraId="06D83F67" w14:textId="77777777" w:rsidTr="00093DF5">
        <w:trPr>
          <w:trHeight w:val="1178"/>
          <w:jc w:val="center"/>
        </w:trPr>
        <w:tc>
          <w:tcPr>
            <w:tcW w:w="10530" w:type="dxa"/>
            <w:shd w:val="clear" w:color="auto" w:fill="auto"/>
          </w:tcPr>
          <w:p w14:paraId="294FDA05" w14:textId="5CEB9E9D" w:rsidR="00E939B7" w:rsidRPr="00E0060C" w:rsidRDefault="00E939B7" w:rsidP="00E939B7">
            <w:pPr>
              <w:rPr>
                <w:rFonts w:ascii="Garamond" w:eastAsia="Times New Roman" w:hAnsi="Garamond" w:cstheme="minorHAnsi"/>
                <w:b/>
                <w:sz w:val="24"/>
                <w:szCs w:val="24"/>
              </w:rPr>
            </w:pPr>
            <w:r w:rsidRPr="00E0060C">
              <w:rPr>
                <w:rFonts w:ascii="Garamond" w:eastAsia="Times New Roman" w:hAnsi="Garamond" w:cstheme="minorHAnsi"/>
                <w:b/>
                <w:sz w:val="24"/>
                <w:szCs w:val="24"/>
              </w:rPr>
              <w:lastRenderedPageBreak/>
              <w:t xml:space="preserve">Other Shared Strategies. </w:t>
            </w:r>
          </w:p>
          <w:p w14:paraId="2E2C7ABB" w14:textId="77777777" w:rsidR="00E939B7" w:rsidRPr="00E0060C" w:rsidRDefault="00E939B7" w:rsidP="00E939B7">
            <w:pPr>
              <w:rPr>
                <w:rFonts w:ascii="Garamond" w:hAnsi="Garamond"/>
                <w:sz w:val="24"/>
                <w:szCs w:val="24"/>
              </w:rPr>
            </w:pPr>
            <w:r w:rsidRPr="00E0060C">
              <w:rPr>
                <w:rFonts w:ascii="Garamond" w:hAnsi="Garamond"/>
                <w:sz w:val="24"/>
                <w:szCs w:val="24"/>
              </w:rPr>
              <w:t xml:space="preserve">A series of sector strategies, </w:t>
            </w:r>
            <w:r w:rsidRPr="00E0060C">
              <w:rPr>
                <w:rFonts w:ascii="Garamond" w:hAnsi="Garamond"/>
                <w:color w:val="222222"/>
                <w:sz w:val="24"/>
                <w:szCs w:val="24"/>
                <w:shd w:val="clear" w:color="auto" w:fill="FFFFFF"/>
              </w:rPr>
              <w:t>partnerships between employers, economic development, workforce systems, and community organizations to identify and address workforce needs, were</w:t>
            </w:r>
            <w:r w:rsidRPr="00E0060C">
              <w:rPr>
                <w:rFonts w:ascii="Garamond" w:hAnsi="Garamond"/>
                <w:sz w:val="24"/>
                <w:szCs w:val="24"/>
              </w:rPr>
              <w:t xml:space="preserve"> developed by the MHSSWB. These strategies align with the priority sectors established in the 2018 regional blueprint. </w:t>
            </w:r>
            <w:r w:rsidRPr="00E0060C">
              <w:rPr>
                <w:rFonts w:ascii="Garamond" w:hAnsi="Garamond"/>
                <w:color w:val="333333"/>
                <w:sz w:val="24"/>
                <w:szCs w:val="24"/>
              </w:rPr>
              <w:t xml:space="preserve">These sector strategies are developing career pathways for incumbent workers, and job seekers, aligned with the needs of industry, people can become and remain employed, and industries can continue to grow. Sector strategies allow for as </w:t>
            </w:r>
            <w:r w:rsidRPr="00E0060C">
              <w:rPr>
                <w:rFonts w:ascii="Garamond" w:hAnsi="Garamond"/>
                <w:sz w:val="24"/>
                <w:szCs w:val="24"/>
              </w:rPr>
              <w:t>emerging skill gaps across the economy as education and training systems fail to keep pace with employer demand for higher skills</w:t>
            </w:r>
          </w:p>
          <w:p w14:paraId="269150D0" w14:textId="77777777" w:rsidR="00E939B7" w:rsidRPr="00E0060C" w:rsidRDefault="00E939B7" w:rsidP="00E939B7">
            <w:pPr>
              <w:pStyle w:val="NormalWeb"/>
              <w:shd w:val="clear" w:color="auto" w:fill="FFFFFF"/>
              <w:spacing w:before="0" w:beforeAutospacing="0" w:after="150" w:afterAutospacing="0"/>
              <w:rPr>
                <w:rFonts w:ascii="Garamond" w:hAnsi="Garamond"/>
                <w:color w:val="333333"/>
                <w:sz w:val="24"/>
                <w:szCs w:val="24"/>
              </w:rPr>
            </w:pPr>
            <w:r w:rsidRPr="00E0060C">
              <w:rPr>
                <w:rFonts w:ascii="Garamond" w:hAnsi="Garamond"/>
                <w:color w:val="333333"/>
                <w:sz w:val="24"/>
                <w:szCs w:val="24"/>
              </w:rPr>
              <w:t xml:space="preserve">Sector strategies develop a focused, active partnership between businesses and those engaged in workforce development.  Through collaboration, industry needs for workers with specific skills, education, and credentials are identified and educational and training opportunities are established.  A long term plan for growth and readiness is the ultimate goal of a sector strategy; beyond immediately placing workers in jobs but to build regional talent pipelines, address skill shortages, and create meaningful career pathways for workers in priority and critical industry sectors. </w:t>
            </w:r>
          </w:p>
          <w:p w14:paraId="2FD5F4BC" w14:textId="77777777" w:rsidR="00E939B7" w:rsidRPr="00E0060C" w:rsidRDefault="00E939B7" w:rsidP="00E939B7">
            <w:pPr>
              <w:pStyle w:val="NormalWeb"/>
              <w:shd w:val="clear" w:color="auto" w:fill="FFFFFF"/>
              <w:spacing w:before="0" w:beforeAutospacing="0" w:after="150" w:afterAutospacing="0"/>
              <w:rPr>
                <w:rFonts w:ascii="Garamond" w:hAnsi="Garamond"/>
                <w:color w:val="333333"/>
                <w:sz w:val="24"/>
                <w:szCs w:val="24"/>
              </w:rPr>
            </w:pPr>
            <w:r w:rsidRPr="00E0060C">
              <w:rPr>
                <w:rFonts w:ascii="Garamond" w:hAnsi="Garamond"/>
                <w:color w:val="333333"/>
                <w:sz w:val="24"/>
                <w:szCs w:val="24"/>
              </w:rPr>
              <w:t xml:space="preserve">One of the materials produced in a sector strategy is a Career Pathway Guide to provide a high-level overview of the opportunities to enter into a career in a specific sector. The Career pathway guide offers </w:t>
            </w:r>
            <w:proofErr w:type="gramStart"/>
            <w:r w:rsidRPr="00E0060C">
              <w:rPr>
                <w:rFonts w:ascii="Garamond" w:hAnsi="Garamond"/>
                <w:color w:val="333333"/>
                <w:sz w:val="24"/>
                <w:szCs w:val="24"/>
              </w:rPr>
              <w:t>a  sequence</w:t>
            </w:r>
            <w:proofErr w:type="gramEnd"/>
            <w:r w:rsidRPr="00E0060C">
              <w:rPr>
                <w:rFonts w:ascii="Garamond" w:hAnsi="Garamond"/>
                <w:color w:val="333333"/>
                <w:sz w:val="24"/>
                <w:szCs w:val="24"/>
              </w:rPr>
              <w:t xml:space="preserve"> of educational coursework, work experience and/or training credentials that help a worker enter and occupational field, regardless of skills at the point of entry.</w:t>
            </w:r>
          </w:p>
          <w:p w14:paraId="3E1A9A7A" w14:textId="6F49AEB5" w:rsidR="00E939B7" w:rsidRPr="00E0060C" w:rsidRDefault="00E939B7" w:rsidP="00E939B7">
            <w:pPr>
              <w:pStyle w:val="NormalWeb"/>
              <w:shd w:val="clear" w:color="auto" w:fill="FFFFFF"/>
              <w:spacing w:before="0" w:beforeAutospacing="0" w:after="150" w:afterAutospacing="0"/>
              <w:rPr>
                <w:rFonts w:ascii="Garamond" w:hAnsi="Garamond"/>
                <w:color w:val="333333"/>
                <w:sz w:val="24"/>
                <w:szCs w:val="24"/>
              </w:rPr>
            </w:pPr>
            <w:r w:rsidRPr="00E0060C">
              <w:rPr>
                <w:rFonts w:ascii="Garamond" w:hAnsi="Garamond"/>
                <w:color w:val="333333"/>
                <w:sz w:val="24"/>
                <w:szCs w:val="24"/>
              </w:rPr>
              <w:t>In addition to the career pathway guide, priority sector strategies have the following supporting materials:</w:t>
            </w:r>
          </w:p>
          <w:p w14:paraId="1DA50D6B" w14:textId="77777777" w:rsidR="00E939B7" w:rsidRPr="00E0060C" w:rsidRDefault="00E939B7" w:rsidP="00E939B7">
            <w:pPr>
              <w:pStyle w:val="NormalWeb"/>
              <w:shd w:val="clear" w:color="auto" w:fill="FFFFFF"/>
              <w:spacing w:before="0" w:beforeAutospacing="0" w:after="0" w:afterAutospacing="0"/>
              <w:rPr>
                <w:rFonts w:ascii="Garamond" w:hAnsi="Garamond"/>
                <w:color w:val="333333"/>
                <w:sz w:val="24"/>
                <w:szCs w:val="24"/>
              </w:rPr>
            </w:pPr>
            <w:r w:rsidRPr="00E0060C">
              <w:rPr>
                <w:rFonts w:ascii="Garamond" w:hAnsi="Garamond"/>
                <w:color w:val="333333"/>
                <w:sz w:val="24"/>
                <w:szCs w:val="24"/>
              </w:rPr>
              <w:t>Sector Specific Workforce Analyses Report</w:t>
            </w:r>
          </w:p>
          <w:p w14:paraId="60008634" w14:textId="77777777" w:rsidR="00E939B7" w:rsidRPr="00E0060C" w:rsidRDefault="00E939B7" w:rsidP="00E939B7">
            <w:pPr>
              <w:pStyle w:val="NormalWeb"/>
              <w:shd w:val="clear" w:color="auto" w:fill="FFFFFF"/>
              <w:spacing w:before="0" w:beforeAutospacing="0" w:after="0" w:afterAutospacing="0"/>
              <w:rPr>
                <w:rFonts w:ascii="Garamond" w:hAnsi="Garamond"/>
                <w:color w:val="333333"/>
                <w:sz w:val="24"/>
                <w:szCs w:val="24"/>
              </w:rPr>
            </w:pPr>
            <w:r w:rsidRPr="00E0060C">
              <w:rPr>
                <w:rFonts w:ascii="Garamond" w:hAnsi="Garamond"/>
                <w:color w:val="333333"/>
                <w:sz w:val="24"/>
                <w:szCs w:val="24"/>
              </w:rPr>
              <w:t>Brochure</w:t>
            </w:r>
          </w:p>
          <w:p w14:paraId="0F296BE9" w14:textId="77777777" w:rsidR="00E939B7" w:rsidRPr="00E0060C" w:rsidRDefault="00E939B7" w:rsidP="00E939B7">
            <w:pPr>
              <w:pStyle w:val="NormalWeb"/>
              <w:shd w:val="clear" w:color="auto" w:fill="FFFFFF"/>
              <w:spacing w:before="0" w:beforeAutospacing="0" w:after="0" w:afterAutospacing="0"/>
              <w:rPr>
                <w:rFonts w:ascii="Garamond" w:hAnsi="Garamond"/>
                <w:color w:val="333333"/>
                <w:sz w:val="24"/>
                <w:szCs w:val="24"/>
              </w:rPr>
            </w:pPr>
            <w:r w:rsidRPr="00E0060C">
              <w:rPr>
                <w:rFonts w:ascii="Garamond" w:hAnsi="Garamond"/>
                <w:color w:val="333333"/>
                <w:sz w:val="24"/>
                <w:szCs w:val="24"/>
              </w:rPr>
              <w:t>Pop-up Banners</w:t>
            </w:r>
          </w:p>
          <w:p w14:paraId="431D7627" w14:textId="77777777" w:rsidR="00E939B7" w:rsidRPr="00E0060C" w:rsidRDefault="00E939B7" w:rsidP="00E939B7">
            <w:pPr>
              <w:pStyle w:val="NormalWeb"/>
              <w:shd w:val="clear" w:color="auto" w:fill="FFFFFF"/>
              <w:spacing w:before="0" w:beforeAutospacing="0" w:after="0" w:afterAutospacing="0"/>
              <w:rPr>
                <w:rFonts w:ascii="Garamond" w:hAnsi="Garamond"/>
                <w:color w:val="333333"/>
                <w:sz w:val="24"/>
                <w:szCs w:val="24"/>
              </w:rPr>
            </w:pPr>
            <w:r w:rsidRPr="00E0060C">
              <w:rPr>
                <w:rFonts w:ascii="Garamond" w:hAnsi="Garamond"/>
                <w:color w:val="333333"/>
                <w:sz w:val="24"/>
                <w:szCs w:val="24"/>
              </w:rPr>
              <w:t>Video of current sector employees (Health Care Sector)</w:t>
            </w:r>
          </w:p>
          <w:p w14:paraId="5E914A32" w14:textId="60D66EA9" w:rsidR="00E939B7" w:rsidRPr="00D47D64" w:rsidRDefault="00E939B7" w:rsidP="00D47D64">
            <w:pPr>
              <w:pStyle w:val="NormalWeb"/>
              <w:shd w:val="clear" w:color="auto" w:fill="FFFFFF"/>
              <w:spacing w:before="0" w:beforeAutospacing="0" w:after="0" w:afterAutospacing="0"/>
              <w:rPr>
                <w:rFonts w:ascii="Garamond" w:hAnsi="Garamond"/>
                <w:color w:val="333333"/>
                <w:sz w:val="24"/>
                <w:szCs w:val="24"/>
              </w:rPr>
            </w:pPr>
            <w:r w:rsidRPr="00E0060C">
              <w:rPr>
                <w:rFonts w:ascii="Garamond" w:hAnsi="Garamond"/>
                <w:color w:val="333333"/>
                <w:sz w:val="24"/>
                <w:szCs w:val="24"/>
              </w:rPr>
              <w:t>Business advisory group</w:t>
            </w:r>
          </w:p>
        </w:tc>
      </w:tr>
      <w:tr w:rsidR="00E939B7" w:rsidRPr="00D0661C" w14:paraId="2E00B438" w14:textId="77777777" w:rsidTr="00093DF5">
        <w:trPr>
          <w:trHeight w:val="782"/>
          <w:jc w:val="center"/>
        </w:trPr>
        <w:tc>
          <w:tcPr>
            <w:tcW w:w="10530" w:type="dxa"/>
            <w:shd w:val="clear" w:color="auto" w:fill="5B9BD5" w:themeFill="accent1"/>
          </w:tcPr>
          <w:p w14:paraId="310500BA" w14:textId="77777777" w:rsidR="00E939B7" w:rsidRPr="00631C29" w:rsidRDefault="00E939B7" w:rsidP="00E939B7">
            <w:pPr>
              <w:pStyle w:val="ListParagraph"/>
              <w:numPr>
                <w:ilvl w:val="0"/>
                <w:numId w:val="14"/>
              </w:numPr>
              <w:rPr>
                <w:rFonts w:eastAsia="Times New Roman" w:cstheme="minorHAnsi"/>
                <w:b/>
                <w:szCs w:val="22"/>
              </w:rPr>
            </w:pPr>
            <w:r>
              <w:rPr>
                <w:rFonts w:eastAsia="Times New Roman" w:cstheme="minorHAnsi"/>
                <w:szCs w:val="22"/>
              </w:rPr>
              <w:br w:type="page"/>
            </w:r>
            <w:r w:rsidRPr="00631C29">
              <w:rPr>
                <w:rFonts w:eastAsia="Times New Roman" w:cstheme="minorHAnsi"/>
                <w:b/>
                <w:szCs w:val="22"/>
              </w:rPr>
              <w:t xml:space="preserve">Where </w:t>
            </w:r>
            <w:r>
              <w:rPr>
                <w:rFonts w:eastAsia="Times New Roman" w:cstheme="minorHAnsi"/>
                <w:b/>
                <w:szCs w:val="22"/>
              </w:rPr>
              <w:t>do we want to go</w:t>
            </w:r>
            <w:r w:rsidRPr="00631C29">
              <w:rPr>
                <w:rFonts w:eastAsia="Times New Roman" w:cstheme="minorHAnsi"/>
                <w:b/>
                <w:szCs w:val="22"/>
              </w:rPr>
              <w:t xml:space="preserve">? </w:t>
            </w:r>
          </w:p>
          <w:p w14:paraId="27F99CCA" w14:textId="77777777" w:rsidR="00E939B7" w:rsidRPr="00D0661C" w:rsidRDefault="00E939B7" w:rsidP="00E939B7">
            <w:pPr>
              <w:rPr>
                <w:rFonts w:cstheme="minorHAnsi"/>
                <w:b/>
                <w:szCs w:val="22"/>
              </w:rPr>
            </w:pPr>
            <w:r w:rsidRPr="00D0661C">
              <w:rPr>
                <w:rFonts w:eastAsia="Times New Roman" w:cstheme="minorHAnsi"/>
                <w:szCs w:val="22"/>
              </w:rPr>
              <w:t>Summarize your upcoming plans to address the priority industries and occupations identified in the Blueprint.</w:t>
            </w:r>
          </w:p>
        </w:tc>
      </w:tr>
      <w:tr w:rsidR="00E939B7" w:rsidRPr="00D0661C" w14:paraId="3C5861CD" w14:textId="77777777" w:rsidTr="00093DF5">
        <w:trPr>
          <w:trHeight w:val="782"/>
          <w:jc w:val="center"/>
        </w:trPr>
        <w:tc>
          <w:tcPr>
            <w:tcW w:w="10530" w:type="dxa"/>
            <w:shd w:val="clear" w:color="auto" w:fill="auto"/>
          </w:tcPr>
          <w:p w14:paraId="2A7400FD" w14:textId="77777777" w:rsidR="00E939B7" w:rsidRPr="00E0060C" w:rsidRDefault="00E939B7" w:rsidP="00E939B7">
            <w:pPr>
              <w:rPr>
                <w:rFonts w:ascii="Garamond" w:eastAsia="Times New Roman" w:hAnsi="Garamond" w:cstheme="minorHAnsi"/>
                <w:b/>
                <w:sz w:val="24"/>
                <w:szCs w:val="24"/>
              </w:rPr>
            </w:pPr>
            <w:r w:rsidRPr="00E0060C">
              <w:rPr>
                <w:rFonts w:ascii="Garamond" w:eastAsia="Times New Roman" w:hAnsi="Garamond" w:cstheme="minorHAnsi"/>
                <w:b/>
                <w:sz w:val="24"/>
                <w:szCs w:val="24"/>
              </w:rPr>
              <w:t xml:space="preserve">Priorities. </w:t>
            </w:r>
          </w:p>
          <w:p w14:paraId="5B98CA77" w14:textId="5DC6B0A8" w:rsidR="00E939B7" w:rsidRPr="00E0060C" w:rsidRDefault="00E939B7" w:rsidP="00E939B7">
            <w:pPr>
              <w:rPr>
                <w:rFonts w:ascii="Garamond" w:hAnsi="Garamond"/>
                <w:sz w:val="24"/>
                <w:szCs w:val="24"/>
              </w:rPr>
            </w:pPr>
            <w:r w:rsidRPr="00E0060C">
              <w:rPr>
                <w:rFonts w:ascii="Garamond" w:hAnsi="Garamond"/>
                <w:sz w:val="24"/>
                <w:szCs w:val="24"/>
              </w:rPr>
              <w:t xml:space="preserve">As we plan our path to move forward, we can demonstrate that our priority and critical occupations have remained the same, it will be the delivery and the method of communication that will have to change to address the current workforce and health crisis.  As in the days prior to the pandemic much of our work will be focused on employer engagement and retention of existing workforce. In order to be responsive to the limitations that currently exist we will need to continue investigating delivery of services by virtual or remote </w:t>
            </w:r>
            <w:r w:rsidRPr="00E0060C">
              <w:rPr>
                <w:rFonts w:ascii="Garamond" w:hAnsi="Garamond"/>
                <w:sz w:val="24"/>
                <w:szCs w:val="24"/>
              </w:rPr>
              <w:lastRenderedPageBreak/>
              <w:t>methods. This will include a more robust exploration of online certificates and degrees for both the pipeline and the incumbent worker.</w:t>
            </w:r>
          </w:p>
          <w:p w14:paraId="74F0C70C" w14:textId="77777777" w:rsidR="00E939B7" w:rsidRPr="00E0060C" w:rsidRDefault="00E939B7" w:rsidP="00E939B7">
            <w:pPr>
              <w:pStyle w:val="PlainText"/>
              <w:rPr>
                <w:szCs w:val="24"/>
              </w:rPr>
            </w:pPr>
            <w:r w:rsidRPr="00E0060C">
              <w:rPr>
                <w:szCs w:val="24"/>
              </w:rPr>
              <w:t>With five Gateway cities included within our region one of our priorities has been and will continue to be delivering services contextualized for non-English language speakers. The diversity of our cities has served to fill a gap but does require attention to providing English language skills to those that need it.</w:t>
            </w:r>
          </w:p>
          <w:p w14:paraId="5411165D" w14:textId="77777777" w:rsidR="00E939B7" w:rsidRPr="00E0060C" w:rsidRDefault="00E939B7" w:rsidP="00E939B7">
            <w:pPr>
              <w:pStyle w:val="PlainText"/>
              <w:rPr>
                <w:szCs w:val="24"/>
              </w:rPr>
            </w:pPr>
          </w:p>
          <w:p w14:paraId="2E93C321" w14:textId="77777777" w:rsidR="00E939B7" w:rsidRPr="00E0060C" w:rsidRDefault="00E939B7" w:rsidP="00E939B7">
            <w:pPr>
              <w:pStyle w:val="PlainText"/>
              <w:rPr>
                <w:szCs w:val="24"/>
              </w:rPr>
            </w:pPr>
            <w:r w:rsidRPr="00E0060C">
              <w:rPr>
                <w:szCs w:val="24"/>
              </w:rPr>
              <w:t xml:space="preserve">Moving forward we will also focus on CTE as a method to continue to promote priority and critical industries and develop a sustainable pipeline for occupations within those fields. This focus will include the resurrection or development of articulation agreements, specifically vocational schools, with our public post-secondary institutions.  </w:t>
            </w:r>
          </w:p>
          <w:p w14:paraId="75B19E8E" w14:textId="77777777" w:rsidR="00E939B7" w:rsidRPr="00E0060C" w:rsidRDefault="00E939B7" w:rsidP="00E939B7">
            <w:pPr>
              <w:pStyle w:val="PlainText"/>
              <w:rPr>
                <w:szCs w:val="24"/>
              </w:rPr>
            </w:pPr>
          </w:p>
          <w:p w14:paraId="3FF8F801" w14:textId="77777777" w:rsidR="00E939B7" w:rsidRDefault="00E939B7" w:rsidP="00207B31">
            <w:pPr>
              <w:pStyle w:val="PlainText"/>
              <w:rPr>
                <w:szCs w:val="24"/>
              </w:rPr>
            </w:pPr>
            <w:r w:rsidRPr="00E0060C">
              <w:rPr>
                <w:szCs w:val="24"/>
              </w:rPr>
              <w:t>Pursuing regional grants such as the recent one submitted for healthcare and future applications will continue to be a priority for the for webs in the future. This dedicated funding allows for targeted training within our most demand industries and is responsive locally to workforce demands.</w:t>
            </w:r>
          </w:p>
          <w:p w14:paraId="2CFE8C48" w14:textId="4FBA7A77" w:rsidR="00207B31" w:rsidRPr="00207B31" w:rsidRDefault="00207B31" w:rsidP="00207B31">
            <w:pPr>
              <w:pStyle w:val="PlainText"/>
              <w:rPr>
                <w:szCs w:val="24"/>
              </w:rPr>
            </w:pPr>
          </w:p>
        </w:tc>
      </w:tr>
      <w:tr w:rsidR="00E939B7" w:rsidRPr="00D0661C" w14:paraId="588DA3CB" w14:textId="77777777" w:rsidTr="00093DF5">
        <w:trPr>
          <w:trHeight w:val="782"/>
          <w:jc w:val="center"/>
        </w:trPr>
        <w:tc>
          <w:tcPr>
            <w:tcW w:w="10530" w:type="dxa"/>
            <w:shd w:val="clear" w:color="auto" w:fill="auto"/>
          </w:tcPr>
          <w:p w14:paraId="259E3D84" w14:textId="77777777" w:rsidR="00E939B7" w:rsidRDefault="00E939B7" w:rsidP="00E939B7">
            <w:pPr>
              <w:rPr>
                <w:rFonts w:eastAsia="Times New Roman" w:cstheme="minorHAnsi"/>
                <w:bCs/>
                <w:szCs w:val="22"/>
              </w:rPr>
            </w:pPr>
            <w:r w:rsidRPr="00D0661C">
              <w:rPr>
                <w:rFonts w:eastAsia="Times New Roman" w:cstheme="minorHAnsi"/>
                <w:b/>
                <w:szCs w:val="22"/>
              </w:rPr>
              <w:lastRenderedPageBreak/>
              <w:t>Partnerships.</w:t>
            </w:r>
            <w:r w:rsidRPr="00D0661C">
              <w:rPr>
                <w:rFonts w:eastAsia="Times New Roman" w:cstheme="minorHAnsi"/>
                <w:bCs/>
                <w:szCs w:val="22"/>
              </w:rPr>
              <w:t xml:space="preserve"> </w:t>
            </w:r>
          </w:p>
          <w:p w14:paraId="2B702462" w14:textId="741F27D8" w:rsidR="0079527E" w:rsidRPr="00FC5B0C" w:rsidRDefault="00E939B7" w:rsidP="0079527E">
            <w:pPr>
              <w:pStyle w:val="PlainText"/>
              <w:rPr>
                <w:color w:val="FF0000"/>
              </w:rPr>
            </w:pPr>
            <w:r>
              <w:t xml:space="preserve">By individual Workforce Board and collectively, we have developed partnerships that enable us to perform our responsibilities to our region. These partnerships include the Southeastern Advanced Manufacturing Consortium (SAMC) focusing on manufacturing, Community Partners for Adult Ed (CPAE) focusing on </w:t>
            </w:r>
            <w:r w:rsidRPr="0079527E">
              <w:t>English as a second language and</w:t>
            </w:r>
            <w:r w:rsidR="0079527E" w:rsidRPr="0079527E">
              <w:t xml:space="preserve"> our WIOA mandated Partner MOU We have an extended list of Community Based Organizations that each area works with to insure their clients are represented when there are training initiatives going on to ensure equality and access to these opportunities. We work hard at tying these collaborations and initiatives to </w:t>
            </w:r>
            <w:proofErr w:type="gramStart"/>
            <w:r w:rsidR="0079527E" w:rsidRPr="0079527E">
              <w:t>all of</w:t>
            </w:r>
            <w:proofErr w:type="gramEnd"/>
            <w:r w:rsidR="0079527E" w:rsidRPr="0079527E">
              <w:t xml:space="preserve"> our </w:t>
            </w:r>
            <w:r w:rsidR="00207B31">
              <w:t xml:space="preserve">Adult &amp; </w:t>
            </w:r>
            <w:r w:rsidR="0079527E" w:rsidRPr="0079527E">
              <w:t xml:space="preserve">Youth programs. </w:t>
            </w:r>
          </w:p>
          <w:p w14:paraId="7EA344A7" w14:textId="5F07C71E" w:rsidR="00E939B7" w:rsidRPr="0079527E" w:rsidRDefault="00E939B7" w:rsidP="0079527E">
            <w:pPr>
              <w:pStyle w:val="PlainText"/>
            </w:pPr>
          </w:p>
        </w:tc>
      </w:tr>
      <w:tr w:rsidR="00E939B7" w:rsidRPr="00D0661C" w14:paraId="7BF811A3" w14:textId="77777777" w:rsidTr="00093DF5">
        <w:trPr>
          <w:trHeight w:val="782"/>
          <w:jc w:val="center"/>
        </w:trPr>
        <w:tc>
          <w:tcPr>
            <w:tcW w:w="10530" w:type="dxa"/>
            <w:shd w:val="clear" w:color="auto" w:fill="auto"/>
          </w:tcPr>
          <w:p w14:paraId="2F62CA4F" w14:textId="41AD987F" w:rsidR="00E939B7" w:rsidRPr="00D0661C" w:rsidRDefault="00E939B7" w:rsidP="00E939B7">
            <w:pPr>
              <w:rPr>
                <w:rFonts w:eastAsia="Times New Roman" w:cstheme="minorHAnsi"/>
                <w:b/>
                <w:szCs w:val="22"/>
              </w:rPr>
            </w:pPr>
            <w:r>
              <w:rPr>
                <w:rFonts w:eastAsia="Times New Roman" w:cstheme="minorHAnsi"/>
                <w:b/>
                <w:szCs w:val="22"/>
              </w:rPr>
              <w:t>Employer Engagement</w:t>
            </w:r>
            <w:r w:rsidRPr="00D0661C">
              <w:rPr>
                <w:rFonts w:eastAsia="Times New Roman" w:cstheme="minorHAnsi"/>
                <w:b/>
                <w:szCs w:val="22"/>
              </w:rPr>
              <w:t>.</w:t>
            </w:r>
            <w:r>
              <w:rPr>
                <w:rFonts w:eastAsia="Times New Roman" w:cstheme="minorHAnsi"/>
                <w:bCs/>
                <w:szCs w:val="22"/>
              </w:rPr>
              <w:t xml:space="preserve"> </w:t>
            </w:r>
            <w:r w:rsidRPr="00207B31">
              <w:rPr>
                <w:rFonts w:ascii="Garamond" w:eastAsia="Times New Roman" w:hAnsi="Garamond" w:cstheme="minorHAnsi"/>
                <w:bCs/>
                <w:sz w:val="24"/>
                <w:szCs w:val="24"/>
              </w:rPr>
              <w:t xml:space="preserve">Employer engagement for the SE region will take </w:t>
            </w:r>
            <w:proofErr w:type="gramStart"/>
            <w:r w:rsidRPr="00207B31">
              <w:rPr>
                <w:rFonts w:ascii="Garamond" w:eastAsia="Times New Roman" w:hAnsi="Garamond" w:cstheme="minorHAnsi"/>
                <w:bCs/>
                <w:sz w:val="24"/>
                <w:szCs w:val="24"/>
              </w:rPr>
              <w:t>a number of</w:t>
            </w:r>
            <w:proofErr w:type="gramEnd"/>
            <w:r w:rsidRPr="00207B31">
              <w:rPr>
                <w:rFonts w:ascii="Garamond" w:eastAsia="Times New Roman" w:hAnsi="Garamond" w:cstheme="minorHAnsi"/>
                <w:bCs/>
                <w:sz w:val="24"/>
                <w:szCs w:val="24"/>
              </w:rPr>
              <w:t xml:space="preserve"> forms during the coming year.  As a region, we have purchased an email list of businesses in the region with the intention of corresponding with potential partners and developing a focused campaign on the services and programs of the WBs.  We are also attending Chamber and Association events by Zoom to keep our presence active during the pandemic, conducting surveys to assess immediate needs of employers and promotion &amp; funding small business grants to businesses effected by the mandated closures.</w:t>
            </w:r>
          </w:p>
        </w:tc>
      </w:tr>
      <w:tr w:rsidR="00E939B7" w:rsidRPr="00631C29" w14:paraId="2CF406B0" w14:textId="77777777" w:rsidTr="00093DF5">
        <w:trPr>
          <w:trHeight w:val="377"/>
          <w:jc w:val="center"/>
        </w:trPr>
        <w:tc>
          <w:tcPr>
            <w:tcW w:w="10530" w:type="dxa"/>
            <w:shd w:val="clear" w:color="auto" w:fill="5B9BD5" w:themeFill="accent1"/>
          </w:tcPr>
          <w:p w14:paraId="76C98B5B" w14:textId="77777777" w:rsidR="00E939B7" w:rsidRPr="00631C29" w:rsidRDefault="00E939B7" w:rsidP="00E939B7">
            <w:pPr>
              <w:pStyle w:val="ListParagraph"/>
              <w:numPr>
                <w:ilvl w:val="0"/>
                <w:numId w:val="14"/>
              </w:numPr>
              <w:rPr>
                <w:rFonts w:eastAsia="Times New Roman" w:cstheme="minorHAnsi"/>
                <w:b/>
                <w:szCs w:val="22"/>
              </w:rPr>
            </w:pPr>
            <w:r w:rsidRPr="00631C29">
              <w:rPr>
                <w:rFonts w:eastAsia="Times New Roman" w:cstheme="minorHAnsi"/>
                <w:b/>
                <w:szCs w:val="22"/>
              </w:rPr>
              <w:t>Conclusion</w:t>
            </w:r>
          </w:p>
        </w:tc>
      </w:tr>
      <w:tr w:rsidR="00E939B7" w:rsidRPr="00D0661C" w14:paraId="04B38AD6" w14:textId="77777777" w:rsidTr="00D47D64">
        <w:trPr>
          <w:trHeight w:val="1795"/>
          <w:jc w:val="center"/>
        </w:trPr>
        <w:tc>
          <w:tcPr>
            <w:tcW w:w="10530" w:type="dxa"/>
            <w:shd w:val="clear" w:color="auto" w:fill="auto"/>
          </w:tcPr>
          <w:p w14:paraId="28B165AE" w14:textId="073FC8FA" w:rsidR="00E939B7" w:rsidRDefault="00E939B7" w:rsidP="00E939B7">
            <w:pPr>
              <w:rPr>
                <w:rFonts w:eastAsia="Times New Roman" w:cstheme="minorHAnsi"/>
                <w:szCs w:val="22"/>
              </w:rPr>
            </w:pPr>
            <w:r w:rsidRPr="00D0661C">
              <w:rPr>
                <w:rFonts w:eastAsia="Times New Roman" w:cstheme="minorHAnsi"/>
                <w:b/>
                <w:szCs w:val="22"/>
              </w:rPr>
              <w:t xml:space="preserve">Conclusion. </w:t>
            </w:r>
            <w:r>
              <w:rPr>
                <w:rFonts w:eastAsia="Times New Roman" w:cstheme="minorHAnsi"/>
                <w:szCs w:val="22"/>
              </w:rPr>
              <w:t>Provide</w:t>
            </w:r>
            <w:r w:rsidRPr="00D0661C">
              <w:rPr>
                <w:rFonts w:eastAsia="Times New Roman" w:cstheme="minorHAnsi"/>
                <w:szCs w:val="22"/>
              </w:rPr>
              <w:t xml:space="preserve"> any closing remarks, next steps, or considerations. </w:t>
            </w:r>
          </w:p>
          <w:p w14:paraId="61EA4531" w14:textId="24B86E56" w:rsidR="00207B31" w:rsidRDefault="00207B31" w:rsidP="00207B31">
            <w:pPr>
              <w:pStyle w:val="PlainText"/>
            </w:pPr>
            <w:proofErr w:type="gramStart"/>
            <w:r>
              <w:t>It’s</w:t>
            </w:r>
            <w:proofErr w:type="gramEnd"/>
            <w:r>
              <w:t xml:space="preserve"> difficult to talk about conclusion </w:t>
            </w:r>
            <w:r>
              <w:t xml:space="preserve">regarding </w:t>
            </w:r>
            <w:r>
              <w:t xml:space="preserve">this past year as many of our </w:t>
            </w:r>
            <w:r>
              <w:t>cumulative</w:t>
            </w:r>
            <w:r>
              <w:t xml:space="preserve"> activities and services were postponed due to the pandemic. However we are able to recognize</w:t>
            </w:r>
            <w:r>
              <w:t xml:space="preserve"> t</w:t>
            </w:r>
            <w:r>
              <w:t>he success is that we’ve had during the first part of the year, diversifying our training amongst our priority areas, developing a core group of stakeholders to steer the work, developed an online  platform for regional news, trainings and events.</w:t>
            </w:r>
          </w:p>
          <w:p w14:paraId="736D446F" w14:textId="25A86A77" w:rsidR="00207B31" w:rsidRDefault="00207B31" w:rsidP="00207B31">
            <w:pPr>
              <w:pStyle w:val="PlainText"/>
            </w:pPr>
            <w:r>
              <w:t>For many of us, the pandemic also created opportunities</w:t>
            </w:r>
            <w:r>
              <w:t xml:space="preserve"> t</w:t>
            </w:r>
            <w:r>
              <w:t xml:space="preserve">hat were unexpected and unanticipated. The workforce system has had a heavy toll these past few months, readjusting many of our </w:t>
            </w:r>
            <w:r>
              <w:t>C</w:t>
            </w:r>
            <w:r>
              <w:t xml:space="preserve">areer </w:t>
            </w:r>
            <w:r>
              <w:t>C</w:t>
            </w:r>
            <w:r>
              <w:t xml:space="preserve">enter staff for UI and adjusting to the delivery of our own services remotely. Due to </w:t>
            </w:r>
            <w:r>
              <w:t xml:space="preserve">our history of employer engagement </w:t>
            </w:r>
            <w:r>
              <w:lastRenderedPageBreak/>
              <w:t>many of us have been also working directly with businesses and companies that have been affected by the pandemic, either through closures or payroll adjustments</w:t>
            </w:r>
            <w:r>
              <w:t xml:space="preserve"> and re-opening strategies.</w:t>
            </w:r>
          </w:p>
          <w:p w14:paraId="3B63F4CF" w14:textId="79910925" w:rsidR="00E939B7" w:rsidRPr="00D0661C" w:rsidRDefault="005235B4" w:rsidP="005235B4">
            <w:pPr>
              <w:rPr>
                <w:rFonts w:eastAsia="Times New Roman" w:cstheme="minorHAnsi"/>
                <w:szCs w:val="22"/>
              </w:rPr>
            </w:pPr>
            <w:r w:rsidRPr="005235B4">
              <w:rPr>
                <w:rFonts w:ascii="Garamond" w:eastAsia="Times New Roman" w:hAnsi="Garamond"/>
                <w:sz w:val="24"/>
                <w:szCs w:val="24"/>
              </w:rPr>
              <w:t xml:space="preserve">The Southeast region will continue what we do best, collaborate with each </w:t>
            </w:r>
            <w:r w:rsidRPr="005235B4">
              <w:rPr>
                <w:rFonts w:ascii="Garamond" w:eastAsia="Times New Roman" w:hAnsi="Garamond"/>
                <w:sz w:val="24"/>
                <w:szCs w:val="24"/>
              </w:rPr>
              <w:t>other to</w:t>
            </w:r>
            <w:r w:rsidRPr="005235B4">
              <w:rPr>
                <w:rFonts w:ascii="Garamond" w:eastAsia="Times New Roman" w:hAnsi="Garamond"/>
                <w:sz w:val="24"/>
                <w:szCs w:val="24"/>
              </w:rPr>
              <w:t xml:space="preserve"> learn how to best service our customers, </w:t>
            </w:r>
            <w:r>
              <w:rPr>
                <w:rFonts w:ascii="Garamond" w:eastAsia="Times New Roman" w:hAnsi="Garamond"/>
                <w:sz w:val="24"/>
                <w:szCs w:val="24"/>
              </w:rPr>
              <w:t>s</w:t>
            </w:r>
            <w:r w:rsidRPr="005235B4">
              <w:rPr>
                <w:rFonts w:ascii="Garamond" w:eastAsia="Times New Roman" w:hAnsi="Garamond"/>
                <w:sz w:val="24"/>
                <w:szCs w:val="24"/>
              </w:rPr>
              <w:t>upport new ideas and suggestions and to bring many years of workfor</w:t>
            </w:r>
            <w:r>
              <w:rPr>
                <w:rFonts w:ascii="Garamond" w:eastAsia="Times New Roman" w:hAnsi="Garamond"/>
                <w:sz w:val="24"/>
                <w:szCs w:val="24"/>
              </w:rPr>
              <w:t>ce</w:t>
            </w:r>
            <w:r w:rsidRPr="005235B4">
              <w:rPr>
                <w:rFonts w:ascii="Garamond" w:eastAsia="Times New Roman" w:hAnsi="Garamond"/>
                <w:sz w:val="24"/>
                <w:szCs w:val="24"/>
              </w:rPr>
              <w:t xml:space="preserve"> system history to the table.</w:t>
            </w:r>
          </w:p>
        </w:tc>
      </w:tr>
    </w:tbl>
    <w:p w14:paraId="76E1DADA" w14:textId="77777777" w:rsidR="005421E4" w:rsidRDefault="005421E4" w:rsidP="005421E4">
      <w:pPr>
        <w:pStyle w:val="Heading5"/>
      </w:pPr>
      <w:r>
        <w:lastRenderedPageBreak/>
        <w:t>Appendix A. Regional Planning Team Organization</w:t>
      </w:r>
    </w:p>
    <w:p w14:paraId="5195D65B" w14:textId="77777777" w:rsidR="005421E4" w:rsidRDefault="005421E4">
      <w:pPr>
        <w:rPr>
          <w:rFonts w:eastAsia="Times New Roman" w:cstheme="minorHAnsi"/>
          <w:szCs w:val="22"/>
        </w:rPr>
      </w:pPr>
    </w:p>
    <w:tbl>
      <w:tblPr>
        <w:tblStyle w:val="TableGrid"/>
        <w:tblW w:w="10530" w:type="dxa"/>
        <w:jc w:val="center"/>
        <w:tblLook w:val="04A0" w:firstRow="1" w:lastRow="0" w:firstColumn="1" w:lastColumn="0" w:noHBand="0" w:noVBand="1"/>
      </w:tblPr>
      <w:tblGrid>
        <w:gridCol w:w="3145"/>
        <w:gridCol w:w="3240"/>
        <w:gridCol w:w="4145"/>
      </w:tblGrid>
      <w:tr w:rsidR="005421E4" w:rsidRPr="005216DD" w14:paraId="3835AE1C" w14:textId="77777777" w:rsidTr="00093DF5">
        <w:trPr>
          <w:trHeight w:val="602"/>
          <w:jc w:val="center"/>
        </w:trPr>
        <w:tc>
          <w:tcPr>
            <w:tcW w:w="10530" w:type="dxa"/>
            <w:gridSpan w:val="3"/>
            <w:shd w:val="clear" w:color="auto" w:fill="5B9BD5" w:themeFill="accent1"/>
          </w:tcPr>
          <w:p w14:paraId="7C4D2FF4" w14:textId="77777777" w:rsidR="005421E4" w:rsidRPr="005421E4" w:rsidRDefault="005421E4" w:rsidP="005421E4">
            <w:pPr>
              <w:rPr>
                <w:rFonts w:eastAsia="Times New Roman" w:cstheme="minorHAnsi"/>
                <w:b/>
                <w:szCs w:val="22"/>
              </w:rPr>
            </w:pPr>
            <w:r w:rsidRPr="005421E4">
              <w:rPr>
                <w:rFonts w:eastAsia="Times New Roman" w:cstheme="minorHAnsi"/>
                <w:b/>
                <w:szCs w:val="22"/>
              </w:rPr>
              <w:t xml:space="preserve">Regional </w:t>
            </w:r>
            <w:r>
              <w:rPr>
                <w:rFonts w:eastAsia="Times New Roman" w:cstheme="minorHAnsi"/>
                <w:b/>
                <w:szCs w:val="22"/>
              </w:rPr>
              <w:t>Planning Team</w:t>
            </w:r>
          </w:p>
        </w:tc>
      </w:tr>
      <w:tr w:rsidR="005421E4" w:rsidRPr="00D0661C" w14:paraId="0BBF547E" w14:textId="77777777" w:rsidTr="00093DF5">
        <w:trPr>
          <w:jc w:val="center"/>
        </w:trPr>
        <w:tc>
          <w:tcPr>
            <w:tcW w:w="10530" w:type="dxa"/>
            <w:gridSpan w:val="3"/>
            <w:shd w:val="clear" w:color="auto" w:fill="auto"/>
          </w:tcPr>
          <w:p w14:paraId="7E65356B" w14:textId="77777777" w:rsidR="005421E4" w:rsidRPr="00D0661C" w:rsidRDefault="005421E4" w:rsidP="005421E4">
            <w:pPr>
              <w:rPr>
                <w:rFonts w:eastAsia="Times New Roman" w:cstheme="minorHAnsi"/>
                <w:b/>
                <w:szCs w:val="22"/>
              </w:rPr>
            </w:pPr>
            <w:r w:rsidRPr="00D0661C">
              <w:rPr>
                <w:rFonts w:eastAsia="Times New Roman" w:cstheme="minorHAnsi"/>
                <w:b/>
                <w:szCs w:val="22"/>
              </w:rPr>
              <w:t xml:space="preserve">Regional Planning Team. </w:t>
            </w:r>
            <w:r w:rsidRPr="00D0661C">
              <w:rPr>
                <w:rFonts w:eastAsia="Times New Roman" w:cstheme="minorHAnsi"/>
                <w:szCs w:val="22"/>
              </w:rPr>
              <w:t xml:space="preserve">Describe the different </w:t>
            </w:r>
            <w:r w:rsidRPr="00D0661C">
              <w:rPr>
                <w:rFonts w:eastAsia="Times New Roman" w:cstheme="minorHAnsi"/>
                <w:b/>
                <w:szCs w:val="22"/>
              </w:rPr>
              <w:t>partner organizations</w:t>
            </w:r>
            <w:r w:rsidRPr="00D0661C">
              <w:rPr>
                <w:rFonts w:eastAsia="Times New Roman" w:cstheme="minorHAnsi"/>
                <w:szCs w:val="22"/>
              </w:rPr>
              <w:t xml:space="preserve"> brought together to be a part of the </w:t>
            </w:r>
            <w:r w:rsidRPr="00D0661C">
              <w:rPr>
                <w:rFonts w:eastAsia="Times New Roman" w:cstheme="minorHAnsi"/>
                <w:b/>
                <w:szCs w:val="22"/>
              </w:rPr>
              <w:t>Regional Planning Team</w:t>
            </w:r>
            <w:r w:rsidRPr="00D0661C">
              <w:rPr>
                <w:rFonts w:eastAsia="Times New Roman" w:cstheme="minorHAnsi"/>
                <w:szCs w:val="22"/>
              </w:rPr>
              <w:t xml:space="preserve"> (K-12 District, Vocational Technical School, Community College, State University, Workforce Development Board, Massachusetts Office of Business Development, Regional Economic Development Organization, </w:t>
            </w:r>
            <w:r>
              <w:rPr>
                <w:rFonts w:eastAsia="Times New Roman" w:cstheme="minorHAnsi"/>
                <w:szCs w:val="22"/>
              </w:rPr>
              <w:t>and more) and provide contact information.</w:t>
            </w:r>
          </w:p>
        </w:tc>
      </w:tr>
      <w:tr w:rsidR="005421E4" w:rsidRPr="00D0661C" w14:paraId="621AFDE7" w14:textId="77777777" w:rsidTr="00093DF5">
        <w:trPr>
          <w:jc w:val="center"/>
        </w:trPr>
        <w:tc>
          <w:tcPr>
            <w:tcW w:w="3145" w:type="dxa"/>
          </w:tcPr>
          <w:p w14:paraId="46191ABF" w14:textId="77777777" w:rsidR="005421E4" w:rsidRPr="00D0661C" w:rsidRDefault="005421E4" w:rsidP="00CD0305">
            <w:pPr>
              <w:jc w:val="center"/>
              <w:rPr>
                <w:rFonts w:eastAsia="Times New Roman" w:cstheme="minorHAnsi"/>
                <w:b/>
                <w:szCs w:val="22"/>
              </w:rPr>
            </w:pPr>
            <w:r w:rsidRPr="00D0661C">
              <w:rPr>
                <w:rFonts w:eastAsia="Times New Roman" w:cstheme="minorHAnsi"/>
                <w:b/>
                <w:szCs w:val="22"/>
              </w:rPr>
              <w:t>Individual Name</w:t>
            </w:r>
          </w:p>
        </w:tc>
        <w:tc>
          <w:tcPr>
            <w:tcW w:w="3240" w:type="dxa"/>
          </w:tcPr>
          <w:p w14:paraId="4C23FB56" w14:textId="77777777" w:rsidR="005421E4" w:rsidRPr="00D0661C" w:rsidRDefault="005421E4" w:rsidP="00CD0305">
            <w:pPr>
              <w:jc w:val="center"/>
              <w:rPr>
                <w:rFonts w:eastAsia="Times New Roman" w:cstheme="minorHAnsi"/>
                <w:b/>
                <w:szCs w:val="22"/>
              </w:rPr>
            </w:pPr>
            <w:r>
              <w:rPr>
                <w:rFonts w:eastAsia="Times New Roman" w:cstheme="minorHAnsi"/>
                <w:b/>
                <w:szCs w:val="22"/>
              </w:rPr>
              <w:t>Organization Name</w:t>
            </w:r>
          </w:p>
        </w:tc>
        <w:tc>
          <w:tcPr>
            <w:tcW w:w="4145" w:type="dxa"/>
          </w:tcPr>
          <w:p w14:paraId="1B6DE5F1" w14:textId="77777777" w:rsidR="005421E4" w:rsidRPr="00D0661C" w:rsidRDefault="005421E4" w:rsidP="00CD0305">
            <w:pPr>
              <w:jc w:val="center"/>
              <w:rPr>
                <w:rFonts w:eastAsia="Times New Roman" w:cstheme="minorHAnsi"/>
                <w:b/>
                <w:szCs w:val="22"/>
              </w:rPr>
            </w:pPr>
            <w:r>
              <w:rPr>
                <w:rFonts w:eastAsia="Times New Roman" w:cstheme="minorHAnsi"/>
                <w:b/>
                <w:szCs w:val="22"/>
              </w:rPr>
              <w:t>Individual Email</w:t>
            </w:r>
          </w:p>
        </w:tc>
      </w:tr>
      <w:tr w:rsidR="005421E4" w:rsidRPr="00D0661C" w14:paraId="1603821F" w14:textId="77777777" w:rsidTr="00093DF5">
        <w:trPr>
          <w:jc w:val="center"/>
        </w:trPr>
        <w:tc>
          <w:tcPr>
            <w:tcW w:w="3145" w:type="dxa"/>
          </w:tcPr>
          <w:p w14:paraId="408B7F54" w14:textId="29D3B94C" w:rsidR="005421E4" w:rsidRPr="00D0661C" w:rsidRDefault="00E256EF" w:rsidP="00093DF5">
            <w:pPr>
              <w:rPr>
                <w:rFonts w:eastAsia="Times New Roman" w:cstheme="minorHAnsi"/>
                <w:szCs w:val="22"/>
              </w:rPr>
            </w:pPr>
            <w:r>
              <w:rPr>
                <w:rFonts w:eastAsia="Times New Roman" w:cstheme="minorHAnsi"/>
                <w:szCs w:val="22"/>
              </w:rPr>
              <w:t>Jim Oliveira</w:t>
            </w:r>
          </w:p>
        </w:tc>
        <w:tc>
          <w:tcPr>
            <w:tcW w:w="3240" w:type="dxa"/>
          </w:tcPr>
          <w:p w14:paraId="42A08F62" w14:textId="30D93E3B" w:rsidR="005421E4" w:rsidRPr="00D0661C" w:rsidRDefault="00E256EF" w:rsidP="00093DF5">
            <w:pPr>
              <w:rPr>
                <w:rFonts w:eastAsia="Times New Roman" w:cstheme="minorHAnsi"/>
                <w:szCs w:val="22"/>
              </w:rPr>
            </w:pPr>
            <w:r>
              <w:rPr>
                <w:rFonts w:eastAsia="Times New Roman" w:cstheme="minorHAnsi"/>
                <w:szCs w:val="22"/>
              </w:rPr>
              <w:t>MassHire Greater New Bedford Workforce Board</w:t>
            </w:r>
          </w:p>
        </w:tc>
        <w:tc>
          <w:tcPr>
            <w:tcW w:w="4145" w:type="dxa"/>
          </w:tcPr>
          <w:p w14:paraId="24A98296" w14:textId="596E9F64" w:rsidR="005421E4" w:rsidRPr="00D0661C" w:rsidRDefault="00905A85" w:rsidP="00093DF5">
            <w:pPr>
              <w:rPr>
                <w:rFonts w:eastAsia="Times New Roman" w:cstheme="minorHAnsi"/>
                <w:szCs w:val="22"/>
              </w:rPr>
            </w:pPr>
            <w:r w:rsidRPr="00905A85">
              <w:rPr>
                <w:rFonts w:eastAsia="Times New Roman" w:cstheme="minorHAnsi"/>
                <w:szCs w:val="22"/>
              </w:rPr>
              <w:t>Jim@masshiregreaternewbedford.com</w:t>
            </w:r>
          </w:p>
        </w:tc>
      </w:tr>
      <w:tr w:rsidR="006D3236" w:rsidRPr="00D0661C" w14:paraId="3C3693F2" w14:textId="77777777" w:rsidTr="00093DF5">
        <w:trPr>
          <w:jc w:val="center"/>
        </w:trPr>
        <w:tc>
          <w:tcPr>
            <w:tcW w:w="3145" w:type="dxa"/>
          </w:tcPr>
          <w:p w14:paraId="1FA399A2" w14:textId="06C2BC8A" w:rsidR="006D3236" w:rsidRPr="00D0661C" w:rsidRDefault="006D3236" w:rsidP="006D3236">
            <w:pPr>
              <w:rPr>
                <w:rFonts w:eastAsia="Times New Roman" w:cstheme="minorHAnsi"/>
                <w:szCs w:val="22"/>
              </w:rPr>
            </w:pPr>
            <w:r>
              <w:rPr>
                <w:rFonts w:eastAsia="Times New Roman" w:cstheme="minorHAnsi"/>
                <w:szCs w:val="22"/>
              </w:rPr>
              <w:t>Tom Perreira</w:t>
            </w:r>
          </w:p>
        </w:tc>
        <w:tc>
          <w:tcPr>
            <w:tcW w:w="3240" w:type="dxa"/>
          </w:tcPr>
          <w:p w14:paraId="6249A26F" w14:textId="6786FF7A" w:rsidR="006D3236" w:rsidRPr="00D0661C" w:rsidRDefault="006D3236" w:rsidP="006D3236">
            <w:pPr>
              <w:rPr>
                <w:rFonts w:eastAsia="Times New Roman" w:cstheme="minorHAnsi"/>
                <w:szCs w:val="22"/>
              </w:rPr>
            </w:pPr>
            <w:r w:rsidRPr="00C54DD3">
              <w:rPr>
                <w:rFonts w:eastAsia="Times New Roman" w:cstheme="minorHAnsi"/>
                <w:szCs w:val="22"/>
              </w:rPr>
              <w:t xml:space="preserve">MassHire </w:t>
            </w:r>
            <w:r>
              <w:rPr>
                <w:rFonts w:eastAsia="Times New Roman" w:cstheme="minorHAnsi"/>
                <w:szCs w:val="22"/>
              </w:rPr>
              <w:t xml:space="preserve">Bristol </w:t>
            </w:r>
            <w:r w:rsidRPr="00C54DD3">
              <w:rPr>
                <w:rFonts w:eastAsia="Times New Roman" w:cstheme="minorHAnsi"/>
                <w:szCs w:val="22"/>
              </w:rPr>
              <w:t>Workforce Board</w:t>
            </w:r>
          </w:p>
        </w:tc>
        <w:tc>
          <w:tcPr>
            <w:tcW w:w="4145" w:type="dxa"/>
          </w:tcPr>
          <w:p w14:paraId="3DE95A36" w14:textId="209088BC" w:rsidR="006D3236" w:rsidRPr="00D0661C" w:rsidRDefault="00905A85" w:rsidP="006D3236">
            <w:pPr>
              <w:rPr>
                <w:rFonts w:eastAsia="Times New Roman" w:cstheme="minorHAnsi"/>
                <w:szCs w:val="22"/>
              </w:rPr>
            </w:pPr>
            <w:r w:rsidRPr="00905A85">
              <w:rPr>
                <w:rFonts w:eastAsia="Times New Roman" w:cstheme="minorHAnsi"/>
                <w:szCs w:val="22"/>
              </w:rPr>
              <w:t>tperreira@masshirebristol.org</w:t>
            </w:r>
          </w:p>
        </w:tc>
      </w:tr>
      <w:tr w:rsidR="006D3236" w:rsidRPr="00D0661C" w14:paraId="09C5AED7" w14:textId="77777777" w:rsidTr="00093DF5">
        <w:trPr>
          <w:jc w:val="center"/>
        </w:trPr>
        <w:tc>
          <w:tcPr>
            <w:tcW w:w="3145" w:type="dxa"/>
          </w:tcPr>
          <w:p w14:paraId="14D68BF3" w14:textId="736FAB20" w:rsidR="006D3236" w:rsidRPr="00D0661C" w:rsidRDefault="006D3236" w:rsidP="006D3236">
            <w:pPr>
              <w:rPr>
                <w:rFonts w:eastAsia="Times New Roman" w:cstheme="minorHAnsi"/>
                <w:szCs w:val="22"/>
              </w:rPr>
            </w:pPr>
            <w:r>
              <w:rPr>
                <w:rFonts w:eastAsia="Times New Roman" w:cstheme="minorHAnsi"/>
                <w:szCs w:val="22"/>
              </w:rPr>
              <w:t>Sheila Sullivan-Jardim</w:t>
            </w:r>
          </w:p>
        </w:tc>
        <w:tc>
          <w:tcPr>
            <w:tcW w:w="3240" w:type="dxa"/>
          </w:tcPr>
          <w:p w14:paraId="05C3A560" w14:textId="48F24636" w:rsidR="006D3236" w:rsidRPr="00D0661C" w:rsidRDefault="006D3236" w:rsidP="006D3236">
            <w:pPr>
              <w:rPr>
                <w:rFonts w:eastAsia="Times New Roman" w:cstheme="minorHAnsi"/>
                <w:szCs w:val="22"/>
              </w:rPr>
            </w:pPr>
            <w:r w:rsidRPr="00C54DD3">
              <w:rPr>
                <w:rFonts w:eastAsia="Times New Roman" w:cstheme="minorHAnsi"/>
                <w:szCs w:val="22"/>
              </w:rPr>
              <w:t xml:space="preserve">MassHire Greater </w:t>
            </w:r>
            <w:r>
              <w:rPr>
                <w:rFonts w:eastAsia="Times New Roman" w:cstheme="minorHAnsi"/>
                <w:szCs w:val="22"/>
              </w:rPr>
              <w:t>Brockton</w:t>
            </w:r>
            <w:r w:rsidRPr="00C54DD3">
              <w:rPr>
                <w:rFonts w:eastAsia="Times New Roman" w:cstheme="minorHAnsi"/>
                <w:szCs w:val="22"/>
              </w:rPr>
              <w:t xml:space="preserve"> Workforce Board</w:t>
            </w:r>
          </w:p>
        </w:tc>
        <w:tc>
          <w:tcPr>
            <w:tcW w:w="4145" w:type="dxa"/>
          </w:tcPr>
          <w:p w14:paraId="3DABFAEA" w14:textId="3806F55D" w:rsidR="006D3236" w:rsidRPr="00D0661C" w:rsidRDefault="00905A85" w:rsidP="006D3236">
            <w:pPr>
              <w:rPr>
                <w:rFonts w:eastAsia="Times New Roman" w:cstheme="minorHAnsi"/>
                <w:szCs w:val="22"/>
              </w:rPr>
            </w:pPr>
            <w:r>
              <w:rPr>
                <w:rFonts w:eastAsia="Times New Roman" w:cstheme="minorHAnsi"/>
                <w:szCs w:val="22"/>
              </w:rPr>
              <w:t>SSJardim@MassHireGBWB.org</w:t>
            </w:r>
          </w:p>
        </w:tc>
      </w:tr>
      <w:tr w:rsidR="006D3236" w:rsidRPr="00D0661C" w14:paraId="31E73899" w14:textId="77777777" w:rsidTr="00093DF5">
        <w:trPr>
          <w:jc w:val="center"/>
        </w:trPr>
        <w:tc>
          <w:tcPr>
            <w:tcW w:w="3145" w:type="dxa"/>
          </w:tcPr>
          <w:p w14:paraId="7FD11AAF" w14:textId="1D6AF45D" w:rsidR="006D3236" w:rsidRPr="00D0661C" w:rsidRDefault="006D3236" w:rsidP="006D3236">
            <w:pPr>
              <w:rPr>
                <w:rFonts w:eastAsia="Times New Roman" w:cstheme="minorHAnsi"/>
                <w:szCs w:val="22"/>
              </w:rPr>
            </w:pPr>
            <w:r>
              <w:rPr>
                <w:rFonts w:eastAsia="Times New Roman" w:cstheme="minorHAnsi"/>
                <w:szCs w:val="22"/>
              </w:rPr>
              <w:t>Dean Rizzo/Robert Cerasoli</w:t>
            </w:r>
          </w:p>
        </w:tc>
        <w:tc>
          <w:tcPr>
            <w:tcW w:w="3240" w:type="dxa"/>
          </w:tcPr>
          <w:p w14:paraId="13F9AEB4" w14:textId="70C2E8BB" w:rsidR="006D3236" w:rsidRPr="00D0661C" w:rsidRDefault="006D3236" w:rsidP="006D3236">
            <w:pPr>
              <w:rPr>
                <w:rFonts w:eastAsia="Times New Roman" w:cstheme="minorHAnsi"/>
                <w:szCs w:val="22"/>
              </w:rPr>
            </w:pPr>
            <w:r w:rsidRPr="00C54DD3">
              <w:rPr>
                <w:rFonts w:eastAsia="Times New Roman" w:cstheme="minorHAnsi"/>
                <w:szCs w:val="22"/>
              </w:rPr>
              <w:t xml:space="preserve">MassHire </w:t>
            </w:r>
            <w:r>
              <w:rPr>
                <w:rFonts w:eastAsia="Times New Roman" w:cstheme="minorHAnsi"/>
                <w:szCs w:val="22"/>
              </w:rPr>
              <w:t>South Shore</w:t>
            </w:r>
            <w:r w:rsidRPr="00C54DD3">
              <w:rPr>
                <w:rFonts w:eastAsia="Times New Roman" w:cstheme="minorHAnsi"/>
                <w:szCs w:val="22"/>
              </w:rPr>
              <w:t xml:space="preserve"> Workforce Board</w:t>
            </w:r>
          </w:p>
        </w:tc>
        <w:tc>
          <w:tcPr>
            <w:tcW w:w="4145" w:type="dxa"/>
          </w:tcPr>
          <w:p w14:paraId="1B28B974" w14:textId="473D5B2B" w:rsidR="006D3236" w:rsidRDefault="00F2658D" w:rsidP="006D3236">
            <w:pPr>
              <w:rPr>
                <w:rFonts w:eastAsia="Times New Roman" w:cstheme="minorHAnsi"/>
                <w:szCs w:val="22"/>
              </w:rPr>
            </w:pPr>
            <w:hyperlink r:id="rId9" w:history="1">
              <w:r w:rsidR="00905A85" w:rsidRPr="005F5A63">
                <w:rPr>
                  <w:rStyle w:val="Hyperlink"/>
                  <w:rFonts w:eastAsia="Times New Roman" w:cstheme="minorHAnsi"/>
                  <w:szCs w:val="22"/>
                </w:rPr>
                <w:t>drizzo@masshiresouthshorewb.com</w:t>
              </w:r>
            </w:hyperlink>
          </w:p>
          <w:p w14:paraId="6CAFDE12" w14:textId="46FD8AF0" w:rsidR="00905A85" w:rsidRPr="00D0661C" w:rsidRDefault="00905A85" w:rsidP="006D3236">
            <w:pPr>
              <w:rPr>
                <w:rFonts w:eastAsia="Times New Roman" w:cstheme="minorHAnsi"/>
                <w:szCs w:val="22"/>
              </w:rPr>
            </w:pPr>
            <w:r w:rsidRPr="00905A85">
              <w:rPr>
                <w:rFonts w:eastAsia="Times New Roman" w:cstheme="minorHAnsi"/>
                <w:szCs w:val="22"/>
              </w:rPr>
              <w:t>rcerasoli@masshiresouthshorewb.com</w:t>
            </w:r>
          </w:p>
        </w:tc>
      </w:tr>
      <w:tr w:rsidR="005421E4" w:rsidRPr="00D0661C" w14:paraId="24B7EB00" w14:textId="77777777" w:rsidTr="00093DF5">
        <w:trPr>
          <w:jc w:val="center"/>
        </w:trPr>
        <w:tc>
          <w:tcPr>
            <w:tcW w:w="3145" w:type="dxa"/>
          </w:tcPr>
          <w:p w14:paraId="0E731A54" w14:textId="4415C966" w:rsidR="005421E4" w:rsidRPr="00D0661C" w:rsidRDefault="006D3236" w:rsidP="00093DF5">
            <w:pPr>
              <w:rPr>
                <w:rFonts w:eastAsia="Times New Roman" w:cstheme="minorHAnsi"/>
                <w:szCs w:val="22"/>
              </w:rPr>
            </w:pPr>
            <w:r>
              <w:rPr>
                <w:rFonts w:eastAsia="Times New Roman" w:cstheme="minorHAnsi"/>
                <w:szCs w:val="22"/>
              </w:rPr>
              <w:t>Mary Waldron</w:t>
            </w:r>
          </w:p>
        </w:tc>
        <w:tc>
          <w:tcPr>
            <w:tcW w:w="3240" w:type="dxa"/>
          </w:tcPr>
          <w:p w14:paraId="70C5CCB3" w14:textId="7C255366" w:rsidR="005421E4" w:rsidRPr="00D0661C" w:rsidRDefault="006D3236" w:rsidP="00093DF5">
            <w:pPr>
              <w:rPr>
                <w:rFonts w:eastAsia="Times New Roman" w:cstheme="minorHAnsi"/>
                <w:szCs w:val="22"/>
              </w:rPr>
            </w:pPr>
            <w:r>
              <w:rPr>
                <w:rFonts w:eastAsia="Times New Roman" w:cstheme="minorHAnsi"/>
                <w:szCs w:val="22"/>
              </w:rPr>
              <w:t>Old Colony Planning Council</w:t>
            </w:r>
          </w:p>
        </w:tc>
        <w:tc>
          <w:tcPr>
            <w:tcW w:w="4145" w:type="dxa"/>
          </w:tcPr>
          <w:p w14:paraId="6F4AD41A" w14:textId="7920BE13" w:rsidR="005421E4" w:rsidRPr="00D0661C" w:rsidRDefault="00B543AF" w:rsidP="00093DF5">
            <w:pPr>
              <w:rPr>
                <w:rFonts w:eastAsia="Times New Roman" w:cstheme="minorHAnsi"/>
                <w:szCs w:val="22"/>
              </w:rPr>
            </w:pPr>
            <w:r w:rsidRPr="00B543AF">
              <w:rPr>
                <w:rFonts w:eastAsia="Times New Roman" w:cstheme="minorHAnsi"/>
                <w:szCs w:val="22"/>
              </w:rPr>
              <w:t>mwaldron@ocpcrpa.org</w:t>
            </w:r>
          </w:p>
        </w:tc>
      </w:tr>
      <w:tr w:rsidR="005421E4" w:rsidRPr="00D0661C" w14:paraId="2BD74E11" w14:textId="77777777" w:rsidTr="00093DF5">
        <w:trPr>
          <w:jc w:val="center"/>
        </w:trPr>
        <w:tc>
          <w:tcPr>
            <w:tcW w:w="3145" w:type="dxa"/>
          </w:tcPr>
          <w:p w14:paraId="3EBF14B9" w14:textId="73FE1CEE" w:rsidR="005421E4" w:rsidRPr="00D0661C" w:rsidRDefault="006D3236" w:rsidP="00093DF5">
            <w:pPr>
              <w:rPr>
                <w:rFonts w:eastAsia="Times New Roman" w:cstheme="minorHAnsi"/>
                <w:szCs w:val="22"/>
              </w:rPr>
            </w:pPr>
            <w:r>
              <w:rPr>
                <w:rFonts w:eastAsia="Times New Roman" w:cstheme="minorHAnsi"/>
                <w:szCs w:val="22"/>
              </w:rPr>
              <w:t>Hugh Dunn</w:t>
            </w:r>
          </w:p>
        </w:tc>
        <w:tc>
          <w:tcPr>
            <w:tcW w:w="3240" w:type="dxa"/>
          </w:tcPr>
          <w:p w14:paraId="438AE01D" w14:textId="65C8635B" w:rsidR="005421E4" w:rsidRPr="00D0661C" w:rsidRDefault="006D3236" w:rsidP="00093DF5">
            <w:pPr>
              <w:rPr>
                <w:rFonts w:eastAsia="Times New Roman" w:cstheme="minorHAnsi"/>
                <w:szCs w:val="22"/>
              </w:rPr>
            </w:pPr>
            <w:r>
              <w:rPr>
                <w:rFonts w:eastAsia="Times New Roman" w:cstheme="minorHAnsi"/>
                <w:szCs w:val="22"/>
              </w:rPr>
              <w:t>UMass Dartmouth</w:t>
            </w:r>
          </w:p>
        </w:tc>
        <w:tc>
          <w:tcPr>
            <w:tcW w:w="4145" w:type="dxa"/>
          </w:tcPr>
          <w:p w14:paraId="41C48962" w14:textId="4327B5A2" w:rsidR="005421E4" w:rsidRPr="00D0661C" w:rsidRDefault="00B543AF" w:rsidP="00093DF5">
            <w:pPr>
              <w:rPr>
                <w:rFonts w:eastAsia="Times New Roman" w:cstheme="minorHAnsi"/>
                <w:szCs w:val="22"/>
              </w:rPr>
            </w:pPr>
            <w:r w:rsidRPr="00B543AF">
              <w:rPr>
                <w:rFonts w:eastAsia="Times New Roman" w:cstheme="minorHAnsi"/>
                <w:szCs w:val="22"/>
              </w:rPr>
              <w:t>hdunn1@umassd.edu</w:t>
            </w:r>
          </w:p>
        </w:tc>
      </w:tr>
      <w:tr w:rsidR="005421E4" w:rsidRPr="00D0661C" w14:paraId="09269B1C" w14:textId="77777777" w:rsidTr="00093DF5">
        <w:trPr>
          <w:jc w:val="center"/>
        </w:trPr>
        <w:tc>
          <w:tcPr>
            <w:tcW w:w="3145" w:type="dxa"/>
          </w:tcPr>
          <w:p w14:paraId="7DDAB75E" w14:textId="46DB5390" w:rsidR="005421E4" w:rsidRPr="00D0661C" w:rsidRDefault="006D3236" w:rsidP="00093DF5">
            <w:pPr>
              <w:rPr>
                <w:rFonts w:eastAsia="Times New Roman" w:cstheme="minorHAnsi"/>
                <w:szCs w:val="22"/>
              </w:rPr>
            </w:pPr>
            <w:r>
              <w:rPr>
                <w:rFonts w:eastAsia="Times New Roman" w:cstheme="minorHAnsi"/>
                <w:szCs w:val="22"/>
              </w:rPr>
              <w:t>Tom Hickey</w:t>
            </w:r>
          </w:p>
        </w:tc>
        <w:tc>
          <w:tcPr>
            <w:tcW w:w="3240" w:type="dxa"/>
          </w:tcPr>
          <w:p w14:paraId="4AB97F25" w14:textId="072A8E85" w:rsidR="005421E4" w:rsidRPr="00D0661C" w:rsidRDefault="006D3236" w:rsidP="00093DF5">
            <w:pPr>
              <w:rPr>
                <w:rFonts w:eastAsia="Times New Roman" w:cstheme="minorHAnsi"/>
                <w:szCs w:val="22"/>
              </w:rPr>
            </w:pPr>
            <w:r>
              <w:rPr>
                <w:rFonts w:eastAsia="Times New Roman" w:cstheme="minorHAnsi"/>
                <w:szCs w:val="22"/>
              </w:rPr>
              <w:t>South Shore Vo-Tech</w:t>
            </w:r>
          </w:p>
        </w:tc>
        <w:tc>
          <w:tcPr>
            <w:tcW w:w="4145" w:type="dxa"/>
          </w:tcPr>
          <w:p w14:paraId="494F7ACB" w14:textId="2E677DBD" w:rsidR="005421E4" w:rsidRPr="00D0661C" w:rsidRDefault="00905A85" w:rsidP="00093DF5">
            <w:pPr>
              <w:rPr>
                <w:rFonts w:eastAsia="Times New Roman" w:cstheme="minorHAnsi"/>
                <w:szCs w:val="22"/>
              </w:rPr>
            </w:pPr>
            <w:r w:rsidRPr="00905A85">
              <w:rPr>
                <w:rFonts w:eastAsia="Times New Roman" w:cstheme="minorHAnsi"/>
                <w:szCs w:val="22"/>
              </w:rPr>
              <w:t>thickey@ssvotech.org</w:t>
            </w:r>
          </w:p>
        </w:tc>
      </w:tr>
      <w:tr w:rsidR="005421E4" w:rsidRPr="00D0661C" w14:paraId="251AF481" w14:textId="77777777" w:rsidTr="00093DF5">
        <w:trPr>
          <w:jc w:val="center"/>
        </w:trPr>
        <w:tc>
          <w:tcPr>
            <w:tcW w:w="3145" w:type="dxa"/>
          </w:tcPr>
          <w:p w14:paraId="29194116" w14:textId="77777777" w:rsidR="005421E4" w:rsidRPr="00D0661C" w:rsidRDefault="005421E4" w:rsidP="00093DF5">
            <w:pPr>
              <w:rPr>
                <w:rFonts w:eastAsia="Times New Roman" w:cstheme="minorHAnsi"/>
                <w:szCs w:val="22"/>
              </w:rPr>
            </w:pPr>
          </w:p>
        </w:tc>
        <w:tc>
          <w:tcPr>
            <w:tcW w:w="3240" w:type="dxa"/>
          </w:tcPr>
          <w:p w14:paraId="48E2C082" w14:textId="77777777" w:rsidR="005421E4" w:rsidRPr="00D0661C" w:rsidRDefault="005421E4" w:rsidP="00093DF5">
            <w:pPr>
              <w:rPr>
                <w:rFonts w:eastAsia="Times New Roman" w:cstheme="minorHAnsi"/>
                <w:szCs w:val="22"/>
              </w:rPr>
            </w:pPr>
          </w:p>
        </w:tc>
        <w:tc>
          <w:tcPr>
            <w:tcW w:w="4145" w:type="dxa"/>
          </w:tcPr>
          <w:p w14:paraId="3E001B0F" w14:textId="77777777" w:rsidR="005421E4" w:rsidRPr="00D0661C" w:rsidRDefault="005421E4" w:rsidP="00093DF5">
            <w:pPr>
              <w:rPr>
                <w:rFonts w:eastAsia="Times New Roman" w:cstheme="minorHAnsi"/>
                <w:szCs w:val="22"/>
              </w:rPr>
            </w:pPr>
          </w:p>
        </w:tc>
      </w:tr>
    </w:tbl>
    <w:p w14:paraId="16F86395" w14:textId="77777777" w:rsidR="00270A71" w:rsidRDefault="003908D0" w:rsidP="003908D0">
      <w:pPr>
        <w:pStyle w:val="Heading5"/>
      </w:pPr>
      <w:r>
        <w:t>Appendix B. Best Practice Documentation</w:t>
      </w:r>
      <w:r w:rsidR="00CD0305">
        <w:t xml:space="preserve"> (1 of 2)</w:t>
      </w:r>
    </w:p>
    <w:p w14:paraId="52111755" w14:textId="77777777" w:rsidR="003908D0" w:rsidRPr="00AF2648" w:rsidRDefault="00BB7528" w:rsidP="003908D0">
      <w:pPr>
        <w:rPr>
          <w:i/>
        </w:rPr>
      </w:pPr>
      <w:r>
        <w:rPr>
          <w:i/>
        </w:rPr>
        <w:t>Note that compiled best practices will be shared</w:t>
      </w:r>
      <w:r w:rsidR="00AF2648">
        <w:rPr>
          <w:i/>
        </w:rPr>
        <w:t xml:space="preserve"> across Regional Planning Teams.</w:t>
      </w:r>
    </w:p>
    <w:tbl>
      <w:tblPr>
        <w:tblStyle w:val="TableGrid"/>
        <w:tblW w:w="9900" w:type="dxa"/>
        <w:tblInd w:w="-365" w:type="dxa"/>
        <w:tblLook w:val="04A0" w:firstRow="1" w:lastRow="0" w:firstColumn="1" w:lastColumn="0" w:noHBand="0" w:noVBand="1"/>
      </w:tblPr>
      <w:tblGrid>
        <w:gridCol w:w="1635"/>
        <w:gridCol w:w="4575"/>
        <w:gridCol w:w="3690"/>
      </w:tblGrid>
      <w:tr w:rsidR="00EB49C2" w:rsidRPr="00D0661C" w14:paraId="158BAF9E" w14:textId="77777777" w:rsidTr="00270A71">
        <w:trPr>
          <w:trHeight w:val="957"/>
        </w:trPr>
        <w:tc>
          <w:tcPr>
            <w:tcW w:w="9900" w:type="dxa"/>
            <w:gridSpan w:val="3"/>
            <w:shd w:val="clear" w:color="auto" w:fill="5B9BD5" w:themeFill="accent1"/>
          </w:tcPr>
          <w:p w14:paraId="74B8E74D" w14:textId="77777777" w:rsidR="00EB49C2" w:rsidRPr="00AF2648" w:rsidRDefault="00EB49C2" w:rsidP="00EB49C2">
            <w:pPr>
              <w:rPr>
                <w:rFonts w:eastAsia="Times New Roman" w:cstheme="minorHAnsi"/>
                <w:b/>
                <w:szCs w:val="22"/>
              </w:rPr>
            </w:pPr>
            <w:r w:rsidRPr="00AF2648">
              <w:rPr>
                <w:rFonts w:eastAsia="Times New Roman" w:cstheme="minorHAnsi"/>
                <w:b/>
                <w:szCs w:val="22"/>
              </w:rPr>
              <w:lastRenderedPageBreak/>
              <w:t>Best Practice (BP) Documentation Tool</w:t>
            </w:r>
          </w:p>
          <w:p w14:paraId="748E637D" w14:textId="77777777" w:rsidR="00EB49C2" w:rsidRPr="00EB49C2" w:rsidRDefault="00EB49C2" w:rsidP="00AF2648">
            <w:pPr>
              <w:rPr>
                <w:rFonts w:eastAsia="Times New Roman" w:cstheme="minorHAnsi"/>
                <w:b/>
                <w:szCs w:val="22"/>
              </w:rPr>
            </w:pPr>
            <w:r>
              <w:rPr>
                <w:rFonts w:eastAsia="Times New Roman" w:cstheme="minorHAnsi"/>
                <w:szCs w:val="22"/>
              </w:rPr>
              <w:t xml:space="preserve">Using the following template, document two </w:t>
            </w:r>
            <w:r w:rsidR="0034782D">
              <w:rPr>
                <w:rFonts w:eastAsia="Times New Roman" w:cstheme="minorHAnsi"/>
                <w:szCs w:val="22"/>
              </w:rPr>
              <w:t xml:space="preserve">(2) </w:t>
            </w:r>
            <w:r>
              <w:rPr>
                <w:rFonts w:eastAsia="Times New Roman" w:cstheme="minorHAnsi"/>
                <w:szCs w:val="22"/>
              </w:rPr>
              <w:t>proven processes or initiatives</w:t>
            </w:r>
            <w:r w:rsidR="00946CDB">
              <w:rPr>
                <w:rFonts w:eastAsia="Times New Roman" w:cstheme="minorHAnsi"/>
                <w:szCs w:val="22"/>
              </w:rPr>
              <w:t>.</w:t>
            </w:r>
            <w:r w:rsidR="00AF2648">
              <w:rPr>
                <w:rFonts w:eastAsia="Times New Roman" w:cstheme="minorHAnsi"/>
                <w:szCs w:val="22"/>
              </w:rPr>
              <w:t xml:space="preserve"> </w:t>
            </w:r>
          </w:p>
        </w:tc>
      </w:tr>
      <w:tr w:rsidR="00EB49C2" w:rsidRPr="00D0661C" w14:paraId="63334272" w14:textId="77777777" w:rsidTr="00270A71">
        <w:trPr>
          <w:trHeight w:val="957"/>
        </w:trPr>
        <w:tc>
          <w:tcPr>
            <w:tcW w:w="9900" w:type="dxa"/>
            <w:gridSpan w:val="3"/>
            <w:shd w:val="clear" w:color="auto" w:fill="DEEAF6" w:themeFill="accent1" w:themeFillTint="33"/>
          </w:tcPr>
          <w:p w14:paraId="2ADD07F5" w14:textId="77777777" w:rsidR="00EB49C2" w:rsidRDefault="0034782D" w:rsidP="0034782D">
            <w:pPr>
              <w:rPr>
                <w:rFonts w:cstheme="minorHAnsi"/>
                <w:b/>
                <w:szCs w:val="22"/>
                <w:u w:val="single"/>
              </w:rPr>
            </w:pPr>
            <w:r>
              <w:rPr>
                <w:rFonts w:cstheme="minorHAnsi"/>
                <w:b/>
                <w:szCs w:val="22"/>
                <w:u w:val="single"/>
              </w:rPr>
              <w:t>Best Practice Identification</w:t>
            </w:r>
          </w:p>
          <w:p w14:paraId="7C870762" w14:textId="77777777" w:rsidR="00946CDB" w:rsidRPr="00946CDB" w:rsidRDefault="00946CDB" w:rsidP="0034782D">
            <w:pPr>
              <w:rPr>
                <w:rFonts w:cstheme="minorHAnsi"/>
                <w:b/>
                <w:szCs w:val="22"/>
                <w:u w:val="single"/>
              </w:rPr>
            </w:pPr>
            <w:r>
              <w:rPr>
                <w:rFonts w:eastAsia="Times New Roman" w:cstheme="minorHAnsi"/>
                <w:szCs w:val="22"/>
              </w:rPr>
              <w:t>Describe a best practice or achievement in support of your vision and strategic goals.</w:t>
            </w:r>
          </w:p>
        </w:tc>
      </w:tr>
      <w:tr w:rsidR="0034782D" w:rsidRPr="00D0661C" w14:paraId="71F252B7" w14:textId="77777777" w:rsidTr="00270A71">
        <w:trPr>
          <w:trHeight w:val="957"/>
        </w:trPr>
        <w:tc>
          <w:tcPr>
            <w:tcW w:w="1635" w:type="dxa"/>
          </w:tcPr>
          <w:p w14:paraId="4088F564" w14:textId="77777777" w:rsidR="0034782D" w:rsidRDefault="0034782D" w:rsidP="00EB49C2">
            <w:pPr>
              <w:jc w:val="center"/>
              <w:rPr>
                <w:rFonts w:cstheme="minorHAnsi"/>
                <w:b/>
                <w:color w:val="000000"/>
                <w:szCs w:val="22"/>
              </w:rPr>
            </w:pPr>
            <w:r>
              <w:rPr>
                <w:rFonts w:cstheme="minorHAnsi"/>
                <w:b/>
                <w:color w:val="000000"/>
                <w:szCs w:val="22"/>
              </w:rPr>
              <w:t>Title</w:t>
            </w:r>
          </w:p>
        </w:tc>
        <w:tc>
          <w:tcPr>
            <w:tcW w:w="4575" w:type="dxa"/>
          </w:tcPr>
          <w:p w14:paraId="613ADF55" w14:textId="77777777" w:rsidR="0034782D" w:rsidRDefault="0034782D" w:rsidP="0034782D">
            <w:pPr>
              <w:rPr>
                <w:rFonts w:cstheme="minorHAnsi"/>
                <w:i/>
                <w:color w:val="000000"/>
                <w:szCs w:val="22"/>
              </w:rPr>
            </w:pPr>
            <w:r>
              <w:rPr>
                <w:rFonts w:cstheme="minorHAnsi"/>
                <w:i/>
                <w:color w:val="000000"/>
                <w:szCs w:val="22"/>
              </w:rPr>
              <w:t>Provide a title and/or brief summary of the best practice.</w:t>
            </w:r>
          </w:p>
        </w:tc>
        <w:tc>
          <w:tcPr>
            <w:tcW w:w="3690" w:type="dxa"/>
          </w:tcPr>
          <w:p w14:paraId="6409BA84" w14:textId="77777777" w:rsidR="0034782D" w:rsidRPr="009853BD" w:rsidRDefault="005235B4" w:rsidP="00EB49C2">
            <w:pPr>
              <w:rPr>
                <w:rFonts w:ascii="Garamond" w:hAnsi="Garamond" w:cstheme="minorHAnsi"/>
                <w:sz w:val="24"/>
                <w:szCs w:val="24"/>
              </w:rPr>
            </w:pPr>
            <w:r w:rsidRPr="009853BD">
              <w:rPr>
                <w:rFonts w:ascii="Garamond" w:hAnsi="Garamond" w:cstheme="minorHAnsi"/>
                <w:sz w:val="24"/>
                <w:szCs w:val="24"/>
              </w:rPr>
              <w:t>Resource Development</w:t>
            </w:r>
          </w:p>
          <w:p w14:paraId="2A96B033" w14:textId="06658CE3" w:rsidR="005235B4" w:rsidRPr="009853BD" w:rsidRDefault="005235B4" w:rsidP="00EB49C2">
            <w:pPr>
              <w:rPr>
                <w:rFonts w:ascii="Garamond" w:hAnsi="Garamond" w:cstheme="minorHAnsi"/>
                <w:sz w:val="24"/>
                <w:szCs w:val="24"/>
              </w:rPr>
            </w:pPr>
          </w:p>
        </w:tc>
      </w:tr>
      <w:tr w:rsidR="00EB49C2" w:rsidRPr="00D0661C" w14:paraId="5CDB160B" w14:textId="77777777" w:rsidTr="00270A71">
        <w:trPr>
          <w:trHeight w:val="957"/>
        </w:trPr>
        <w:tc>
          <w:tcPr>
            <w:tcW w:w="1635" w:type="dxa"/>
          </w:tcPr>
          <w:p w14:paraId="785C2D8A" w14:textId="77777777" w:rsidR="00EB49C2" w:rsidRDefault="0034782D" w:rsidP="00EB49C2">
            <w:pPr>
              <w:jc w:val="center"/>
              <w:rPr>
                <w:rFonts w:cstheme="minorHAnsi"/>
                <w:b/>
                <w:color w:val="000000"/>
                <w:szCs w:val="22"/>
              </w:rPr>
            </w:pPr>
            <w:r>
              <w:rPr>
                <w:rFonts w:cstheme="minorHAnsi"/>
                <w:b/>
                <w:color w:val="000000"/>
                <w:szCs w:val="22"/>
              </w:rPr>
              <w:t xml:space="preserve">Strategic </w:t>
            </w:r>
            <w:r w:rsidR="00EB49C2">
              <w:rPr>
                <w:rFonts w:cstheme="minorHAnsi"/>
                <w:b/>
                <w:color w:val="000000"/>
                <w:szCs w:val="22"/>
              </w:rPr>
              <w:t>Alignment</w:t>
            </w:r>
          </w:p>
        </w:tc>
        <w:tc>
          <w:tcPr>
            <w:tcW w:w="4575" w:type="dxa"/>
          </w:tcPr>
          <w:p w14:paraId="034BF91A" w14:textId="77777777" w:rsidR="00EB49C2" w:rsidRDefault="00EB49C2" w:rsidP="00EB49C2">
            <w:pPr>
              <w:rPr>
                <w:rFonts w:cstheme="minorHAnsi"/>
                <w:i/>
                <w:color w:val="000000"/>
                <w:szCs w:val="22"/>
              </w:rPr>
            </w:pPr>
            <w:r>
              <w:rPr>
                <w:rFonts w:cstheme="minorHAnsi"/>
                <w:i/>
                <w:color w:val="000000"/>
                <w:szCs w:val="22"/>
              </w:rPr>
              <w:t>List the associated industry or occupation and Blueprint goal.</w:t>
            </w:r>
          </w:p>
        </w:tc>
        <w:tc>
          <w:tcPr>
            <w:tcW w:w="3690" w:type="dxa"/>
          </w:tcPr>
          <w:p w14:paraId="3C3027EB" w14:textId="77777777" w:rsidR="00EB49C2" w:rsidRPr="009853BD" w:rsidRDefault="009853BD" w:rsidP="00EB49C2">
            <w:pPr>
              <w:rPr>
                <w:rFonts w:ascii="Garamond" w:hAnsi="Garamond" w:cstheme="minorHAnsi"/>
                <w:sz w:val="24"/>
                <w:szCs w:val="24"/>
              </w:rPr>
            </w:pPr>
            <w:r w:rsidRPr="009853BD">
              <w:rPr>
                <w:rFonts w:ascii="Garamond" w:hAnsi="Garamond" w:cstheme="minorHAnsi"/>
                <w:sz w:val="24"/>
                <w:szCs w:val="24"/>
              </w:rPr>
              <w:t>FY20 Priority focus – Healthcare, Banking &amp; Insurance and Manufacturing.</w:t>
            </w:r>
          </w:p>
          <w:p w14:paraId="14A01890" w14:textId="3346BF93" w:rsidR="009853BD" w:rsidRPr="009853BD" w:rsidRDefault="009853BD" w:rsidP="00EB49C2">
            <w:pPr>
              <w:rPr>
                <w:rFonts w:ascii="Garamond" w:hAnsi="Garamond" w:cstheme="minorHAnsi"/>
                <w:sz w:val="24"/>
                <w:szCs w:val="24"/>
              </w:rPr>
            </w:pPr>
          </w:p>
        </w:tc>
      </w:tr>
      <w:tr w:rsidR="00EB49C2" w:rsidRPr="00D0661C" w14:paraId="7F677373" w14:textId="77777777" w:rsidTr="00270A71">
        <w:trPr>
          <w:trHeight w:val="957"/>
        </w:trPr>
        <w:tc>
          <w:tcPr>
            <w:tcW w:w="1635" w:type="dxa"/>
          </w:tcPr>
          <w:p w14:paraId="5BE98AA5" w14:textId="77777777" w:rsidR="00EB49C2" w:rsidRPr="00D0661C" w:rsidRDefault="0034782D" w:rsidP="00EB49C2">
            <w:pPr>
              <w:jc w:val="center"/>
              <w:rPr>
                <w:rFonts w:cstheme="minorHAnsi"/>
                <w:b/>
                <w:color w:val="000000"/>
                <w:szCs w:val="22"/>
              </w:rPr>
            </w:pPr>
            <w:r>
              <w:rPr>
                <w:rFonts w:cstheme="minorHAnsi"/>
                <w:b/>
                <w:color w:val="000000"/>
                <w:szCs w:val="22"/>
              </w:rPr>
              <w:t>Description</w:t>
            </w:r>
          </w:p>
        </w:tc>
        <w:tc>
          <w:tcPr>
            <w:tcW w:w="4575" w:type="dxa"/>
          </w:tcPr>
          <w:p w14:paraId="2978D64D" w14:textId="77777777" w:rsidR="00EB49C2" w:rsidRPr="00D0661C" w:rsidRDefault="0034782D" w:rsidP="00EB49C2">
            <w:pPr>
              <w:rPr>
                <w:rFonts w:cstheme="minorHAnsi"/>
                <w:i/>
                <w:color w:val="000000"/>
                <w:szCs w:val="22"/>
              </w:rPr>
            </w:pPr>
            <w:r>
              <w:rPr>
                <w:rFonts w:cstheme="minorHAnsi"/>
                <w:i/>
                <w:color w:val="000000"/>
                <w:szCs w:val="22"/>
              </w:rPr>
              <w:t>Describe the processes and steps involved.</w:t>
            </w:r>
          </w:p>
        </w:tc>
        <w:tc>
          <w:tcPr>
            <w:tcW w:w="3690" w:type="dxa"/>
          </w:tcPr>
          <w:p w14:paraId="1BC21334" w14:textId="5723720D" w:rsidR="00EB49C2" w:rsidRPr="009853BD" w:rsidRDefault="009853BD" w:rsidP="00EB49C2">
            <w:pPr>
              <w:rPr>
                <w:rFonts w:ascii="Garamond" w:hAnsi="Garamond" w:cstheme="minorHAnsi"/>
                <w:sz w:val="24"/>
                <w:szCs w:val="24"/>
              </w:rPr>
            </w:pPr>
            <w:r w:rsidRPr="009853BD">
              <w:rPr>
                <w:rFonts w:ascii="Garamond" w:hAnsi="Garamond" w:cstheme="minorHAnsi"/>
                <w:sz w:val="24"/>
                <w:szCs w:val="24"/>
              </w:rPr>
              <w:t>The southeast region has established a resource development process that is inclusive of all WB’s and designates rotating fiscal responsibilities.</w:t>
            </w:r>
            <w:r>
              <w:rPr>
                <w:rFonts w:ascii="Garamond" w:hAnsi="Garamond" w:cstheme="minorHAnsi"/>
                <w:sz w:val="24"/>
                <w:szCs w:val="24"/>
              </w:rPr>
              <w:t xml:space="preserve">  Upon identification of an available resource, information is disseminated, and a review of the alignment is conducted.  In determining the lead for the initiative, the 4 WB’s determine capacity and prominence for their individual region.  The lead will then identify a core staff member who will work on the project</w:t>
            </w:r>
            <w:r w:rsidR="0001033D">
              <w:rPr>
                <w:rFonts w:ascii="Garamond" w:hAnsi="Garamond" w:cstheme="minorHAnsi"/>
                <w:sz w:val="24"/>
                <w:szCs w:val="24"/>
              </w:rPr>
              <w:t xml:space="preserve"> at each WB and a timeline for completion is developed.</w:t>
            </w:r>
            <w:r>
              <w:rPr>
                <w:rFonts w:ascii="Garamond" w:hAnsi="Garamond" w:cstheme="minorHAnsi"/>
                <w:sz w:val="24"/>
                <w:szCs w:val="24"/>
              </w:rPr>
              <w:t xml:space="preserve">  All training is designed to be coordinated regionally, allowing cross </w:t>
            </w:r>
            <w:r w:rsidR="0001033D">
              <w:rPr>
                <w:rFonts w:ascii="Garamond" w:hAnsi="Garamond" w:cstheme="minorHAnsi"/>
                <w:sz w:val="24"/>
                <w:szCs w:val="24"/>
              </w:rPr>
              <w:t>registration,</w:t>
            </w:r>
            <w:r>
              <w:rPr>
                <w:rFonts w:ascii="Garamond" w:hAnsi="Garamond" w:cstheme="minorHAnsi"/>
                <w:sz w:val="24"/>
                <w:szCs w:val="24"/>
              </w:rPr>
              <w:t xml:space="preserve"> and erasing geographical boundaries for employers.</w:t>
            </w:r>
          </w:p>
        </w:tc>
      </w:tr>
      <w:tr w:rsidR="00EB49C2" w:rsidRPr="00D0661C" w14:paraId="22F1DF98" w14:textId="77777777" w:rsidTr="00270A71">
        <w:trPr>
          <w:trHeight w:val="957"/>
        </w:trPr>
        <w:tc>
          <w:tcPr>
            <w:tcW w:w="1635" w:type="dxa"/>
          </w:tcPr>
          <w:p w14:paraId="3EC50082" w14:textId="77777777" w:rsidR="00EB49C2" w:rsidRDefault="00EB49C2" w:rsidP="00EB49C2">
            <w:pPr>
              <w:jc w:val="center"/>
              <w:rPr>
                <w:rFonts w:cstheme="minorHAnsi"/>
                <w:b/>
                <w:color w:val="000000"/>
                <w:szCs w:val="22"/>
              </w:rPr>
            </w:pPr>
            <w:r>
              <w:rPr>
                <w:rFonts w:cstheme="minorHAnsi"/>
                <w:b/>
                <w:color w:val="000000"/>
                <w:szCs w:val="22"/>
              </w:rPr>
              <w:t>Results</w:t>
            </w:r>
          </w:p>
        </w:tc>
        <w:tc>
          <w:tcPr>
            <w:tcW w:w="4575" w:type="dxa"/>
          </w:tcPr>
          <w:p w14:paraId="26B14D46" w14:textId="77777777" w:rsidR="00EB49C2" w:rsidRDefault="00EB49C2" w:rsidP="00EB49C2">
            <w:pPr>
              <w:rPr>
                <w:rFonts w:cstheme="minorHAnsi"/>
                <w:i/>
                <w:color w:val="000000"/>
                <w:szCs w:val="22"/>
              </w:rPr>
            </w:pPr>
            <w:r>
              <w:rPr>
                <w:rFonts w:cstheme="minorHAnsi"/>
                <w:i/>
                <w:color w:val="000000"/>
                <w:szCs w:val="22"/>
              </w:rPr>
              <w:t>Report outcomes, including relevant next steps.</w:t>
            </w:r>
          </w:p>
        </w:tc>
        <w:tc>
          <w:tcPr>
            <w:tcW w:w="3690" w:type="dxa"/>
          </w:tcPr>
          <w:p w14:paraId="354455E0" w14:textId="77777777" w:rsidR="009853BD" w:rsidRDefault="009853BD" w:rsidP="00EB49C2">
            <w:pPr>
              <w:rPr>
                <w:rFonts w:ascii="Garamond" w:hAnsi="Garamond" w:cstheme="minorHAnsi"/>
                <w:sz w:val="24"/>
                <w:szCs w:val="24"/>
              </w:rPr>
            </w:pPr>
            <w:r>
              <w:rPr>
                <w:rFonts w:ascii="Garamond" w:hAnsi="Garamond" w:cstheme="minorHAnsi"/>
                <w:sz w:val="24"/>
                <w:szCs w:val="24"/>
              </w:rPr>
              <w:t xml:space="preserve">Successful grant applications have increased training opportunities for our jobseekers and a better trained </w:t>
            </w:r>
            <w:r>
              <w:rPr>
                <w:rFonts w:ascii="Garamond" w:hAnsi="Garamond" w:cstheme="minorHAnsi"/>
                <w:sz w:val="24"/>
                <w:szCs w:val="24"/>
              </w:rPr>
              <w:lastRenderedPageBreak/>
              <w:t>pool of employees for our businesses.</w:t>
            </w:r>
          </w:p>
          <w:p w14:paraId="7AEE4C4B" w14:textId="004DD8D2" w:rsidR="00EB49C2" w:rsidRPr="009853BD" w:rsidRDefault="009853BD" w:rsidP="00EB49C2">
            <w:pPr>
              <w:rPr>
                <w:rFonts w:ascii="Garamond" w:hAnsi="Garamond" w:cstheme="minorHAnsi"/>
                <w:sz w:val="24"/>
                <w:szCs w:val="24"/>
              </w:rPr>
            </w:pPr>
            <w:r>
              <w:rPr>
                <w:rFonts w:ascii="Garamond" w:hAnsi="Garamond" w:cstheme="minorHAnsi"/>
                <w:sz w:val="24"/>
                <w:szCs w:val="24"/>
              </w:rPr>
              <w:t>Next steps – Continue to document process</w:t>
            </w:r>
            <w:r w:rsidR="0001033D">
              <w:rPr>
                <w:rFonts w:ascii="Garamond" w:hAnsi="Garamond" w:cstheme="minorHAnsi"/>
                <w:sz w:val="24"/>
                <w:szCs w:val="24"/>
              </w:rPr>
              <w:t xml:space="preserve"> to maintain institutional history.</w:t>
            </w:r>
          </w:p>
        </w:tc>
      </w:tr>
      <w:tr w:rsidR="00EB49C2" w:rsidRPr="00D0661C" w14:paraId="11496D5E" w14:textId="77777777" w:rsidTr="00270A71">
        <w:trPr>
          <w:trHeight w:val="957"/>
        </w:trPr>
        <w:tc>
          <w:tcPr>
            <w:tcW w:w="9900" w:type="dxa"/>
            <w:gridSpan w:val="3"/>
            <w:shd w:val="clear" w:color="auto" w:fill="DEEAF6" w:themeFill="accent1" w:themeFillTint="33"/>
          </w:tcPr>
          <w:p w14:paraId="341B97EC" w14:textId="77777777" w:rsidR="00EB49C2" w:rsidRPr="00EB49C2" w:rsidRDefault="0034782D" w:rsidP="00EB49C2">
            <w:pPr>
              <w:rPr>
                <w:rFonts w:cstheme="minorHAnsi"/>
                <w:b/>
                <w:szCs w:val="22"/>
                <w:u w:val="single"/>
              </w:rPr>
            </w:pPr>
            <w:r>
              <w:rPr>
                <w:rFonts w:cstheme="minorHAnsi"/>
                <w:b/>
                <w:szCs w:val="22"/>
                <w:u w:val="single"/>
              </w:rPr>
              <w:lastRenderedPageBreak/>
              <w:t>Knowledge Management</w:t>
            </w:r>
          </w:p>
          <w:p w14:paraId="219FFA13" w14:textId="77777777" w:rsidR="00EB49C2" w:rsidRPr="00D0661C" w:rsidRDefault="00AF2648" w:rsidP="00AF2648">
            <w:pPr>
              <w:rPr>
                <w:rFonts w:cstheme="minorHAnsi"/>
                <w:szCs w:val="22"/>
              </w:rPr>
            </w:pPr>
            <w:r>
              <w:rPr>
                <w:rFonts w:cstheme="minorHAnsi"/>
                <w:szCs w:val="22"/>
              </w:rPr>
              <w:t>Use the following fields as a guide to provide more information for other potential users.</w:t>
            </w:r>
            <w:r w:rsidR="0034782D">
              <w:rPr>
                <w:rFonts w:cstheme="minorHAnsi"/>
                <w:szCs w:val="22"/>
              </w:rPr>
              <w:t xml:space="preserve"> </w:t>
            </w:r>
          </w:p>
        </w:tc>
      </w:tr>
      <w:tr w:rsidR="00EB49C2" w:rsidRPr="00D0661C" w14:paraId="047BA4B1" w14:textId="77777777" w:rsidTr="00270A71">
        <w:trPr>
          <w:trHeight w:val="957"/>
        </w:trPr>
        <w:tc>
          <w:tcPr>
            <w:tcW w:w="1635" w:type="dxa"/>
          </w:tcPr>
          <w:p w14:paraId="48F5670B" w14:textId="77777777" w:rsidR="00EB49C2" w:rsidRDefault="00500B1C" w:rsidP="00EB49C2">
            <w:pPr>
              <w:jc w:val="center"/>
              <w:rPr>
                <w:rFonts w:cstheme="minorHAnsi"/>
                <w:b/>
                <w:color w:val="000000"/>
                <w:szCs w:val="22"/>
              </w:rPr>
            </w:pPr>
            <w:r>
              <w:rPr>
                <w:rFonts w:cstheme="minorHAnsi"/>
                <w:b/>
                <w:color w:val="000000"/>
                <w:szCs w:val="22"/>
              </w:rPr>
              <w:t>Resources</w:t>
            </w:r>
          </w:p>
        </w:tc>
        <w:tc>
          <w:tcPr>
            <w:tcW w:w="4575" w:type="dxa"/>
          </w:tcPr>
          <w:p w14:paraId="097EFE2C" w14:textId="77777777" w:rsidR="00EB49C2" w:rsidRDefault="00500B1C" w:rsidP="0034782D">
            <w:pPr>
              <w:rPr>
                <w:rFonts w:cstheme="minorHAnsi"/>
                <w:i/>
                <w:color w:val="000000"/>
                <w:szCs w:val="22"/>
              </w:rPr>
            </w:pPr>
            <w:r>
              <w:rPr>
                <w:rFonts w:cstheme="minorHAnsi"/>
                <w:i/>
                <w:color w:val="000000"/>
                <w:szCs w:val="22"/>
              </w:rPr>
              <w:t>What resources</w:t>
            </w:r>
            <w:r w:rsidR="00EB49C2">
              <w:rPr>
                <w:rFonts w:cstheme="minorHAnsi"/>
                <w:i/>
                <w:color w:val="000000"/>
                <w:szCs w:val="22"/>
              </w:rPr>
              <w:t xml:space="preserve"> </w:t>
            </w:r>
            <w:r w:rsidR="0034782D">
              <w:rPr>
                <w:rFonts w:cstheme="minorHAnsi"/>
                <w:i/>
                <w:color w:val="000000"/>
                <w:szCs w:val="22"/>
              </w:rPr>
              <w:t xml:space="preserve">and skills </w:t>
            </w:r>
            <w:r w:rsidR="00EB49C2">
              <w:rPr>
                <w:rFonts w:cstheme="minorHAnsi"/>
                <w:i/>
                <w:color w:val="000000"/>
                <w:szCs w:val="22"/>
              </w:rPr>
              <w:t>are needed to apply the BP</w:t>
            </w:r>
            <w:r w:rsidR="0034782D">
              <w:rPr>
                <w:rFonts w:cstheme="minorHAnsi"/>
                <w:i/>
                <w:color w:val="000000"/>
                <w:szCs w:val="22"/>
              </w:rPr>
              <w:t>?</w:t>
            </w:r>
          </w:p>
        </w:tc>
        <w:tc>
          <w:tcPr>
            <w:tcW w:w="3690" w:type="dxa"/>
          </w:tcPr>
          <w:p w14:paraId="67E9840C" w14:textId="518ADAF2" w:rsidR="00EB49C2" w:rsidRPr="0001033D" w:rsidRDefault="0001033D" w:rsidP="00EB49C2">
            <w:pPr>
              <w:rPr>
                <w:rFonts w:ascii="Garamond" w:hAnsi="Garamond" w:cstheme="minorHAnsi"/>
                <w:sz w:val="24"/>
                <w:szCs w:val="24"/>
              </w:rPr>
            </w:pPr>
            <w:r w:rsidRPr="0001033D">
              <w:rPr>
                <w:rFonts w:ascii="Garamond" w:hAnsi="Garamond" w:cstheme="minorHAnsi"/>
                <w:sz w:val="24"/>
                <w:szCs w:val="24"/>
              </w:rPr>
              <w:t>An understanding of resource development and willingness to collaborate.</w:t>
            </w:r>
          </w:p>
        </w:tc>
      </w:tr>
      <w:tr w:rsidR="00EB49C2" w:rsidRPr="00D0661C" w14:paraId="4C1D7EFE" w14:textId="77777777" w:rsidTr="00270A71">
        <w:trPr>
          <w:trHeight w:val="957"/>
        </w:trPr>
        <w:tc>
          <w:tcPr>
            <w:tcW w:w="1635" w:type="dxa"/>
          </w:tcPr>
          <w:p w14:paraId="1669D619" w14:textId="77777777" w:rsidR="00EB49C2" w:rsidRDefault="00EB49C2" w:rsidP="00EB49C2">
            <w:pPr>
              <w:jc w:val="center"/>
              <w:rPr>
                <w:rFonts w:cstheme="minorHAnsi"/>
                <w:b/>
                <w:color w:val="000000"/>
                <w:szCs w:val="22"/>
              </w:rPr>
            </w:pPr>
            <w:r>
              <w:rPr>
                <w:rFonts w:cstheme="minorHAnsi"/>
                <w:b/>
                <w:color w:val="000000"/>
                <w:szCs w:val="22"/>
              </w:rPr>
              <w:t>Barriers</w:t>
            </w:r>
          </w:p>
        </w:tc>
        <w:tc>
          <w:tcPr>
            <w:tcW w:w="4575" w:type="dxa"/>
          </w:tcPr>
          <w:p w14:paraId="75472E9B" w14:textId="77777777" w:rsidR="00EB49C2" w:rsidRDefault="00EB49C2" w:rsidP="00C1732E">
            <w:pPr>
              <w:rPr>
                <w:rFonts w:cstheme="minorHAnsi"/>
                <w:i/>
                <w:color w:val="000000"/>
                <w:szCs w:val="22"/>
              </w:rPr>
            </w:pPr>
            <w:r>
              <w:rPr>
                <w:rFonts w:cstheme="minorHAnsi"/>
                <w:i/>
                <w:color w:val="000000"/>
                <w:szCs w:val="22"/>
              </w:rPr>
              <w:t>Did you encounter any obstacles to applying the BP? How did you solve them?</w:t>
            </w:r>
          </w:p>
        </w:tc>
        <w:tc>
          <w:tcPr>
            <w:tcW w:w="3690" w:type="dxa"/>
          </w:tcPr>
          <w:p w14:paraId="46D3F2FC" w14:textId="51066DDA" w:rsidR="00EB49C2" w:rsidRPr="0001033D" w:rsidRDefault="00C55D55" w:rsidP="00EB49C2">
            <w:pPr>
              <w:rPr>
                <w:rFonts w:ascii="Garamond" w:hAnsi="Garamond" w:cstheme="minorHAnsi"/>
                <w:sz w:val="24"/>
                <w:szCs w:val="24"/>
              </w:rPr>
            </w:pPr>
            <w:r>
              <w:rPr>
                <w:rFonts w:ascii="Garamond" w:hAnsi="Garamond" w:cstheme="minorHAnsi"/>
                <w:sz w:val="24"/>
                <w:szCs w:val="24"/>
              </w:rPr>
              <w:t>None apparent</w:t>
            </w:r>
            <w:r w:rsidR="00D47D64">
              <w:rPr>
                <w:rFonts w:ascii="Garamond" w:hAnsi="Garamond" w:cstheme="minorHAnsi"/>
                <w:sz w:val="24"/>
                <w:szCs w:val="24"/>
              </w:rPr>
              <w:t>.</w:t>
            </w:r>
          </w:p>
        </w:tc>
      </w:tr>
      <w:tr w:rsidR="00EB49C2" w:rsidRPr="00D0661C" w14:paraId="256A7232" w14:textId="77777777" w:rsidTr="00270A71">
        <w:trPr>
          <w:trHeight w:val="957"/>
        </w:trPr>
        <w:tc>
          <w:tcPr>
            <w:tcW w:w="1635" w:type="dxa"/>
          </w:tcPr>
          <w:p w14:paraId="229DC120" w14:textId="77777777" w:rsidR="00EB49C2" w:rsidRDefault="00EB49C2" w:rsidP="00EB49C2">
            <w:pPr>
              <w:jc w:val="center"/>
              <w:rPr>
                <w:rFonts w:cstheme="minorHAnsi"/>
                <w:b/>
                <w:color w:val="000000"/>
                <w:szCs w:val="22"/>
              </w:rPr>
            </w:pPr>
            <w:r>
              <w:rPr>
                <w:rFonts w:cstheme="minorHAnsi"/>
                <w:b/>
                <w:color w:val="000000"/>
                <w:szCs w:val="22"/>
              </w:rPr>
              <w:t>Timeline</w:t>
            </w:r>
          </w:p>
        </w:tc>
        <w:tc>
          <w:tcPr>
            <w:tcW w:w="4575" w:type="dxa"/>
          </w:tcPr>
          <w:p w14:paraId="19069CDA" w14:textId="77777777" w:rsidR="00EB49C2" w:rsidRDefault="00EB49C2" w:rsidP="00EB49C2">
            <w:pPr>
              <w:rPr>
                <w:rFonts w:cstheme="minorHAnsi"/>
                <w:i/>
                <w:color w:val="000000"/>
                <w:szCs w:val="22"/>
              </w:rPr>
            </w:pPr>
            <w:r>
              <w:rPr>
                <w:rFonts w:cstheme="minorHAnsi"/>
                <w:i/>
                <w:color w:val="000000"/>
                <w:szCs w:val="22"/>
              </w:rPr>
              <w:t>How long did it take to introduce and implement the BP?</w:t>
            </w:r>
          </w:p>
        </w:tc>
        <w:tc>
          <w:tcPr>
            <w:tcW w:w="3690" w:type="dxa"/>
          </w:tcPr>
          <w:p w14:paraId="2DBC21D3" w14:textId="5F97EE7B" w:rsidR="00EB49C2" w:rsidRPr="0001033D" w:rsidRDefault="0001033D" w:rsidP="00EB49C2">
            <w:pPr>
              <w:rPr>
                <w:rFonts w:ascii="Garamond" w:hAnsi="Garamond" w:cstheme="minorHAnsi"/>
                <w:sz w:val="24"/>
                <w:szCs w:val="24"/>
              </w:rPr>
            </w:pPr>
            <w:r w:rsidRPr="0001033D">
              <w:rPr>
                <w:rFonts w:ascii="Garamond" w:hAnsi="Garamond" w:cstheme="minorHAnsi"/>
                <w:sz w:val="24"/>
                <w:szCs w:val="24"/>
              </w:rPr>
              <w:t>Ongoing process</w:t>
            </w:r>
          </w:p>
        </w:tc>
      </w:tr>
      <w:tr w:rsidR="00EB49C2" w:rsidRPr="00D0661C" w14:paraId="1CA1C847" w14:textId="77777777" w:rsidTr="00270A71">
        <w:trPr>
          <w:trHeight w:val="957"/>
        </w:trPr>
        <w:tc>
          <w:tcPr>
            <w:tcW w:w="1635" w:type="dxa"/>
          </w:tcPr>
          <w:p w14:paraId="7FABBA22" w14:textId="77777777" w:rsidR="00EB49C2" w:rsidRDefault="00EB49C2" w:rsidP="00EB49C2">
            <w:pPr>
              <w:jc w:val="center"/>
              <w:rPr>
                <w:rFonts w:cstheme="minorHAnsi"/>
                <w:b/>
                <w:color w:val="000000"/>
                <w:szCs w:val="22"/>
              </w:rPr>
            </w:pPr>
            <w:r>
              <w:rPr>
                <w:rFonts w:cstheme="minorHAnsi"/>
                <w:b/>
                <w:color w:val="000000"/>
                <w:szCs w:val="22"/>
              </w:rPr>
              <w:t>Measurement</w:t>
            </w:r>
          </w:p>
        </w:tc>
        <w:tc>
          <w:tcPr>
            <w:tcW w:w="4575" w:type="dxa"/>
          </w:tcPr>
          <w:p w14:paraId="7A109F9C" w14:textId="77777777" w:rsidR="00EB49C2" w:rsidRDefault="00946CDB" w:rsidP="00EB49C2">
            <w:pPr>
              <w:rPr>
                <w:rFonts w:cstheme="minorHAnsi"/>
                <w:i/>
                <w:color w:val="000000"/>
                <w:szCs w:val="22"/>
              </w:rPr>
            </w:pPr>
            <w:r>
              <w:rPr>
                <w:rFonts w:cstheme="minorHAnsi"/>
                <w:i/>
                <w:color w:val="000000"/>
                <w:szCs w:val="22"/>
              </w:rPr>
              <w:t xml:space="preserve">Are </w:t>
            </w:r>
            <w:r w:rsidRPr="00946CDB">
              <w:rPr>
                <w:rFonts w:cstheme="minorHAnsi"/>
                <w:i/>
                <w:color w:val="000000"/>
                <w:szCs w:val="22"/>
              </w:rPr>
              <w:t>there performance measures associated with this practice?</w:t>
            </w:r>
          </w:p>
        </w:tc>
        <w:tc>
          <w:tcPr>
            <w:tcW w:w="3690" w:type="dxa"/>
          </w:tcPr>
          <w:p w14:paraId="6AC82E36" w14:textId="7F2E473C" w:rsidR="00EB49C2" w:rsidRPr="0001033D" w:rsidRDefault="0001033D" w:rsidP="00EB49C2">
            <w:pPr>
              <w:rPr>
                <w:rFonts w:ascii="Garamond" w:hAnsi="Garamond" w:cstheme="minorHAnsi"/>
                <w:sz w:val="24"/>
                <w:szCs w:val="24"/>
              </w:rPr>
            </w:pPr>
            <w:r w:rsidRPr="0001033D">
              <w:rPr>
                <w:rFonts w:ascii="Garamond" w:hAnsi="Garamond" w:cstheme="minorHAnsi"/>
                <w:sz w:val="24"/>
                <w:szCs w:val="24"/>
              </w:rPr>
              <w:t>Resource development is tied to our training and placement performance measures.</w:t>
            </w:r>
          </w:p>
        </w:tc>
      </w:tr>
      <w:tr w:rsidR="00EB49C2" w:rsidRPr="00D0661C" w14:paraId="064AE40B" w14:textId="77777777" w:rsidTr="003908D0">
        <w:trPr>
          <w:trHeight w:val="715"/>
        </w:trPr>
        <w:tc>
          <w:tcPr>
            <w:tcW w:w="1635" w:type="dxa"/>
          </w:tcPr>
          <w:p w14:paraId="058D0C9C" w14:textId="77777777" w:rsidR="00EB49C2" w:rsidRDefault="00EB49C2" w:rsidP="00EB49C2">
            <w:pPr>
              <w:jc w:val="center"/>
              <w:rPr>
                <w:rFonts w:cstheme="minorHAnsi"/>
                <w:b/>
                <w:color w:val="000000"/>
                <w:szCs w:val="22"/>
              </w:rPr>
            </w:pPr>
            <w:r>
              <w:rPr>
                <w:rFonts w:cstheme="minorHAnsi"/>
                <w:b/>
                <w:color w:val="000000"/>
                <w:szCs w:val="22"/>
              </w:rPr>
              <w:t>Commentary</w:t>
            </w:r>
          </w:p>
        </w:tc>
        <w:tc>
          <w:tcPr>
            <w:tcW w:w="4575" w:type="dxa"/>
          </w:tcPr>
          <w:p w14:paraId="0F2974B9" w14:textId="77777777" w:rsidR="00EB49C2" w:rsidRDefault="003908D0" w:rsidP="00EB49C2">
            <w:pPr>
              <w:rPr>
                <w:rFonts w:cstheme="minorHAnsi"/>
                <w:i/>
                <w:color w:val="000000"/>
                <w:szCs w:val="22"/>
              </w:rPr>
            </w:pPr>
            <w:r>
              <w:rPr>
                <w:rFonts w:cstheme="minorHAnsi"/>
                <w:i/>
                <w:color w:val="000000"/>
                <w:szCs w:val="22"/>
              </w:rPr>
              <w:t>Additional</w:t>
            </w:r>
            <w:r w:rsidR="00817F86">
              <w:rPr>
                <w:rFonts w:cstheme="minorHAnsi"/>
                <w:i/>
                <w:color w:val="000000"/>
                <w:szCs w:val="22"/>
              </w:rPr>
              <w:t xml:space="preserve"> advice, lessons learned, etc</w:t>
            </w:r>
            <w:r w:rsidR="00EB49C2">
              <w:rPr>
                <w:rFonts w:cstheme="minorHAnsi"/>
                <w:i/>
                <w:color w:val="000000"/>
                <w:szCs w:val="22"/>
              </w:rPr>
              <w:t>.</w:t>
            </w:r>
          </w:p>
        </w:tc>
        <w:tc>
          <w:tcPr>
            <w:tcW w:w="3690" w:type="dxa"/>
          </w:tcPr>
          <w:p w14:paraId="446F8B96" w14:textId="5140D279" w:rsidR="00EB49C2" w:rsidRPr="0001033D" w:rsidRDefault="0001033D" w:rsidP="00EB49C2">
            <w:pPr>
              <w:rPr>
                <w:rFonts w:ascii="Garamond" w:hAnsi="Garamond" w:cstheme="minorHAnsi"/>
                <w:sz w:val="24"/>
                <w:szCs w:val="24"/>
              </w:rPr>
            </w:pPr>
            <w:r w:rsidRPr="0001033D">
              <w:rPr>
                <w:rFonts w:ascii="Garamond" w:hAnsi="Garamond" w:cstheme="minorHAnsi"/>
                <w:sz w:val="24"/>
                <w:szCs w:val="24"/>
              </w:rPr>
              <w:t>As a region we have recognized how to assess the value of the funding opportunity and identify which funds will best serve our region.</w:t>
            </w:r>
          </w:p>
        </w:tc>
      </w:tr>
    </w:tbl>
    <w:p w14:paraId="021B38B7" w14:textId="77777777" w:rsidR="006D3D60" w:rsidRDefault="006D3D60" w:rsidP="006D3D60">
      <w:pPr>
        <w:pStyle w:val="Heading5"/>
      </w:pPr>
      <w:r>
        <w:t>Appendix C. Best Practice Documentation (2 of 2)</w:t>
      </w:r>
    </w:p>
    <w:p w14:paraId="695B793A" w14:textId="77777777" w:rsidR="00BB7528" w:rsidRPr="00AF2648" w:rsidRDefault="00BB7528" w:rsidP="00BB7528">
      <w:pPr>
        <w:rPr>
          <w:i/>
        </w:rPr>
      </w:pPr>
      <w:r>
        <w:rPr>
          <w:i/>
        </w:rPr>
        <w:t>Note that compiled best practices will be shared across Regional Planning Teams.</w:t>
      </w:r>
    </w:p>
    <w:tbl>
      <w:tblPr>
        <w:tblStyle w:val="TableGrid"/>
        <w:tblW w:w="9900" w:type="dxa"/>
        <w:tblInd w:w="-365" w:type="dxa"/>
        <w:tblLook w:val="04A0" w:firstRow="1" w:lastRow="0" w:firstColumn="1" w:lastColumn="0" w:noHBand="0" w:noVBand="1"/>
      </w:tblPr>
      <w:tblGrid>
        <w:gridCol w:w="1635"/>
        <w:gridCol w:w="4575"/>
        <w:gridCol w:w="3690"/>
      </w:tblGrid>
      <w:tr w:rsidR="006D3D60" w:rsidRPr="00D0661C" w14:paraId="7120C734" w14:textId="77777777" w:rsidTr="00CC076E">
        <w:trPr>
          <w:trHeight w:val="957"/>
        </w:trPr>
        <w:tc>
          <w:tcPr>
            <w:tcW w:w="9900" w:type="dxa"/>
            <w:gridSpan w:val="3"/>
            <w:shd w:val="clear" w:color="auto" w:fill="5B9BD5" w:themeFill="accent1"/>
          </w:tcPr>
          <w:p w14:paraId="7546A17A" w14:textId="77777777" w:rsidR="006D3D60" w:rsidRPr="00AF2648" w:rsidRDefault="006D3D60" w:rsidP="00CC076E">
            <w:pPr>
              <w:rPr>
                <w:rFonts w:eastAsia="Times New Roman" w:cstheme="minorHAnsi"/>
                <w:b/>
                <w:szCs w:val="22"/>
              </w:rPr>
            </w:pPr>
            <w:r w:rsidRPr="00AF2648">
              <w:rPr>
                <w:rFonts w:eastAsia="Times New Roman" w:cstheme="minorHAnsi"/>
                <w:b/>
                <w:szCs w:val="22"/>
              </w:rPr>
              <w:t>Best Practice (BP) Documentation Tool</w:t>
            </w:r>
          </w:p>
          <w:p w14:paraId="31ADBC62" w14:textId="77777777" w:rsidR="006D3D60" w:rsidRPr="00EB49C2" w:rsidRDefault="006D3D60" w:rsidP="00CC076E">
            <w:pPr>
              <w:rPr>
                <w:rFonts w:eastAsia="Times New Roman" w:cstheme="minorHAnsi"/>
                <w:b/>
                <w:szCs w:val="22"/>
              </w:rPr>
            </w:pPr>
            <w:r>
              <w:rPr>
                <w:rFonts w:eastAsia="Times New Roman" w:cstheme="minorHAnsi"/>
                <w:szCs w:val="22"/>
              </w:rPr>
              <w:t xml:space="preserve">Using the following template, document two (2) proven processes or initiatives. </w:t>
            </w:r>
          </w:p>
        </w:tc>
      </w:tr>
      <w:tr w:rsidR="006D3D60" w:rsidRPr="00D0661C" w14:paraId="78112847" w14:textId="77777777" w:rsidTr="00CC076E">
        <w:trPr>
          <w:trHeight w:val="957"/>
        </w:trPr>
        <w:tc>
          <w:tcPr>
            <w:tcW w:w="9900" w:type="dxa"/>
            <w:gridSpan w:val="3"/>
            <w:shd w:val="clear" w:color="auto" w:fill="DEEAF6" w:themeFill="accent1" w:themeFillTint="33"/>
          </w:tcPr>
          <w:p w14:paraId="1186FA4C" w14:textId="77777777" w:rsidR="006D3D60" w:rsidRDefault="006D3D60" w:rsidP="00CC076E">
            <w:pPr>
              <w:rPr>
                <w:rFonts w:cstheme="minorHAnsi"/>
                <w:b/>
                <w:szCs w:val="22"/>
                <w:u w:val="single"/>
              </w:rPr>
            </w:pPr>
            <w:r>
              <w:rPr>
                <w:rFonts w:cstheme="minorHAnsi"/>
                <w:b/>
                <w:szCs w:val="22"/>
                <w:u w:val="single"/>
              </w:rPr>
              <w:t>Best Practice Identification</w:t>
            </w:r>
          </w:p>
          <w:p w14:paraId="023CF860" w14:textId="77777777" w:rsidR="006D3D60" w:rsidRPr="00946CDB" w:rsidRDefault="006D3D60" w:rsidP="00CC076E">
            <w:pPr>
              <w:rPr>
                <w:rFonts w:cstheme="minorHAnsi"/>
                <w:b/>
                <w:szCs w:val="22"/>
                <w:u w:val="single"/>
              </w:rPr>
            </w:pPr>
            <w:r>
              <w:rPr>
                <w:rFonts w:eastAsia="Times New Roman" w:cstheme="minorHAnsi"/>
                <w:szCs w:val="22"/>
              </w:rPr>
              <w:t>Describe a best practice or achievement in support of your vision and strategic goals.</w:t>
            </w:r>
          </w:p>
        </w:tc>
      </w:tr>
      <w:tr w:rsidR="006D3D60" w:rsidRPr="00D0661C" w14:paraId="1DCE33B9" w14:textId="77777777" w:rsidTr="00CC076E">
        <w:trPr>
          <w:trHeight w:val="957"/>
        </w:trPr>
        <w:tc>
          <w:tcPr>
            <w:tcW w:w="1635" w:type="dxa"/>
          </w:tcPr>
          <w:p w14:paraId="45432ED8" w14:textId="77777777" w:rsidR="006D3D60" w:rsidRDefault="006D3D60" w:rsidP="00CC076E">
            <w:pPr>
              <w:jc w:val="center"/>
              <w:rPr>
                <w:rFonts w:cstheme="minorHAnsi"/>
                <w:b/>
                <w:color w:val="000000"/>
                <w:szCs w:val="22"/>
              </w:rPr>
            </w:pPr>
            <w:r>
              <w:rPr>
                <w:rFonts w:cstheme="minorHAnsi"/>
                <w:b/>
                <w:color w:val="000000"/>
                <w:szCs w:val="22"/>
              </w:rPr>
              <w:lastRenderedPageBreak/>
              <w:t>Title</w:t>
            </w:r>
          </w:p>
        </w:tc>
        <w:tc>
          <w:tcPr>
            <w:tcW w:w="4575" w:type="dxa"/>
          </w:tcPr>
          <w:p w14:paraId="3D68F966" w14:textId="77777777" w:rsidR="006D3D60" w:rsidRDefault="006D3D60" w:rsidP="00CC076E">
            <w:pPr>
              <w:rPr>
                <w:rFonts w:cstheme="minorHAnsi"/>
                <w:i/>
                <w:color w:val="000000"/>
                <w:szCs w:val="22"/>
              </w:rPr>
            </w:pPr>
            <w:r>
              <w:rPr>
                <w:rFonts w:cstheme="minorHAnsi"/>
                <w:i/>
                <w:color w:val="000000"/>
                <w:szCs w:val="22"/>
              </w:rPr>
              <w:t>Provide a title and/or brief summary of the best practice.</w:t>
            </w:r>
          </w:p>
        </w:tc>
        <w:tc>
          <w:tcPr>
            <w:tcW w:w="3690" w:type="dxa"/>
          </w:tcPr>
          <w:p w14:paraId="7F348B3A" w14:textId="13DDFD16" w:rsidR="006D3D60" w:rsidRPr="00D47D64" w:rsidRDefault="00E6546C" w:rsidP="00CC076E">
            <w:pPr>
              <w:rPr>
                <w:rFonts w:ascii="Garamond" w:hAnsi="Garamond" w:cstheme="minorHAnsi"/>
                <w:sz w:val="24"/>
                <w:szCs w:val="24"/>
              </w:rPr>
            </w:pPr>
            <w:r w:rsidRPr="00D47D64">
              <w:rPr>
                <w:rFonts w:ascii="Garamond" w:hAnsi="Garamond" w:cstheme="minorHAnsi"/>
                <w:sz w:val="24"/>
                <w:szCs w:val="24"/>
              </w:rPr>
              <w:t>Speed Networking</w:t>
            </w:r>
          </w:p>
        </w:tc>
      </w:tr>
      <w:tr w:rsidR="006D3D60" w:rsidRPr="00D0661C" w14:paraId="5B08E506" w14:textId="77777777" w:rsidTr="00CC076E">
        <w:trPr>
          <w:trHeight w:val="957"/>
        </w:trPr>
        <w:tc>
          <w:tcPr>
            <w:tcW w:w="1635" w:type="dxa"/>
          </w:tcPr>
          <w:p w14:paraId="0AA2F93B" w14:textId="77777777" w:rsidR="006D3D60" w:rsidRDefault="006D3D60" w:rsidP="00CC076E">
            <w:pPr>
              <w:jc w:val="center"/>
              <w:rPr>
                <w:rFonts w:cstheme="minorHAnsi"/>
                <w:b/>
                <w:color w:val="000000"/>
                <w:szCs w:val="22"/>
              </w:rPr>
            </w:pPr>
            <w:r>
              <w:rPr>
                <w:rFonts w:cstheme="minorHAnsi"/>
                <w:b/>
                <w:color w:val="000000"/>
                <w:szCs w:val="22"/>
              </w:rPr>
              <w:t>Strategic Alignment</w:t>
            </w:r>
          </w:p>
        </w:tc>
        <w:tc>
          <w:tcPr>
            <w:tcW w:w="4575" w:type="dxa"/>
          </w:tcPr>
          <w:p w14:paraId="294008AD" w14:textId="77777777" w:rsidR="006D3D60" w:rsidRDefault="006D3D60" w:rsidP="00CC076E">
            <w:pPr>
              <w:rPr>
                <w:rFonts w:cstheme="minorHAnsi"/>
                <w:i/>
                <w:color w:val="000000"/>
                <w:szCs w:val="22"/>
              </w:rPr>
            </w:pPr>
            <w:r>
              <w:rPr>
                <w:rFonts w:cstheme="minorHAnsi"/>
                <w:i/>
                <w:color w:val="000000"/>
                <w:szCs w:val="22"/>
              </w:rPr>
              <w:t>List the associated industry or occupation and Blueprint goal.</w:t>
            </w:r>
          </w:p>
        </w:tc>
        <w:tc>
          <w:tcPr>
            <w:tcW w:w="3690" w:type="dxa"/>
          </w:tcPr>
          <w:p w14:paraId="1899B030" w14:textId="4BF52997" w:rsidR="006D3D60" w:rsidRPr="00D47D64" w:rsidRDefault="00E6546C" w:rsidP="00CC076E">
            <w:pPr>
              <w:rPr>
                <w:rFonts w:ascii="Garamond" w:hAnsi="Garamond" w:cstheme="minorHAnsi"/>
                <w:sz w:val="24"/>
                <w:szCs w:val="24"/>
              </w:rPr>
            </w:pPr>
            <w:r w:rsidRPr="00D47D64">
              <w:rPr>
                <w:rFonts w:ascii="Garamond" w:hAnsi="Garamond" w:cstheme="minorHAnsi"/>
                <w:sz w:val="24"/>
                <w:szCs w:val="24"/>
              </w:rPr>
              <w:t>All industries</w:t>
            </w:r>
          </w:p>
        </w:tc>
      </w:tr>
      <w:tr w:rsidR="006D3D60" w:rsidRPr="00D0661C" w14:paraId="13892813" w14:textId="77777777" w:rsidTr="00CC076E">
        <w:trPr>
          <w:trHeight w:val="957"/>
        </w:trPr>
        <w:tc>
          <w:tcPr>
            <w:tcW w:w="1635" w:type="dxa"/>
          </w:tcPr>
          <w:p w14:paraId="7F46EADF" w14:textId="77777777" w:rsidR="006D3D60" w:rsidRPr="00D0661C" w:rsidRDefault="006D3D60" w:rsidP="00CC076E">
            <w:pPr>
              <w:jc w:val="center"/>
              <w:rPr>
                <w:rFonts w:cstheme="minorHAnsi"/>
                <w:b/>
                <w:color w:val="000000"/>
                <w:szCs w:val="22"/>
              </w:rPr>
            </w:pPr>
            <w:r>
              <w:rPr>
                <w:rFonts w:cstheme="minorHAnsi"/>
                <w:b/>
                <w:color w:val="000000"/>
                <w:szCs w:val="22"/>
              </w:rPr>
              <w:t>Description</w:t>
            </w:r>
          </w:p>
        </w:tc>
        <w:tc>
          <w:tcPr>
            <w:tcW w:w="4575" w:type="dxa"/>
          </w:tcPr>
          <w:p w14:paraId="5EAD6917" w14:textId="77777777" w:rsidR="006D3D60" w:rsidRPr="00D0661C" w:rsidRDefault="006D3D60" w:rsidP="00CC076E">
            <w:pPr>
              <w:rPr>
                <w:rFonts w:cstheme="minorHAnsi"/>
                <w:i/>
                <w:color w:val="000000"/>
                <w:szCs w:val="22"/>
              </w:rPr>
            </w:pPr>
            <w:r>
              <w:rPr>
                <w:rFonts w:cstheme="minorHAnsi"/>
                <w:i/>
                <w:color w:val="000000"/>
                <w:szCs w:val="22"/>
              </w:rPr>
              <w:t>Describe the processes and steps involved.</w:t>
            </w:r>
          </w:p>
        </w:tc>
        <w:tc>
          <w:tcPr>
            <w:tcW w:w="3690" w:type="dxa"/>
          </w:tcPr>
          <w:p w14:paraId="3DA58FC4" w14:textId="4A8B7519" w:rsidR="00DA6871" w:rsidRPr="00D47D64" w:rsidRDefault="00E6546C" w:rsidP="004E24DD">
            <w:pPr>
              <w:rPr>
                <w:rFonts w:ascii="Garamond" w:hAnsi="Garamond" w:cstheme="minorHAnsi"/>
                <w:sz w:val="24"/>
                <w:szCs w:val="24"/>
              </w:rPr>
            </w:pPr>
            <w:r w:rsidRPr="00D47D64">
              <w:rPr>
                <w:rFonts w:ascii="Garamond" w:hAnsi="Garamond" w:cstheme="minorHAnsi"/>
                <w:sz w:val="24"/>
                <w:szCs w:val="24"/>
              </w:rPr>
              <w:t>This is a strategy that that has proven successful for employer engagement and jobseeker placement.  Th</w:t>
            </w:r>
            <w:r w:rsidR="00DA6871" w:rsidRPr="00D47D64">
              <w:rPr>
                <w:rFonts w:ascii="Garamond" w:hAnsi="Garamond" w:cstheme="minorHAnsi"/>
                <w:sz w:val="24"/>
                <w:szCs w:val="24"/>
              </w:rPr>
              <w:t xml:space="preserve">is setting allows jobseekers and employers an opportunity to meet and </w:t>
            </w:r>
            <w:r w:rsidR="004E24DD" w:rsidRPr="00D47D64">
              <w:rPr>
                <w:rFonts w:ascii="Garamond" w:hAnsi="Garamond" w:cstheme="minorHAnsi"/>
                <w:sz w:val="24"/>
                <w:szCs w:val="24"/>
              </w:rPr>
              <w:t>determine</w:t>
            </w:r>
            <w:r w:rsidR="00DA6871" w:rsidRPr="00D47D64">
              <w:rPr>
                <w:rFonts w:ascii="Garamond" w:hAnsi="Garamond" w:cstheme="minorHAnsi"/>
                <w:sz w:val="24"/>
                <w:szCs w:val="24"/>
              </w:rPr>
              <w:t xml:space="preserve"> if a next step is appropriate.  Strategically inviting different settings for the same occupation (i.e.</w:t>
            </w:r>
            <w:r w:rsidR="004E24DD" w:rsidRPr="00D47D64">
              <w:rPr>
                <w:rFonts w:ascii="Garamond" w:hAnsi="Garamond" w:cstheme="minorHAnsi"/>
                <w:sz w:val="24"/>
                <w:szCs w:val="24"/>
              </w:rPr>
              <w:t xml:space="preserve"> </w:t>
            </w:r>
            <w:r w:rsidR="00DA6871" w:rsidRPr="00D47D64">
              <w:rPr>
                <w:rFonts w:ascii="Garamond" w:hAnsi="Garamond" w:cstheme="minorHAnsi"/>
                <w:sz w:val="24"/>
                <w:szCs w:val="24"/>
              </w:rPr>
              <w:t xml:space="preserve">CNA – Hospitals, Long Term care, Assisted Living, Adult Daycare, </w:t>
            </w:r>
            <w:r w:rsidR="004E24DD" w:rsidRPr="00D47D64">
              <w:rPr>
                <w:rFonts w:ascii="Garamond" w:hAnsi="Garamond" w:cstheme="minorHAnsi"/>
                <w:sz w:val="24"/>
                <w:szCs w:val="24"/>
              </w:rPr>
              <w:t>R</w:t>
            </w:r>
            <w:r w:rsidR="00DA6871" w:rsidRPr="00D47D64">
              <w:rPr>
                <w:rFonts w:ascii="Garamond" w:hAnsi="Garamond" w:cstheme="minorHAnsi"/>
                <w:sz w:val="24"/>
                <w:szCs w:val="24"/>
              </w:rPr>
              <w:t xml:space="preserve">esidential) jobseekers can better understand their options within an occupational stream.  Divided in </w:t>
            </w:r>
            <w:r w:rsidR="004E24DD" w:rsidRPr="00D47D64">
              <w:rPr>
                <w:rFonts w:ascii="Garamond" w:hAnsi="Garamond" w:cstheme="minorHAnsi"/>
                <w:sz w:val="24"/>
                <w:szCs w:val="24"/>
              </w:rPr>
              <w:t>10-minute</w:t>
            </w:r>
            <w:r w:rsidR="00DA6871" w:rsidRPr="00D47D64">
              <w:rPr>
                <w:rFonts w:ascii="Garamond" w:hAnsi="Garamond" w:cstheme="minorHAnsi"/>
                <w:sz w:val="24"/>
                <w:szCs w:val="24"/>
              </w:rPr>
              <w:t xml:space="preserve"> segments, with a switch by customers, this process enables an employer to meet with a dozen qualified candidates within a </w:t>
            </w:r>
            <w:r w:rsidR="004E24DD" w:rsidRPr="00D47D64">
              <w:rPr>
                <w:rFonts w:ascii="Garamond" w:hAnsi="Garamond" w:cstheme="minorHAnsi"/>
                <w:sz w:val="24"/>
                <w:szCs w:val="24"/>
              </w:rPr>
              <w:t>few hours.  At the completion of the event, resumes of participants are forwarded to all participating employers.</w:t>
            </w:r>
          </w:p>
        </w:tc>
      </w:tr>
      <w:tr w:rsidR="006D3D60" w:rsidRPr="00D0661C" w14:paraId="739D1A1E" w14:textId="77777777" w:rsidTr="00CC076E">
        <w:trPr>
          <w:trHeight w:val="957"/>
        </w:trPr>
        <w:tc>
          <w:tcPr>
            <w:tcW w:w="1635" w:type="dxa"/>
          </w:tcPr>
          <w:p w14:paraId="0FD31A87" w14:textId="77777777" w:rsidR="006D3D60" w:rsidRDefault="006D3D60" w:rsidP="00CC076E">
            <w:pPr>
              <w:jc w:val="center"/>
              <w:rPr>
                <w:rFonts w:cstheme="minorHAnsi"/>
                <w:b/>
                <w:color w:val="000000"/>
                <w:szCs w:val="22"/>
              </w:rPr>
            </w:pPr>
            <w:r>
              <w:rPr>
                <w:rFonts w:cstheme="minorHAnsi"/>
                <w:b/>
                <w:color w:val="000000"/>
                <w:szCs w:val="22"/>
              </w:rPr>
              <w:t>Results</w:t>
            </w:r>
          </w:p>
        </w:tc>
        <w:tc>
          <w:tcPr>
            <w:tcW w:w="4575" w:type="dxa"/>
          </w:tcPr>
          <w:p w14:paraId="30AD544F" w14:textId="77777777" w:rsidR="006D3D60" w:rsidRDefault="006D3D60" w:rsidP="00CC076E">
            <w:pPr>
              <w:rPr>
                <w:rFonts w:cstheme="minorHAnsi"/>
                <w:i/>
                <w:color w:val="000000"/>
                <w:szCs w:val="22"/>
              </w:rPr>
            </w:pPr>
            <w:r>
              <w:rPr>
                <w:rFonts w:cstheme="minorHAnsi"/>
                <w:i/>
                <w:color w:val="000000"/>
                <w:szCs w:val="22"/>
              </w:rPr>
              <w:t>Report outcomes, including relevant next steps.</w:t>
            </w:r>
          </w:p>
        </w:tc>
        <w:tc>
          <w:tcPr>
            <w:tcW w:w="3690" w:type="dxa"/>
          </w:tcPr>
          <w:p w14:paraId="04881513" w14:textId="131C2ADB" w:rsidR="006D3D60" w:rsidRPr="00D47D64" w:rsidRDefault="004E24DD" w:rsidP="00CC076E">
            <w:pPr>
              <w:rPr>
                <w:rFonts w:ascii="Garamond" w:hAnsi="Garamond" w:cstheme="minorHAnsi"/>
                <w:sz w:val="24"/>
                <w:szCs w:val="24"/>
              </w:rPr>
            </w:pPr>
            <w:r w:rsidRPr="00D47D64">
              <w:rPr>
                <w:rFonts w:ascii="Garamond" w:hAnsi="Garamond" w:cstheme="minorHAnsi"/>
                <w:sz w:val="24"/>
                <w:szCs w:val="24"/>
              </w:rPr>
              <w:t xml:space="preserve">This practice has served to be very successful and has been conducted for healthcare, finance, </w:t>
            </w:r>
            <w:r w:rsidR="00D47D64" w:rsidRPr="00D47D64">
              <w:rPr>
                <w:rFonts w:ascii="Garamond" w:hAnsi="Garamond" w:cstheme="minorHAnsi"/>
                <w:sz w:val="24"/>
                <w:szCs w:val="24"/>
              </w:rPr>
              <w:t>manufacturing,</w:t>
            </w:r>
            <w:r w:rsidRPr="00D47D64">
              <w:rPr>
                <w:rFonts w:ascii="Garamond" w:hAnsi="Garamond" w:cstheme="minorHAnsi"/>
                <w:sz w:val="24"/>
                <w:szCs w:val="24"/>
              </w:rPr>
              <w:t xml:space="preserve"> and education.</w:t>
            </w:r>
          </w:p>
        </w:tc>
      </w:tr>
      <w:tr w:rsidR="006D3D60" w:rsidRPr="00D0661C" w14:paraId="070C4255" w14:textId="77777777" w:rsidTr="00CC076E">
        <w:trPr>
          <w:trHeight w:val="957"/>
        </w:trPr>
        <w:tc>
          <w:tcPr>
            <w:tcW w:w="9900" w:type="dxa"/>
            <w:gridSpan w:val="3"/>
            <w:shd w:val="clear" w:color="auto" w:fill="DEEAF6" w:themeFill="accent1" w:themeFillTint="33"/>
          </w:tcPr>
          <w:p w14:paraId="6CFFF525" w14:textId="77777777" w:rsidR="006D3D60" w:rsidRPr="00EB49C2" w:rsidRDefault="006D3D60" w:rsidP="00CC076E">
            <w:pPr>
              <w:rPr>
                <w:rFonts w:cstheme="minorHAnsi"/>
                <w:b/>
                <w:szCs w:val="22"/>
                <w:u w:val="single"/>
              </w:rPr>
            </w:pPr>
            <w:r>
              <w:rPr>
                <w:rFonts w:cstheme="minorHAnsi"/>
                <w:b/>
                <w:szCs w:val="22"/>
                <w:u w:val="single"/>
              </w:rPr>
              <w:t>Knowledge Management</w:t>
            </w:r>
          </w:p>
          <w:p w14:paraId="326C7D36" w14:textId="77777777" w:rsidR="006D3D60" w:rsidRPr="00D0661C" w:rsidRDefault="006D3D60" w:rsidP="00CC076E">
            <w:pPr>
              <w:rPr>
                <w:rFonts w:cstheme="minorHAnsi"/>
                <w:szCs w:val="22"/>
              </w:rPr>
            </w:pPr>
            <w:r>
              <w:rPr>
                <w:rFonts w:cstheme="minorHAnsi"/>
                <w:szCs w:val="22"/>
              </w:rPr>
              <w:t xml:space="preserve">Use the following fields as a guide to provide more information for other potential users. </w:t>
            </w:r>
          </w:p>
        </w:tc>
      </w:tr>
      <w:tr w:rsidR="006D3D60" w:rsidRPr="00D0661C" w14:paraId="04A33646" w14:textId="77777777" w:rsidTr="00CC076E">
        <w:trPr>
          <w:trHeight w:val="957"/>
        </w:trPr>
        <w:tc>
          <w:tcPr>
            <w:tcW w:w="1635" w:type="dxa"/>
          </w:tcPr>
          <w:p w14:paraId="7C5975D1" w14:textId="77777777" w:rsidR="006D3D60" w:rsidRDefault="006D3D60" w:rsidP="00CC076E">
            <w:pPr>
              <w:jc w:val="center"/>
              <w:rPr>
                <w:rFonts w:cstheme="minorHAnsi"/>
                <w:b/>
                <w:color w:val="000000"/>
                <w:szCs w:val="22"/>
              </w:rPr>
            </w:pPr>
            <w:r>
              <w:rPr>
                <w:rFonts w:cstheme="minorHAnsi"/>
                <w:b/>
                <w:color w:val="000000"/>
                <w:szCs w:val="22"/>
              </w:rPr>
              <w:lastRenderedPageBreak/>
              <w:t>Resources</w:t>
            </w:r>
          </w:p>
        </w:tc>
        <w:tc>
          <w:tcPr>
            <w:tcW w:w="4575" w:type="dxa"/>
          </w:tcPr>
          <w:p w14:paraId="0F09C2F2" w14:textId="77777777" w:rsidR="006D3D60" w:rsidRDefault="006D3D60" w:rsidP="00CC076E">
            <w:pPr>
              <w:rPr>
                <w:rFonts w:cstheme="minorHAnsi"/>
                <w:i/>
                <w:color w:val="000000"/>
                <w:szCs w:val="22"/>
              </w:rPr>
            </w:pPr>
            <w:r>
              <w:rPr>
                <w:rFonts w:cstheme="minorHAnsi"/>
                <w:i/>
                <w:color w:val="000000"/>
                <w:szCs w:val="22"/>
              </w:rPr>
              <w:t>What resources and skills are needed to apply the BP?</w:t>
            </w:r>
          </w:p>
        </w:tc>
        <w:tc>
          <w:tcPr>
            <w:tcW w:w="3690" w:type="dxa"/>
          </w:tcPr>
          <w:p w14:paraId="048886AC" w14:textId="6930D1A6" w:rsidR="006D3D60" w:rsidRPr="00C55D55" w:rsidRDefault="00C55D55" w:rsidP="00CC076E">
            <w:pPr>
              <w:rPr>
                <w:rFonts w:ascii="Garamond" w:hAnsi="Garamond" w:cstheme="minorHAnsi"/>
                <w:sz w:val="24"/>
                <w:szCs w:val="24"/>
              </w:rPr>
            </w:pPr>
            <w:r w:rsidRPr="00C55D55">
              <w:rPr>
                <w:rFonts w:ascii="Garamond" w:hAnsi="Garamond" w:cstheme="minorHAnsi"/>
                <w:sz w:val="24"/>
                <w:szCs w:val="24"/>
              </w:rPr>
              <w:t>Updated database of employer partners.</w:t>
            </w:r>
          </w:p>
        </w:tc>
      </w:tr>
      <w:tr w:rsidR="006D3D60" w:rsidRPr="00D0661C" w14:paraId="0A5C9804" w14:textId="77777777" w:rsidTr="00CC076E">
        <w:trPr>
          <w:trHeight w:val="957"/>
        </w:trPr>
        <w:tc>
          <w:tcPr>
            <w:tcW w:w="1635" w:type="dxa"/>
          </w:tcPr>
          <w:p w14:paraId="0465E157" w14:textId="77777777" w:rsidR="006D3D60" w:rsidRDefault="006D3D60" w:rsidP="00CC076E">
            <w:pPr>
              <w:jc w:val="center"/>
              <w:rPr>
                <w:rFonts w:cstheme="minorHAnsi"/>
                <w:b/>
                <w:color w:val="000000"/>
                <w:szCs w:val="22"/>
              </w:rPr>
            </w:pPr>
            <w:r>
              <w:rPr>
                <w:rFonts w:cstheme="minorHAnsi"/>
                <w:b/>
                <w:color w:val="000000"/>
                <w:szCs w:val="22"/>
              </w:rPr>
              <w:t>Barriers</w:t>
            </w:r>
          </w:p>
        </w:tc>
        <w:tc>
          <w:tcPr>
            <w:tcW w:w="4575" w:type="dxa"/>
          </w:tcPr>
          <w:p w14:paraId="53828C23" w14:textId="77777777" w:rsidR="006D3D60" w:rsidRDefault="006D3D60" w:rsidP="00CC076E">
            <w:pPr>
              <w:rPr>
                <w:rFonts w:cstheme="minorHAnsi"/>
                <w:i/>
                <w:color w:val="000000"/>
                <w:szCs w:val="22"/>
              </w:rPr>
            </w:pPr>
            <w:r>
              <w:rPr>
                <w:rFonts w:cstheme="minorHAnsi"/>
                <w:i/>
                <w:color w:val="000000"/>
                <w:szCs w:val="22"/>
              </w:rPr>
              <w:t>Did you encounter any obstacles to applying the BP? How did you solve them?</w:t>
            </w:r>
          </w:p>
        </w:tc>
        <w:tc>
          <w:tcPr>
            <w:tcW w:w="3690" w:type="dxa"/>
          </w:tcPr>
          <w:p w14:paraId="52470A22" w14:textId="13CCB7C3" w:rsidR="006D3D60" w:rsidRPr="00C55D55" w:rsidRDefault="00C55D55" w:rsidP="00CC076E">
            <w:pPr>
              <w:rPr>
                <w:rFonts w:ascii="Garamond" w:hAnsi="Garamond" w:cstheme="minorHAnsi"/>
                <w:sz w:val="24"/>
                <w:szCs w:val="24"/>
              </w:rPr>
            </w:pPr>
            <w:r w:rsidRPr="00C55D55">
              <w:rPr>
                <w:rFonts w:ascii="Garamond" w:hAnsi="Garamond" w:cstheme="minorHAnsi"/>
                <w:sz w:val="24"/>
                <w:szCs w:val="24"/>
              </w:rPr>
              <w:t>Coordination of employers was difficult until the value became apparent and employers are now consistently in attendance.</w:t>
            </w:r>
          </w:p>
        </w:tc>
      </w:tr>
      <w:tr w:rsidR="00C55D55" w:rsidRPr="00D0661C" w14:paraId="5E33E985" w14:textId="77777777" w:rsidTr="00CC076E">
        <w:trPr>
          <w:trHeight w:val="957"/>
        </w:trPr>
        <w:tc>
          <w:tcPr>
            <w:tcW w:w="1635" w:type="dxa"/>
          </w:tcPr>
          <w:p w14:paraId="1D4086E1" w14:textId="77777777" w:rsidR="00C55D55" w:rsidRDefault="00C55D55" w:rsidP="00C55D55">
            <w:pPr>
              <w:jc w:val="center"/>
              <w:rPr>
                <w:rFonts w:cstheme="minorHAnsi"/>
                <w:b/>
                <w:color w:val="000000"/>
                <w:szCs w:val="22"/>
              </w:rPr>
            </w:pPr>
            <w:r>
              <w:rPr>
                <w:rFonts w:cstheme="minorHAnsi"/>
                <w:b/>
                <w:color w:val="000000"/>
                <w:szCs w:val="22"/>
              </w:rPr>
              <w:t>Timeline</w:t>
            </w:r>
          </w:p>
        </w:tc>
        <w:tc>
          <w:tcPr>
            <w:tcW w:w="4575" w:type="dxa"/>
          </w:tcPr>
          <w:p w14:paraId="4F832CC5" w14:textId="77777777" w:rsidR="00C55D55" w:rsidRDefault="00C55D55" w:rsidP="00C55D55">
            <w:pPr>
              <w:rPr>
                <w:rFonts w:cstheme="minorHAnsi"/>
                <w:i/>
                <w:color w:val="000000"/>
                <w:szCs w:val="22"/>
              </w:rPr>
            </w:pPr>
            <w:r>
              <w:rPr>
                <w:rFonts w:cstheme="minorHAnsi"/>
                <w:i/>
                <w:color w:val="000000"/>
                <w:szCs w:val="22"/>
              </w:rPr>
              <w:t>How long did it take to introduce and implement the BP?</w:t>
            </w:r>
          </w:p>
        </w:tc>
        <w:tc>
          <w:tcPr>
            <w:tcW w:w="3690" w:type="dxa"/>
          </w:tcPr>
          <w:p w14:paraId="765962E5" w14:textId="70EC7E07" w:rsidR="00C55D55" w:rsidRPr="00D0661C" w:rsidRDefault="00C55D55" w:rsidP="00C55D55">
            <w:pPr>
              <w:rPr>
                <w:rFonts w:cstheme="minorHAnsi"/>
                <w:szCs w:val="22"/>
              </w:rPr>
            </w:pPr>
            <w:r w:rsidRPr="0001033D">
              <w:rPr>
                <w:rFonts w:ascii="Garamond" w:hAnsi="Garamond" w:cstheme="minorHAnsi"/>
                <w:sz w:val="24"/>
                <w:szCs w:val="24"/>
              </w:rPr>
              <w:t>Ongoing process</w:t>
            </w:r>
          </w:p>
        </w:tc>
      </w:tr>
      <w:tr w:rsidR="00C55D55" w:rsidRPr="00D0661C" w14:paraId="6470B769" w14:textId="77777777" w:rsidTr="00CC076E">
        <w:trPr>
          <w:trHeight w:val="957"/>
        </w:trPr>
        <w:tc>
          <w:tcPr>
            <w:tcW w:w="1635" w:type="dxa"/>
          </w:tcPr>
          <w:p w14:paraId="089276C0" w14:textId="77777777" w:rsidR="00C55D55" w:rsidRDefault="00C55D55" w:rsidP="00C55D55">
            <w:pPr>
              <w:jc w:val="center"/>
              <w:rPr>
                <w:rFonts w:cstheme="minorHAnsi"/>
                <w:b/>
                <w:color w:val="000000"/>
                <w:szCs w:val="22"/>
              </w:rPr>
            </w:pPr>
            <w:r>
              <w:rPr>
                <w:rFonts w:cstheme="minorHAnsi"/>
                <w:b/>
                <w:color w:val="000000"/>
                <w:szCs w:val="22"/>
              </w:rPr>
              <w:t>Measurement</w:t>
            </w:r>
          </w:p>
        </w:tc>
        <w:tc>
          <w:tcPr>
            <w:tcW w:w="4575" w:type="dxa"/>
          </w:tcPr>
          <w:p w14:paraId="75E258A5" w14:textId="77777777" w:rsidR="00C55D55" w:rsidRDefault="00C55D55" w:rsidP="00C55D55">
            <w:pPr>
              <w:rPr>
                <w:rFonts w:cstheme="minorHAnsi"/>
                <w:i/>
                <w:color w:val="000000"/>
                <w:szCs w:val="22"/>
              </w:rPr>
            </w:pPr>
            <w:r>
              <w:rPr>
                <w:rFonts w:cstheme="minorHAnsi"/>
                <w:i/>
                <w:color w:val="000000"/>
                <w:szCs w:val="22"/>
              </w:rPr>
              <w:t xml:space="preserve">Are </w:t>
            </w:r>
            <w:r w:rsidRPr="00946CDB">
              <w:rPr>
                <w:rFonts w:cstheme="minorHAnsi"/>
                <w:i/>
                <w:color w:val="000000"/>
                <w:szCs w:val="22"/>
              </w:rPr>
              <w:t>there performance measures associated with this practice?</w:t>
            </w:r>
          </w:p>
        </w:tc>
        <w:tc>
          <w:tcPr>
            <w:tcW w:w="3690" w:type="dxa"/>
          </w:tcPr>
          <w:p w14:paraId="076FBB4A" w14:textId="3BABC4A9" w:rsidR="00C55D55" w:rsidRPr="00D0661C" w:rsidRDefault="00C55D55" w:rsidP="00C55D55">
            <w:pPr>
              <w:rPr>
                <w:rFonts w:cstheme="minorHAnsi"/>
                <w:szCs w:val="22"/>
              </w:rPr>
            </w:pPr>
            <w:r w:rsidRPr="0001033D">
              <w:rPr>
                <w:rFonts w:ascii="Garamond" w:hAnsi="Garamond" w:cstheme="minorHAnsi"/>
                <w:sz w:val="24"/>
                <w:szCs w:val="24"/>
              </w:rPr>
              <w:t>Resource development is tied to our training and placement performance measures.</w:t>
            </w:r>
          </w:p>
        </w:tc>
      </w:tr>
      <w:tr w:rsidR="006D3D60" w:rsidRPr="00D0661C" w14:paraId="4819C737" w14:textId="77777777" w:rsidTr="00CC076E">
        <w:trPr>
          <w:trHeight w:val="715"/>
        </w:trPr>
        <w:tc>
          <w:tcPr>
            <w:tcW w:w="1635" w:type="dxa"/>
          </w:tcPr>
          <w:p w14:paraId="53391375" w14:textId="77777777" w:rsidR="006D3D60" w:rsidRDefault="006D3D60" w:rsidP="00CC076E">
            <w:pPr>
              <w:jc w:val="center"/>
              <w:rPr>
                <w:rFonts w:cstheme="minorHAnsi"/>
                <w:b/>
                <w:color w:val="000000"/>
                <w:szCs w:val="22"/>
              </w:rPr>
            </w:pPr>
            <w:r>
              <w:rPr>
                <w:rFonts w:cstheme="minorHAnsi"/>
                <w:b/>
                <w:color w:val="000000"/>
                <w:szCs w:val="22"/>
              </w:rPr>
              <w:t>Commentary</w:t>
            </w:r>
          </w:p>
        </w:tc>
        <w:tc>
          <w:tcPr>
            <w:tcW w:w="4575" w:type="dxa"/>
          </w:tcPr>
          <w:p w14:paraId="4FAC40F3" w14:textId="77777777" w:rsidR="006D3D60" w:rsidRDefault="006D3D60" w:rsidP="00CC076E">
            <w:pPr>
              <w:rPr>
                <w:rFonts w:cstheme="minorHAnsi"/>
                <w:i/>
                <w:color w:val="000000"/>
                <w:szCs w:val="22"/>
              </w:rPr>
            </w:pPr>
            <w:r>
              <w:rPr>
                <w:rFonts w:cstheme="minorHAnsi"/>
                <w:i/>
                <w:color w:val="000000"/>
                <w:szCs w:val="22"/>
              </w:rPr>
              <w:t>Additional advice, lessons learned, etc.</w:t>
            </w:r>
          </w:p>
        </w:tc>
        <w:tc>
          <w:tcPr>
            <w:tcW w:w="3690" w:type="dxa"/>
          </w:tcPr>
          <w:p w14:paraId="1E449521" w14:textId="097FDB0B" w:rsidR="006D3D60" w:rsidRPr="00C55D55" w:rsidRDefault="00C55D55" w:rsidP="00CC076E">
            <w:pPr>
              <w:rPr>
                <w:rFonts w:ascii="Garamond" w:hAnsi="Garamond" w:cstheme="minorHAnsi"/>
                <w:sz w:val="24"/>
                <w:szCs w:val="24"/>
              </w:rPr>
            </w:pPr>
            <w:r w:rsidRPr="00C55D55">
              <w:rPr>
                <w:rFonts w:ascii="Garamond" w:hAnsi="Garamond" w:cstheme="minorHAnsi"/>
                <w:sz w:val="24"/>
                <w:szCs w:val="24"/>
              </w:rPr>
              <w:t>Give advance notice to employers so they can plan their calendar</w:t>
            </w:r>
            <w:r>
              <w:rPr>
                <w:rFonts w:ascii="Garamond" w:hAnsi="Garamond" w:cstheme="minorHAnsi"/>
                <w:sz w:val="24"/>
                <w:szCs w:val="24"/>
              </w:rPr>
              <w:t xml:space="preserve"> and solicit feedback from employers pre and post event.</w:t>
            </w:r>
          </w:p>
        </w:tc>
      </w:tr>
    </w:tbl>
    <w:p w14:paraId="1FFC539D" w14:textId="77777777" w:rsidR="00270A71" w:rsidRDefault="00270A71" w:rsidP="00124E5F">
      <w:pPr>
        <w:pStyle w:val="Heading5"/>
      </w:pPr>
      <w:r>
        <w:t>Appendix</w:t>
      </w:r>
      <w:r w:rsidR="00124E5F">
        <w:t xml:space="preserve"> </w:t>
      </w:r>
      <w:r w:rsidR="006D3D60">
        <w:t>D</w:t>
      </w:r>
      <w:r>
        <w:t>. Resource Tracker</w:t>
      </w:r>
    </w:p>
    <w:p w14:paraId="2E205E37" w14:textId="77777777" w:rsidR="00270A71" w:rsidRPr="00270A71" w:rsidRDefault="00270A71" w:rsidP="00270A71"/>
    <w:tbl>
      <w:tblPr>
        <w:tblW w:w="10800"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25"/>
        <w:gridCol w:w="2169"/>
        <w:gridCol w:w="2004"/>
        <w:gridCol w:w="2014"/>
        <w:gridCol w:w="2688"/>
      </w:tblGrid>
      <w:tr w:rsidR="000E5070" w:rsidRPr="008B37BD" w14:paraId="61B7D71D" w14:textId="77777777" w:rsidTr="00E939B7">
        <w:trPr>
          <w:trHeight w:val="399"/>
        </w:trPr>
        <w:tc>
          <w:tcPr>
            <w:tcW w:w="1925" w:type="dxa"/>
            <w:shd w:val="clear" w:color="auto" w:fill="5B9BD5"/>
            <w:tcMar>
              <w:top w:w="72" w:type="dxa"/>
              <w:left w:w="144" w:type="dxa"/>
              <w:bottom w:w="72" w:type="dxa"/>
              <w:right w:w="144" w:type="dxa"/>
            </w:tcMar>
            <w:vAlign w:val="center"/>
            <w:hideMark/>
          </w:tcPr>
          <w:p w14:paraId="2ACB35F4" w14:textId="77777777" w:rsidR="00270A71" w:rsidRPr="00E939B7" w:rsidRDefault="00270A71" w:rsidP="00093DF5">
            <w:pPr>
              <w:pStyle w:val="Heading1"/>
              <w:jc w:val="center"/>
              <w:rPr>
                <w:rFonts w:ascii="Garamond" w:hAnsi="Garamond"/>
                <w:sz w:val="24"/>
                <w:szCs w:val="24"/>
              </w:rPr>
            </w:pPr>
            <w:r w:rsidRPr="00E939B7">
              <w:rPr>
                <w:rFonts w:ascii="Garamond" w:hAnsi="Garamond"/>
                <w:sz w:val="24"/>
                <w:szCs w:val="24"/>
              </w:rPr>
              <w:t>Resource</w:t>
            </w:r>
          </w:p>
        </w:tc>
        <w:tc>
          <w:tcPr>
            <w:tcW w:w="2169" w:type="dxa"/>
            <w:shd w:val="clear" w:color="auto" w:fill="5B9BD5"/>
            <w:tcMar>
              <w:top w:w="72" w:type="dxa"/>
              <w:left w:w="144" w:type="dxa"/>
              <w:bottom w:w="72" w:type="dxa"/>
              <w:right w:w="144" w:type="dxa"/>
            </w:tcMar>
            <w:vAlign w:val="center"/>
            <w:hideMark/>
          </w:tcPr>
          <w:p w14:paraId="50E1A08A" w14:textId="77777777" w:rsidR="00270A71" w:rsidRPr="00E939B7" w:rsidRDefault="00270A71" w:rsidP="00093DF5">
            <w:pPr>
              <w:pStyle w:val="Heading1"/>
              <w:jc w:val="center"/>
              <w:rPr>
                <w:rFonts w:ascii="Garamond" w:hAnsi="Garamond"/>
                <w:sz w:val="24"/>
                <w:szCs w:val="24"/>
              </w:rPr>
            </w:pPr>
            <w:r w:rsidRPr="00E939B7">
              <w:rPr>
                <w:rFonts w:ascii="Garamond" w:hAnsi="Garamond"/>
                <w:sz w:val="24"/>
                <w:szCs w:val="24"/>
              </w:rPr>
              <w:t>Applying Entity</w:t>
            </w:r>
          </w:p>
        </w:tc>
        <w:tc>
          <w:tcPr>
            <w:tcW w:w="2004" w:type="dxa"/>
            <w:shd w:val="clear" w:color="auto" w:fill="5B9BD5"/>
            <w:tcMar>
              <w:top w:w="72" w:type="dxa"/>
              <w:left w:w="144" w:type="dxa"/>
              <w:bottom w:w="72" w:type="dxa"/>
              <w:right w:w="144" w:type="dxa"/>
            </w:tcMar>
            <w:vAlign w:val="center"/>
            <w:hideMark/>
          </w:tcPr>
          <w:p w14:paraId="7AD8B23C" w14:textId="77777777" w:rsidR="00270A71" w:rsidRPr="00E939B7" w:rsidRDefault="00270A71" w:rsidP="00093DF5">
            <w:pPr>
              <w:pStyle w:val="Heading1"/>
              <w:jc w:val="center"/>
              <w:rPr>
                <w:rFonts w:ascii="Garamond" w:hAnsi="Garamond"/>
                <w:sz w:val="24"/>
                <w:szCs w:val="24"/>
              </w:rPr>
            </w:pPr>
            <w:r w:rsidRPr="00E939B7">
              <w:rPr>
                <w:rFonts w:ascii="Garamond" w:hAnsi="Garamond"/>
                <w:sz w:val="24"/>
                <w:szCs w:val="24"/>
              </w:rPr>
              <w:t>Occupation</w:t>
            </w:r>
          </w:p>
        </w:tc>
        <w:tc>
          <w:tcPr>
            <w:tcW w:w="2014" w:type="dxa"/>
            <w:shd w:val="clear" w:color="auto" w:fill="5B9BD5"/>
            <w:tcMar>
              <w:top w:w="72" w:type="dxa"/>
              <w:left w:w="144" w:type="dxa"/>
              <w:bottom w:w="72" w:type="dxa"/>
              <w:right w:w="144" w:type="dxa"/>
            </w:tcMar>
            <w:vAlign w:val="center"/>
            <w:hideMark/>
          </w:tcPr>
          <w:p w14:paraId="663A9B69" w14:textId="77777777" w:rsidR="00270A71" w:rsidRPr="00E939B7" w:rsidRDefault="00270A71" w:rsidP="00093DF5">
            <w:pPr>
              <w:pStyle w:val="Heading1"/>
              <w:jc w:val="center"/>
              <w:rPr>
                <w:rFonts w:ascii="Garamond" w:hAnsi="Garamond"/>
                <w:sz w:val="24"/>
                <w:szCs w:val="24"/>
              </w:rPr>
            </w:pPr>
            <w:r w:rsidRPr="00E939B7">
              <w:rPr>
                <w:rFonts w:ascii="Garamond" w:hAnsi="Garamond"/>
                <w:sz w:val="24"/>
                <w:szCs w:val="24"/>
              </w:rPr>
              <w:t>Industry</w:t>
            </w:r>
          </w:p>
        </w:tc>
        <w:tc>
          <w:tcPr>
            <w:tcW w:w="2688" w:type="dxa"/>
            <w:shd w:val="clear" w:color="auto" w:fill="5B9BD5"/>
            <w:tcMar>
              <w:top w:w="72" w:type="dxa"/>
              <w:left w:w="144" w:type="dxa"/>
              <w:bottom w:w="72" w:type="dxa"/>
              <w:right w:w="144" w:type="dxa"/>
            </w:tcMar>
            <w:vAlign w:val="center"/>
            <w:hideMark/>
          </w:tcPr>
          <w:p w14:paraId="7168EF79" w14:textId="77777777" w:rsidR="00270A71" w:rsidRPr="00E939B7" w:rsidRDefault="00270A71" w:rsidP="00093DF5">
            <w:pPr>
              <w:pStyle w:val="Heading1"/>
              <w:jc w:val="center"/>
              <w:rPr>
                <w:rFonts w:ascii="Garamond" w:hAnsi="Garamond"/>
                <w:sz w:val="24"/>
                <w:szCs w:val="24"/>
              </w:rPr>
            </w:pPr>
            <w:r w:rsidRPr="00E939B7">
              <w:rPr>
                <w:rFonts w:ascii="Garamond" w:hAnsi="Garamond"/>
                <w:sz w:val="24"/>
                <w:szCs w:val="24"/>
              </w:rPr>
              <w:t>Application Status</w:t>
            </w:r>
          </w:p>
        </w:tc>
      </w:tr>
      <w:tr w:rsidR="000E5070" w:rsidRPr="008B37BD" w14:paraId="3B5D59FB" w14:textId="77777777" w:rsidTr="00E939B7">
        <w:trPr>
          <w:trHeight w:val="288"/>
        </w:trPr>
        <w:tc>
          <w:tcPr>
            <w:tcW w:w="1925" w:type="dxa"/>
            <w:shd w:val="clear" w:color="auto" w:fill="DEEBF7"/>
            <w:tcMar>
              <w:top w:w="72" w:type="dxa"/>
              <w:left w:w="144" w:type="dxa"/>
              <w:bottom w:w="72" w:type="dxa"/>
              <w:right w:w="144" w:type="dxa"/>
            </w:tcMar>
            <w:vAlign w:val="center"/>
          </w:tcPr>
          <w:p w14:paraId="2ACA92EA" w14:textId="1F45C3CE" w:rsidR="00270A71" w:rsidRPr="00E939B7" w:rsidRDefault="00FF6D82" w:rsidP="00093DF5">
            <w:pPr>
              <w:rPr>
                <w:rFonts w:ascii="Garamond" w:hAnsi="Garamond"/>
                <w:b/>
                <w:bCs/>
                <w:sz w:val="24"/>
                <w:szCs w:val="24"/>
              </w:rPr>
            </w:pPr>
            <w:r w:rsidRPr="00E939B7">
              <w:rPr>
                <w:rFonts w:ascii="Garamond" w:hAnsi="Garamond"/>
                <w:b/>
                <w:bCs/>
                <w:sz w:val="24"/>
                <w:szCs w:val="24"/>
              </w:rPr>
              <w:t>Executive Office of Housing &amp; Economic Development</w:t>
            </w:r>
          </w:p>
        </w:tc>
        <w:tc>
          <w:tcPr>
            <w:tcW w:w="2169" w:type="dxa"/>
            <w:shd w:val="clear" w:color="auto" w:fill="auto"/>
            <w:tcMar>
              <w:top w:w="72" w:type="dxa"/>
              <w:left w:w="144" w:type="dxa"/>
              <w:bottom w:w="72" w:type="dxa"/>
              <w:right w:w="144" w:type="dxa"/>
            </w:tcMar>
            <w:vAlign w:val="center"/>
          </w:tcPr>
          <w:p w14:paraId="3872F034" w14:textId="64ED4068" w:rsidR="00270A71" w:rsidRPr="00E939B7" w:rsidRDefault="00FF6D82" w:rsidP="00093DF5">
            <w:pPr>
              <w:rPr>
                <w:rFonts w:ascii="Garamond" w:hAnsi="Garamond"/>
                <w:sz w:val="24"/>
                <w:szCs w:val="24"/>
              </w:rPr>
            </w:pPr>
            <w:r w:rsidRPr="00E939B7">
              <w:rPr>
                <w:rFonts w:ascii="Garamond" w:hAnsi="Garamond"/>
                <w:sz w:val="24"/>
                <w:szCs w:val="24"/>
              </w:rPr>
              <w:t>Greater New Bedford Workforce Board</w:t>
            </w:r>
          </w:p>
        </w:tc>
        <w:tc>
          <w:tcPr>
            <w:tcW w:w="2004" w:type="dxa"/>
            <w:shd w:val="clear" w:color="auto" w:fill="auto"/>
            <w:tcMar>
              <w:top w:w="72" w:type="dxa"/>
              <w:left w:w="144" w:type="dxa"/>
              <w:bottom w:w="72" w:type="dxa"/>
              <w:right w:w="144" w:type="dxa"/>
            </w:tcMar>
            <w:vAlign w:val="center"/>
          </w:tcPr>
          <w:p w14:paraId="5BBAA9C5" w14:textId="77777777" w:rsidR="0079527E" w:rsidRPr="0079527E" w:rsidRDefault="00FF6D82" w:rsidP="0079527E">
            <w:pPr>
              <w:spacing w:after="0"/>
              <w:rPr>
                <w:rFonts w:ascii="Garamond" w:hAnsi="Garamond"/>
                <w:sz w:val="24"/>
                <w:szCs w:val="24"/>
              </w:rPr>
            </w:pPr>
            <w:r w:rsidRPr="0079527E">
              <w:rPr>
                <w:rFonts w:ascii="Garamond" w:hAnsi="Garamond"/>
                <w:sz w:val="24"/>
                <w:szCs w:val="24"/>
              </w:rPr>
              <w:t>Machinist, Welding, CNC Operator, Quality Assurance</w:t>
            </w:r>
            <w:r w:rsidR="0079527E" w:rsidRPr="0079527E">
              <w:rPr>
                <w:rFonts w:ascii="Garamond" w:hAnsi="Garamond"/>
                <w:sz w:val="24"/>
                <w:szCs w:val="24"/>
              </w:rPr>
              <w:t>, Production Supervisor</w:t>
            </w:r>
          </w:p>
          <w:p w14:paraId="230FC276" w14:textId="77777777" w:rsidR="0079527E" w:rsidRPr="0079527E" w:rsidRDefault="0079527E" w:rsidP="0079527E">
            <w:pPr>
              <w:spacing w:after="0"/>
              <w:rPr>
                <w:rFonts w:ascii="Garamond" w:hAnsi="Garamond"/>
                <w:sz w:val="24"/>
                <w:szCs w:val="24"/>
              </w:rPr>
            </w:pPr>
            <w:r w:rsidRPr="0079527E">
              <w:rPr>
                <w:rFonts w:ascii="Garamond" w:hAnsi="Garamond"/>
                <w:sz w:val="24"/>
                <w:szCs w:val="24"/>
              </w:rPr>
              <w:t>Production Operator</w:t>
            </w:r>
          </w:p>
          <w:p w14:paraId="2C75C286" w14:textId="2EA3DED1" w:rsidR="00270A71" w:rsidRPr="00E939B7" w:rsidRDefault="00270A71" w:rsidP="00093DF5">
            <w:pPr>
              <w:rPr>
                <w:rFonts w:ascii="Garamond" w:hAnsi="Garamond"/>
                <w:sz w:val="24"/>
                <w:szCs w:val="24"/>
              </w:rPr>
            </w:pPr>
          </w:p>
        </w:tc>
        <w:tc>
          <w:tcPr>
            <w:tcW w:w="2014" w:type="dxa"/>
            <w:shd w:val="clear" w:color="auto" w:fill="auto"/>
            <w:tcMar>
              <w:top w:w="72" w:type="dxa"/>
              <w:left w:w="144" w:type="dxa"/>
              <w:bottom w:w="72" w:type="dxa"/>
              <w:right w:w="144" w:type="dxa"/>
            </w:tcMar>
            <w:vAlign w:val="center"/>
          </w:tcPr>
          <w:p w14:paraId="3CB45B08" w14:textId="1307AE3A" w:rsidR="00270A71" w:rsidRPr="00E939B7" w:rsidRDefault="00FF6D82" w:rsidP="00093DF5">
            <w:pPr>
              <w:rPr>
                <w:rFonts w:ascii="Garamond" w:hAnsi="Garamond"/>
                <w:sz w:val="24"/>
                <w:szCs w:val="24"/>
              </w:rPr>
            </w:pPr>
            <w:r w:rsidRPr="00E939B7">
              <w:rPr>
                <w:rFonts w:ascii="Garamond" w:hAnsi="Garamond"/>
                <w:sz w:val="24"/>
                <w:szCs w:val="24"/>
              </w:rPr>
              <w:t>Manufacturing</w:t>
            </w:r>
          </w:p>
        </w:tc>
        <w:tc>
          <w:tcPr>
            <w:tcW w:w="2688" w:type="dxa"/>
            <w:shd w:val="clear" w:color="auto" w:fill="auto"/>
            <w:tcMar>
              <w:top w:w="72" w:type="dxa"/>
              <w:left w:w="144" w:type="dxa"/>
              <w:bottom w:w="72" w:type="dxa"/>
              <w:right w:w="144" w:type="dxa"/>
            </w:tcMar>
            <w:vAlign w:val="center"/>
          </w:tcPr>
          <w:p w14:paraId="6E151F44" w14:textId="6D3A1064" w:rsidR="00270A71" w:rsidRPr="00E939B7" w:rsidRDefault="00FF6D82" w:rsidP="00093DF5">
            <w:pPr>
              <w:rPr>
                <w:rFonts w:ascii="Garamond" w:hAnsi="Garamond"/>
                <w:sz w:val="24"/>
                <w:szCs w:val="24"/>
              </w:rPr>
            </w:pPr>
            <w:r w:rsidRPr="00E939B7">
              <w:rPr>
                <w:rFonts w:ascii="Garamond" w:hAnsi="Garamond"/>
                <w:sz w:val="24"/>
                <w:szCs w:val="24"/>
              </w:rPr>
              <w:t>Awarded</w:t>
            </w:r>
          </w:p>
        </w:tc>
      </w:tr>
      <w:tr w:rsidR="00E256EF" w:rsidRPr="008B37BD" w14:paraId="2603DCF0" w14:textId="77777777" w:rsidTr="00E939B7">
        <w:trPr>
          <w:trHeight w:val="288"/>
        </w:trPr>
        <w:tc>
          <w:tcPr>
            <w:tcW w:w="1925" w:type="dxa"/>
            <w:shd w:val="clear" w:color="auto" w:fill="DEEBF7"/>
            <w:tcMar>
              <w:top w:w="72" w:type="dxa"/>
              <w:left w:w="144" w:type="dxa"/>
              <w:bottom w:w="72" w:type="dxa"/>
              <w:right w:w="144" w:type="dxa"/>
            </w:tcMar>
            <w:vAlign w:val="center"/>
          </w:tcPr>
          <w:p w14:paraId="46E54769" w14:textId="778112F1" w:rsidR="00E256EF" w:rsidRPr="00E939B7" w:rsidRDefault="00E256EF" w:rsidP="00E256EF">
            <w:pPr>
              <w:rPr>
                <w:rFonts w:ascii="Garamond" w:hAnsi="Garamond"/>
                <w:b/>
                <w:bCs/>
                <w:sz w:val="24"/>
                <w:szCs w:val="24"/>
              </w:rPr>
            </w:pPr>
            <w:r w:rsidRPr="00E939B7">
              <w:rPr>
                <w:rFonts w:ascii="Garamond" w:hAnsi="Garamond"/>
                <w:b/>
                <w:bCs/>
                <w:sz w:val="24"/>
                <w:szCs w:val="24"/>
              </w:rPr>
              <w:lastRenderedPageBreak/>
              <w:t>Executive Office of Housing &amp; Economic Development</w:t>
            </w:r>
          </w:p>
        </w:tc>
        <w:tc>
          <w:tcPr>
            <w:tcW w:w="2169" w:type="dxa"/>
            <w:shd w:val="clear" w:color="auto" w:fill="auto"/>
            <w:tcMar>
              <w:top w:w="72" w:type="dxa"/>
              <w:left w:w="144" w:type="dxa"/>
              <w:bottom w:w="72" w:type="dxa"/>
              <w:right w:w="144" w:type="dxa"/>
            </w:tcMar>
            <w:vAlign w:val="center"/>
          </w:tcPr>
          <w:p w14:paraId="64F16BD9" w14:textId="2DC09D7D" w:rsidR="00E256EF" w:rsidRPr="00E939B7" w:rsidRDefault="00E256EF" w:rsidP="00E256EF">
            <w:pPr>
              <w:rPr>
                <w:rFonts w:ascii="Garamond" w:hAnsi="Garamond"/>
                <w:sz w:val="24"/>
                <w:szCs w:val="24"/>
              </w:rPr>
            </w:pPr>
            <w:r w:rsidRPr="00E939B7">
              <w:rPr>
                <w:rFonts w:ascii="Garamond" w:hAnsi="Garamond"/>
                <w:sz w:val="24"/>
                <w:szCs w:val="24"/>
              </w:rPr>
              <w:t>Greater New Bedford Workforce Board</w:t>
            </w:r>
          </w:p>
        </w:tc>
        <w:tc>
          <w:tcPr>
            <w:tcW w:w="2004" w:type="dxa"/>
            <w:shd w:val="clear" w:color="auto" w:fill="auto"/>
            <w:tcMar>
              <w:top w:w="72" w:type="dxa"/>
              <w:left w:w="144" w:type="dxa"/>
              <w:bottom w:w="72" w:type="dxa"/>
              <w:right w:w="144" w:type="dxa"/>
            </w:tcMar>
            <w:vAlign w:val="center"/>
          </w:tcPr>
          <w:p w14:paraId="1CC34278" w14:textId="7F99011F" w:rsidR="00E256EF" w:rsidRPr="00E939B7" w:rsidRDefault="00E256EF" w:rsidP="00E256EF">
            <w:pPr>
              <w:rPr>
                <w:rFonts w:ascii="Garamond" w:hAnsi="Garamond"/>
                <w:sz w:val="24"/>
                <w:szCs w:val="24"/>
              </w:rPr>
            </w:pPr>
            <w:r w:rsidRPr="00E939B7">
              <w:rPr>
                <w:rFonts w:ascii="Garamond" w:hAnsi="Garamond"/>
                <w:sz w:val="24"/>
                <w:szCs w:val="24"/>
              </w:rPr>
              <w:t>Apprenticeships</w:t>
            </w:r>
          </w:p>
        </w:tc>
        <w:tc>
          <w:tcPr>
            <w:tcW w:w="2014" w:type="dxa"/>
            <w:shd w:val="clear" w:color="auto" w:fill="auto"/>
            <w:tcMar>
              <w:top w:w="72" w:type="dxa"/>
              <w:left w:w="144" w:type="dxa"/>
              <w:bottom w:w="72" w:type="dxa"/>
              <w:right w:w="144" w:type="dxa"/>
            </w:tcMar>
            <w:vAlign w:val="center"/>
          </w:tcPr>
          <w:p w14:paraId="09D9B8E2" w14:textId="39B70EBD" w:rsidR="00E256EF" w:rsidRPr="00E939B7" w:rsidRDefault="00E256EF" w:rsidP="00E256EF">
            <w:pPr>
              <w:rPr>
                <w:rFonts w:ascii="Garamond" w:hAnsi="Garamond"/>
                <w:sz w:val="24"/>
                <w:szCs w:val="24"/>
              </w:rPr>
            </w:pPr>
            <w:r w:rsidRPr="00E939B7">
              <w:rPr>
                <w:rFonts w:ascii="Garamond" w:hAnsi="Garamond"/>
                <w:sz w:val="24"/>
                <w:szCs w:val="24"/>
              </w:rPr>
              <w:t>Cross industry</w:t>
            </w:r>
          </w:p>
        </w:tc>
        <w:tc>
          <w:tcPr>
            <w:tcW w:w="2688" w:type="dxa"/>
            <w:shd w:val="clear" w:color="auto" w:fill="auto"/>
            <w:tcMar>
              <w:top w:w="72" w:type="dxa"/>
              <w:left w:w="144" w:type="dxa"/>
              <w:bottom w:w="72" w:type="dxa"/>
              <w:right w:w="144" w:type="dxa"/>
            </w:tcMar>
            <w:vAlign w:val="center"/>
          </w:tcPr>
          <w:p w14:paraId="00966DED" w14:textId="26C83260" w:rsidR="00E256EF" w:rsidRPr="00E939B7" w:rsidRDefault="00E256EF" w:rsidP="00E256EF">
            <w:pPr>
              <w:rPr>
                <w:rFonts w:ascii="Garamond" w:hAnsi="Garamond"/>
                <w:sz w:val="24"/>
                <w:szCs w:val="24"/>
              </w:rPr>
            </w:pPr>
            <w:r w:rsidRPr="00E939B7">
              <w:rPr>
                <w:rFonts w:ascii="Garamond" w:hAnsi="Garamond"/>
                <w:sz w:val="24"/>
                <w:szCs w:val="24"/>
              </w:rPr>
              <w:t>Awarded</w:t>
            </w:r>
          </w:p>
        </w:tc>
      </w:tr>
      <w:tr w:rsidR="00E256EF" w:rsidRPr="008B37BD" w14:paraId="6C026770" w14:textId="77777777" w:rsidTr="00E939B7">
        <w:trPr>
          <w:trHeight w:val="288"/>
        </w:trPr>
        <w:tc>
          <w:tcPr>
            <w:tcW w:w="1925" w:type="dxa"/>
            <w:shd w:val="clear" w:color="auto" w:fill="DEEBF7"/>
            <w:tcMar>
              <w:top w:w="72" w:type="dxa"/>
              <w:left w:w="144" w:type="dxa"/>
              <w:bottom w:w="72" w:type="dxa"/>
              <w:right w:w="144" w:type="dxa"/>
            </w:tcMar>
            <w:vAlign w:val="center"/>
          </w:tcPr>
          <w:p w14:paraId="0751C9C7" w14:textId="04EF59F5" w:rsidR="00E256EF" w:rsidRPr="00E939B7" w:rsidRDefault="00E256EF" w:rsidP="00E256EF">
            <w:pPr>
              <w:rPr>
                <w:rFonts w:ascii="Garamond" w:hAnsi="Garamond"/>
                <w:b/>
                <w:bCs/>
                <w:sz w:val="24"/>
                <w:szCs w:val="24"/>
              </w:rPr>
            </w:pPr>
            <w:r w:rsidRPr="00E939B7">
              <w:rPr>
                <w:rFonts w:ascii="Garamond" w:hAnsi="Garamond"/>
                <w:b/>
                <w:bCs/>
                <w:sz w:val="24"/>
                <w:szCs w:val="24"/>
              </w:rPr>
              <w:t>Commonwealth Corporation</w:t>
            </w:r>
          </w:p>
        </w:tc>
        <w:tc>
          <w:tcPr>
            <w:tcW w:w="2169" w:type="dxa"/>
            <w:shd w:val="clear" w:color="auto" w:fill="auto"/>
            <w:tcMar>
              <w:top w:w="72" w:type="dxa"/>
              <w:left w:w="144" w:type="dxa"/>
              <w:bottom w:w="72" w:type="dxa"/>
              <w:right w:w="144" w:type="dxa"/>
            </w:tcMar>
            <w:vAlign w:val="center"/>
          </w:tcPr>
          <w:p w14:paraId="67B697BB" w14:textId="2393AFFE" w:rsidR="00E256EF" w:rsidRPr="00E939B7" w:rsidRDefault="00E256EF" w:rsidP="00E256EF">
            <w:pPr>
              <w:rPr>
                <w:rFonts w:ascii="Garamond" w:hAnsi="Garamond"/>
                <w:sz w:val="24"/>
                <w:szCs w:val="24"/>
              </w:rPr>
            </w:pPr>
            <w:r w:rsidRPr="00E939B7">
              <w:rPr>
                <w:rFonts w:ascii="Garamond" w:hAnsi="Garamond"/>
                <w:sz w:val="24"/>
                <w:szCs w:val="24"/>
              </w:rPr>
              <w:t>Greater Brockton Workforce Board</w:t>
            </w:r>
          </w:p>
        </w:tc>
        <w:tc>
          <w:tcPr>
            <w:tcW w:w="2004" w:type="dxa"/>
            <w:shd w:val="clear" w:color="auto" w:fill="auto"/>
            <w:tcMar>
              <w:top w:w="72" w:type="dxa"/>
              <w:left w:w="144" w:type="dxa"/>
              <w:bottom w:w="72" w:type="dxa"/>
              <w:right w:w="144" w:type="dxa"/>
            </w:tcMar>
            <w:vAlign w:val="center"/>
          </w:tcPr>
          <w:p w14:paraId="62E7C2DD" w14:textId="5E5540E2" w:rsidR="00E256EF" w:rsidRPr="00E939B7" w:rsidRDefault="00E256EF" w:rsidP="00E256EF">
            <w:pPr>
              <w:rPr>
                <w:rFonts w:ascii="Garamond" w:hAnsi="Garamond"/>
                <w:sz w:val="24"/>
                <w:szCs w:val="24"/>
              </w:rPr>
            </w:pPr>
            <w:r w:rsidRPr="00E939B7">
              <w:rPr>
                <w:rFonts w:ascii="Garamond" w:hAnsi="Garamond"/>
                <w:sz w:val="24"/>
                <w:szCs w:val="24"/>
              </w:rPr>
              <w:t>Universal Banker - Youth</w:t>
            </w:r>
          </w:p>
        </w:tc>
        <w:tc>
          <w:tcPr>
            <w:tcW w:w="2014" w:type="dxa"/>
            <w:shd w:val="clear" w:color="auto" w:fill="auto"/>
            <w:tcMar>
              <w:top w:w="72" w:type="dxa"/>
              <w:left w:w="144" w:type="dxa"/>
              <w:bottom w:w="72" w:type="dxa"/>
              <w:right w:w="144" w:type="dxa"/>
            </w:tcMar>
            <w:vAlign w:val="center"/>
          </w:tcPr>
          <w:p w14:paraId="702B81A2" w14:textId="6C4FEC62" w:rsidR="00E256EF" w:rsidRPr="00E939B7" w:rsidRDefault="00E256EF" w:rsidP="00E256EF">
            <w:pPr>
              <w:rPr>
                <w:rFonts w:ascii="Garamond" w:hAnsi="Garamond"/>
                <w:sz w:val="24"/>
                <w:szCs w:val="24"/>
              </w:rPr>
            </w:pPr>
            <w:r w:rsidRPr="00E939B7">
              <w:rPr>
                <w:rFonts w:ascii="Garamond" w:hAnsi="Garamond"/>
                <w:sz w:val="24"/>
                <w:szCs w:val="24"/>
              </w:rPr>
              <w:t>Finance &amp; Insurance</w:t>
            </w:r>
          </w:p>
        </w:tc>
        <w:tc>
          <w:tcPr>
            <w:tcW w:w="2688" w:type="dxa"/>
            <w:shd w:val="clear" w:color="auto" w:fill="auto"/>
            <w:tcMar>
              <w:top w:w="72" w:type="dxa"/>
              <w:left w:w="144" w:type="dxa"/>
              <w:bottom w:w="72" w:type="dxa"/>
              <w:right w:w="144" w:type="dxa"/>
            </w:tcMar>
            <w:vAlign w:val="center"/>
          </w:tcPr>
          <w:p w14:paraId="50190C87" w14:textId="05201F1F" w:rsidR="00E256EF" w:rsidRPr="00E939B7" w:rsidRDefault="00E256EF" w:rsidP="00E256EF">
            <w:pPr>
              <w:rPr>
                <w:rFonts w:ascii="Garamond" w:hAnsi="Garamond"/>
                <w:sz w:val="24"/>
                <w:szCs w:val="24"/>
              </w:rPr>
            </w:pPr>
            <w:r w:rsidRPr="00E939B7">
              <w:rPr>
                <w:rFonts w:ascii="Garamond" w:hAnsi="Garamond"/>
                <w:sz w:val="24"/>
                <w:szCs w:val="24"/>
              </w:rPr>
              <w:t>Awarded</w:t>
            </w:r>
          </w:p>
        </w:tc>
      </w:tr>
      <w:tr w:rsidR="00E256EF" w:rsidRPr="008B37BD" w14:paraId="5CFB1ADA" w14:textId="77777777" w:rsidTr="00E939B7">
        <w:trPr>
          <w:trHeight w:val="288"/>
        </w:trPr>
        <w:tc>
          <w:tcPr>
            <w:tcW w:w="1925" w:type="dxa"/>
            <w:shd w:val="clear" w:color="auto" w:fill="DEEBF7"/>
            <w:tcMar>
              <w:top w:w="72" w:type="dxa"/>
              <w:left w:w="144" w:type="dxa"/>
              <w:bottom w:w="72" w:type="dxa"/>
              <w:right w:w="144" w:type="dxa"/>
            </w:tcMar>
            <w:vAlign w:val="center"/>
          </w:tcPr>
          <w:p w14:paraId="33473012" w14:textId="0979B52D" w:rsidR="00E256EF" w:rsidRPr="00E939B7" w:rsidRDefault="00E256EF" w:rsidP="00E256EF">
            <w:pPr>
              <w:rPr>
                <w:rFonts w:ascii="Garamond" w:hAnsi="Garamond"/>
                <w:b/>
                <w:bCs/>
                <w:sz w:val="24"/>
                <w:szCs w:val="24"/>
              </w:rPr>
            </w:pPr>
            <w:r w:rsidRPr="00E939B7">
              <w:rPr>
                <w:rFonts w:ascii="Garamond" w:hAnsi="Garamond"/>
                <w:b/>
                <w:bCs/>
                <w:sz w:val="24"/>
                <w:szCs w:val="24"/>
              </w:rPr>
              <w:t>Commonwealth Corporation</w:t>
            </w:r>
          </w:p>
        </w:tc>
        <w:tc>
          <w:tcPr>
            <w:tcW w:w="2169" w:type="dxa"/>
            <w:shd w:val="clear" w:color="auto" w:fill="auto"/>
            <w:tcMar>
              <w:top w:w="72" w:type="dxa"/>
              <w:left w:w="144" w:type="dxa"/>
              <w:bottom w:w="72" w:type="dxa"/>
              <w:right w:w="144" w:type="dxa"/>
            </w:tcMar>
            <w:vAlign w:val="center"/>
          </w:tcPr>
          <w:p w14:paraId="4D0BEA18" w14:textId="1D2847CE" w:rsidR="00E256EF" w:rsidRPr="00E939B7" w:rsidRDefault="00E256EF" w:rsidP="00E256EF">
            <w:pPr>
              <w:rPr>
                <w:rFonts w:ascii="Garamond" w:hAnsi="Garamond"/>
                <w:sz w:val="24"/>
                <w:szCs w:val="24"/>
              </w:rPr>
            </w:pPr>
            <w:r w:rsidRPr="00E939B7">
              <w:rPr>
                <w:rFonts w:ascii="Garamond" w:hAnsi="Garamond"/>
                <w:sz w:val="24"/>
                <w:szCs w:val="24"/>
              </w:rPr>
              <w:t>Greater Brockton Workforce Board</w:t>
            </w:r>
          </w:p>
        </w:tc>
        <w:tc>
          <w:tcPr>
            <w:tcW w:w="2004" w:type="dxa"/>
            <w:shd w:val="clear" w:color="auto" w:fill="auto"/>
            <w:tcMar>
              <w:top w:w="72" w:type="dxa"/>
              <w:left w:w="144" w:type="dxa"/>
              <w:bottom w:w="72" w:type="dxa"/>
              <w:right w:w="144" w:type="dxa"/>
            </w:tcMar>
            <w:vAlign w:val="center"/>
          </w:tcPr>
          <w:p w14:paraId="5D208677" w14:textId="56911E41" w:rsidR="00E256EF" w:rsidRPr="00E939B7" w:rsidRDefault="00E256EF" w:rsidP="00E256EF">
            <w:pPr>
              <w:rPr>
                <w:rFonts w:ascii="Garamond" w:hAnsi="Garamond"/>
                <w:sz w:val="24"/>
                <w:szCs w:val="24"/>
              </w:rPr>
            </w:pPr>
            <w:r w:rsidRPr="00E939B7">
              <w:rPr>
                <w:rFonts w:ascii="Garamond" w:hAnsi="Garamond"/>
                <w:sz w:val="24"/>
                <w:szCs w:val="24"/>
              </w:rPr>
              <w:t>Universal Banker - Adult</w:t>
            </w:r>
          </w:p>
        </w:tc>
        <w:tc>
          <w:tcPr>
            <w:tcW w:w="2014" w:type="dxa"/>
            <w:shd w:val="clear" w:color="auto" w:fill="auto"/>
            <w:tcMar>
              <w:top w:w="72" w:type="dxa"/>
              <w:left w:w="144" w:type="dxa"/>
              <w:bottom w:w="72" w:type="dxa"/>
              <w:right w:w="144" w:type="dxa"/>
            </w:tcMar>
            <w:vAlign w:val="center"/>
          </w:tcPr>
          <w:p w14:paraId="43D364B6" w14:textId="1835FF93" w:rsidR="00E256EF" w:rsidRPr="00E939B7" w:rsidRDefault="00E256EF" w:rsidP="00E256EF">
            <w:pPr>
              <w:rPr>
                <w:rFonts w:ascii="Garamond" w:hAnsi="Garamond"/>
                <w:sz w:val="24"/>
                <w:szCs w:val="24"/>
              </w:rPr>
            </w:pPr>
            <w:r w:rsidRPr="00E939B7">
              <w:rPr>
                <w:rFonts w:ascii="Garamond" w:hAnsi="Garamond"/>
                <w:sz w:val="24"/>
                <w:szCs w:val="24"/>
              </w:rPr>
              <w:t>Finance &amp; Insurance</w:t>
            </w:r>
          </w:p>
        </w:tc>
        <w:tc>
          <w:tcPr>
            <w:tcW w:w="2688" w:type="dxa"/>
            <w:shd w:val="clear" w:color="auto" w:fill="auto"/>
            <w:tcMar>
              <w:top w:w="72" w:type="dxa"/>
              <w:left w:w="144" w:type="dxa"/>
              <w:bottom w:w="72" w:type="dxa"/>
              <w:right w:w="144" w:type="dxa"/>
            </w:tcMar>
            <w:vAlign w:val="center"/>
          </w:tcPr>
          <w:p w14:paraId="1FCB8006" w14:textId="6A9A7421" w:rsidR="00E256EF" w:rsidRPr="00E939B7" w:rsidRDefault="00E256EF" w:rsidP="00E256EF">
            <w:pPr>
              <w:rPr>
                <w:rFonts w:ascii="Garamond" w:hAnsi="Garamond"/>
                <w:sz w:val="24"/>
                <w:szCs w:val="24"/>
              </w:rPr>
            </w:pPr>
            <w:r w:rsidRPr="00E939B7">
              <w:rPr>
                <w:rFonts w:ascii="Garamond" w:hAnsi="Garamond"/>
                <w:sz w:val="24"/>
                <w:szCs w:val="24"/>
              </w:rPr>
              <w:t>Awarded</w:t>
            </w:r>
          </w:p>
        </w:tc>
      </w:tr>
      <w:tr w:rsidR="00E256EF" w:rsidRPr="008B37BD" w14:paraId="2AC50C20" w14:textId="77777777" w:rsidTr="00E939B7">
        <w:trPr>
          <w:trHeight w:val="288"/>
        </w:trPr>
        <w:tc>
          <w:tcPr>
            <w:tcW w:w="1925" w:type="dxa"/>
            <w:shd w:val="clear" w:color="auto" w:fill="DEEBF7"/>
            <w:tcMar>
              <w:top w:w="72" w:type="dxa"/>
              <w:left w:w="144" w:type="dxa"/>
              <w:bottom w:w="72" w:type="dxa"/>
              <w:right w:w="144" w:type="dxa"/>
            </w:tcMar>
            <w:vAlign w:val="center"/>
          </w:tcPr>
          <w:p w14:paraId="284211A3" w14:textId="49EA9BC7" w:rsidR="00E256EF" w:rsidRPr="00E939B7" w:rsidRDefault="00E256EF" w:rsidP="00E256EF">
            <w:pPr>
              <w:rPr>
                <w:rFonts w:ascii="Garamond" w:hAnsi="Garamond"/>
                <w:b/>
                <w:bCs/>
                <w:sz w:val="24"/>
                <w:szCs w:val="24"/>
              </w:rPr>
            </w:pPr>
            <w:r w:rsidRPr="00E939B7">
              <w:rPr>
                <w:rFonts w:ascii="Garamond" w:hAnsi="Garamond"/>
                <w:b/>
                <w:bCs/>
                <w:sz w:val="24"/>
                <w:szCs w:val="24"/>
              </w:rPr>
              <w:t>Commonwealth Corporation</w:t>
            </w:r>
          </w:p>
        </w:tc>
        <w:tc>
          <w:tcPr>
            <w:tcW w:w="2169" w:type="dxa"/>
            <w:shd w:val="clear" w:color="auto" w:fill="auto"/>
            <w:tcMar>
              <w:top w:w="72" w:type="dxa"/>
              <w:left w:w="144" w:type="dxa"/>
              <w:bottom w:w="72" w:type="dxa"/>
              <w:right w:w="144" w:type="dxa"/>
            </w:tcMar>
            <w:vAlign w:val="center"/>
          </w:tcPr>
          <w:p w14:paraId="09AB5809" w14:textId="2C9D215B" w:rsidR="00E256EF" w:rsidRPr="00E939B7" w:rsidRDefault="00E256EF" w:rsidP="00E256EF">
            <w:pPr>
              <w:rPr>
                <w:rFonts w:ascii="Garamond" w:hAnsi="Garamond"/>
                <w:sz w:val="24"/>
                <w:szCs w:val="24"/>
              </w:rPr>
            </w:pPr>
            <w:r w:rsidRPr="00E939B7">
              <w:rPr>
                <w:rFonts w:ascii="Garamond" w:hAnsi="Garamond"/>
                <w:sz w:val="24"/>
                <w:szCs w:val="24"/>
              </w:rPr>
              <w:t>Greater New Bedford Workforce Board</w:t>
            </w:r>
          </w:p>
        </w:tc>
        <w:tc>
          <w:tcPr>
            <w:tcW w:w="2004" w:type="dxa"/>
            <w:shd w:val="clear" w:color="auto" w:fill="auto"/>
            <w:tcMar>
              <w:top w:w="72" w:type="dxa"/>
              <w:left w:w="144" w:type="dxa"/>
              <w:bottom w:w="72" w:type="dxa"/>
              <w:right w:w="144" w:type="dxa"/>
            </w:tcMar>
            <w:vAlign w:val="center"/>
          </w:tcPr>
          <w:p w14:paraId="0D5CFF21" w14:textId="131F80A0" w:rsidR="00E256EF" w:rsidRPr="00E939B7" w:rsidRDefault="00E256EF" w:rsidP="00E256EF">
            <w:pPr>
              <w:rPr>
                <w:rFonts w:ascii="Garamond" w:hAnsi="Garamond"/>
                <w:sz w:val="24"/>
                <w:szCs w:val="24"/>
              </w:rPr>
            </w:pPr>
            <w:r w:rsidRPr="00E939B7">
              <w:rPr>
                <w:rFonts w:ascii="Garamond" w:hAnsi="Garamond"/>
                <w:sz w:val="24"/>
                <w:szCs w:val="24"/>
              </w:rPr>
              <w:t>Planning</w:t>
            </w:r>
          </w:p>
        </w:tc>
        <w:tc>
          <w:tcPr>
            <w:tcW w:w="2014" w:type="dxa"/>
            <w:shd w:val="clear" w:color="auto" w:fill="auto"/>
            <w:tcMar>
              <w:top w:w="72" w:type="dxa"/>
              <w:left w:w="144" w:type="dxa"/>
              <w:bottom w:w="72" w:type="dxa"/>
              <w:right w:w="144" w:type="dxa"/>
            </w:tcMar>
            <w:vAlign w:val="center"/>
          </w:tcPr>
          <w:p w14:paraId="43B44EC2" w14:textId="05947CE8" w:rsidR="00E256EF" w:rsidRPr="00E939B7" w:rsidRDefault="00E256EF" w:rsidP="00E256EF">
            <w:pPr>
              <w:rPr>
                <w:rFonts w:ascii="Garamond" w:hAnsi="Garamond"/>
                <w:sz w:val="24"/>
                <w:szCs w:val="24"/>
              </w:rPr>
            </w:pPr>
            <w:r w:rsidRPr="00E939B7">
              <w:rPr>
                <w:rFonts w:ascii="Garamond" w:hAnsi="Garamond"/>
                <w:sz w:val="24"/>
                <w:szCs w:val="24"/>
              </w:rPr>
              <w:t>Healthcare</w:t>
            </w:r>
          </w:p>
        </w:tc>
        <w:tc>
          <w:tcPr>
            <w:tcW w:w="2688" w:type="dxa"/>
            <w:shd w:val="clear" w:color="auto" w:fill="auto"/>
            <w:tcMar>
              <w:top w:w="72" w:type="dxa"/>
              <w:left w:w="144" w:type="dxa"/>
              <w:bottom w:w="72" w:type="dxa"/>
              <w:right w:w="144" w:type="dxa"/>
            </w:tcMar>
            <w:vAlign w:val="center"/>
          </w:tcPr>
          <w:p w14:paraId="773E4409" w14:textId="3F0004C9" w:rsidR="00E256EF" w:rsidRPr="00E939B7" w:rsidRDefault="00E256EF" w:rsidP="00E256EF">
            <w:pPr>
              <w:rPr>
                <w:rFonts w:ascii="Garamond" w:hAnsi="Garamond"/>
                <w:sz w:val="24"/>
                <w:szCs w:val="24"/>
              </w:rPr>
            </w:pPr>
            <w:r w:rsidRPr="00E939B7">
              <w:rPr>
                <w:rFonts w:ascii="Garamond" w:hAnsi="Garamond"/>
                <w:sz w:val="24"/>
                <w:szCs w:val="24"/>
              </w:rPr>
              <w:t>Application</w:t>
            </w:r>
          </w:p>
        </w:tc>
      </w:tr>
      <w:tr w:rsidR="00E256EF" w:rsidRPr="008B37BD" w14:paraId="00D16931" w14:textId="77777777" w:rsidTr="00E939B7">
        <w:trPr>
          <w:trHeight w:val="288"/>
        </w:trPr>
        <w:tc>
          <w:tcPr>
            <w:tcW w:w="1925" w:type="dxa"/>
            <w:shd w:val="clear" w:color="auto" w:fill="DEEBF7"/>
            <w:tcMar>
              <w:top w:w="72" w:type="dxa"/>
              <w:left w:w="144" w:type="dxa"/>
              <w:bottom w:w="72" w:type="dxa"/>
              <w:right w:w="144" w:type="dxa"/>
            </w:tcMar>
            <w:vAlign w:val="center"/>
          </w:tcPr>
          <w:p w14:paraId="646EEF08" w14:textId="3CD25860" w:rsidR="00E256EF" w:rsidRPr="00E939B7" w:rsidRDefault="00E256EF" w:rsidP="00E256EF">
            <w:pPr>
              <w:rPr>
                <w:rFonts w:ascii="Garamond" w:hAnsi="Garamond"/>
                <w:b/>
                <w:bCs/>
                <w:sz w:val="24"/>
                <w:szCs w:val="24"/>
              </w:rPr>
            </w:pPr>
            <w:r w:rsidRPr="00E939B7">
              <w:rPr>
                <w:rFonts w:ascii="Garamond" w:hAnsi="Garamond"/>
                <w:b/>
                <w:bCs/>
                <w:sz w:val="24"/>
                <w:szCs w:val="24"/>
              </w:rPr>
              <w:t>Commonwealth Corporation</w:t>
            </w:r>
          </w:p>
        </w:tc>
        <w:tc>
          <w:tcPr>
            <w:tcW w:w="2169" w:type="dxa"/>
            <w:shd w:val="clear" w:color="auto" w:fill="auto"/>
            <w:tcMar>
              <w:top w:w="72" w:type="dxa"/>
              <w:left w:w="144" w:type="dxa"/>
              <w:bottom w:w="72" w:type="dxa"/>
              <w:right w:w="144" w:type="dxa"/>
            </w:tcMar>
            <w:vAlign w:val="center"/>
          </w:tcPr>
          <w:p w14:paraId="0ED4E3B8" w14:textId="331CC1C4" w:rsidR="00E256EF" w:rsidRPr="00E939B7" w:rsidRDefault="00E256EF" w:rsidP="00E256EF">
            <w:pPr>
              <w:rPr>
                <w:rFonts w:ascii="Garamond" w:hAnsi="Garamond"/>
                <w:sz w:val="24"/>
                <w:szCs w:val="24"/>
              </w:rPr>
            </w:pPr>
            <w:r w:rsidRPr="00E939B7">
              <w:rPr>
                <w:rFonts w:ascii="Garamond" w:hAnsi="Garamond"/>
                <w:sz w:val="24"/>
                <w:szCs w:val="24"/>
              </w:rPr>
              <w:t>Greater Brockton Workforce Board</w:t>
            </w:r>
          </w:p>
        </w:tc>
        <w:tc>
          <w:tcPr>
            <w:tcW w:w="2004" w:type="dxa"/>
            <w:shd w:val="clear" w:color="auto" w:fill="auto"/>
            <w:tcMar>
              <w:top w:w="72" w:type="dxa"/>
              <w:left w:w="144" w:type="dxa"/>
              <w:bottom w:w="72" w:type="dxa"/>
              <w:right w:w="144" w:type="dxa"/>
            </w:tcMar>
            <w:vAlign w:val="center"/>
          </w:tcPr>
          <w:p w14:paraId="1830CD35" w14:textId="73D65B8F" w:rsidR="00E256EF" w:rsidRPr="00E939B7" w:rsidRDefault="00E256EF" w:rsidP="00E256EF">
            <w:pPr>
              <w:rPr>
                <w:rFonts w:ascii="Garamond" w:hAnsi="Garamond"/>
                <w:sz w:val="24"/>
                <w:szCs w:val="24"/>
              </w:rPr>
            </w:pPr>
            <w:r w:rsidRPr="00E939B7">
              <w:rPr>
                <w:rFonts w:ascii="Garamond" w:hAnsi="Garamond"/>
                <w:sz w:val="24"/>
                <w:szCs w:val="24"/>
              </w:rPr>
              <w:t>Commercial Drivers License</w:t>
            </w:r>
          </w:p>
        </w:tc>
        <w:tc>
          <w:tcPr>
            <w:tcW w:w="2014" w:type="dxa"/>
            <w:shd w:val="clear" w:color="auto" w:fill="auto"/>
            <w:tcMar>
              <w:top w:w="72" w:type="dxa"/>
              <w:left w:w="144" w:type="dxa"/>
              <w:bottom w:w="72" w:type="dxa"/>
              <w:right w:w="144" w:type="dxa"/>
            </w:tcMar>
            <w:vAlign w:val="center"/>
          </w:tcPr>
          <w:p w14:paraId="233D290C" w14:textId="7EE4B980" w:rsidR="00E256EF" w:rsidRPr="00E939B7" w:rsidRDefault="00E256EF" w:rsidP="00E256EF">
            <w:pPr>
              <w:rPr>
                <w:rFonts w:ascii="Garamond" w:hAnsi="Garamond"/>
                <w:sz w:val="24"/>
                <w:szCs w:val="24"/>
              </w:rPr>
            </w:pPr>
            <w:r w:rsidRPr="00E939B7">
              <w:rPr>
                <w:rFonts w:ascii="Garamond" w:hAnsi="Garamond"/>
                <w:sz w:val="24"/>
                <w:szCs w:val="24"/>
              </w:rPr>
              <w:t>Transportation &amp; Warehouse</w:t>
            </w:r>
          </w:p>
        </w:tc>
        <w:tc>
          <w:tcPr>
            <w:tcW w:w="2688" w:type="dxa"/>
            <w:shd w:val="clear" w:color="auto" w:fill="auto"/>
            <w:tcMar>
              <w:top w:w="72" w:type="dxa"/>
              <w:left w:w="144" w:type="dxa"/>
              <w:bottom w:w="72" w:type="dxa"/>
              <w:right w:w="144" w:type="dxa"/>
            </w:tcMar>
            <w:vAlign w:val="center"/>
          </w:tcPr>
          <w:p w14:paraId="7C5C6D13" w14:textId="72ED5D38" w:rsidR="00E256EF" w:rsidRPr="00E939B7" w:rsidRDefault="00E256EF" w:rsidP="00E256EF">
            <w:pPr>
              <w:rPr>
                <w:rFonts w:ascii="Garamond" w:hAnsi="Garamond"/>
                <w:sz w:val="24"/>
                <w:szCs w:val="24"/>
              </w:rPr>
            </w:pPr>
            <w:r w:rsidRPr="00E939B7">
              <w:rPr>
                <w:rFonts w:ascii="Garamond" w:hAnsi="Garamond"/>
                <w:sz w:val="24"/>
                <w:szCs w:val="24"/>
              </w:rPr>
              <w:t>Application</w:t>
            </w:r>
          </w:p>
        </w:tc>
      </w:tr>
      <w:tr w:rsidR="00E939B7" w:rsidRPr="00E939B7" w14:paraId="7F16D63F" w14:textId="77777777" w:rsidTr="00E939B7">
        <w:trPr>
          <w:trHeight w:val="288"/>
        </w:trPr>
        <w:tc>
          <w:tcPr>
            <w:tcW w:w="1925" w:type="dxa"/>
            <w:shd w:val="clear" w:color="auto" w:fill="DEEBF7"/>
            <w:tcMar>
              <w:top w:w="72" w:type="dxa"/>
              <w:left w:w="144" w:type="dxa"/>
              <w:bottom w:w="72" w:type="dxa"/>
              <w:right w:w="144" w:type="dxa"/>
            </w:tcMar>
            <w:vAlign w:val="center"/>
          </w:tcPr>
          <w:p w14:paraId="62019AA4" w14:textId="77777777" w:rsidR="00E939B7" w:rsidRPr="00E939B7" w:rsidRDefault="00E939B7" w:rsidP="00F97BF9">
            <w:pPr>
              <w:rPr>
                <w:rFonts w:ascii="Garamond" w:hAnsi="Garamond"/>
                <w:b/>
                <w:bCs/>
                <w:sz w:val="24"/>
                <w:szCs w:val="24"/>
              </w:rPr>
            </w:pPr>
            <w:r w:rsidRPr="00E939B7">
              <w:rPr>
                <w:rFonts w:ascii="Garamond" w:hAnsi="Garamond"/>
                <w:b/>
                <w:bCs/>
                <w:sz w:val="24"/>
                <w:szCs w:val="24"/>
              </w:rPr>
              <w:t>Commonwealth Corporation</w:t>
            </w:r>
          </w:p>
        </w:tc>
        <w:tc>
          <w:tcPr>
            <w:tcW w:w="2169" w:type="dxa"/>
            <w:shd w:val="clear" w:color="auto" w:fill="auto"/>
            <w:tcMar>
              <w:top w:w="72" w:type="dxa"/>
              <w:left w:w="144" w:type="dxa"/>
              <w:bottom w:w="72" w:type="dxa"/>
              <w:right w:w="144" w:type="dxa"/>
            </w:tcMar>
            <w:vAlign w:val="center"/>
          </w:tcPr>
          <w:p w14:paraId="72968122" w14:textId="77777777" w:rsidR="00E939B7" w:rsidRPr="00E939B7" w:rsidRDefault="00E939B7" w:rsidP="00F97BF9">
            <w:pPr>
              <w:rPr>
                <w:rFonts w:ascii="Garamond" w:hAnsi="Garamond"/>
                <w:sz w:val="24"/>
                <w:szCs w:val="24"/>
              </w:rPr>
            </w:pPr>
            <w:r w:rsidRPr="00E939B7">
              <w:rPr>
                <w:rFonts w:ascii="Garamond" w:hAnsi="Garamond"/>
                <w:sz w:val="24"/>
                <w:szCs w:val="24"/>
              </w:rPr>
              <w:t>Bristol Workforce Bord</w:t>
            </w:r>
          </w:p>
        </w:tc>
        <w:tc>
          <w:tcPr>
            <w:tcW w:w="2004" w:type="dxa"/>
            <w:shd w:val="clear" w:color="auto" w:fill="auto"/>
            <w:tcMar>
              <w:top w:w="72" w:type="dxa"/>
              <w:left w:w="144" w:type="dxa"/>
              <w:bottom w:w="72" w:type="dxa"/>
              <w:right w:w="144" w:type="dxa"/>
            </w:tcMar>
            <w:vAlign w:val="center"/>
          </w:tcPr>
          <w:p w14:paraId="12E4E359" w14:textId="77777777" w:rsidR="00E939B7" w:rsidRPr="00E939B7" w:rsidRDefault="00E939B7" w:rsidP="00F97BF9">
            <w:pPr>
              <w:rPr>
                <w:rFonts w:ascii="Garamond" w:hAnsi="Garamond"/>
                <w:sz w:val="24"/>
                <w:szCs w:val="24"/>
              </w:rPr>
            </w:pPr>
            <w:r w:rsidRPr="00E939B7">
              <w:rPr>
                <w:rFonts w:ascii="Garamond" w:hAnsi="Garamond"/>
                <w:sz w:val="24"/>
                <w:szCs w:val="24"/>
              </w:rPr>
              <w:t>Year Round YouthWorks</w:t>
            </w:r>
          </w:p>
        </w:tc>
        <w:tc>
          <w:tcPr>
            <w:tcW w:w="2014" w:type="dxa"/>
            <w:shd w:val="clear" w:color="auto" w:fill="auto"/>
            <w:tcMar>
              <w:top w:w="72" w:type="dxa"/>
              <w:left w:w="144" w:type="dxa"/>
              <w:bottom w:w="72" w:type="dxa"/>
              <w:right w:w="144" w:type="dxa"/>
            </w:tcMar>
            <w:vAlign w:val="center"/>
          </w:tcPr>
          <w:p w14:paraId="71F299AE" w14:textId="77777777" w:rsidR="00E939B7" w:rsidRPr="00E939B7" w:rsidRDefault="00E939B7" w:rsidP="00F97BF9">
            <w:pPr>
              <w:rPr>
                <w:rFonts w:ascii="Garamond" w:hAnsi="Garamond"/>
                <w:sz w:val="24"/>
                <w:szCs w:val="24"/>
              </w:rPr>
            </w:pPr>
            <w:r w:rsidRPr="00E939B7">
              <w:rPr>
                <w:rFonts w:ascii="Garamond" w:hAnsi="Garamond"/>
                <w:sz w:val="24"/>
                <w:szCs w:val="24"/>
              </w:rPr>
              <w:t>Manufacturing</w:t>
            </w:r>
          </w:p>
        </w:tc>
        <w:tc>
          <w:tcPr>
            <w:tcW w:w="2688" w:type="dxa"/>
            <w:shd w:val="clear" w:color="auto" w:fill="auto"/>
            <w:tcMar>
              <w:top w:w="72" w:type="dxa"/>
              <w:left w:w="144" w:type="dxa"/>
              <w:bottom w:w="72" w:type="dxa"/>
              <w:right w:w="144" w:type="dxa"/>
            </w:tcMar>
            <w:vAlign w:val="center"/>
          </w:tcPr>
          <w:p w14:paraId="02FEABF0" w14:textId="77777777" w:rsidR="00E939B7" w:rsidRPr="00E939B7" w:rsidRDefault="00E939B7" w:rsidP="00F97BF9">
            <w:pPr>
              <w:rPr>
                <w:rFonts w:ascii="Garamond" w:hAnsi="Garamond"/>
                <w:sz w:val="24"/>
                <w:szCs w:val="24"/>
              </w:rPr>
            </w:pPr>
            <w:r w:rsidRPr="00E939B7">
              <w:rPr>
                <w:rFonts w:ascii="Garamond" w:hAnsi="Garamond"/>
                <w:sz w:val="24"/>
                <w:szCs w:val="24"/>
              </w:rPr>
              <w:t>Awarded</w:t>
            </w:r>
          </w:p>
        </w:tc>
      </w:tr>
    </w:tbl>
    <w:p w14:paraId="38AE4D79" w14:textId="2F520C55" w:rsidR="000E5070" w:rsidRDefault="000E5070"/>
    <w:p w14:paraId="11DEFF10" w14:textId="77777777" w:rsidR="005B409C" w:rsidRDefault="005B409C" w:rsidP="005B409C">
      <w:pPr>
        <w:pStyle w:val="Heading5"/>
      </w:pPr>
      <w:r>
        <w:t xml:space="preserve">Appendix </w:t>
      </w:r>
      <w:r w:rsidR="006D3D60">
        <w:t>E</w:t>
      </w:r>
      <w:r>
        <w:t>. Pipeline Capacity Tracker</w:t>
      </w:r>
    </w:p>
    <w:p w14:paraId="32EBD611" w14:textId="77777777" w:rsidR="005B409C" w:rsidRPr="00270A71" w:rsidRDefault="005B409C" w:rsidP="005B409C"/>
    <w:tbl>
      <w:tblPr>
        <w:tblW w:w="10800"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67"/>
        <w:gridCol w:w="2283"/>
        <w:gridCol w:w="1890"/>
        <w:gridCol w:w="2070"/>
        <w:gridCol w:w="2790"/>
      </w:tblGrid>
      <w:tr w:rsidR="005B409C" w:rsidRPr="008B37BD" w14:paraId="5C28C09B" w14:textId="77777777" w:rsidTr="00CC076E">
        <w:trPr>
          <w:trHeight w:val="399"/>
        </w:trPr>
        <w:tc>
          <w:tcPr>
            <w:tcW w:w="1767" w:type="dxa"/>
            <w:shd w:val="clear" w:color="auto" w:fill="5B9BD5"/>
            <w:tcMar>
              <w:top w:w="72" w:type="dxa"/>
              <w:left w:w="144" w:type="dxa"/>
              <w:bottom w:w="72" w:type="dxa"/>
              <w:right w:w="144" w:type="dxa"/>
            </w:tcMar>
            <w:vAlign w:val="center"/>
            <w:hideMark/>
          </w:tcPr>
          <w:p w14:paraId="1C800812" w14:textId="77777777" w:rsidR="005B409C" w:rsidRPr="00270A71" w:rsidRDefault="005B409C" w:rsidP="00CC076E">
            <w:pPr>
              <w:pStyle w:val="Heading1"/>
              <w:jc w:val="center"/>
              <w:rPr>
                <w:sz w:val="20"/>
              </w:rPr>
            </w:pPr>
            <w:r>
              <w:rPr>
                <w:sz w:val="20"/>
              </w:rPr>
              <w:t>Program</w:t>
            </w:r>
          </w:p>
        </w:tc>
        <w:tc>
          <w:tcPr>
            <w:tcW w:w="2283" w:type="dxa"/>
            <w:shd w:val="clear" w:color="auto" w:fill="5B9BD5"/>
            <w:tcMar>
              <w:top w:w="72" w:type="dxa"/>
              <w:left w:w="144" w:type="dxa"/>
              <w:bottom w:w="72" w:type="dxa"/>
              <w:right w:w="144" w:type="dxa"/>
            </w:tcMar>
            <w:vAlign w:val="center"/>
            <w:hideMark/>
          </w:tcPr>
          <w:p w14:paraId="76C24F5C" w14:textId="77777777" w:rsidR="005B409C" w:rsidRPr="00270A71" w:rsidRDefault="005B409C" w:rsidP="005B409C">
            <w:pPr>
              <w:pStyle w:val="Heading1"/>
              <w:jc w:val="center"/>
              <w:rPr>
                <w:sz w:val="20"/>
              </w:rPr>
            </w:pPr>
            <w:r>
              <w:rPr>
                <w:sz w:val="20"/>
              </w:rPr>
              <w:t>Provider</w:t>
            </w:r>
          </w:p>
        </w:tc>
        <w:tc>
          <w:tcPr>
            <w:tcW w:w="1890" w:type="dxa"/>
            <w:shd w:val="clear" w:color="auto" w:fill="5B9BD5"/>
            <w:tcMar>
              <w:top w:w="72" w:type="dxa"/>
              <w:left w:w="144" w:type="dxa"/>
              <w:bottom w:w="72" w:type="dxa"/>
              <w:right w:w="144" w:type="dxa"/>
            </w:tcMar>
            <w:vAlign w:val="center"/>
            <w:hideMark/>
          </w:tcPr>
          <w:p w14:paraId="176B7ECD" w14:textId="77777777" w:rsidR="005B409C" w:rsidRPr="00270A71" w:rsidRDefault="005B409C" w:rsidP="00CC076E">
            <w:pPr>
              <w:pStyle w:val="Heading1"/>
              <w:jc w:val="center"/>
              <w:rPr>
                <w:sz w:val="20"/>
              </w:rPr>
            </w:pPr>
            <w:r w:rsidRPr="00270A71">
              <w:rPr>
                <w:sz w:val="20"/>
              </w:rPr>
              <w:t>Occupation</w:t>
            </w:r>
          </w:p>
        </w:tc>
        <w:tc>
          <w:tcPr>
            <w:tcW w:w="2070" w:type="dxa"/>
            <w:shd w:val="clear" w:color="auto" w:fill="5B9BD5"/>
            <w:tcMar>
              <w:top w:w="72" w:type="dxa"/>
              <w:left w:w="144" w:type="dxa"/>
              <w:bottom w:w="72" w:type="dxa"/>
              <w:right w:w="144" w:type="dxa"/>
            </w:tcMar>
            <w:vAlign w:val="center"/>
            <w:hideMark/>
          </w:tcPr>
          <w:p w14:paraId="11EC340D" w14:textId="77777777" w:rsidR="005B409C" w:rsidRPr="00270A71" w:rsidRDefault="005B409C" w:rsidP="00CC076E">
            <w:pPr>
              <w:pStyle w:val="Heading1"/>
              <w:jc w:val="center"/>
              <w:rPr>
                <w:sz w:val="20"/>
              </w:rPr>
            </w:pPr>
            <w:r w:rsidRPr="00270A71">
              <w:rPr>
                <w:sz w:val="20"/>
              </w:rPr>
              <w:t>Industry</w:t>
            </w:r>
          </w:p>
        </w:tc>
        <w:tc>
          <w:tcPr>
            <w:tcW w:w="2790" w:type="dxa"/>
            <w:shd w:val="clear" w:color="auto" w:fill="5B9BD5"/>
            <w:tcMar>
              <w:top w:w="72" w:type="dxa"/>
              <w:left w:w="144" w:type="dxa"/>
              <w:bottom w:w="72" w:type="dxa"/>
              <w:right w:w="144" w:type="dxa"/>
            </w:tcMar>
            <w:vAlign w:val="center"/>
            <w:hideMark/>
          </w:tcPr>
          <w:p w14:paraId="2D958554" w14:textId="77777777" w:rsidR="005B409C" w:rsidRPr="00270A71" w:rsidRDefault="005B409C" w:rsidP="00CC076E">
            <w:pPr>
              <w:pStyle w:val="Heading1"/>
              <w:jc w:val="center"/>
              <w:rPr>
                <w:sz w:val="20"/>
              </w:rPr>
            </w:pPr>
            <w:r>
              <w:rPr>
                <w:sz w:val="20"/>
              </w:rPr>
              <w:t>Capacity Change</w:t>
            </w:r>
          </w:p>
        </w:tc>
      </w:tr>
      <w:tr w:rsidR="005B409C" w:rsidRPr="008B37BD" w14:paraId="568BEF60" w14:textId="77777777" w:rsidTr="00CC076E">
        <w:trPr>
          <w:trHeight w:val="288"/>
        </w:trPr>
        <w:tc>
          <w:tcPr>
            <w:tcW w:w="1767" w:type="dxa"/>
            <w:shd w:val="clear" w:color="auto" w:fill="DEEBF7"/>
            <w:tcMar>
              <w:top w:w="72" w:type="dxa"/>
              <w:left w:w="144" w:type="dxa"/>
              <w:bottom w:w="72" w:type="dxa"/>
              <w:right w:w="144" w:type="dxa"/>
            </w:tcMar>
            <w:vAlign w:val="center"/>
          </w:tcPr>
          <w:p w14:paraId="3D1CC788" w14:textId="1C9AF2F8" w:rsidR="005B409C" w:rsidRPr="008B37BD" w:rsidRDefault="00E256EF" w:rsidP="00CC076E">
            <w:pPr>
              <w:rPr>
                <w:b/>
                <w:bCs/>
                <w:i/>
                <w:iCs/>
              </w:rPr>
            </w:pPr>
            <w:r>
              <w:rPr>
                <w:b/>
                <w:bCs/>
                <w:i/>
                <w:iCs/>
              </w:rPr>
              <w:t>Certified Nursing Assistant</w:t>
            </w:r>
          </w:p>
        </w:tc>
        <w:tc>
          <w:tcPr>
            <w:tcW w:w="2283" w:type="dxa"/>
            <w:shd w:val="clear" w:color="auto" w:fill="auto"/>
            <w:tcMar>
              <w:top w:w="72" w:type="dxa"/>
              <w:left w:w="144" w:type="dxa"/>
              <w:bottom w:w="72" w:type="dxa"/>
              <w:right w:w="144" w:type="dxa"/>
            </w:tcMar>
            <w:vAlign w:val="center"/>
          </w:tcPr>
          <w:p w14:paraId="141F7CF5" w14:textId="6622EE1D" w:rsidR="005B409C" w:rsidRPr="008B37BD" w:rsidRDefault="00E256EF" w:rsidP="00CC076E">
            <w:pPr>
              <w:rPr>
                <w:i/>
                <w:iCs/>
              </w:rPr>
            </w:pPr>
            <w:r>
              <w:rPr>
                <w:i/>
                <w:iCs/>
              </w:rPr>
              <w:t>Healthcare Academy</w:t>
            </w:r>
          </w:p>
        </w:tc>
        <w:tc>
          <w:tcPr>
            <w:tcW w:w="1890" w:type="dxa"/>
            <w:shd w:val="clear" w:color="auto" w:fill="auto"/>
            <w:tcMar>
              <w:top w:w="72" w:type="dxa"/>
              <w:left w:w="144" w:type="dxa"/>
              <w:bottom w:w="72" w:type="dxa"/>
              <w:right w:w="144" w:type="dxa"/>
            </w:tcMar>
            <w:vAlign w:val="center"/>
          </w:tcPr>
          <w:p w14:paraId="17098099" w14:textId="0F026D59" w:rsidR="005B409C" w:rsidRPr="008B37BD" w:rsidRDefault="00E256EF" w:rsidP="00CC076E">
            <w:pPr>
              <w:rPr>
                <w:i/>
                <w:iCs/>
              </w:rPr>
            </w:pPr>
            <w:r>
              <w:rPr>
                <w:b/>
                <w:bCs/>
                <w:i/>
                <w:iCs/>
              </w:rPr>
              <w:t>Certified Nursing Assistant</w:t>
            </w:r>
          </w:p>
        </w:tc>
        <w:tc>
          <w:tcPr>
            <w:tcW w:w="2070" w:type="dxa"/>
            <w:shd w:val="clear" w:color="auto" w:fill="auto"/>
            <w:tcMar>
              <w:top w:w="72" w:type="dxa"/>
              <w:left w:w="144" w:type="dxa"/>
              <w:bottom w:w="72" w:type="dxa"/>
              <w:right w:w="144" w:type="dxa"/>
            </w:tcMar>
            <w:vAlign w:val="center"/>
          </w:tcPr>
          <w:p w14:paraId="62972CE5" w14:textId="509390D7" w:rsidR="005B409C" w:rsidRPr="008B37BD" w:rsidRDefault="00E256EF" w:rsidP="00CC076E">
            <w:pPr>
              <w:rPr>
                <w:i/>
                <w:iCs/>
              </w:rPr>
            </w:pPr>
            <w:r>
              <w:rPr>
                <w:i/>
                <w:iCs/>
              </w:rPr>
              <w:t>Healthcare</w:t>
            </w:r>
          </w:p>
        </w:tc>
        <w:tc>
          <w:tcPr>
            <w:tcW w:w="2790" w:type="dxa"/>
            <w:shd w:val="clear" w:color="auto" w:fill="auto"/>
            <w:tcMar>
              <w:top w:w="72" w:type="dxa"/>
              <w:left w:w="144" w:type="dxa"/>
              <w:bottom w:w="72" w:type="dxa"/>
              <w:right w:w="144" w:type="dxa"/>
            </w:tcMar>
            <w:vAlign w:val="center"/>
          </w:tcPr>
          <w:p w14:paraId="5CA239B0" w14:textId="54054743" w:rsidR="005B409C" w:rsidRPr="008B37BD" w:rsidRDefault="00E256EF" w:rsidP="00CC076E">
            <w:pPr>
              <w:rPr>
                <w:i/>
                <w:iCs/>
              </w:rPr>
            </w:pPr>
            <w:r>
              <w:rPr>
                <w:i/>
                <w:iCs/>
              </w:rPr>
              <w:t>28</w:t>
            </w:r>
          </w:p>
        </w:tc>
      </w:tr>
      <w:tr w:rsidR="005B409C" w:rsidRPr="008B37BD" w14:paraId="4B880AEA" w14:textId="77777777" w:rsidTr="00CC076E">
        <w:trPr>
          <w:trHeight w:val="288"/>
        </w:trPr>
        <w:tc>
          <w:tcPr>
            <w:tcW w:w="1767" w:type="dxa"/>
            <w:shd w:val="clear" w:color="auto" w:fill="DEEBF7"/>
            <w:tcMar>
              <w:top w:w="72" w:type="dxa"/>
              <w:left w:w="144" w:type="dxa"/>
              <w:bottom w:w="72" w:type="dxa"/>
              <w:right w:w="144" w:type="dxa"/>
            </w:tcMar>
            <w:vAlign w:val="center"/>
          </w:tcPr>
          <w:p w14:paraId="516B18EE" w14:textId="27164C0F" w:rsidR="005B409C" w:rsidRPr="008B37BD" w:rsidRDefault="00E256EF" w:rsidP="00CC076E">
            <w:pPr>
              <w:rPr>
                <w:b/>
                <w:bCs/>
                <w:i/>
                <w:iCs/>
              </w:rPr>
            </w:pPr>
            <w:r>
              <w:rPr>
                <w:b/>
                <w:bCs/>
                <w:i/>
                <w:iCs/>
              </w:rPr>
              <w:t>Universal Banker</w:t>
            </w:r>
          </w:p>
        </w:tc>
        <w:tc>
          <w:tcPr>
            <w:tcW w:w="2283" w:type="dxa"/>
            <w:shd w:val="clear" w:color="auto" w:fill="auto"/>
            <w:tcMar>
              <w:top w:w="72" w:type="dxa"/>
              <w:left w:w="144" w:type="dxa"/>
              <w:bottom w:w="72" w:type="dxa"/>
              <w:right w:w="144" w:type="dxa"/>
            </w:tcMar>
            <w:vAlign w:val="center"/>
          </w:tcPr>
          <w:p w14:paraId="14A84140" w14:textId="5DAFE3F9" w:rsidR="005B409C" w:rsidRPr="008B37BD" w:rsidRDefault="00E256EF" w:rsidP="00CC076E">
            <w:pPr>
              <w:rPr>
                <w:i/>
                <w:iCs/>
              </w:rPr>
            </w:pPr>
            <w:r>
              <w:rPr>
                <w:i/>
                <w:iCs/>
              </w:rPr>
              <w:t>American Bankers Association</w:t>
            </w:r>
          </w:p>
        </w:tc>
        <w:tc>
          <w:tcPr>
            <w:tcW w:w="1890" w:type="dxa"/>
            <w:shd w:val="clear" w:color="auto" w:fill="auto"/>
            <w:tcMar>
              <w:top w:w="72" w:type="dxa"/>
              <w:left w:w="144" w:type="dxa"/>
              <w:bottom w:w="72" w:type="dxa"/>
              <w:right w:w="144" w:type="dxa"/>
            </w:tcMar>
            <w:vAlign w:val="center"/>
          </w:tcPr>
          <w:p w14:paraId="15DBDF1D" w14:textId="2C3F187A" w:rsidR="005B409C" w:rsidRPr="008B37BD" w:rsidRDefault="00E256EF" w:rsidP="00CC076E">
            <w:pPr>
              <w:rPr>
                <w:i/>
                <w:iCs/>
              </w:rPr>
            </w:pPr>
            <w:r>
              <w:rPr>
                <w:i/>
                <w:iCs/>
              </w:rPr>
              <w:t>Universal Banker</w:t>
            </w:r>
          </w:p>
        </w:tc>
        <w:tc>
          <w:tcPr>
            <w:tcW w:w="2070" w:type="dxa"/>
            <w:shd w:val="clear" w:color="auto" w:fill="auto"/>
            <w:tcMar>
              <w:top w:w="72" w:type="dxa"/>
              <w:left w:w="144" w:type="dxa"/>
              <w:bottom w:w="72" w:type="dxa"/>
              <w:right w:w="144" w:type="dxa"/>
            </w:tcMar>
            <w:vAlign w:val="center"/>
          </w:tcPr>
          <w:p w14:paraId="2F0B0B1E" w14:textId="22B05AEC" w:rsidR="005B409C" w:rsidRPr="008B37BD" w:rsidRDefault="00E256EF" w:rsidP="00CC076E">
            <w:pPr>
              <w:rPr>
                <w:i/>
                <w:iCs/>
              </w:rPr>
            </w:pPr>
            <w:r>
              <w:rPr>
                <w:i/>
                <w:iCs/>
              </w:rPr>
              <w:t>Finance &amp; Insurance</w:t>
            </w:r>
          </w:p>
        </w:tc>
        <w:tc>
          <w:tcPr>
            <w:tcW w:w="2790" w:type="dxa"/>
            <w:shd w:val="clear" w:color="auto" w:fill="auto"/>
            <w:tcMar>
              <w:top w:w="72" w:type="dxa"/>
              <w:left w:w="144" w:type="dxa"/>
              <w:bottom w:w="72" w:type="dxa"/>
              <w:right w:w="144" w:type="dxa"/>
            </w:tcMar>
            <w:vAlign w:val="center"/>
          </w:tcPr>
          <w:p w14:paraId="55B63E7C" w14:textId="33D9F634" w:rsidR="005B409C" w:rsidRPr="008B37BD" w:rsidRDefault="00E256EF" w:rsidP="00CC076E">
            <w:pPr>
              <w:rPr>
                <w:i/>
                <w:iCs/>
              </w:rPr>
            </w:pPr>
            <w:r>
              <w:rPr>
                <w:i/>
                <w:iCs/>
              </w:rPr>
              <w:t>30</w:t>
            </w:r>
          </w:p>
        </w:tc>
      </w:tr>
    </w:tbl>
    <w:p w14:paraId="6BD48779" w14:textId="77777777" w:rsidR="00207B31" w:rsidRDefault="00207B31" w:rsidP="005B409C"/>
    <w:p w14:paraId="45B20B4C" w14:textId="77777777" w:rsidR="003908D0" w:rsidRDefault="003908D0" w:rsidP="003908D0">
      <w:pPr>
        <w:pStyle w:val="Heading5"/>
      </w:pPr>
      <w:r>
        <w:lastRenderedPageBreak/>
        <w:t xml:space="preserve">Appendix </w:t>
      </w:r>
      <w:r w:rsidR="006D3D60">
        <w:t>F</w:t>
      </w:r>
      <w:r>
        <w:t xml:space="preserve">. </w:t>
      </w:r>
      <w:r w:rsidR="00904A54">
        <w:t>2020</w:t>
      </w:r>
      <w:r>
        <w:t xml:space="preserve"> Progress Report</w:t>
      </w:r>
    </w:p>
    <w:p w14:paraId="5A683840" w14:textId="77777777" w:rsidR="003908D0" w:rsidRPr="003908D0" w:rsidRDefault="003908D0" w:rsidP="003908D0">
      <w:pPr>
        <w:rPr>
          <w:i/>
        </w:rPr>
      </w:pPr>
    </w:p>
    <w:tbl>
      <w:tblPr>
        <w:tblW w:w="10535"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45"/>
        <w:gridCol w:w="3600"/>
        <w:gridCol w:w="4590"/>
      </w:tblGrid>
      <w:tr w:rsidR="000E5070" w:rsidRPr="008B37BD" w14:paraId="7C73B0DD" w14:textId="77777777" w:rsidTr="000E5070">
        <w:trPr>
          <w:trHeight w:val="399"/>
        </w:trPr>
        <w:tc>
          <w:tcPr>
            <w:tcW w:w="2345" w:type="dxa"/>
            <w:shd w:val="clear" w:color="auto" w:fill="5B9BD5"/>
            <w:tcMar>
              <w:top w:w="72" w:type="dxa"/>
              <w:left w:w="144" w:type="dxa"/>
              <w:bottom w:w="72" w:type="dxa"/>
              <w:right w:w="144" w:type="dxa"/>
            </w:tcMar>
            <w:vAlign w:val="center"/>
            <w:hideMark/>
          </w:tcPr>
          <w:p w14:paraId="6B42E0B0" w14:textId="77777777" w:rsidR="000E5070" w:rsidRPr="00270A71" w:rsidRDefault="000E5070" w:rsidP="00093DF5">
            <w:pPr>
              <w:pStyle w:val="Heading1"/>
              <w:jc w:val="center"/>
              <w:rPr>
                <w:sz w:val="20"/>
              </w:rPr>
            </w:pPr>
            <w:r>
              <w:rPr>
                <w:sz w:val="20"/>
              </w:rPr>
              <w:t>Goal</w:t>
            </w:r>
          </w:p>
        </w:tc>
        <w:tc>
          <w:tcPr>
            <w:tcW w:w="3600" w:type="dxa"/>
            <w:shd w:val="clear" w:color="auto" w:fill="5B9BD5"/>
            <w:tcMar>
              <w:top w:w="72" w:type="dxa"/>
              <w:left w:w="144" w:type="dxa"/>
              <w:bottom w:w="72" w:type="dxa"/>
              <w:right w:w="144" w:type="dxa"/>
            </w:tcMar>
            <w:vAlign w:val="center"/>
            <w:hideMark/>
          </w:tcPr>
          <w:p w14:paraId="7FB2C049" w14:textId="77777777" w:rsidR="000E5070" w:rsidRPr="00270A71" w:rsidRDefault="000E5070" w:rsidP="00093DF5">
            <w:pPr>
              <w:pStyle w:val="Heading1"/>
              <w:jc w:val="center"/>
              <w:rPr>
                <w:sz w:val="20"/>
              </w:rPr>
            </w:pPr>
            <w:r>
              <w:rPr>
                <w:sz w:val="20"/>
              </w:rPr>
              <w:t>Strategy</w:t>
            </w:r>
          </w:p>
        </w:tc>
        <w:tc>
          <w:tcPr>
            <w:tcW w:w="4590" w:type="dxa"/>
            <w:shd w:val="clear" w:color="auto" w:fill="5B9BD5"/>
            <w:tcMar>
              <w:top w:w="72" w:type="dxa"/>
              <w:left w:w="144" w:type="dxa"/>
              <w:bottom w:w="72" w:type="dxa"/>
              <w:right w:w="144" w:type="dxa"/>
            </w:tcMar>
            <w:vAlign w:val="center"/>
            <w:hideMark/>
          </w:tcPr>
          <w:p w14:paraId="0787B692" w14:textId="77777777" w:rsidR="000E5070" w:rsidRPr="00270A71" w:rsidRDefault="000E5070" w:rsidP="00093DF5">
            <w:pPr>
              <w:pStyle w:val="Heading1"/>
              <w:jc w:val="center"/>
              <w:rPr>
                <w:sz w:val="20"/>
              </w:rPr>
            </w:pPr>
            <w:r>
              <w:rPr>
                <w:sz w:val="20"/>
              </w:rPr>
              <w:t>Progress</w:t>
            </w:r>
          </w:p>
        </w:tc>
      </w:tr>
      <w:tr w:rsidR="000E5070" w:rsidRPr="008B37BD" w14:paraId="0190D5C5" w14:textId="77777777" w:rsidTr="000E5070">
        <w:trPr>
          <w:trHeight w:val="288"/>
        </w:trPr>
        <w:tc>
          <w:tcPr>
            <w:tcW w:w="2345" w:type="dxa"/>
            <w:shd w:val="clear" w:color="auto" w:fill="DEEBF7"/>
            <w:tcMar>
              <w:top w:w="72" w:type="dxa"/>
              <w:left w:w="144" w:type="dxa"/>
              <w:bottom w:w="72" w:type="dxa"/>
              <w:right w:w="144" w:type="dxa"/>
            </w:tcMar>
            <w:vAlign w:val="center"/>
          </w:tcPr>
          <w:p w14:paraId="3CCC894C" w14:textId="6D98407B" w:rsidR="000E5070" w:rsidRPr="00EF401B" w:rsidRDefault="00EF401B" w:rsidP="00093DF5">
            <w:pPr>
              <w:rPr>
                <w:rFonts w:ascii="Garamond" w:hAnsi="Garamond"/>
                <w:b/>
                <w:bCs/>
                <w:i/>
                <w:iCs/>
                <w:sz w:val="24"/>
                <w:szCs w:val="24"/>
              </w:rPr>
            </w:pPr>
            <w:r w:rsidRPr="00EF401B">
              <w:rPr>
                <w:rFonts w:ascii="Garamond" w:eastAsia="Times New Roman" w:hAnsi="Garamond"/>
                <w:sz w:val="24"/>
                <w:szCs w:val="24"/>
              </w:rPr>
              <w:t>Organize regional business outreach teams</w:t>
            </w:r>
          </w:p>
        </w:tc>
        <w:tc>
          <w:tcPr>
            <w:tcW w:w="3600" w:type="dxa"/>
            <w:shd w:val="clear" w:color="auto" w:fill="auto"/>
            <w:tcMar>
              <w:top w:w="72" w:type="dxa"/>
              <w:left w:w="144" w:type="dxa"/>
              <w:bottom w:w="72" w:type="dxa"/>
              <w:right w:w="144" w:type="dxa"/>
            </w:tcMar>
            <w:vAlign w:val="center"/>
          </w:tcPr>
          <w:p w14:paraId="302E814A" w14:textId="77777777" w:rsidR="000E5070" w:rsidRPr="00EF401B" w:rsidRDefault="00EF401B" w:rsidP="00EF401B">
            <w:pPr>
              <w:pStyle w:val="ListParagraph"/>
              <w:numPr>
                <w:ilvl w:val="0"/>
                <w:numId w:val="28"/>
              </w:numPr>
              <w:rPr>
                <w:rFonts w:ascii="Garamond" w:hAnsi="Garamond"/>
                <w:sz w:val="24"/>
                <w:szCs w:val="24"/>
              </w:rPr>
            </w:pPr>
            <w:r w:rsidRPr="00EF401B">
              <w:rPr>
                <w:rFonts w:ascii="Garamond" w:hAnsi="Garamond"/>
                <w:sz w:val="24"/>
                <w:szCs w:val="24"/>
              </w:rPr>
              <w:t>Set regular meeting times</w:t>
            </w:r>
          </w:p>
          <w:p w14:paraId="636AC1D0" w14:textId="77777777" w:rsidR="00EF401B" w:rsidRPr="00EF401B" w:rsidRDefault="00EF401B" w:rsidP="00EF401B">
            <w:pPr>
              <w:pStyle w:val="ListParagraph"/>
              <w:numPr>
                <w:ilvl w:val="0"/>
                <w:numId w:val="28"/>
              </w:numPr>
              <w:rPr>
                <w:rFonts w:ascii="Garamond" w:hAnsi="Garamond"/>
                <w:sz w:val="24"/>
                <w:szCs w:val="24"/>
              </w:rPr>
            </w:pPr>
            <w:r w:rsidRPr="00EF401B">
              <w:rPr>
                <w:rFonts w:ascii="Garamond" w:hAnsi="Garamond"/>
                <w:sz w:val="24"/>
                <w:szCs w:val="24"/>
              </w:rPr>
              <w:t>Distribute labor market info</w:t>
            </w:r>
          </w:p>
          <w:p w14:paraId="0DBBECCC" w14:textId="39557C5E" w:rsidR="00EF401B" w:rsidRPr="00EF401B" w:rsidRDefault="00EF401B" w:rsidP="00EF401B">
            <w:pPr>
              <w:pStyle w:val="ListParagraph"/>
              <w:numPr>
                <w:ilvl w:val="0"/>
                <w:numId w:val="28"/>
              </w:numPr>
              <w:rPr>
                <w:rFonts w:ascii="Garamond" w:hAnsi="Garamond"/>
                <w:sz w:val="24"/>
                <w:szCs w:val="24"/>
              </w:rPr>
            </w:pPr>
            <w:r w:rsidRPr="00EF401B">
              <w:rPr>
                <w:rFonts w:ascii="Garamond" w:hAnsi="Garamond"/>
                <w:sz w:val="24"/>
                <w:szCs w:val="24"/>
              </w:rPr>
              <w:t>Develop marketing materials</w:t>
            </w:r>
          </w:p>
        </w:tc>
        <w:tc>
          <w:tcPr>
            <w:tcW w:w="4590" w:type="dxa"/>
            <w:shd w:val="clear" w:color="auto" w:fill="auto"/>
            <w:tcMar>
              <w:top w:w="72" w:type="dxa"/>
              <w:left w:w="144" w:type="dxa"/>
              <w:bottom w:w="72" w:type="dxa"/>
              <w:right w:w="144" w:type="dxa"/>
            </w:tcMar>
            <w:vAlign w:val="center"/>
          </w:tcPr>
          <w:p w14:paraId="7D780CD2" w14:textId="7503D9E5" w:rsidR="000E5070" w:rsidRPr="00EF401B" w:rsidRDefault="00EF401B" w:rsidP="00093DF5">
            <w:pPr>
              <w:rPr>
                <w:rFonts w:ascii="Garamond" w:hAnsi="Garamond"/>
                <w:sz w:val="24"/>
                <w:szCs w:val="24"/>
              </w:rPr>
            </w:pPr>
            <w:r w:rsidRPr="00EF401B">
              <w:rPr>
                <w:rFonts w:ascii="Garamond" w:hAnsi="Garamond"/>
                <w:sz w:val="24"/>
                <w:szCs w:val="24"/>
              </w:rPr>
              <w:t>Completed/Continuous</w:t>
            </w:r>
          </w:p>
        </w:tc>
      </w:tr>
      <w:tr w:rsidR="000E5070" w:rsidRPr="008B37BD" w14:paraId="3E380506" w14:textId="77777777" w:rsidTr="000E5070">
        <w:trPr>
          <w:trHeight w:val="288"/>
        </w:trPr>
        <w:tc>
          <w:tcPr>
            <w:tcW w:w="2345" w:type="dxa"/>
            <w:shd w:val="clear" w:color="auto" w:fill="DEEBF7"/>
            <w:tcMar>
              <w:top w:w="72" w:type="dxa"/>
              <w:left w:w="144" w:type="dxa"/>
              <w:bottom w:w="72" w:type="dxa"/>
              <w:right w:w="144" w:type="dxa"/>
            </w:tcMar>
            <w:vAlign w:val="center"/>
          </w:tcPr>
          <w:p w14:paraId="2C659540" w14:textId="60FE595D" w:rsidR="000E5070" w:rsidRPr="00EF401B" w:rsidRDefault="00EF401B" w:rsidP="00093DF5">
            <w:pPr>
              <w:rPr>
                <w:rFonts w:ascii="Garamond" w:hAnsi="Garamond"/>
                <w:b/>
                <w:bCs/>
                <w:i/>
                <w:iCs/>
                <w:sz w:val="24"/>
                <w:szCs w:val="24"/>
              </w:rPr>
            </w:pPr>
            <w:r w:rsidRPr="00EF401B">
              <w:rPr>
                <w:rFonts w:ascii="Garamond" w:hAnsi="Garamond"/>
                <w:spacing w:val="-1"/>
                <w:sz w:val="24"/>
                <w:szCs w:val="24"/>
              </w:rPr>
              <w:t>Establish a</w:t>
            </w:r>
            <w:r w:rsidRPr="00EF401B">
              <w:rPr>
                <w:rFonts w:ascii="Garamond" w:hAnsi="Garamond"/>
                <w:sz w:val="24"/>
                <w:szCs w:val="24"/>
              </w:rPr>
              <w:t>n</w:t>
            </w:r>
            <w:r w:rsidRPr="00EF401B">
              <w:rPr>
                <w:rFonts w:ascii="Garamond" w:hAnsi="Garamond"/>
                <w:spacing w:val="-2"/>
                <w:sz w:val="24"/>
                <w:szCs w:val="24"/>
              </w:rPr>
              <w:t xml:space="preserve"> </w:t>
            </w:r>
            <w:r w:rsidRPr="00EF401B">
              <w:rPr>
                <w:rFonts w:ascii="Garamond" w:hAnsi="Garamond"/>
                <w:spacing w:val="-1"/>
                <w:sz w:val="24"/>
                <w:szCs w:val="24"/>
              </w:rPr>
              <w:t>internally</w:t>
            </w:r>
            <w:r w:rsidRPr="00EF401B">
              <w:rPr>
                <w:rFonts w:ascii="Garamond" w:hAnsi="Garamond"/>
                <w:spacing w:val="-2"/>
                <w:sz w:val="24"/>
                <w:szCs w:val="24"/>
              </w:rPr>
              <w:t xml:space="preserve"> </w:t>
            </w:r>
            <w:r w:rsidRPr="00EF401B">
              <w:rPr>
                <w:rFonts w:ascii="Garamond" w:hAnsi="Garamond"/>
                <w:spacing w:val="-1"/>
                <w:sz w:val="24"/>
                <w:szCs w:val="24"/>
              </w:rPr>
              <w:t>sustained</w:t>
            </w:r>
            <w:r w:rsidRPr="00EF401B">
              <w:rPr>
                <w:rFonts w:ascii="Garamond" w:hAnsi="Garamond"/>
                <w:spacing w:val="31"/>
                <w:sz w:val="24"/>
                <w:szCs w:val="24"/>
              </w:rPr>
              <w:t xml:space="preserve"> </w:t>
            </w:r>
            <w:r w:rsidRPr="00EF401B">
              <w:rPr>
                <w:rFonts w:ascii="Garamond" w:hAnsi="Garamond"/>
                <w:sz w:val="24"/>
                <w:szCs w:val="24"/>
              </w:rPr>
              <w:t>process</w:t>
            </w:r>
            <w:r w:rsidRPr="00EF401B">
              <w:rPr>
                <w:rFonts w:ascii="Garamond" w:hAnsi="Garamond"/>
                <w:spacing w:val="-4"/>
                <w:sz w:val="24"/>
                <w:szCs w:val="24"/>
              </w:rPr>
              <w:t xml:space="preserve"> </w:t>
            </w:r>
            <w:r w:rsidRPr="00EF401B">
              <w:rPr>
                <w:rFonts w:ascii="Garamond" w:hAnsi="Garamond"/>
                <w:sz w:val="24"/>
                <w:szCs w:val="24"/>
              </w:rPr>
              <w:t>for</w:t>
            </w:r>
            <w:r w:rsidRPr="00EF401B">
              <w:rPr>
                <w:rFonts w:ascii="Garamond" w:hAnsi="Garamond"/>
                <w:spacing w:val="1"/>
                <w:sz w:val="24"/>
                <w:szCs w:val="24"/>
              </w:rPr>
              <w:t xml:space="preserve"> </w:t>
            </w:r>
            <w:r w:rsidRPr="00EF401B">
              <w:rPr>
                <w:rFonts w:ascii="Garamond" w:hAnsi="Garamond"/>
                <w:spacing w:val="-1"/>
                <w:sz w:val="24"/>
                <w:szCs w:val="24"/>
              </w:rPr>
              <w:t>collecting</w:t>
            </w:r>
            <w:r w:rsidRPr="00EF401B">
              <w:rPr>
                <w:rFonts w:ascii="Garamond" w:hAnsi="Garamond"/>
                <w:spacing w:val="2"/>
                <w:sz w:val="24"/>
                <w:szCs w:val="24"/>
              </w:rPr>
              <w:t xml:space="preserve"> </w:t>
            </w:r>
            <w:r w:rsidRPr="00EF401B">
              <w:rPr>
                <w:rFonts w:ascii="Garamond" w:hAnsi="Garamond"/>
                <w:sz w:val="24"/>
                <w:szCs w:val="24"/>
              </w:rPr>
              <w:t>&amp;</w:t>
            </w:r>
            <w:r w:rsidRPr="00EF401B">
              <w:rPr>
                <w:rFonts w:ascii="Garamond" w:hAnsi="Garamond"/>
                <w:spacing w:val="23"/>
                <w:sz w:val="24"/>
                <w:szCs w:val="24"/>
              </w:rPr>
              <w:t xml:space="preserve"> </w:t>
            </w:r>
            <w:r w:rsidRPr="00EF401B">
              <w:rPr>
                <w:rFonts w:ascii="Garamond" w:hAnsi="Garamond"/>
                <w:spacing w:val="-1"/>
                <w:sz w:val="24"/>
                <w:szCs w:val="24"/>
              </w:rPr>
              <w:t>distributing</w:t>
            </w:r>
            <w:r w:rsidRPr="00EF401B">
              <w:rPr>
                <w:rFonts w:ascii="Garamond" w:hAnsi="Garamond"/>
                <w:spacing w:val="2"/>
                <w:sz w:val="24"/>
                <w:szCs w:val="24"/>
              </w:rPr>
              <w:t xml:space="preserve"> </w:t>
            </w:r>
            <w:r w:rsidRPr="00EF401B">
              <w:rPr>
                <w:rFonts w:ascii="Garamond" w:hAnsi="Garamond"/>
                <w:spacing w:val="-1"/>
                <w:sz w:val="24"/>
                <w:szCs w:val="24"/>
              </w:rPr>
              <w:t>common</w:t>
            </w:r>
            <w:r w:rsidRPr="00EF401B">
              <w:rPr>
                <w:rFonts w:ascii="Garamond" w:hAnsi="Garamond"/>
                <w:sz w:val="24"/>
                <w:szCs w:val="24"/>
              </w:rPr>
              <w:t xml:space="preserve"> </w:t>
            </w:r>
            <w:r w:rsidRPr="00EF401B">
              <w:rPr>
                <w:rFonts w:ascii="Garamond" w:hAnsi="Garamond"/>
                <w:spacing w:val="-1"/>
                <w:sz w:val="24"/>
                <w:szCs w:val="24"/>
              </w:rPr>
              <w:t>information</w:t>
            </w:r>
          </w:p>
        </w:tc>
        <w:tc>
          <w:tcPr>
            <w:tcW w:w="3600" w:type="dxa"/>
            <w:shd w:val="clear" w:color="auto" w:fill="auto"/>
            <w:tcMar>
              <w:top w:w="72" w:type="dxa"/>
              <w:left w:w="144" w:type="dxa"/>
              <w:bottom w:w="72" w:type="dxa"/>
              <w:right w:w="144" w:type="dxa"/>
            </w:tcMar>
            <w:vAlign w:val="center"/>
          </w:tcPr>
          <w:p w14:paraId="48AEE94B" w14:textId="3BA23E26" w:rsidR="00EF401B" w:rsidRPr="00EF401B" w:rsidRDefault="00EF401B" w:rsidP="00EF401B">
            <w:pPr>
              <w:pStyle w:val="ListParagraph"/>
              <w:numPr>
                <w:ilvl w:val="0"/>
                <w:numId w:val="28"/>
              </w:numPr>
              <w:rPr>
                <w:rFonts w:ascii="Garamond" w:hAnsi="Garamond"/>
                <w:sz w:val="24"/>
                <w:szCs w:val="24"/>
              </w:rPr>
            </w:pPr>
            <w:r w:rsidRPr="00EF401B">
              <w:rPr>
                <w:rFonts w:ascii="Garamond" w:hAnsi="Garamond"/>
                <w:sz w:val="24"/>
                <w:szCs w:val="24"/>
              </w:rPr>
              <w:t>Share communications via Region tab on websites that is updated routinely</w:t>
            </w:r>
          </w:p>
          <w:p w14:paraId="501B71F2" w14:textId="77777777" w:rsidR="000E5070" w:rsidRPr="00EF401B" w:rsidRDefault="000E5070" w:rsidP="00093DF5">
            <w:pPr>
              <w:rPr>
                <w:rFonts w:ascii="Garamond" w:hAnsi="Garamond"/>
                <w:sz w:val="24"/>
                <w:szCs w:val="24"/>
              </w:rPr>
            </w:pPr>
          </w:p>
        </w:tc>
        <w:tc>
          <w:tcPr>
            <w:tcW w:w="4590" w:type="dxa"/>
            <w:shd w:val="clear" w:color="auto" w:fill="auto"/>
            <w:tcMar>
              <w:top w:w="72" w:type="dxa"/>
              <w:left w:w="144" w:type="dxa"/>
              <w:bottom w:w="72" w:type="dxa"/>
              <w:right w:w="144" w:type="dxa"/>
            </w:tcMar>
            <w:vAlign w:val="center"/>
          </w:tcPr>
          <w:p w14:paraId="47EF3102" w14:textId="5CDACD3A" w:rsidR="000E5070" w:rsidRPr="00EF401B" w:rsidRDefault="00EF401B" w:rsidP="00093DF5">
            <w:pPr>
              <w:rPr>
                <w:rFonts w:ascii="Garamond" w:hAnsi="Garamond"/>
                <w:sz w:val="24"/>
                <w:szCs w:val="24"/>
              </w:rPr>
            </w:pPr>
            <w:r w:rsidRPr="00EF401B">
              <w:rPr>
                <w:rFonts w:ascii="Garamond" w:hAnsi="Garamond"/>
                <w:sz w:val="24"/>
                <w:szCs w:val="24"/>
              </w:rPr>
              <w:t>Completed/Continuous</w:t>
            </w:r>
          </w:p>
        </w:tc>
      </w:tr>
      <w:tr w:rsidR="000E5070" w:rsidRPr="008B37BD" w14:paraId="345448E1" w14:textId="77777777" w:rsidTr="000E5070">
        <w:trPr>
          <w:trHeight w:val="288"/>
        </w:trPr>
        <w:tc>
          <w:tcPr>
            <w:tcW w:w="2345" w:type="dxa"/>
            <w:shd w:val="clear" w:color="auto" w:fill="DEEBF7"/>
            <w:tcMar>
              <w:top w:w="72" w:type="dxa"/>
              <w:left w:w="144" w:type="dxa"/>
              <w:bottom w:w="72" w:type="dxa"/>
              <w:right w:w="144" w:type="dxa"/>
            </w:tcMar>
            <w:vAlign w:val="center"/>
          </w:tcPr>
          <w:p w14:paraId="50AAB350" w14:textId="0B84D173" w:rsidR="000E5070" w:rsidRPr="00EF401B" w:rsidRDefault="00EF401B" w:rsidP="00093DF5">
            <w:pPr>
              <w:rPr>
                <w:rFonts w:ascii="Garamond" w:hAnsi="Garamond"/>
                <w:b/>
                <w:bCs/>
                <w:i/>
                <w:iCs/>
                <w:sz w:val="24"/>
                <w:szCs w:val="24"/>
              </w:rPr>
            </w:pPr>
            <w:r w:rsidRPr="00EF401B">
              <w:rPr>
                <w:rFonts w:ascii="Garamond" w:eastAsia="Times New Roman" w:hAnsi="Garamond"/>
                <w:sz w:val="24"/>
                <w:szCs w:val="24"/>
              </w:rPr>
              <w:t>Establish two new regional sector partnerships</w:t>
            </w:r>
          </w:p>
        </w:tc>
        <w:tc>
          <w:tcPr>
            <w:tcW w:w="3600" w:type="dxa"/>
            <w:shd w:val="clear" w:color="auto" w:fill="auto"/>
            <w:tcMar>
              <w:top w:w="72" w:type="dxa"/>
              <w:left w:w="144" w:type="dxa"/>
              <w:bottom w:w="72" w:type="dxa"/>
              <w:right w:w="144" w:type="dxa"/>
            </w:tcMar>
            <w:vAlign w:val="center"/>
          </w:tcPr>
          <w:p w14:paraId="10035231" w14:textId="77777777" w:rsidR="000E5070" w:rsidRPr="00EF401B" w:rsidRDefault="00EF401B" w:rsidP="00EF401B">
            <w:pPr>
              <w:pStyle w:val="ListParagraph"/>
              <w:numPr>
                <w:ilvl w:val="0"/>
                <w:numId w:val="28"/>
              </w:numPr>
              <w:rPr>
                <w:rFonts w:ascii="Garamond" w:hAnsi="Garamond"/>
                <w:sz w:val="24"/>
                <w:szCs w:val="24"/>
              </w:rPr>
            </w:pPr>
            <w:r w:rsidRPr="00EF401B">
              <w:rPr>
                <w:rFonts w:ascii="Garamond" w:hAnsi="Garamond"/>
                <w:sz w:val="24"/>
                <w:szCs w:val="24"/>
              </w:rPr>
              <w:t>Planned IT conference (postponed due to C19)</w:t>
            </w:r>
          </w:p>
          <w:p w14:paraId="3FADEF49" w14:textId="0874D564" w:rsidR="00EF401B" w:rsidRPr="00EF401B" w:rsidRDefault="00EF401B" w:rsidP="00EF401B">
            <w:pPr>
              <w:pStyle w:val="ListParagraph"/>
              <w:numPr>
                <w:ilvl w:val="0"/>
                <w:numId w:val="28"/>
              </w:numPr>
              <w:rPr>
                <w:rFonts w:ascii="Garamond" w:hAnsi="Garamond"/>
                <w:sz w:val="24"/>
                <w:szCs w:val="24"/>
              </w:rPr>
            </w:pPr>
            <w:r w:rsidRPr="00EF401B">
              <w:rPr>
                <w:rFonts w:ascii="Garamond" w:hAnsi="Garamond"/>
                <w:sz w:val="24"/>
                <w:szCs w:val="24"/>
              </w:rPr>
              <w:t>Banking &amp; Insurance Advisory Board meets quarterly</w:t>
            </w:r>
          </w:p>
        </w:tc>
        <w:tc>
          <w:tcPr>
            <w:tcW w:w="4590" w:type="dxa"/>
            <w:shd w:val="clear" w:color="auto" w:fill="auto"/>
            <w:tcMar>
              <w:top w:w="72" w:type="dxa"/>
              <w:left w:w="144" w:type="dxa"/>
              <w:bottom w:w="72" w:type="dxa"/>
              <w:right w:w="144" w:type="dxa"/>
            </w:tcMar>
            <w:vAlign w:val="center"/>
          </w:tcPr>
          <w:p w14:paraId="70C18317" w14:textId="77777777" w:rsidR="000E5070" w:rsidRPr="00EF401B" w:rsidRDefault="00EF401B" w:rsidP="00EF401B">
            <w:pPr>
              <w:pStyle w:val="ListParagraph"/>
              <w:numPr>
                <w:ilvl w:val="0"/>
                <w:numId w:val="28"/>
              </w:numPr>
              <w:rPr>
                <w:rFonts w:ascii="Garamond" w:hAnsi="Garamond"/>
                <w:sz w:val="24"/>
                <w:szCs w:val="24"/>
              </w:rPr>
            </w:pPr>
            <w:r w:rsidRPr="00EF401B">
              <w:rPr>
                <w:rFonts w:ascii="Garamond" w:hAnsi="Garamond"/>
                <w:sz w:val="24"/>
                <w:szCs w:val="24"/>
              </w:rPr>
              <w:t>Revisit IT fall 2020</w:t>
            </w:r>
          </w:p>
          <w:p w14:paraId="0EC19A97" w14:textId="7499ACA4" w:rsidR="00EF401B" w:rsidRPr="00EF401B" w:rsidRDefault="00EF401B" w:rsidP="00EF401B">
            <w:pPr>
              <w:pStyle w:val="ListParagraph"/>
              <w:numPr>
                <w:ilvl w:val="0"/>
                <w:numId w:val="28"/>
              </w:numPr>
              <w:rPr>
                <w:rFonts w:ascii="Garamond" w:hAnsi="Garamond"/>
                <w:sz w:val="24"/>
                <w:szCs w:val="24"/>
              </w:rPr>
            </w:pPr>
            <w:r w:rsidRPr="00EF401B">
              <w:rPr>
                <w:rFonts w:ascii="Garamond" w:hAnsi="Garamond"/>
                <w:sz w:val="24"/>
                <w:szCs w:val="24"/>
              </w:rPr>
              <w:t>Continue B &amp; I Advisory Board</w:t>
            </w:r>
          </w:p>
        </w:tc>
      </w:tr>
      <w:tr w:rsidR="000E5070" w:rsidRPr="008B37BD" w14:paraId="0FEA87CB" w14:textId="77777777" w:rsidTr="000E5070">
        <w:trPr>
          <w:trHeight w:val="288"/>
        </w:trPr>
        <w:tc>
          <w:tcPr>
            <w:tcW w:w="2345" w:type="dxa"/>
            <w:shd w:val="clear" w:color="auto" w:fill="DEEBF7"/>
            <w:tcMar>
              <w:top w:w="72" w:type="dxa"/>
              <w:left w:w="144" w:type="dxa"/>
              <w:bottom w:w="72" w:type="dxa"/>
              <w:right w:w="144" w:type="dxa"/>
            </w:tcMar>
            <w:vAlign w:val="center"/>
          </w:tcPr>
          <w:p w14:paraId="207CB828" w14:textId="492D4EBD" w:rsidR="000E5070" w:rsidRPr="00EF401B" w:rsidRDefault="00EF401B" w:rsidP="00093DF5">
            <w:pPr>
              <w:rPr>
                <w:rFonts w:ascii="Garamond" w:hAnsi="Garamond"/>
                <w:b/>
                <w:bCs/>
                <w:i/>
                <w:iCs/>
                <w:sz w:val="24"/>
                <w:szCs w:val="24"/>
              </w:rPr>
            </w:pPr>
            <w:r w:rsidRPr="00EF401B">
              <w:rPr>
                <w:rFonts w:ascii="Garamond" w:eastAsia="Times New Roman" w:hAnsi="Garamond"/>
                <w:sz w:val="24"/>
                <w:szCs w:val="24"/>
              </w:rPr>
              <w:t>Produce and overview of training and educational programs</w:t>
            </w:r>
          </w:p>
        </w:tc>
        <w:tc>
          <w:tcPr>
            <w:tcW w:w="3600" w:type="dxa"/>
            <w:shd w:val="clear" w:color="auto" w:fill="auto"/>
            <w:tcMar>
              <w:top w:w="72" w:type="dxa"/>
              <w:left w:w="144" w:type="dxa"/>
              <w:bottom w:w="72" w:type="dxa"/>
              <w:right w:w="144" w:type="dxa"/>
            </w:tcMar>
            <w:vAlign w:val="center"/>
          </w:tcPr>
          <w:p w14:paraId="6BB196E4" w14:textId="51E6E617" w:rsidR="00EF401B" w:rsidRPr="00EF401B" w:rsidRDefault="00EF401B" w:rsidP="00EF401B">
            <w:pPr>
              <w:pStyle w:val="ListParagraph"/>
              <w:numPr>
                <w:ilvl w:val="0"/>
                <w:numId w:val="29"/>
              </w:numPr>
              <w:rPr>
                <w:rFonts w:ascii="Garamond" w:hAnsi="Garamond"/>
                <w:sz w:val="24"/>
                <w:szCs w:val="24"/>
              </w:rPr>
            </w:pPr>
            <w:r w:rsidRPr="00EF401B">
              <w:rPr>
                <w:rFonts w:ascii="Garamond" w:hAnsi="Garamond"/>
                <w:sz w:val="24"/>
                <w:szCs w:val="24"/>
              </w:rPr>
              <w:t>Develop synopsis of education &amp; training by Post-secondary schools in the region in priority &amp; critical industries.</w:t>
            </w:r>
          </w:p>
        </w:tc>
        <w:tc>
          <w:tcPr>
            <w:tcW w:w="4590" w:type="dxa"/>
            <w:shd w:val="clear" w:color="auto" w:fill="auto"/>
            <w:tcMar>
              <w:top w:w="72" w:type="dxa"/>
              <w:left w:w="144" w:type="dxa"/>
              <w:bottom w:w="72" w:type="dxa"/>
              <w:right w:w="144" w:type="dxa"/>
            </w:tcMar>
            <w:vAlign w:val="center"/>
          </w:tcPr>
          <w:p w14:paraId="1466E090" w14:textId="77777777" w:rsidR="00EF401B" w:rsidRPr="00EF401B" w:rsidRDefault="00EF401B" w:rsidP="00EF401B">
            <w:pPr>
              <w:pStyle w:val="ListParagraph"/>
              <w:numPr>
                <w:ilvl w:val="0"/>
                <w:numId w:val="29"/>
              </w:numPr>
              <w:rPr>
                <w:rFonts w:ascii="Garamond" w:hAnsi="Garamond"/>
                <w:sz w:val="24"/>
                <w:szCs w:val="24"/>
              </w:rPr>
            </w:pPr>
            <w:r w:rsidRPr="00EF401B">
              <w:rPr>
                <w:rFonts w:ascii="Garamond" w:hAnsi="Garamond"/>
                <w:sz w:val="24"/>
                <w:szCs w:val="24"/>
              </w:rPr>
              <w:t>Completed Healthcare &amp; Manufacturing</w:t>
            </w:r>
          </w:p>
          <w:p w14:paraId="16F6AA28" w14:textId="15C3726F" w:rsidR="000E5070" w:rsidRPr="00EF401B" w:rsidRDefault="00EF401B" w:rsidP="00EF401B">
            <w:pPr>
              <w:pStyle w:val="ListParagraph"/>
              <w:numPr>
                <w:ilvl w:val="0"/>
                <w:numId w:val="29"/>
              </w:numPr>
              <w:rPr>
                <w:rFonts w:ascii="Garamond" w:hAnsi="Garamond"/>
                <w:sz w:val="24"/>
                <w:szCs w:val="24"/>
              </w:rPr>
            </w:pPr>
            <w:r w:rsidRPr="00EF401B">
              <w:rPr>
                <w:rFonts w:ascii="Garamond" w:hAnsi="Garamond"/>
                <w:sz w:val="24"/>
                <w:szCs w:val="24"/>
              </w:rPr>
              <w:t>IT (postponed to fall 2020)</w:t>
            </w:r>
          </w:p>
        </w:tc>
      </w:tr>
      <w:tr w:rsidR="000E5070" w:rsidRPr="008B37BD" w14:paraId="7A87EBBE" w14:textId="77777777" w:rsidTr="000E5070">
        <w:trPr>
          <w:trHeight w:val="288"/>
        </w:trPr>
        <w:tc>
          <w:tcPr>
            <w:tcW w:w="2345" w:type="dxa"/>
            <w:shd w:val="clear" w:color="auto" w:fill="DEEBF7"/>
            <w:tcMar>
              <w:top w:w="72" w:type="dxa"/>
              <w:left w:w="144" w:type="dxa"/>
              <w:bottom w:w="72" w:type="dxa"/>
              <w:right w:w="144" w:type="dxa"/>
            </w:tcMar>
            <w:vAlign w:val="center"/>
          </w:tcPr>
          <w:p w14:paraId="33682042" w14:textId="0865E55A" w:rsidR="000E5070" w:rsidRPr="00EF401B" w:rsidRDefault="00EF401B" w:rsidP="00093DF5">
            <w:pPr>
              <w:rPr>
                <w:rFonts w:ascii="Garamond" w:hAnsi="Garamond"/>
                <w:b/>
                <w:bCs/>
                <w:i/>
                <w:iCs/>
                <w:sz w:val="24"/>
                <w:szCs w:val="24"/>
              </w:rPr>
            </w:pPr>
            <w:r w:rsidRPr="00EF401B">
              <w:rPr>
                <w:rFonts w:ascii="Garamond" w:eastAsia="Times New Roman" w:hAnsi="Garamond"/>
                <w:sz w:val="24"/>
                <w:szCs w:val="24"/>
              </w:rPr>
              <w:t>Establish a Regional Steering Committee</w:t>
            </w:r>
          </w:p>
        </w:tc>
        <w:tc>
          <w:tcPr>
            <w:tcW w:w="3600" w:type="dxa"/>
            <w:shd w:val="clear" w:color="auto" w:fill="auto"/>
            <w:tcMar>
              <w:top w:w="72" w:type="dxa"/>
              <w:left w:w="144" w:type="dxa"/>
              <w:bottom w:w="72" w:type="dxa"/>
              <w:right w:w="144" w:type="dxa"/>
            </w:tcMar>
            <w:vAlign w:val="center"/>
          </w:tcPr>
          <w:p w14:paraId="3CAA4F94" w14:textId="723CAC48" w:rsidR="000E5070" w:rsidRPr="008C7987" w:rsidRDefault="008C7987" w:rsidP="008C7987">
            <w:pPr>
              <w:pStyle w:val="ListParagraph"/>
              <w:numPr>
                <w:ilvl w:val="0"/>
                <w:numId w:val="30"/>
              </w:numPr>
              <w:rPr>
                <w:rFonts w:ascii="Garamond" w:hAnsi="Garamond"/>
                <w:sz w:val="24"/>
                <w:szCs w:val="24"/>
              </w:rPr>
            </w:pPr>
            <w:r w:rsidRPr="008C7987">
              <w:rPr>
                <w:rFonts w:ascii="Garamond" w:hAnsi="Garamond"/>
                <w:sz w:val="24"/>
                <w:szCs w:val="24"/>
              </w:rPr>
              <w:t>Please see attached appendix for Steering Committee</w:t>
            </w:r>
          </w:p>
        </w:tc>
        <w:tc>
          <w:tcPr>
            <w:tcW w:w="4590" w:type="dxa"/>
            <w:shd w:val="clear" w:color="auto" w:fill="auto"/>
            <w:tcMar>
              <w:top w:w="72" w:type="dxa"/>
              <w:left w:w="144" w:type="dxa"/>
              <w:bottom w:w="72" w:type="dxa"/>
              <w:right w:w="144" w:type="dxa"/>
            </w:tcMar>
            <w:vAlign w:val="center"/>
          </w:tcPr>
          <w:p w14:paraId="6CBBC52B" w14:textId="0D584BE5" w:rsidR="000E5070" w:rsidRPr="008C7987" w:rsidRDefault="008C7987" w:rsidP="00093DF5">
            <w:pPr>
              <w:rPr>
                <w:rFonts w:ascii="Garamond" w:hAnsi="Garamond"/>
                <w:sz w:val="24"/>
                <w:szCs w:val="24"/>
              </w:rPr>
            </w:pPr>
            <w:r w:rsidRPr="008C7987">
              <w:rPr>
                <w:rFonts w:ascii="Garamond" w:hAnsi="Garamond"/>
                <w:sz w:val="24"/>
                <w:szCs w:val="24"/>
              </w:rPr>
              <w:t>Completed/Continuous</w:t>
            </w:r>
          </w:p>
        </w:tc>
      </w:tr>
    </w:tbl>
    <w:p w14:paraId="6D618D40" w14:textId="77777777" w:rsidR="003908D0" w:rsidRDefault="003908D0"/>
    <w:p w14:paraId="66A7414D" w14:textId="77777777" w:rsidR="003908D0" w:rsidRDefault="003908D0" w:rsidP="003908D0">
      <w:pPr>
        <w:pStyle w:val="Heading5"/>
      </w:pPr>
      <w:r>
        <w:t xml:space="preserve">Appendix </w:t>
      </w:r>
      <w:r w:rsidR="006D3D60">
        <w:t>G</w:t>
      </w:r>
      <w:r>
        <w:t>. 202</w:t>
      </w:r>
      <w:r w:rsidR="00904A54">
        <w:t>2</w:t>
      </w:r>
      <w:r>
        <w:t xml:space="preserve"> Progress Report</w:t>
      </w:r>
    </w:p>
    <w:p w14:paraId="398101A3" w14:textId="77777777" w:rsidR="003908D0" w:rsidRPr="003908D0" w:rsidRDefault="003908D0" w:rsidP="003908D0">
      <w:pPr>
        <w:rPr>
          <w:i/>
        </w:rPr>
      </w:pPr>
    </w:p>
    <w:tbl>
      <w:tblPr>
        <w:tblW w:w="10535"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45"/>
        <w:gridCol w:w="3600"/>
        <w:gridCol w:w="4590"/>
      </w:tblGrid>
      <w:tr w:rsidR="003908D0" w:rsidRPr="008B37BD" w14:paraId="44E2E992" w14:textId="77777777" w:rsidTr="00093DF5">
        <w:trPr>
          <w:trHeight w:val="399"/>
        </w:trPr>
        <w:tc>
          <w:tcPr>
            <w:tcW w:w="2345" w:type="dxa"/>
            <w:shd w:val="clear" w:color="auto" w:fill="5B9BD5"/>
            <w:tcMar>
              <w:top w:w="72" w:type="dxa"/>
              <w:left w:w="144" w:type="dxa"/>
              <w:bottom w:w="72" w:type="dxa"/>
              <w:right w:w="144" w:type="dxa"/>
            </w:tcMar>
            <w:vAlign w:val="center"/>
            <w:hideMark/>
          </w:tcPr>
          <w:p w14:paraId="25289BD0" w14:textId="77777777" w:rsidR="003908D0" w:rsidRPr="00270A71" w:rsidRDefault="003908D0" w:rsidP="00093DF5">
            <w:pPr>
              <w:pStyle w:val="Heading1"/>
              <w:jc w:val="center"/>
              <w:rPr>
                <w:sz w:val="20"/>
              </w:rPr>
            </w:pPr>
            <w:r>
              <w:rPr>
                <w:sz w:val="20"/>
              </w:rPr>
              <w:t>Goal</w:t>
            </w:r>
          </w:p>
        </w:tc>
        <w:tc>
          <w:tcPr>
            <w:tcW w:w="3600" w:type="dxa"/>
            <w:shd w:val="clear" w:color="auto" w:fill="5B9BD5"/>
            <w:tcMar>
              <w:top w:w="72" w:type="dxa"/>
              <w:left w:w="144" w:type="dxa"/>
              <w:bottom w:w="72" w:type="dxa"/>
              <w:right w:w="144" w:type="dxa"/>
            </w:tcMar>
            <w:vAlign w:val="center"/>
            <w:hideMark/>
          </w:tcPr>
          <w:p w14:paraId="21EE4CFC" w14:textId="77777777" w:rsidR="003908D0" w:rsidRPr="00270A71" w:rsidRDefault="003908D0" w:rsidP="00093DF5">
            <w:pPr>
              <w:pStyle w:val="Heading1"/>
              <w:jc w:val="center"/>
              <w:rPr>
                <w:sz w:val="20"/>
              </w:rPr>
            </w:pPr>
            <w:r>
              <w:rPr>
                <w:sz w:val="20"/>
              </w:rPr>
              <w:t>Strategy</w:t>
            </w:r>
          </w:p>
        </w:tc>
        <w:tc>
          <w:tcPr>
            <w:tcW w:w="4590" w:type="dxa"/>
            <w:shd w:val="clear" w:color="auto" w:fill="5B9BD5"/>
            <w:tcMar>
              <w:top w:w="72" w:type="dxa"/>
              <w:left w:w="144" w:type="dxa"/>
              <w:bottom w:w="72" w:type="dxa"/>
              <w:right w:w="144" w:type="dxa"/>
            </w:tcMar>
            <w:vAlign w:val="center"/>
            <w:hideMark/>
          </w:tcPr>
          <w:p w14:paraId="4E0C31E4" w14:textId="77777777" w:rsidR="003908D0" w:rsidRPr="00270A71" w:rsidRDefault="003908D0" w:rsidP="00093DF5">
            <w:pPr>
              <w:pStyle w:val="Heading1"/>
              <w:jc w:val="center"/>
              <w:rPr>
                <w:sz w:val="20"/>
              </w:rPr>
            </w:pPr>
            <w:r>
              <w:rPr>
                <w:sz w:val="20"/>
              </w:rPr>
              <w:t>Progress</w:t>
            </w:r>
          </w:p>
        </w:tc>
      </w:tr>
      <w:tr w:rsidR="003908D0" w:rsidRPr="008B37BD" w14:paraId="4106E34B" w14:textId="77777777" w:rsidTr="00093DF5">
        <w:trPr>
          <w:trHeight w:val="288"/>
        </w:trPr>
        <w:tc>
          <w:tcPr>
            <w:tcW w:w="2345" w:type="dxa"/>
            <w:shd w:val="clear" w:color="auto" w:fill="DEEBF7"/>
            <w:tcMar>
              <w:top w:w="72" w:type="dxa"/>
              <w:left w:w="144" w:type="dxa"/>
              <w:bottom w:w="72" w:type="dxa"/>
              <w:right w:w="144" w:type="dxa"/>
            </w:tcMar>
            <w:vAlign w:val="center"/>
            <w:hideMark/>
          </w:tcPr>
          <w:p w14:paraId="5027558A" w14:textId="77777777" w:rsidR="003908D0" w:rsidRPr="00124E5F" w:rsidRDefault="003908D0" w:rsidP="00093DF5">
            <w:pPr>
              <w:rPr>
                <w:rFonts w:cstheme="minorHAnsi"/>
                <w:szCs w:val="22"/>
              </w:rPr>
            </w:pPr>
            <w:r w:rsidRPr="00124E5F">
              <w:rPr>
                <w:rFonts w:cstheme="minorHAnsi"/>
                <w:b/>
                <w:bCs/>
                <w:i/>
                <w:iCs/>
                <w:szCs w:val="22"/>
              </w:rPr>
              <w:t>Goal #1</w:t>
            </w:r>
          </w:p>
        </w:tc>
        <w:tc>
          <w:tcPr>
            <w:tcW w:w="3600" w:type="dxa"/>
            <w:shd w:val="clear" w:color="auto" w:fill="auto"/>
            <w:tcMar>
              <w:top w:w="72" w:type="dxa"/>
              <w:left w:w="144" w:type="dxa"/>
              <w:bottom w:w="72" w:type="dxa"/>
              <w:right w:w="144" w:type="dxa"/>
            </w:tcMar>
            <w:vAlign w:val="center"/>
            <w:hideMark/>
          </w:tcPr>
          <w:p w14:paraId="10095E43" w14:textId="77777777" w:rsidR="000E5070" w:rsidRPr="000E5070" w:rsidRDefault="000E5070" w:rsidP="00093DF5">
            <w:pPr>
              <w:numPr>
                <w:ilvl w:val="1"/>
                <w:numId w:val="24"/>
              </w:numPr>
              <w:spacing w:before="0" w:after="0" w:line="240" w:lineRule="auto"/>
              <w:contextualSpacing/>
              <w:rPr>
                <w:rFonts w:eastAsia="Times New Roman" w:cstheme="minorHAnsi"/>
                <w:szCs w:val="22"/>
              </w:rPr>
            </w:pPr>
            <w:r w:rsidRPr="000E5070">
              <w:rPr>
                <w:rFonts w:eastAsia="Times New Roman" w:cstheme="minorHAnsi"/>
                <w:i/>
                <w:iCs/>
                <w:color w:val="000000" w:themeColor="text1"/>
                <w:kern w:val="24"/>
                <w:szCs w:val="22"/>
              </w:rPr>
              <w:t>Goal #1 – Strategy</w:t>
            </w:r>
          </w:p>
          <w:p w14:paraId="5271DC9F" w14:textId="77777777" w:rsidR="000E5070" w:rsidRPr="000E5070" w:rsidRDefault="000E5070" w:rsidP="00093DF5">
            <w:pPr>
              <w:numPr>
                <w:ilvl w:val="1"/>
                <w:numId w:val="24"/>
              </w:numPr>
              <w:spacing w:before="0" w:after="0" w:line="240" w:lineRule="auto"/>
              <w:contextualSpacing/>
              <w:rPr>
                <w:rFonts w:eastAsia="Times New Roman" w:cstheme="minorHAnsi"/>
                <w:szCs w:val="22"/>
              </w:rPr>
            </w:pPr>
            <w:r w:rsidRPr="000E5070">
              <w:rPr>
                <w:rFonts w:eastAsia="Times New Roman" w:cstheme="minorHAnsi"/>
                <w:i/>
                <w:iCs/>
                <w:color w:val="000000" w:themeColor="text1"/>
                <w:kern w:val="24"/>
                <w:szCs w:val="22"/>
              </w:rPr>
              <w:t>Goal #1 – Strategy</w:t>
            </w:r>
          </w:p>
          <w:p w14:paraId="7529A703" w14:textId="77777777" w:rsidR="000E5070" w:rsidRPr="000E5070" w:rsidRDefault="000E5070" w:rsidP="00093DF5">
            <w:pPr>
              <w:numPr>
                <w:ilvl w:val="1"/>
                <w:numId w:val="24"/>
              </w:numPr>
              <w:spacing w:before="0" w:after="0" w:line="240" w:lineRule="auto"/>
              <w:contextualSpacing/>
              <w:rPr>
                <w:rFonts w:eastAsia="Times New Roman" w:cstheme="minorHAnsi"/>
                <w:szCs w:val="22"/>
              </w:rPr>
            </w:pPr>
            <w:r w:rsidRPr="000E5070">
              <w:rPr>
                <w:rFonts w:eastAsia="Times New Roman" w:cstheme="minorHAnsi"/>
                <w:i/>
                <w:iCs/>
                <w:color w:val="000000" w:themeColor="text1"/>
                <w:kern w:val="24"/>
                <w:szCs w:val="22"/>
              </w:rPr>
              <w:t>Goal #1 – Strategy</w:t>
            </w:r>
          </w:p>
        </w:tc>
        <w:tc>
          <w:tcPr>
            <w:tcW w:w="4590" w:type="dxa"/>
            <w:shd w:val="clear" w:color="auto" w:fill="auto"/>
            <w:tcMar>
              <w:top w:w="72" w:type="dxa"/>
              <w:left w:w="144" w:type="dxa"/>
              <w:bottom w:w="72" w:type="dxa"/>
              <w:right w:w="144" w:type="dxa"/>
            </w:tcMar>
            <w:vAlign w:val="center"/>
            <w:hideMark/>
          </w:tcPr>
          <w:p w14:paraId="59F90377" w14:textId="77777777" w:rsidR="003908D0" w:rsidRPr="000E5070" w:rsidRDefault="003908D0" w:rsidP="00093DF5">
            <w:pPr>
              <w:spacing w:before="0" w:after="0" w:line="240" w:lineRule="auto"/>
              <w:rPr>
                <w:rFonts w:eastAsia="Times New Roman" w:cstheme="minorHAnsi"/>
                <w:szCs w:val="22"/>
              </w:rPr>
            </w:pPr>
            <w:r w:rsidRPr="000E5070">
              <w:rPr>
                <w:rFonts w:eastAsia="Times New Roman" w:cstheme="minorHAnsi"/>
                <w:i/>
                <w:iCs/>
                <w:color w:val="000000" w:themeColor="text1"/>
                <w:kern w:val="24"/>
                <w:szCs w:val="22"/>
              </w:rPr>
              <w:t>[Describe your achievements, as well as any noteworthy challenges or opportunities related to this goal.]</w:t>
            </w:r>
          </w:p>
        </w:tc>
      </w:tr>
      <w:tr w:rsidR="003908D0" w:rsidRPr="008B37BD" w14:paraId="04D55B4E" w14:textId="77777777" w:rsidTr="00093DF5">
        <w:trPr>
          <w:trHeight w:val="288"/>
        </w:trPr>
        <w:tc>
          <w:tcPr>
            <w:tcW w:w="2345" w:type="dxa"/>
            <w:shd w:val="clear" w:color="auto" w:fill="DEEBF7"/>
            <w:tcMar>
              <w:top w:w="72" w:type="dxa"/>
              <w:left w:w="144" w:type="dxa"/>
              <w:bottom w:w="72" w:type="dxa"/>
              <w:right w:w="144" w:type="dxa"/>
            </w:tcMar>
            <w:vAlign w:val="center"/>
          </w:tcPr>
          <w:p w14:paraId="404A7FC6" w14:textId="47479C66" w:rsidR="003908D0" w:rsidRPr="00F7009E" w:rsidRDefault="008B61E0" w:rsidP="00F7009E">
            <w:pPr>
              <w:kinsoku w:val="0"/>
              <w:overflowPunct w:val="0"/>
              <w:autoSpaceDE w:val="0"/>
              <w:autoSpaceDN w:val="0"/>
              <w:adjustRightInd w:val="0"/>
              <w:ind w:left="123" w:right="228"/>
              <w:rPr>
                <w:rFonts w:ascii="Arial" w:hAnsi="Arial" w:cs="Arial"/>
                <w:spacing w:val="-1"/>
              </w:rPr>
            </w:pPr>
            <w:r w:rsidRPr="00E60448">
              <w:rPr>
                <w:rFonts w:ascii="Arial" w:hAnsi="Arial" w:cs="Arial"/>
                <w:spacing w:val="-1"/>
              </w:rPr>
              <w:lastRenderedPageBreak/>
              <w:t>Demonstrate</w:t>
            </w:r>
            <w:r w:rsidRPr="00E60448">
              <w:rPr>
                <w:rFonts w:ascii="Arial" w:hAnsi="Arial" w:cs="Arial"/>
                <w:spacing w:val="-2"/>
              </w:rPr>
              <w:t xml:space="preserve"> </w:t>
            </w:r>
            <w:r w:rsidRPr="00E60448">
              <w:rPr>
                <w:rFonts w:ascii="Arial" w:hAnsi="Arial" w:cs="Arial"/>
                <w:spacing w:val="-1"/>
              </w:rPr>
              <w:t>synergy</w:t>
            </w:r>
            <w:r w:rsidRPr="00E60448">
              <w:rPr>
                <w:rFonts w:ascii="Arial" w:hAnsi="Arial" w:cs="Arial"/>
                <w:spacing w:val="-2"/>
              </w:rPr>
              <w:t xml:space="preserve"> </w:t>
            </w:r>
            <w:r w:rsidRPr="00E60448">
              <w:rPr>
                <w:rFonts w:ascii="Arial" w:hAnsi="Arial" w:cs="Arial"/>
                <w:spacing w:val="-1"/>
              </w:rPr>
              <w:t>between</w:t>
            </w:r>
            <w:r w:rsidRPr="00E60448">
              <w:rPr>
                <w:rFonts w:ascii="Arial" w:hAnsi="Arial" w:cs="Arial"/>
                <w:spacing w:val="21"/>
              </w:rPr>
              <w:t xml:space="preserve"> </w:t>
            </w:r>
            <w:r w:rsidRPr="00E60448">
              <w:rPr>
                <w:rFonts w:ascii="Arial" w:hAnsi="Arial" w:cs="Arial"/>
                <w:spacing w:val="-1"/>
              </w:rPr>
              <w:t>economic, education</w:t>
            </w:r>
            <w:r w:rsidRPr="00E60448">
              <w:rPr>
                <w:rFonts w:ascii="Arial" w:hAnsi="Arial" w:cs="Arial"/>
                <w:spacing w:val="-2"/>
              </w:rPr>
              <w:t xml:space="preserve"> </w:t>
            </w:r>
            <w:r w:rsidRPr="00E60448">
              <w:rPr>
                <w:rFonts w:ascii="Arial" w:hAnsi="Arial" w:cs="Arial"/>
                <w:spacing w:val="-1"/>
              </w:rPr>
              <w:t>and</w:t>
            </w:r>
            <w:r w:rsidRPr="00E60448">
              <w:rPr>
                <w:rFonts w:ascii="Arial" w:hAnsi="Arial" w:cs="Arial"/>
                <w:spacing w:val="25"/>
              </w:rPr>
              <w:t xml:space="preserve"> </w:t>
            </w:r>
            <w:r w:rsidRPr="00E60448">
              <w:rPr>
                <w:rFonts w:ascii="Arial" w:hAnsi="Arial" w:cs="Arial"/>
                <w:spacing w:val="-1"/>
              </w:rPr>
              <w:t>workforce</w:t>
            </w:r>
            <w:r w:rsidRPr="00E60448">
              <w:rPr>
                <w:rFonts w:ascii="Arial" w:hAnsi="Arial" w:cs="Arial"/>
              </w:rPr>
              <w:t xml:space="preserve"> </w:t>
            </w:r>
            <w:r w:rsidRPr="00E60448">
              <w:rPr>
                <w:rFonts w:ascii="Arial" w:hAnsi="Arial" w:cs="Arial"/>
                <w:spacing w:val="-1"/>
              </w:rPr>
              <w:t>development</w:t>
            </w:r>
            <w:r w:rsidRPr="00E60448">
              <w:rPr>
                <w:rFonts w:ascii="Arial" w:hAnsi="Arial" w:cs="Arial"/>
                <w:spacing w:val="-3"/>
              </w:rPr>
              <w:t xml:space="preserve"> </w:t>
            </w:r>
            <w:r w:rsidRPr="00E60448">
              <w:rPr>
                <w:rFonts w:ascii="Arial" w:hAnsi="Arial" w:cs="Arial"/>
                <w:spacing w:val="-1"/>
              </w:rPr>
              <w:t>agencies</w:t>
            </w:r>
            <w:r w:rsidRPr="00E60448">
              <w:rPr>
                <w:rFonts w:ascii="Arial" w:hAnsi="Arial" w:cs="Arial"/>
                <w:spacing w:val="33"/>
              </w:rPr>
              <w:t xml:space="preserve"> </w:t>
            </w:r>
            <w:r w:rsidRPr="00E60448">
              <w:rPr>
                <w:rFonts w:ascii="Arial" w:hAnsi="Arial" w:cs="Arial"/>
                <w:spacing w:val="-1"/>
              </w:rPr>
              <w:t>that produces</w:t>
            </w:r>
            <w:r w:rsidRPr="00E60448">
              <w:rPr>
                <w:rFonts w:ascii="Arial" w:hAnsi="Arial" w:cs="Arial"/>
                <w:spacing w:val="-2"/>
              </w:rPr>
              <w:t xml:space="preserve"> </w:t>
            </w:r>
            <w:r w:rsidRPr="00E60448">
              <w:rPr>
                <w:rFonts w:ascii="Arial" w:hAnsi="Arial" w:cs="Arial"/>
                <w:spacing w:val="-1"/>
              </w:rPr>
              <w:t>seamless</w:t>
            </w:r>
            <w:r w:rsidRPr="00E60448">
              <w:rPr>
                <w:rFonts w:ascii="Arial" w:hAnsi="Arial" w:cs="Arial"/>
                <w:spacing w:val="-2"/>
              </w:rPr>
              <w:t xml:space="preserve"> </w:t>
            </w:r>
            <w:r w:rsidRPr="00E60448">
              <w:rPr>
                <w:rFonts w:ascii="Arial" w:hAnsi="Arial" w:cs="Arial"/>
                <w:spacing w:val="-1"/>
              </w:rPr>
              <w:t>services.</w:t>
            </w:r>
          </w:p>
        </w:tc>
        <w:tc>
          <w:tcPr>
            <w:tcW w:w="3600" w:type="dxa"/>
            <w:shd w:val="clear" w:color="auto" w:fill="auto"/>
            <w:tcMar>
              <w:top w:w="72" w:type="dxa"/>
              <w:left w:w="144" w:type="dxa"/>
              <w:bottom w:w="72" w:type="dxa"/>
              <w:right w:w="144" w:type="dxa"/>
            </w:tcMar>
            <w:vAlign w:val="center"/>
          </w:tcPr>
          <w:p w14:paraId="0514AC5F" w14:textId="184BDA44" w:rsidR="003908D0" w:rsidRPr="00797A48" w:rsidRDefault="008B61E0" w:rsidP="00093DF5">
            <w:pPr>
              <w:rPr>
                <w:rFonts w:ascii="Garamond" w:hAnsi="Garamond"/>
                <w:sz w:val="24"/>
                <w:szCs w:val="24"/>
              </w:rPr>
            </w:pPr>
            <w:r w:rsidRPr="00797A48">
              <w:rPr>
                <w:rFonts w:ascii="Garamond" w:hAnsi="Garamond"/>
                <w:sz w:val="24"/>
                <w:szCs w:val="24"/>
              </w:rPr>
              <w:t>To continue stakeholder meetings and sharing data</w:t>
            </w:r>
          </w:p>
        </w:tc>
        <w:tc>
          <w:tcPr>
            <w:tcW w:w="4590" w:type="dxa"/>
            <w:shd w:val="clear" w:color="auto" w:fill="auto"/>
            <w:tcMar>
              <w:top w:w="72" w:type="dxa"/>
              <w:left w:w="144" w:type="dxa"/>
              <w:bottom w:w="72" w:type="dxa"/>
              <w:right w:w="144" w:type="dxa"/>
            </w:tcMar>
            <w:vAlign w:val="center"/>
          </w:tcPr>
          <w:p w14:paraId="05255909" w14:textId="6FBB7E67" w:rsidR="003908D0" w:rsidRPr="00797A48" w:rsidRDefault="008B61E0" w:rsidP="00093DF5">
            <w:pPr>
              <w:rPr>
                <w:rFonts w:ascii="Garamond" w:hAnsi="Garamond"/>
                <w:sz w:val="24"/>
                <w:szCs w:val="24"/>
              </w:rPr>
            </w:pPr>
            <w:r w:rsidRPr="00797A48">
              <w:rPr>
                <w:rFonts w:ascii="Garamond" w:hAnsi="Garamond"/>
                <w:sz w:val="24"/>
                <w:szCs w:val="24"/>
              </w:rPr>
              <w:t>Continuous</w:t>
            </w:r>
          </w:p>
        </w:tc>
      </w:tr>
      <w:tr w:rsidR="008B61E0" w:rsidRPr="008B37BD" w14:paraId="32349AE6" w14:textId="77777777" w:rsidTr="00093DF5">
        <w:trPr>
          <w:trHeight w:val="288"/>
        </w:trPr>
        <w:tc>
          <w:tcPr>
            <w:tcW w:w="2345" w:type="dxa"/>
            <w:shd w:val="clear" w:color="auto" w:fill="DEEBF7"/>
            <w:tcMar>
              <w:top w:w="72" w:type="dxa"/>
              <w:left w:w="144" w:type="dxa"/>
              <w:bottom w:w="72" w:type="dxa"/>
              <w:right w:w="144" w:type="dxa"/>
            </w:tcMar>
            <w:vAlign w:val="center"/>
          </w:tcPr>
          <w:p w14:paraId="081C792F" w14:textId="46655B3C" w:rsidR="008B61E0" w:rsidRPr="00797A48" w:rsidRDefault="00F7009E" w:rsidP="00797A48">
            <w:pPr>
              <w:kinsoku w:val="0"/>
              <w:overflowPunct w:val="0"/>
              <w:autoSpaceDE w:val="0"/>
              <w:autoSpaceDN w:val="0"/>
              <w:adjustRightInd w:val="0"/>
              <w:ind w:right="262"/>
              <w:rPr>
                <w:rFonts w:ascii="Arial" w:hAnsi="Arial" w:cs="Arial"/>
                <w:spacing w:val="-1"/>
              </w:rPr>
            </w:pPr>
            <w:r w:rsidRPr="00E60448">
              <w:rPr>
                <w:rFonts w:ascii="Arial" w:hAnsi="Arial" w:cs="Arial"/>
                <w:spacing w:val="-1"/>
              </w:rPr>
              <w:t>Develop</w:t>
            </w:r>
            <w:r w:rsidRPr="00E60448">
              <w:rPr>
                <w:rFonts w:ascii="Arial" w:hAnsi="Arial" w:cs="Arial"/>
              </w:rPr>
              <w:t xml:space="preserve"> a </w:t>
            </w:r>
            <w:r w:rsidRPr="00E60448">
              <w:rPr>
                <w:rFonts w:ascii="Arial" w:hAnsi="Arial" w:cs="Arial"/>
                <w:spacing w:val="-1"/>
              </w:rPr>
              <w:t>mechanism</w:t>
            </w:r>
            <w:r w:rsidRPr="00E60448">
              <w:rPr>
                <w:rFonts w:ascii="Arial" w:hAnsi="Arial" w:cs="Arial"/>
                <w:spacing w:val="-3"/>
              </w:rPr>
              <w:t xml:space="preserve"> </w:t>
            </w:r>
            <w:r w:rsidRPr="00E60448">
              <w:rPr>
                <w:rFonts w:ascii="Arial" w:hAnsi="Arial" w:cs="Arial"/>
              </w:rPr>
              <w:t>for</w:t>
            </w:r>
            <w:r w:rsidRPr="00E60448">
              <w:rPr>
                <w:rFonts w:ascii="Arial" w:hAnsi="Arial" w:cs="Arial"/>
                <w:spacing w:val="27"/>
              </w:rPr>
              <w:t xml:space="preserve"> </w:t>
            </w:r>
            <w:r w:rsidRPr="00E60448">
              <w:rPr>
                <w:rFonts w:ascii="Arial" w:hAnsi="Arial" w:cs="Arial"/>
                <w:spacing w:val="-1"/>
              </w:rPr>
              <w:t>education,</w:t>
            </w:r>
            <w:r w:rsidRPr="00E60448">
              <w:rPr>
                <w:rFonts w:ascii="Arial" w:hAnsi="Arial" w:cs="Arial"/>
                <w:spacing w:val="2"/>
              </w:rPr>
              <w:t xml:space="preserve"> </w:t>
            </w:r>
            <w:r w:rsidRPr="00E60448">
              <w:rPr>
                <w:rFonts w:ascii="Arial" w:hAnsi="Arial" w:cs="Arial"/>
                <w:spacing w:val="-1"/>
              </w:rPr>
              <w:t>economic</w:t>
            </w:r>
            <w:r w:rsidRPr="00E60448">
              <w:rPr>
                <w:rFonts w:ascii="Arial" w:hAnsi="Arial" w:cs="Arial"/>
                <w:spacing w:val="-2"/>
              </w:rPr>
              <w:t xml:space="preserve"> </w:t>
            </w:r>
            <w:r w:rsidRPr="00E60448">
              <w:rPr>
                <w:rFonts w:ascii="Arial" w:hAnsi="Arial" w:cs="Arial"/>
                <w:spacing w:val="-1"/>
              </w:rPr>
              <w:t>and</w:t>
            </w:r>
            <w:r w:rsidRPr="00E60448">
              <w:rPr>
                <w:rFonts w:ascii="Arial" w:hAnsi="Arial" w:cs="Arial"/>
                <w:spacing w:val="23"/>
              </w:rPr>
              <w:t xml:space="preserve"> </w:t>
            </w:r>
            <w:r w:rsidRPr="00E60448">
              <w:rPr>
                <w:rFonts w:ascii="Arial" w:hAnsi="Arial" w:cs="Arial"/>
                <w:spacing w:val="-1"/>
              </w:rPr>
              <w:t>workforce</w:t>
            </w:r>
            <w:r w:rsidRPr="00E60448">
              <w:rPr>
                <w:rFonts w:ascii="Arial" w:hAnsi="Arial" w:cs="Arial"/>
              </w:rPr>
              <w:t xml:space="preserve"> </w:t>
            </w:r>
            <w:r w:rsidRPr="00E60448">
              <w:rPr>
                <w:rFonts w:ascii="Arial" w:hAnsi="Arial" w:cs="Arial"/>
                <w:spacing w:val="-1"/>
              </w:rPr>
              <w:t>development</w:t>
            </w:r>
            <w:r w:rsidRPr="00E60448">
              <w:rPr>
                <w:rFonts w:ascii="Arial" w:hAnsi="Arial" w:cs="Arial"/>
                <w:spacing w:val="-3"/>
              </w:rPr>
              <w:t xml:space="preserve"> </w:t>
            </w:r>
            <w:r w:rsidRPr="00E60448">
              <w:rPr>
                <w:rFonts w:ascii="Arial" w:hAnsi="Arial" w:cs="Arial"/>
                <w:spacing w:val="-1"/>
              </w:rPr>
              <w:t>agencies</w:t>
            </w:r>
            <w:r w:rsidRPr="00E60448">
              <w:rPr>
                <w:rFonts w:ascii="Arial" w:hAnsi="Arial" w:cs="Arial"/>
                <w:spacing w:val="33"/>
              </w:rPr>
              <w:t xml:space="preserve"> </w:t>
            </w:r>
            <w:r w:rsidRPr="00E60448">
              <w:rPr>
                <w:rFonts w:ascii="Arial" w:hAnsi="Arial" w:cs="Arial"/>
              </w:rPr>
              <w:t xml:space="preserve">to </w:t>
            </w:r>
            <w:r w:rsidRPr="00E60448">
              <w:rPr>
                <w:rFonts w:ascii="Arial" w:hAnsi="Arial" w:cs="Arial"/>
                <w:spacing w:val="-1"/>
              </w:rPr>
              <w:t>inform employers</w:t>
            </w:r>
            <w:r w:rsidRPr="00E60448">
              <w:rPr>
                <w:rFonts w:ascii="Arial" w:hAnsi="Arial" w:cs="Arial"/>
                <w:spacing w:val="1"/>
              </w:rPr>
              <w:t xml:space="preserve"> </w:t>
            </w:r>
            <w:r w:rsidRPr="00E60448">
              <w:rPr>
                <w:rFonts w:ascii="Arial" w:hAnsi="Arial" w:cs="Arial"/>
                <w:spacing w:val="-2"/>
              </w:rPr>
              <w:t>of</w:t>
            </w:r>
            <w:r w:rsidRPr="00E60448">
              <w:rPr>
                <w:rFonts w:ascii="Arial" w:hAnsi="Arial" w:cs="Arial"/>
                <w:spacing w:val="2"/>
              </w:rPr>
              <w:t xml:space="preserve"> </w:t>
            </w:r>
            <w:r w:rsidRPr="00E60448">
              <w:rPr>
                <w:rFonts w:ascii="Arial" w:hAnsi="Arial" w:cs="Arial"/>
                <w:spacing w:val="-1"/>
              </w:rPr>
              <w:t>services,</w:t>
            </w:r>
            <w:r w:rsidRPr="00E60448">
              <w:rPr>
                <w:rFonts w:ascii="Arial" w:hAnsi="Arial" w:cs="Arial"/>
                <w:spacing w:val="27"/>
              </w:rPr>
              <w:t xml:space="preserve"> </w:t>
            </w:r>
            <w:r w:rsidRPr="00E60448">
              <w:rPr>
                <w:rFonts w:ascii="Arial" w:hAnsi="Arial" w:cs="Arial"/>
                <w:spacing w:val="-1"/>
              </w:rPr>
              <w:t>increasing</w:t>
            </w:r>
            <w:r w:rsidRPr="00E60448">
              <w:rPr>
                <w:rFonts w:ascii="Arial" w:hAnsi="Arial" w:cs="Arial"/>
              </w:rPr>
              <w:t xml:space="preserve"> </w:t>
            </w:r>
            <w:r w:rsidRPr="00E60448">
              <w:rPr>
                <w:rFonts w:ascii="Arial" w:hAnsi="Arial" w:cs="Arial"/>
                <w:spacing w:val="-1"/>
              </w:rPr>
              <w:t>presentations</w:t>
            </w:r>
            <w:r w:rsidRPr="00E60448">
              <w:rPr>
                <w:rFonts w:ascii="Arial" w:hAnsi="Arial" w:cs="Arial"/>
                <w:spacing w:val="-4"/>
              </w:rPr>
              <w:t xml:space="preserve"> </w:t>
            </w:r>
            <w:r w:rsidRPr="00E60448">
              <w:rPr>
                <w:rFonts w:ascii="Arial" w:hAnsi="Arial" w:cs="Arial"/>
              </w:rPr>
              <w:t>by</w:t>
            </w:r>
            <w:r w:rsidRPr="00E60448">
              <w:rPr>
                <w:rFonts w:ascii="Arial" w:hAnsi="Arial" w:cs="Arial"/>
                <w:spacing w:val="-2"/>
              </w:rPr>
              <w:t xml:space="preserve"> </w:t>
            </w:r>
            <w:r w:rsidRPr="00E60448">
              <w:rPr>
                <w:rFonts w:ascii="Arial" w:hAnsi="Arial" w:cs="Arial"/>
                <w:spacing w:val="-1"/>
              </w:rPr>
              <w:t>10%</w:t>
            </w:r>
            <w:r w:rsidRPr="00E60448">
              <w:rPr>
                <w:rFonts w:ascii="Arial" w:hAnsi="Arial" w:cs="Arial"/>
                <w:spacing w:val="33"/>
              </w:rPr>
              <w:t xml:space="preserve"> </w:t>
            </w:r>
            <w:r w:rsidRPr="00E60448">
              <w:rPr>
                <w:rFonts w:ascii="Arial" w:hAnsi="Arial" w:cs="Arial"/>
                <w:spacing w:val="-1"/>
              </w:rPr>
              <w:t>each</w:t>
            </w:r>
            <w:r w:rsidRPr="00E60448">
              <w:rPr>
                <w:rFonts w:ascii="Arial" w:hAnsi="Arial" w:cs="Arial"/>
              </w:rPr>
              <w:t xml:space="preserve"> </w:t>
            </w:r>
            <w:r w:rsidRPr="00E60448">
              <w:rPr>
                <w:rFonts w:ascii="Arial" w:hAnsi="Arial" w:cs="Arial"/>
                <w:spacing w:val="-1"/>
              </w:rPr>
              <w:t>year.</w:t>
            </w:r>
            <w:r w:rsidRPr="00E60448">
              <w:rPr>
                <w:rFonts w:ascii="Arial" w:hAnsi="Arial" w:cs="Arial"/>
                <w:spacing w:val="59"/>
              </w:rPr>
              <w:t xml:space="preserve"> </w:t>
            </w:r>
            <w:r w:rsidRPr="00E60448">
              <w:rPr>
                <w:rFonts w:ascii="Arial" w:hAnsi="Arial" w:cs="Arial"/>
              </w:rPr>
              <w:t>Increase</w:t>
            </w:r>
            <w:r w:rsidRPr="00E60448">
              <w:rPr>
                <w:rFonts w:ascii="Arial" w:hAnsi="Arial" w:cs="Arial"/>
                <w:spacing w:val="-2"/>
              </w:rPr>
              <w:t xml:space="preserve"> employer</w:t>
            </w:r>
            <w:r w:rsidRPr="00E60448">
              <w:rPr>
                <w:rFonts w:ascii="Arial" w:hAnsi="Arial" w:cs="Arial"/>
                <w:spacing w:val="23"/>
              </w:rPr>
              <w:t xml:space="preserve"> </w:t>
            </w:r>
            <w:r w:rsidRPr="00E60448">
              <w:rPr>
                <w:rFonts w:ascii="Arial" w:hAnsi="Arial" w:cs="Arial"/>
                <w:spacing w:val="-1"/>
              </w:rPr>
              <w:t xml:space="preserve">contact level </w:t>
            </w:r>
            <w:r w:rsidRPr="00E60448">
              <w:rPr>
                <w:rFonts w:ascii="Arial" w:hAnsi="Arial" w:cs="Arial"/>
              </w:rPr>
              <w:t>by</w:t>
            </w:r>
            <w:r w:rsidRPr="00E60448">
              <w:rPr>
                <w:rFonts w:ascii="Arial" w:hAnsi="Arial" w:cs="Arial"/>
                <w:spacing w:val="-2"/>
              </w:rPr>
              <w:t xml:space="preserve"> </w:t>
            </w:r>
            <w:r w:rsidRPr="00E60448">
              <w:rPr>
                <w:rFonts w:ascii="Arial" w:hAnsi="Arial" w:cs="Arial"/>
              </w:rPr>
              <w:t>5%</w:t>
            </w:r>
            <w:r w:rsidRPr="00E60448">
              <w:rPr>
                <w:rFonts w:ascii="Arial" w:hAnsi="Arial" w:cs="Arial"/>
                <w:spacing w:val="1"/>
              </w:rPr>
              <w:t xml:space="preserve"> </w:t>
            </w:r>
            <w:r w:rsidRPr="00E60448">
              <w:rPr>
                <w:rFonts w:ascii="Arial" w:hAnsi="Arial" w:cs="Arial"/>
                <w:spacing w:val="-1"/>
              </w:rPr>
              <w:t>each</w:t>
            </w:r>
            <w:r w:rsidRPr="00E60448">
              <w:rPr>
                <w:rFonts w:ascii="Arial" w:hAnsi="Arial" w:cs="Arial"/>
                <w:spacing w:val="-2"/>
              </w:rPr>
              <w:t xml:space="preserve"> </w:t>
            </w:r>
            <w:r w:rsidRPr="00E60448">
              <w:rPr>
                <w:rFonts w:ascii="Arial" w:hAnsi="Arial" w:cs="Arial"/>
                <w:spacing w:val="-1"/>
              </w:rPr>
              <w:t>year.</w:t>
            </w:r>
          </w:p>
        </w:tc>
        <w:tc>
          <w:tcPr>
            <w:tcW w:w="3600" w:type="dxa"/>
            <w:shd w:val="clear" w:color="auto" w:fill="auto"/>
            <w:tcMar>
              <w:top w:w="72" w:type="dxa"/>
              <w:left w:w="144" w:type="dxa"/>
              <w:bottom w:w="72" w:type="dxa"/>
              <w:right w:w="144" w:type="dxa"/>
            </w:tcMar>
            <w:vAlign w:val="center"/>
          </w:tcPr>
          <w:p w14:paraId="4761BC3E" w14:textId="262E80AC" w:rsidR="008B61E0" w:rsidRPr="00797A48" w:rsidRDefault="00F7009E" w:rsidP="008B61E0">
            <w:pPr>
              <w:rPr>
                <w:rFonts w:ascii="Garamond" w:hAnsi="Garamond"/>
                <w:sz w:val="24"/>
                <w:szCs w:val="24"/>
              </w:rPr>
            </w:pPr>
            <w:r w:rsidRPr="00797A48">
              <w:rPr>
                <w:rFonts w:ascii="Garamond" w:hAnsi="Garamond"/>
                <w:sz w:val="24"/>
                <w:szCs w:val="24"/>
              </w:rPr>
              <w:t>Regional Marketing materials have been developed to increase awareness of the regional partnership.  Additionally, all WB’s in SE MA has inked websites.</w:t>
            </w:r>
          </w:p>
        </w:tc>
        <w:tc>
          <w:tcPr>
            <w:tcW w:w="4590" w:type="dxa"/>
            <w:shd w:val="clear" w:color="auto" w:fill="auto"/>
            <w:tcMar>
              <w:top w:w="72" w:type="dxa"/>
              <w:left w:w="144" w:type="dxa"/>
              <w:bottom w:w="72" w:type="dxa"/>
              <w:right w:w="144" w:type="dxa"/>
            </w:tcMar>
            <w:vAlign w:val="center"/>
          </w:tcPr>
          <w:p w14:paraId="0B7F6AE5" w14:textId="52CD449F" w:rsidR="008B61E0" w:rsidRPr="00797A48" w:rsidRDefault="00F7009E" w:rsidP="008B61E0">
            <w:pPr>
              <w:rPr>
                <w:rFonts w:ascii="Garamond" w:hAnsi="Garamond"/>
                <w:sz w:val="24"/>
                <w:szCs w:val="24"/>
              </w:rPr>
            </w:pPr>
            <w:r w:rsidRPr="00797A48">
              <w:rPr>
                <w:rFonts w:ascii="Garamond" w:hAnsi="Garamond"/>
                <w:sz w:val="24"/>
                <w:szCs w:val="24"/>
              </w:rPr>
              <w:t>Continuous</w:t>
            </w:r>
          </w:p>
        </w:tc>
      </w:tr>
      <w:tr w:rsidR="008B61E0" w:rsidRPr="008B37BD" w14:paraId="0B211B62" w14:textId="77777777" w:rsidTr="00093DF5">
        <w:trPr>
          <w:trHeight w:val="288"/>
        </w:trPr>
        <w:tc>
          <w:tcPr>
            <w:tcW w:w="2345" w:type="dxa"/>
            <w:shd w:val="clear" w:color="auto" w:fill="DEEBF7"/>
            <w:tcMar>
              <w:top w:w="72" w:type="dxa"/>
              <w:left w:w="144" w:type="dxa"/>
              <w:bottom w:w="72" w:type="dxa"/>
              <w:right w:w="144" w:type="dxa"/>
            </w:tcMar>
            <w:vAlign w:val="center"/>
          </w:tcPr>
          <w:p w14:paraId="39F6C60E" w14:textId="3969E54A" w:rsidR="008B61E0" w:rsidRPr="00797A48" w:rsidRDefault="008B61E0" w:rsidP="008B61E0">
            <w:pPr>
              <w:rPr>
                <w:rFonts w:ascii="Arial" w:hAnsi="Arial" w:cs="Arial"/>
                <w:spacing w:val="-1"/>
              </w:rPr>
            </w:pPr>
            <w:r w:rsidRPr="00E60448">
              <w:rPr>
                <w:rFonts w:ascii="Arial" w:hAnsi="Arial" w:cs="Arial"/>
                <w:spacing w:val="-1"/>
              </w:rPr>
              <w:t>Become</w:t>
            </w:r>
            <w:r w:rsidRPr="00E60448">
              <w:rPr>
                <w:rFonts w:ascii="Arial" w:hAnsi="Arial" w:cs="Arial"/>
              </w:rPr>
              <w:t xml:space="preserve"> a</w:t>
            </w:r>
            <w:r w:rsidRPr="00E60448">
              <w:rPr>
                <w:rFonts w:ascii="Arial" w:hAnsi="Arial" w:cs="Arial"/>
                <w:spacing w:val="-2"/>
              </w:rPr>
              <w:t xml:space="preserve"> </w:t>
            </w:r>
            <w:r w:rsidRPr="00E60448">
              <w:rPr>
                <w:rFonts w:ascii="Arial" w:hAnsi="Arial" w:cs="Arial"/>
                <w:spacing w:val="-1"/>
              </w:rPr>
              <w:t>leader</w:t>
            </w:r>
            <w:r w:rsidRPr="00E60448">
              <w:rPr>
                <w:rFonts w:ascii="Arial" w:hAnsi="Arial" w:cs="Arial"/>
                <w:spacing w:val="1"/>
              </w:rPr>
              <w:t xml:space="preserve"> </w:t>
            </w:r>
            <w:r w:rsidRPr="00E60448">
              <w:rPr>
                <w:rFonts w:ascii="Arial" w:hAnsi="Arial" w:cs="Arial"/>
                <w:spacing w:val="-1"/>
              </w:rPr>
              <w:t>in</w:t>
            </w:r>
            <w:r w:rsidRPr="00E60448">
              <w:rPr>
                <w:rFonts w:ascii="Arial" w:hAnsi="Arial" w:cs="Arial"/>
                <w:spacing w:val="-2"/>
              </w:rPr>
              <w:t xml:space="preserve"> </w:t>
            </w:r>
            <w:r w:rsidRPr="00E60448">
              <w:rPr>
                <w:rFonts w:ascii="Arial" w:hAnsi="Arial" w:cs="Arial"/>
                <w:spacing w:val="-1"/>
              </w:rPr>
              <w:t>coordinating</w:t>
            </w:r>
            <w:r w:rsidRPr="00E60448">
              <w:rPr>
                <w:rFonts w:ascii="Arial" w:hAnsi="Arial" w:cs="Arial"/>
                <w:spacing w:val="21"/>
              </w:rPr>
              <w:t xml:space="preserve"> </w:t>
            </w:r>
            <w:r w:rsidRPr="00E60448">
              <w:rPr>
                <w:rFonts w:ascii="Arial" w:hAnsi="Arial" w:cs="Arial"/>
              </w:rPr>
              <w:t xml:space="preserve">the </w:t>
            </w:r>
            <w:r w:rsidRPr="00E60448">
              <w:rPr>
                <w:rFonts w:ascii="Arial" w:hAnsi="Arial" w:cs="Arial"/>
                <w:spacing w:val="-1"/>
              </w:rPr>
              <w:t>collection</w:t>
            </w:r>
            <w:r w:rsidRPr="00E60448">
              <w:rPr>
                <w:rFonts w:ascii="Arial" w:hAnsi="Arial" w:cs="Arial"/>
              </w:rPr>
              <w:t xml:space="preserve"> and</w:t>
            </w:r>
            <w:r w:rsidRPr="00E60448">
              <w:rPr>
                <w:rFonts w:ascii="Arial" w:hAnsi="Arial" w:cs="Arial"/>
                <w:spacing w:val="-2"/>
              </w:rPr>
              <w:t xml:space="preserve"> </w:t>
            </w:r>
            <w:r w:rsidRPr="00E60448">
              <w:rPr>
                <w:rFonts w:ascii="Arial" w:hAnsi="Arial" w:cs="Arial"/>
                <w:spacing w:val="-1"/>
              </w:rPr>
              <w:t>distribution</w:t>
            </w:r>
            <w:r w:rsidRPr="00E60448">
              <w:rPr>
                <w:rFonts w:ascii="Arial" w:hAnsi="Arial" w:cs="Arial"/>
              </w:rPr>
              <w:t xml:space="preserve"> </w:t>
            </w:r>
            <w:r w:rsidRPr="00E60448">
              <w:rPr>
                <w:rFonts w:ascii="Arial" w:hAnsi="Arial" w:cs="Arial"/>
                <w:spacing w:val="-2"/>
              </w:rPr>
              <w:t>of</w:t>
            </w:r>
            <w:r w:rsidRPr="00E60448">
              <w:rPr>
                <w:rFonts w:ascii="Arial" w:hAnsi="Arial" w:cs="Arial"/>
                <w:spacing w:val="30"/>
              </w:rPr>
              <w:t xml:space="preserve"> </w:t>
            </w:r>
            <w:r w:rsidRPr="00E60448">
              <w:rPr>
                <w:rFonts w:ascii="Arial" w:hAnsi="Arial" w:cs="Arial"/>
                <w:spacing w:val="-1"/>
              </w:rPr>
              <w:t>data</w:t>
            </w:r>
            <w:r w:rsidRPr="00E60448">
              <w:rPr>
                <w:rFonts w:ascii="Arial" w:hAnsi="Arial" w:cs="Arial"/>
                <w:spacing w:val="-2"/>
              </w:rPr>
              <w:t xml:space="preserve"> </w:t>
            </w:r>
            <w:r w:rsidRPr="00E60448">
              <w:rPr>
                <w:rFonts w:ascii="Arial" w:hAnsi="Arial" w:cs="Arial"/>
                <w:spacing w:val="-1"/>
              </w:rPr>
              <w:t>resources</w:t>
            </w:r>
            <w:r w:rsidRPr="00E60448">
              <w:rPr>
                <w:rFonts w:ascii="Arial" w:hAnsi="Arial" w:cs="Arial"/>
                <w:spacing w:val="1"/>
              </w:rPr>
              <w:t xml:space="preserve"> </w:t>
            </w:r>
            <w:r w:rsidRPr="00E60448">
              <w:rPr>
                <w:rFonts w:ascii="Arial" w:hAnsi="Arial" w:cs="Arial"/>
                <w:spacing w:val="-2"/>
              </w:rPr>
              <w:t>available</w:t>
            </w:r>
            <w:r w:rsidRPr="00E60448">
              <w:rPr>
                <w:rFonts w:ascii="Arial" w:hAnsi="Arial" w:cs="Arial"/>
              </w:rPr>
              <w:t xml:space="preserve"> for</w:t>
            </w:r>
            <w:r w:rsidRPr="00E60448">
              <w:rPr>
                <w:rFonts w:ascii="Arial" w:hAnsi="Arial" w:cs="Arial"/>
                <w:spacing w:val="35"/>
              </w:rPr>
              <w:t xml:space="preserve"> </w:t>
            </w:r>
            <w:r w:rsidRPr="00E60448">
              <w:rPr>
                <w:rFonts w:ascii="Arial" w:hAnsi="Arial" w:cs="Arial"/>
                <w:spacing w:val="-1"/>
              </w:rPr>
              <w:t>business</w:t>
            </w:r>
            <w:r w:rsidRPr="00E60448">
              <w:rPr>
                <w:rFonts w:ascii="Arial" w:hAnsi="Arial" w:cs="Arial"/>
                <w:spacing w:val="1"/>
              </w:rPr>
              <w:t xml:space="preserve"> </w:t>
            </w:r>
            <w:r w:rsidRPr="00E60448">
              <w:rPr>
                <w:rFonts w:ascii="Arial" w:hAnsi="Arial" w:cs="Arial"/>
                <w:spacing w:val="-1"/>
              </w:rPr>
              <w:t>owners</w:t>
            </w:r>
            <w:r w:rsidRPr="00E60448">
              <w:rPr>
                <w:rFonts w:ascii="Arial" w:hAnsi="Arial" w:cs="Arial"/>
                <w:spacing w:val="1"/>
              </w:rPr>
              <w:t xml:space="preserve"> </w:t>
            </w:r>
            <w:r w:rsidRPr="00E60448">
              <w:rPr>
                <w:rFonts w:ascii="Arial" w:hAnsi="Arial" w:cs="Arial"/>
                <w:spacing w:val="-1"/>
              </w:rPr>
              <w:t>and</w:t>
            </w:r>
            <w:r w:rsidRPr="00E60448">
              <w:rPr>
                <w:rFonts w:ascii="Arial" w:hAnsi="Arial" w:cs="Arial"/>
              </w:rPr>
              <w:t xml:space="preserve"> </w:t>
            </w:r>
            <w:r w:rsidRPr="00E60448">
              <w:rPr>
                <w:rFonts w:ascii="Arial" w:hAnsi="Arial" w:cs="Arial"/>
                <w:spacing w:val="-1"/>
              </w:rPr>
              <w:t>investors</w:t>
            </w:r>
          </w:p>
        </w:tc>
        <w:tc>
          <w:tcPr>
            <w:tcW w:w="3600" w:type="dxa"/>
            <w:shd w:val="clear" w:color="auto" w:fill="auto"/>
            <w:tcMar>
              <w:top w:w="72" w:type="dxa"/>
              <w:left w:w="144" w:type="dxa"/>
              <w:bottom w:w="72" w:type="dxa"/>
              <w:right w:w="144" w:type="dxa"/>
            </w:tcMar>
            <w:vAlign w:val="center"/>
          </w:tcPr>
          <w:p w14:paraId="4B18C8A6" w14:textId="1EE245EB" w:rsidR="008B61E0" w:rsidRPr="00797A48" w:rsidRDefault="00F7009E" w:rsidP="008B61E0">
            <w:pPr>
              <w:rPr>
                <w:rFonts w:ascii="Garamond" w:hAnsi="Garamond"/>
                <w:sz w:val="24"/>
                <w:szCs w:val="24"/>
              </w:rPr>
            </w:pPr>
            <w:r w:rsidRPr="00797A48">
              <w:rPr>
                <w:rFonts w:ascii="Garamond" w:hAnsi="Garamond"/>
                <w:sz w:val="24"/>
                <w:szCs w:val="24"/>
              </w:rPr>
              <w:t>SE MA and regional data has been shared with municipalities and chambers to develop economic &amp; workforce strategies.</w:t>
            </w:r>
          </w:p>
        </w:tc>
        <w:tc>
          <w:tcPr>
            <w:tcW w:w="4590" w:type="dxa"/>
            <w:shd w:val="clear" w:color="auto" w:fill="auto"/>
            <w:tcMar>
              <w:top w:w="72" w:type="dxa"/>
              <w:left w:w="144" w:type="dxa"/>
              <w:bottom w:w="72" w:type="dxa"/>
              <w:right w:w="144" w:type="dxa"/>
            </w:tcMar>
            <w:vAlign w:val="center"/>
          </w:tcPr>
          <w:p w14:paraId="10D65FAD" w14:textId="168B7C88" w:rsidR="008B61E0" w:rsidRPr="00797A48" w:rsidRDefault="00F7009E" w:rsidP="008B61E0">
            <w:pPr>
              <w:rPr>
                <w:rFonts w:ascii="Garamond" w:hAnsi="Garamond"/>
                <w:sz w:val="24"/>
                <w:szCs w:val="24"/>
              </w:rPr>
            </w:pPr>
            <w:r w:rsidRPr="00797A48">
              <w:rPr>
                <w:rFonts w:ascii="Garamond" w:hAnsi="Garamond"/>
                <w:sz w:val="24"/>
                <w:szCs w:val="24"/>
              </w:rPr>
              <w:t>Continuous</w:t>
            </w:r>
          </w:p>
        </w:tc>
      </w:tr>
      <w:tr w:rsidR="008B61E0" w:rsidRPr="008B37BD" w14:paraId="2213DD0E" w14:textId="77777777" w:rsidTr="00093DF5">
        <w:trPr>
          <w:trHeight w:val="288"/>
        </w:trPr>
        <w:tc>
          <w:tcPr>
            <w:tcW w:w="2345" w:type="dxa"/>
            <w:shd w:val="clear" w:color="auto" w:fill="DEEBF7"/>
            <w:tcMar>
              <w:top w:w="72" w:type="dxa"/>
              <w:left w:w="144" w:type="dxa"/>
              <w:bottom w:w="72" w:type="dxa"/>
              <w:right w:w="144" w:type="dxa"/>
            </w:tcMar>
            <w:vAlign w:val="center"/>
          </w:tcPr>
          <w:p w14:paraId="1C0CE8C4" w14:textId="5C15AB9C" w:rsidR="008B61E0" w:rsidRPr="00797A48" w:rsidRDefault="008B61E0" w:rsidP="00797A48">
            <w:pPr>
              <w:kinsoku w:val="0"/>
              <w:overflowPunct w:val="0"/>
              <w:autoSpaceDE w:val="0"/>
              <w:autoSpaceDN w:val="0"/>
              <w:adjustRightInd w:val="0"/>
              <w:ind w:right="192"/>
              <w:rPr>
                <w:rFonts w:ascii="Arial" w:hAnsi="Arial" w:cs="Arial"/>
                <w:spacing w:val="-1"/>
              </w:rPr>
            </w:pPr>
            <w:r w:rsidRPr="00E60448">
              <w:rPr>
                <w:rFonts w:ascii="Arial" w:hAnsi="Arial" w:cs="Arial"/>
                <w:spacing w:val="-1"/>
              </w:rPr>
              <w:t>Survey</w:t>
            </w:r>
            <w:r w:rsidRPr="00E60448">
              <w:rPr>
                <w:rFonts w:ascii="Arial" w:hAnsi="Arial" w:cs="Arial"/>
                <w:spacing w:val="-2"/>
              </w:rPr>
              <w:t xml:space="preserve"> </w:t>
            </w:r>
            <w:r w:rsidRPr="00E60448">
              <w:rPr>
                <w:rFonts w:ascii="Arial" w:hAnsi="Arial" w:cs="Arial"/>
                <w:spacing w:val="-1"/>
              </w:rPr>
              <w:t>and</w:t>
            </w:r>
            <w:r w:rsidRPr="00E60448">
              <w:rPr>
                <w:rFonts w:ascii="Arial" w:hAnsi="Arial" w:cs="Arial"/>
              </w:rPr>
              <w:t xml:space="preserve"> </w:t>
            </w:r>
            <w:r w:rsidRPr="00E60448">
              <w:rPr>
                <w:rFonts w:ascii="Arial" w:hAnsi="Arial" w:cs="Arial"/>
                <w:spacing w:val="-1"/>
              </w:rPr>
              <w:t>determine</w:t>
            </w:r>
            <w:r w:rsidRPr="00E60448">
              <w:rPr>
                <w:rFonts w:ascii="Arial" w:hAnsi="Arial" w:cs="Arial"/>
                <w:spacing w:val="-2"/>
              </w:rPr>
              <w:t xml:space="preserve"> </w:t>
            </w:r>
            <w:r w:rsidRPr="00E60448">
              <w:rPr>
                <w:rFonts w:ascii="Arial" w:hAnsi="Arial" w:cs="Arial"/>
                <w:spacing w:val="-1"/>
              </w:rPr>
              <w:t>alignment</w:t>
            </w:r>
            <w:r w:rsidRPr="00E60448">
              <w:rPr>
                <w:rFonts w:ascii="Arial" w:hAnsi="Arial" w:cs="Arial"/>
                <w:spacing w:val="31"/>
              </w:rPr>
              <w:t xml:space="preserve"> </w:t>
            </w:r>
            <w:r w:rsidRPr="00E60448">
              <w:rPr>
                <w:rFonts w:ascii="Arial" w:hAnsi="Arial" w:cs="Arial"/>
                <w:spacing w:val="-1"/>
              </w:rPr>
              <w:t>and</w:t>
            </w:r>
            <w:r w:rsidRPr="00E60448">
              <w:rPr>
                <w:rFonts w:ascii="Arial" w:hAnsi="Arial" w:cs="Arial"/>
              </w:rPr>
              <w:t xml:space="preserve"> </w:t>
            </w:r>
            <w:r w:rsidRPr="00E60448">
              <w:rPr>
                <w:rFonts w:ascii="Arial" w:hAnsi="Arial" w:cs="Arial"/>
                <w:spacing w:val="-1"/>
              </w:rPr>
              <w:t xml:space="preserve">delivery </w:t>
            </w:r>
            <w:r w:rsidRPr="00E60448">
              <w:rPr>
                <w:rFonts w:ascii="Arial" w:hAnsi="Arial" w:cs="Arial"/>
              </w:rPr>
              <w:t>of</w:t>
            </w:r>
            <w:r w:rsidRPr="00E60448">
              <w:rPr>
                <w:rFonts w:ascii="Arial" w:hAnsi="Arial" w:cs="Arial"/>
                <w:spacing w:val="3"/>
              </w:rPr>
              <w:t xml:space="preserve"> </w:t>
            </w:r>
            <w:r w:rsidRPr="00E60448">
              <w:rPr>
                <w:rFonts w:ascii="Arial" w:hAnsi="Arial" w:cs="Arial"/>
                <w:spacing w:val="-1"/>
              </w:rPr>
              <w:t>existing</w:t>
            </w:r>
            <w:r w:rsidRPr="00E60448">
              <w:rPr>
                <w:rFonts w:ascii="Arial" w:hAnsi="Arial" w:cs="Arial"/>
                <w:spacing w:val="-2"/>
              </w:rPr>
              <w:t xml:space="preserve"> </w:t>
            </w:r>
            <w:r w:rsidRPr="00E60448">
              <w:rPr>
                <w:rFonts w:ascii="Arial" w:hAnsi="Arial" w:cs="Arial"/>
                <w:spacing w:val="-1"/>
              </w:rPr>
              <w:t>job</w:t>
            </w:r>
            <w:r w:rsidRPr="00E60448">
              <w:rPr>
                <w:rFonts w:ascii="Arial" w:hAnsi="Arial" w:cs="Arial"/>
              </w:rPr>
              <w:t xml:space="preserve"> </w:t>
            </w:r>
            <w:r w:rsidRPr="00E60448">
              <w:rPr>
                <w:rFonts w:ascii="Arial" w:hAnsi="Arial" w:cs="Arial"/>
                <w:spacing w:val="-1"/>
              </w:rPr>
              <w:t>and</w:t>
            </w:r>
            <w:r w:rsidRPr="00E60448">
              <w:rPr>
                <w:rFonts w:ascii="Arial" w:hAnsi="Arial" w:cs="Arial"/>
                <w:spacing w:val="28"/>
              </w:rPr>
              <w:t xml:space="preserve"> </w:t>
            </w:r>
            <w:r w:rsidRPr="00E60448">
              <w:rPr>
                <w:rFonts w:ascii="Arial" w:hAnsi="Arial" w:cs="Arial"/>
              </w:rPr>
              <w:t>career</w:t>
            </w:r>
            <w:r w:rsidRPr="00E60448">
              <w:rPr>
                <w:rFonts w:ascii="Arial" w:hAnsi="Arial" w:cs="Arial"/>
                <w:spacing w:val="-1"/>
              </w:rPr>
              <w:t xml:space="preserve"> readiness</w:t>
            </w:r>
            <w:r w:rsidRPr="00E60448">
              <w:rPr>
                <w:rFonts w:ascii="Arial" w:hAnsi="Arial" w:cs="Arial"/>
                <w:spacing w:val="-2"/>
              </w:rPr>
              <w:t xml:space="preserve"> </w:t>
            </w:r>
            <w:r w:rsidRPr="00E60448">
              <w:rPr>
                <w:rFonts w:ascii="Arial" w:hAnsi="Arial" w:cs="Arial"/>
                <w:spacing w:val="-1"/>
              </w:rPr>
              <w:t>activities</w:t>
            </w:r>
            <w:r w:rsidRPr="00E60448">
              <w:rPr>
                <w:rFonts w:ascii="Arial" w:hAnsi="Arial" w:cs="Arial"/>
                <w:spacing w:val="29"/>
              </w:rPr>
              <w:t xml:space="preserve"> </w:t>
            </w:r>
            <w:r w:rsidRPr="00E60448">
              <w:rPr>
                <w:rFonts w:ascii="Arial" w:hAnsi="Arial" w:cs="Arial"/>
                <w:spacing w:val="-1"/>
              </w:rPr>
              <w:lastRenderedPageBreak/>
              <w:t>amongst high</w:t>
            </w:r>
            <w:r w:rsidRPr="00E60448">
              <w:rPr>
                <w:rFonts w:ascii="Arial" w:hAnsi="Arial" w:cs="Arial"/>
              </w:rPr>
              <w:t xml:space="preserve"> </w:t>
            </w:r>
            <w:r w:rsidRPr="00E60448">
              <w:rPr>
                <w:rFonts w:ascii="Arial" w:hAnsi="Arial" w:cs="Arial"/>
                <w:spacing w:val="-1"/>
              </w:rPr>
              <w:t xml:space="preserve">schools, </w:t>
            </w:r>
            <w:proofErr w:type="gramStart"/>
            <w:r w:rsidRPr="00E60448">
              <w:rPr>
                <w:rFonts w:ascii="Arial" w:hAnsi="Arial" w:cs="Arial"/>
                <w:spacing w:val="-1"/>
              </w:rPr>
              <w:t>colleges</w:t>
            </w:r>
            <w:proofErr w:type="gramEnd"/>
            <w:r w:rsidRPr="00E60448">
              <w:rPr>
                <w:rFonts w:ascii="Arial" w:hAnsi="Arial" w:cs="Arial"/>
                <w:spacing w:val="23"/>
              </w:rPr>
              <w:t xml:space="preserve"> </w:t>
            </w:r>
            <w:r w:rsidRPr="00E60448">
              <w:rPr>
                <w:rFonts w:ascii="Arial" w:hAnsi="Arial" w:cs="Arial"/>
                <w:spacing w:val="-1"/>
              </w:rPr>
              <w:t>and</w:t>
            </w:r>
            <w:r w:rsidRPr="00E60448">
              <w:rPr>
                <w:rFonts w:ascii="Arial" w:hAnsi="Arial" w:cs="Arial"/>
              </w:rPr>
              <w:t xml:space="preserve"> </w:t>
            </w:r>
            <w:r w:rsidRPr="00E60448">
              <w:rPr>
                <w:rFonts w:ascii="Arial" w:hAnsi="Arial" w:cs="Arial"/>
                <w:spacing w:val="-1"/>
              </w:rPr>
              <w:t>workforce</w:t>
            </w:r>
            <w:r w:rsidRPr="00E60448">
              <w:rPr>
                <w:rFonts w:ascii="Arial" w:hAnsi="Arial" w:cs="Arial"/>
                <w:spacing w:val="-2"/>
              </w:rPr>
              <w:t xml:space="preserve"> </w:t>
            </w:r>
            <w:r w:rsidRPr="00E60448">
              <w:rPr>
                <w:rFonts w:ascii="Arial" w:hAnsi="Arial" w:cs="Arial"/>
                <w:spacing w:val="-1"/>
              </w:rPr>
              <w:t>board</w:t>
            </w:r>
            <w:r w:rsidRPr="00E60448">
              <w:rPr>
                <w:rFonts w:ascii="Arial" w:hAnsi="Arial" w:cs="Arial"/>
                <w:spacing w:val="-2"/>
              </w:rPr>
              <w:t xml:space="preserve"> </w:t>
            </w:r>
            <w:r w:rsidRPr="00E60448">
              <w:rPr>
                <w:rFonts w:ascii="Arial" w:hAnsi="Arial" w:cs="Arial"/>
                <w:spacing w:val="-1"/>
              </w:rPr>
              <w:t>initiatives</w:t>
            </w:r>
            <w:r w:rsidRPr="00E60448">
              <w:rPr>
                <w:rFonts w:ascii="Arial" w:hAnsi="Arial" w:cs="Arial"/>
              </w:rPr>
              <w:t xml:space="preserve"> in</w:t>
            </w:r>
            <w:r w:rsidRPr="00E60448">
              <w:rPr>
                <w:rFonts w:ascii="Arial" w:hAnsi="Arial" w:cs="Arial"/>
                <w:spacing w:val="31"/>
              </w:rPr>
              <w:t xml:space="preserve"> </w:t>
            </w:r>
            <w:r w:rsidRPr="00E60448">
              <w:rPr>
                <w:rFonts w:ascii="Arial" w:hAnsi="Arial" w:cs="Arial"/>
              </w:rPr>
              <w:t>the</w:t>
            </w:r>
            <w:r w:rsidRPr="00E60448">
              <w:rPr>
                <w:rFonts w:ascii="Arial" w:hAnsi="Arial" w:cs="Arial"/>
                <w:spacing w:val="-2"/>
              </w:rPr>
              <w:t xml:space="preserve"> </w:t>
            </w:r>
            <w:r w:rsidRPr="00E60448">
              <w:rPr>
                <w:rFonts w:ascii="Arial" w:hAnsi="Arial" w:cs="Arial"/>
                <w:spacing w:val="-1"/>
              </w:rPr>
              <w:t>region.</w:t>
            </w:r>
          </w:p>
        </w:tc>
        <w:tc>
          <w:tcPr>
            <w:tcW w:w="3600" w:type="dxa"/>
            <w:shd w:val="clear" w:color="auto" w:fill="auto"/>
            <w:tcMar>
              <w:top w:w="72" w:type="dxa"/>
              <w:left w:w="144" w:type="dxa"/>
              <w:bottom w:w="72" w:type="dxa"/>
              <w:right w:w="144" w:type="dxa"/>
            </w:tcMar>
            <w:vAlign w:val="center"/>
          </w:tcPr>
          <w:p w14:paraId="364A5AFB" w14:textId="7D0215A2" w:rsidR="008B61E0" w:rsidRPr="00797A48" w:rsidRDefault="00F7009E" w:rsidP="008B61E0">
            <w:pPr>
              <w:rPr>
                <w:rFonts w:ascii="Garamond" w:hAnsi="Garamond"/>
                <w:sz w:val="24"/>
                <w:szCs w:val="24"/>
              </w:rPr>
            </w:pPr>
            <w:r w:rsidRPr="00797A48">
              <w:rPr>
                <w:rFonts w:ascii="Garamond" w:hAnsi="Garamond"/>
                <w:sz w:val="24"/>
                <w:szCs w:val="24"/>
              </w:rPr>
              <w:lastRenderedPageBreak/>
              <w:t xml:space="preserve">This is being conducted through our Connecting Activities program and the newly created manufacturing planning team which is comprised of secondary, </w:t>
            </w:r>
            <w:r w:rsidR="00797A48" w:rsidRPr="00797A48">
              <w:rPr>
                <w:rFonts w:ascii="Garamond" w:hAnsi="Garamond"/>
                <w:sz w:val="24"/>
                <w:szCs w:val="24"/>
              </w:rPr>
              <w:lastRenderedPageBreak/>
              <w:t>post-secondary</w:t>
            </w:r>
            <w:r w:rsidRPr="00797A48">
              <w:rPr>
                <w:rFonts w:ascii="Garamond" w:hAnsi="Garamond"/>
                <w:sz w:val="24"/>
                <w:szCs w:val="24"/>
              </w:rPr>
              <w:t xml:space="preserve"> and workforce professionals.</w:t>
            </w:r>
          </w:p>
        </w:tc>
        <w:tc>
          <w:tcPr>
            <w:tcW w:w="4590" w:type="dxa"/>
            <w:shd w:val="clear" w:color="auto" w:fill="auto"/>
            <w:tcMar>
              <w:top w:w="72" w:type="dxa"/>
              <w:left w:w="144" w:type="dxa"/>
              <w:bottom w:w="72" w:type="dxa"/>
              <w:right w:w="144" w:type="dxa"/>
            </w:tcMar>
            <w:vAlign w:val="center"/>
          </w:tcPr>
          <w:p w14:paraId="5D91165D" w14:textId="1D917A01" w:rsidR="008B61E0" w:rsidRPr="00797A48" w:rsidRDefault="00F7009E" w:rsidP="008B61E0">
            <w:pPr>
              <w:rPr>
                <w:rFonts w:ascii="Garamond" w:hAnsi="Garamond"/>
                <w:sz w:val="24"/>
                <w:szCs w:val="24"/>
              </w:rPr>
            </w:pPr>
            <w:r w:rsidRPr="00797A48">
              <w:rPr>
                <w:rFonts w:ascii="Garamond" w:hAnsi="Garamond"/>
                <w:sz w:val="24"/>
                <w:szCs w:val="24"/>
              </w:rPr>
              <w:lastRenderedPageBreak/>
              <w:t>Collaborative planning in process for manufacturing, Finance and IT will also be reviewed.</w:t>
            </w:r>
            <w:r w:rsidR="00797A48" w:rsidRPr="00797A48">
              <w:rPr>
                <w:rFonts w:ascii="Garamond" w:hAnsi="Garamond"/>
                <w:sz w:val="24"/>
                <w:szCs w:val="24"/>
              </w:rPr>
              <w:t xml:space="preserve"> </w:t>
            </w:r>
            <w:r w:rsidRPr="00797A48">
              <w:rPr>
                <w:rFonts w:ascii="Garamond" w:hAnsi="Garamond"/>
                <w:sz w:val="24"/>
                <w:szCs w:val="24"/>
              </w:rPr>
              <w:t xml:space="preserve"> </w:t>
            </w:r>
          </w:p>
        </w:tc>
      </w:tr>
      <w:tr w:rsidR="008B61E0" w:rsidRPr="008B37BD" w14:paraId="137F23CE" w14:textId="77777777" w:rsidTr="00093DF5">
        <w:trPr>
          <w:trHeight w:val="288"/>
        </w:trPr>
        <w:tc>
          <w:tcPr>
            <w:tcW w:w="2345" w:type="dxa"/>
            <w:shd w:val="clear" w:color="auto" w:fill="DEEBF7"/>
            <w:tcMar>
              <w:top w:w="72" w:type="dxa"/>
              <w:left w:w="144" w:type="dxa"/>
              <w:bottom w:w="72" w:type="dxa"/>
              <w:right w:w="144" w:type="dxa"/>
            </w:tcMar>
            <w:vAlign w:val="center"/>
          </w:tcPr>
          <w:p w14:paraId="6F1431CF" w14:textId="31ED3A4D" w:rsidR="008B61E0" w:rsidRPr="008B37BD" w:rsidRDefault="008B61E0" w:rsidP="00F7009E">
            <w:pPr>
              <w:kinsoku w:val="0"/>
              <w:overflowPunct w:val="0"/>
              <w:autoSpaceDE w:val="0"/>
              <w:autoSpaceDN w:val="0"/>
              <w:adjustRightInd w:val="0"/>
              <w:ind w:left="102" w:right="131"/>
              <w:rPr>
                <w:b/>
                <w:bCs/>
                <w:i/>
                <w:iCs/>
              </w:rPr>
            </w:pPr>
            <w:r w:rsidRPr="00E60448">
              <w:rPr>
                <w:rFonts w:ascii="Arial" w:hAnsi="Arial" w:cs="Arial"/>
                <w:spacing w:val="-1"/>
              </w:rPr>
              <w:t>Establish</w:t>
            </w:r>
            <w:r w:rsidRPr="00E60448">
              <w:rPr>
                <w:rFonts w:ascii="Arial" w:hAnsi="Arial" w:cs="Arial"/>
              </w:rPr>
              <w:t xml:space="preserve"> </w:t>
            </w:r>
            <w:r w:rsidRPr="00E60448">
              <w:rPr>
                <w:rFonts w:ascii="Arial" w:hAnsi="Arial" w:cs="Arial"/>
                <w:spacing w:val="-1"/>
              </w:rPr>
              <w:t>two</w:t>
            </w:r>
            <w:r w:rsidRPr="00E60448">
              <w:rPr>
                <w:rFonts w:ascii="Arial" w:hAnsi="Arial" w:cs="Arial"/>
              </w:rPr>
              <w:t xml:space="preserve"> new</w:t>
            </w:r>
            <w:r w:rsidRPr="00E60448">
              <w:rPr>
                <w:rFonts w:ascii="Arial" w:hAnsi="Arial" w:cs="Arial"/>
                <w:spacing w:val="-3"/>
              </w:rPr>
              <w:t xml:space="preserve"> </w:t>
            </w:r>
            <w:r w:rsidRPr="00E60448">
              <w:rPr>
                <w:rFonts w:ascii="Arial" w:hAnsi="Arial" w:cs="Arial"/>
                <w:spacing w:val="-1"/>
              </w:rPr>
              <w:t>regional sector</w:t>
            </w:r>
            <w:r w:rsidRPr="00E60448">
              <w:rPr>
                <w:rFonts w:ascii="Arial" w:hAnsi="Arial" w:cs="Arial"/>
                <w:spacing w:val="30"/>
              </w:rPr>
              <w:t xml:space="preserve"> </w:t>
            </w:r>
            <w:r w:rsidRPr="00E60448">
              <w:rPr>
                <w:rFonts w:ascii="Arial" w:hAnsi="Arial" w:cs="Arial"/>
                <w:spacing w:val="-1"/>
              </w:rPr>
              <w:t>partnerships</w:t>
            </w:r>
            <w:r w:rsidRPr="00E60448">
              <w:rPr>
                <w:rFonts w:ascii="Arial" w:hAnsi="Arial" w:cs="Arial"/>
              </w:rPr>
              <w:t xml:space="preserve"> in </w:t>
            </w:r>
            <w:r w:rsidRPr="00E60448">
              <w:rPr>
                <w:rFonts w:ascii="Arial" w:hAnsi="Arial" w:cs="Arial"/>
                <w:spacing w:val="-1"/>
              </w:rPr>
              <w:t>critical</w:t>
            </w:r>
            <w:r w:rsidRPr="00E60448">
              <w:rPr>
                <w:rFonts w:ascii="Arial" w:hAnsi="Arial" w:cs="Arial"/>
                <w:spacing w:val="27"/>
              </w:rPr>
              <w:t xml:space="preserve"> </w:t>
            </w:r>
            <w:r w:rsidRPr="00E60448">
              <w:rPr>
                <w:rFonts w:ascii="Arial" w:hAnsi="Arial" w:cs="Arial"/>
                <w:spacing w:val="-1"/>
              </w:rPr>
              <w:t>partnerships</w:t>
            </w:r>
            <w:r w:rsidRPr="00E60448">
              <w:rPr>
                <w:rFonts w:ascii="Arial" w:hAnsi="Arial" w:cs="Arial"/>
                <w:spacing w:val="1"/>
              </w:rPr>
              <w:t xml:space="preserve"> </w:t>
            </w:r>
            <w:r w:rsidRPr="00E60448">
              <w:rPr>
                <w:rFonts w:ascii="Arial" w:hAnsi="Arial" w:cs="Arial"/>
                <w:spacing w:val="-1"/>
              </w:rPr>
              <w:t>in</w:t>
            </w:r>
            <w:r w:rsidRPr="00E60448">
              <w:rPr>
                <w:rFonts w:ascii="Arial" w:hAnsi="Arial" w:cs="Arial"/>
              </w:rPr>
              <w:t xml:space="preserve"> </w:t>
            </w:r>
            <w:r w:rsidRPr="00E60448">
              <w:rPr>
                <w:rFonts w:ascii="Arial" w:hAnsi="Arial" w:cs="Arial"/>
                <w:spacing w:val="-1"/>
              </w:rPr>
              <w:t>priority,</w:t>
            </w:r>
            <w:r w:rsidRPr="00E60448">
              <w:rPr>
                <w:rFonts w:ascii="Arial" w:hAnsi="Arial" w:cs="Arial"/>
                <w:spacing w:val="2"/>
              </w:rPr>
              <w:t xml:space="preserve"> </w:t>
            </w:r>
            <w:r w:rsidRPr="00E60448">
              <w:rPr>
                <w:rFonts w:ascii="Arial" w:hAnsi="Arial" w:cs="Arial"/>
                <w:spacing w:val="-1"/>
              </w:rPr>
              <w:t>critical</w:t>
            </w:r>
            <w:r w:rsidRPr="00E60448">
              <w:rPr>
                <w:rFonts w:ascii="Arial" w:hAnsi="Arial" w:cs="Arial"/>
                <w:spacing w:val="29"/>
              </w:rPr>
              <w:t xml:space="preserve"> </w:t>
            </w:r>
            <w:r w:rsidRPr="00E60448">
              <w:rPr>
                <w:rFonts w:ascii="Arial" w:hAnsi="Arial" w:cs="Arial"/>
                <w:spacing w:val="-1"/>
              </w:rPr>
              <w:t>and/or emerging</w:t>
            </w:r>
            <w:r w:rsidRPr="00E60448">
              <w:rPr>
                <w:rFonts w:ascii="Arial" w:hAnsi="Arial" w:cs="Arial"/>
              </w:rPr>
              <w:t xml:space="preserve"> </w:t>
            </w:r>
            <w:r w:rsidRPr="00E60448">
              <w:rPr>
                <w:rFonts w:ascii="Arial" w:hAnsi="Arial" w:cs="Arial"/>
                <w:spacing w:val="-1"/>
              </w:rPr>
              <w:t>industry</w:t>
            </w:r>
            <w:r w:rsidRPr="00E60448">
              <w:rPr>
                <w:rFonts w:ascii="Arial" w:hAnsi="Arial" w:cs="Arial"/>
                <w:spacing w:val="-2"/>
              </w:rPr>
              <w:t xml:space="preserve"> </w:t>
            </w:r>
            <w:r w:rsidRPr="00E60448">
              <w:rPr>
                <w:rFonts w:ascii="Arial" w:hAnsi="Arial" w:cs="Arial"/>
                <w:spacing w:val="-1"/>
              </w:rPr>
              <w:t>that</w:t>
            </w:r>
            <w:r w:rsidRPr="00E60448">
              <w:rPr>
                <w:rFonts w:ascii="Arial" w:hAnsi="Arial" w:cs="Arial"/>
                <w:spacing w:val="21"/>
              </w:rPr>
              <w:t xml:space="preserve"> </w:t>
            </w:r>
            <w:r w:rsidRPr="00E60448">
              <w:rPr>
                <w:rFonts w:ascii="Arial" w:hAnsi="Arial" w:cs="Arial"/>
                <w:spacing w:val="-1"/>
              </w:rPr>
              <w:t>directly</w:t>
            </w:r>
            <w:r w:rsidRPr="00E60448">
              <w:rPr>
                <w:rFonts w:ascii="Arial" w:hAnsi="Arial" w:cs="Arial"/>
                <w:spacing w:val="-2"/>
              </w:rPr>
              <w:t xml:space="preserve"> </w:t>
            </w:r>
            <w:r w:rsidRPr="00E60448">
              <w:rPr>
                <w:rFonts w:ascii="Arial" w:hAnsi="Arial" w:cs="Arial"/>
                <w:spacing w:val="-1"/>
              </w:rPr>
              <w:t>involves</w:t>
            </w:r>
            <w:r w:rsidRPr="00E60448">
              <w:rPr>
                <w:rFonts w:ascii="Arial" w:hAnsi="Arial" w:cs="Arial"/>
              </w:rPr>
              <w:t xml:space="preserve"> both </w:t>
            </w:r>
            <w:r w:rsidRPr="00E60448">
              <w:rPr>
                <w:rFonts w:ascii="Arial" w:hAnsi="Arial" w:cs="Arial"/>
                <w:spacing w:val="-1"/>
              </w:rPr>
              <w:t>leadership</w:t>
            </w:r>
            <w:r w:rsidRPr="00E60448">
              <w:rPr>
                <w:rFonts w:ascii="Arial" w:hAnsi="Arial" w:cs="Arial"/>
                <w:spacing w:val="27"/>
              </w:rPr>
              <w:t xml:space="preserve"> </w:t>
            </w:r>
            <w:r w:rsidRPr="00E60448">
              <w:rPr>
                <w:rFonts w:ascii="Arial" w:hAnsi="Arial" w:cs="Arial"/>
                <w:spacing w:val="-1"/>
              </w:rPr>
              <w:t>and</w:t>
            </w:r>
            <w:r w:rsidRPr="00E60448">
              <w:rPr>
                <w:rFonts w:ascii="Arial" w:hAnsi="Arial" w:cs="Arial"/>
              </w:rPr>
              <w:t xml:space="preserve"> human</w:t>
            </w:r>
            <w:r w:rsidRPr="00E60448">
              <w:rPr>
                <w:rFonts w:ascii="Arial" w:hAnsi="Arial" w:cs="Arial"/>
                <w:spacing w:val="-2"/>
              </w:rPr>
              <w:t xml:space="preserve"> </w:t>
            </w:r>
            <w:r w:rsidRPr="00E60448">
              <w:rPr>
                <w:rFonts w:ascii="Arial" w:hAnsi="Arial" w:cs="Arial"/>
                <w:spacing w:val="-1"/>
              </w:rPr>
              <w:t>resource</w:t>
            </w:r>
            <w:r w:rsidRPr="00E60448">
              <w:rPr>
                <w:rFonts w:ascii="Arial" w:hAnsi="Arial" w:cs="Arial"/>
                <w:spacing w:val="26"/>
              </w:rPr>
              <w:t xml:space="preserve"> </w:t>
            </w:r>
            <w:r w:rsidRPr="00E60448">
              <w:rPr>
                <w:rFonts w:ascii="Arial" w:hAnsi="Arial" w:cs="Arial"/>
                <w:spacing w:val="-1"/>
              </w:rPr>
              <w:t>professionals.</w:t>
            </w:r>
            <w:r w:rsidRPr="00E60448">
              <w:rPr>
                <w:rFonts w:ascii="Arial" w:hAnsi="Arial" w:cs="Arial"/>
              </w:rPr>
              <w:t xml:space="preserve"> </w:t>
            </w:r>
            <w:r w:rsidRPr="00E60448">
              <w:rPr>
                <w:rFonts w:ascii="Arial" w:hAnsi="Arial" w:cs="Arial"/>
                <w:spacing w:val="1"/>
              </w:rPr>
              <w:t xml:space="preserve"> </w:t>
            </w:r>
            <w:r w:rsidRPr="00E60448">
              <w:rPr>
                <w:rFonts w:ascii="Arial" w:hAnsi="Arial" w:cs="Arial"/>
                <w:spacing w:val="-2"/>
              </w:rPr>
              <w:t>Utilize</w:t>
            </w:r>
            <w:r w:rsidRPr="00E60448">
              <w:rPr>
                <w:rFonts w:ascii="Arial" w:hAnsi="Arial" w:cs="Arial"/>
              </w:rPr>
              <w:t xml:space="preserve"> these</w:t>
            </w:r>
            <w:r w:rsidRPr="00E60448">
              <w:rPr>
                <w:rFonts w:ascii="Arial" w:hAnsi="Arial" w:cs="Arial"/>
                <w:spacing w:val="21"/>
              </w:rPr>
              <w:t xml:space="preserve"> </w:t>
            </w:r>
            <w:r w:rsidRPr="00E60448">
              <w:rPr>
                <w:rFonts w:ascii="Arial" w:hAnsi="Arial" w:cs="Arial"/>
                <w:spacing w:val="-1"/>
              </w:rPr>
              <w:t>partnerships</w:t>
            </w:r>
            <w:r w:rsidRPr="00E60448">
              <w:rPr>
                <w:rFonts w:ascii="Arial" w:hAnsi="Arial" w:cs="Arial"/>
                <w:spacing w:val="-2"/>
              </w:rPr>
              <w:t xml:space="preserve"> </w:t>
            </w:r>
            <w:r w:rsidRPr="00E60448">
              <w:rPr>
                <w:rFonts w:ascii="Arial" w:hAnsi="Arial" w:cs="Arial"/>
              </w:rPr>
              <w:t xml:space="preserve">to </w:t>
            </w:r>
            <w:r w:rsidRPr="00E60448">
              <w:rPr>
                <w:rFonts w:ascii="Arial" w:hAnsi="Arial" w:cs="Arial"/>
                <w:spacing w:val="-1"/>
              </w:rPr>
              <w:t>identify</w:t>
            </w:r>
            <w:r w:rsidRPr="00E60448">
              <w:rPr>
                <w:rFonts w:ascii="Arial" w:hAnsi="Arial" w:cs="Arial"/>
                <w:spacing w:val="-2"/>
              </w:rPr>
              <w:t xml:space="preserve"> </w:t>
            </w:r>
            <w:r w:rsidRPr="00E60448">
              <w:rPr>
                <w:rFonts w:ascii="Arial" w:hAnsi="Arial" w:cs="Arial"/>
                <w:spacing w:val="-1"/>
              </w:rPr>
              <w:t>industry-</w:t>
            </w:r>
            <w:r w:rsidRPr="00E60448">
              <w:rPr>
                <w:rFonts w:ascii="Arial" w:hAnsi="Arial" w:cs="Arial"/>
                <w:spacing w:val="27"/>
              </w:rPr>
              <w:t xml:space="preserve"> </w:t>
            </w:r>
            <w:r w:rsidRPr="00E60448">
              <w:rPr>
                <w:rFonts w:ascii="Arial" w:hAnsi="Arial" w:cs="Arial"/>
                <w:spacing w:val="-1"/>
              </w:rPr>
              <w:t>specific</w:t>
            </w:r>
            <w:r w:rsidRPr="00E60448">
              <w:rPr>
                <w:rFonts w:ascii="Arial" w:hAnsi="Arial" w:cs="Arial"/>
                <w:spacing w:val="-2"/>
              </w:rPr>
              <w:t xml:space="preserve"> </w:t>
            </w:r>
            <w:r w:rsidRPr="00E60448">
              <w:rPr>
                <w:rFonts w:ascii="Arial" w:hAnsi="Arial" w:cs="Arial"/>
                <w:spacing w:val="-1"/>
              </w:rPr>
              <w:t>goals.</w:t>
            </w:r>
          </w:p>
        </w:tc>
        <w:tc>
          <w:tcPr>
            <w:tcW w:w="3600" w:type="dxa"/>
            <w:shd w:val="clear" w:color="auto" w:fill="auto"/>
            <w:tcMar>
              <w:top w:w="72" w:type="dxa"/>
              <w:left w:w="144" w:type="dxa"/>
              <w:bottom w:w="72" w:type="dxa"/>
              <w:right w:w="144" w:type="dxa"/>
            </w:tcMar>
            <w:vAlign w:val="center"/>
          </w:tcPr>
          <w:p w14:paraId="74C7B63A" w14:textId="3A32FFC7" w:rsidR="008B61E0" w:rsidRPr="00797A48" w:rsidRDefault="00F7009E" w:rsidP="008B61E0">
            <w:pPr>
              <w:rPr>
                <w:rFonts w:ascii="Garamond" w:hAnsi="Garamond"/>
                <w:sz w:val="24"/>
                <w:szCs w:val="24"/>
              </w:rPr>
            </w:pPr>
            <w:r w:rsidRPr="00797A48">
              <w:rPr>
                <w:rFonts w:ascii="Garamond" w:hAnsi="Garamond"/>
                <w:sz w:val="24"/>
                <w:szCs w:val="24"/>
              </w:rPr>
              <w:t xml:space="preserve">New partnerships and solidifying existing collaborations </w:t>
            </w:r>
            <w:proofErr w:type="gramStart"/>
            <w:r w:rsidRPr="00797A48">
              <w:rPr>
                <w:rFonts w:ascii="Garamond" w:hAnsi="Garamond"/>
                <w:sz w:val="24"/>
                <w:szCs w:val="24"/>
              </w:rPr>
              <w:t>has</w:t>
            </w:r>
            <w:proofErr w:type="gramEnd"/>
            <w:r w:rsidRPr="00797A48">
              <w:rPr>
                <w:rFonts w:ascii="Garamond" w:hAnsi="Garamond"/>
                <w:sz w:val="24"/>
                <w:szCs w:val="24"/>
              </w:rPr>
              <w:t xml:space="preserve"> been conducted in Transportation and Healthcare.  Finance and manufacturing strengthened.</w:t>
            </w:r>
          </w:p>
        </w:tc>
        <w:tc>
          <w:tcPr>
            <w:tcW w:w="4590" w:type="dxa"/>
            <w:shd w:val="clear" w:color="auto" w:fill="auto"/>
            <w:tcMar>
              <w:top w:w="72" w:type="dxa"/>
              <w:left w:w="144" w:type="dxa"/>
              <w:bottom w:w="72" w:type="dxa"/>
              <w:right w:w="144" w:type="dxa"/>
            </w:tcMar>
            <w:vAlign w:val="center"/>
          </w:tcPr>
          <w:p w14:paraId="2CA6BBCB" w14:textId="4C354036" w:rsidR="008B61E0" w:rsidRPr="00797A48" w:rsidRDefault="00F7009E" w:rsidP="008B61E0">
            <w:pPr>
              <w:rPr>
                <w:rFonts w:ascii="Garamond" w:hAnsi="Garamond"/>
                <w:sz w:val="24"/>
                <w:szCs w:val="24"/>
              </w:rPr>
            </w:pPr>
            <w:r w:rsidRPr="00797A48">
              <w:rPr>
                <w:rFonts w:ascii="Garamond" w:hAnsi="Garamond"/>
                <w:sz w:val="24"/>
                <w:szCs w:val="24"/>
              </w:rPr>
              <w:t>Continuous</w:t>
            </w:r>
          </w:p>
        </w:tc>
      </w:tr>
      <w:tr w:rsidR="008B61E0" w:rsidRPr="00797A48" w14:paraId="5A5A2481" w14:textId="77777777" w:rsidTr="00093DF5">
        <w:trPr>
          <w:trHeight w:val="288"/>
        </w:trPr>
        <w:tc>
          <w:tcPr>
            <w:tcW w:w="2345" w:type="dxa"/>
            <w:shd w:val="clear" w:color="auto" w:fill="DEEBF7"/>
            <w:tcMar>
              <w:top w:w="72" w:type="dxa"/>
              <w:left w:w="144" w:type="dxa"/>
              <w:bottom w:w="72" w:type="dxa"/>
              <w:right w:w="144" w:type="dxa"/>
            </w:tcMar>
            <w:vAlign w:val="center"/>
          </w:tcPr>
          <w:p w14:paraId="0F8D4D23" w14:textId="311B779E" w:rsidR="008B61E0" w:rsidRPr="008B37BD" w:rsidRDefault="008B61E0" w:rsidP="00F7009E">
            <w:pPr>
              <w:kinsoku w:val="0"/>
              <w:overflowPunct w:val="0"/>
              <w:autoSpaceDE w:val="0"/>
              <w:autoSpaceDN w:val="0"/>
              <w:adjustRightInd w:val="0"/>
              <w:ind w:right="192"/>
              <w:rPr>
                <w:b/>
                <w:bCs/>
                <w:i/>
                <w:iCs/>
              </w:rPr>
            </w:pPr>
            <w:r w:rsidRPr="00E60448">
              <w:rPr>
                <w:rFonts w:ascii="Arial" w:hAnsi="Arial" w:cs="Arial"/>
                <w:spacing w:val="-1"/>
              </w:rPr>
              <w:t>Produce</w:t>
            </w:r>
            <w:r w:rsidRPr="00E60448">
              <w:rPr>
                <w:rFonts w:ascii="Arial" w:hAnsi="Arial" w:cs="Arial"/>
              </w:rPr>
              <w:t xml:space="preserve"> </w:t>
            </w:r>
            <w:r w:rsidRPr="00E60448">
              <w:rPr>
                <w:rFonts w:ascii="Arial" w:hAnsi="Arial" w:cs="Arial"/>
                <w:spacing w:val="-1"/>
              </w:rPr>
              <w:t>and</w:t>
            </w:r>
            <w:r w:rsidRPr="00E60448">
              <w:rPr>
                <w:rFonts w:ascii="Arial" w:hAnsi="Arial" w:cs="Arial"/>
                <w:spacing w:val="-2"/>
              </w:rPr>
              <w:t xml:space="preserve"> </w:t>
            </w:r>
            <w:r w:rsidRPr="00E60448">
              <w:rPr>
                <w:rFonts w:ascii="Arial" w:hAnsi="Arial" w:cs="Arial"/>
                <w:spacing w:val="-1"/>
              </w:rPr>
              <w:t>overview</w:t>
            </w:r>
            <w:r w:rsidRPr="00E60448">
              <w:rPr>
                <w:rFonts w:ascii="Arial" w:hAnsi="Arial" w:cs="Arial"/>
                <w:spacing w:val="-3"/>
              </w:rPr>
              <w:t xml:space="preserve"> </w:t>
            </w:r>
            <w:r w:rsidRPr="00E60448">
              <w:rPr>
                <w:rFonts w:ascii="Arial" w:hAnsi="Arial" w:cs="Arial"/>
              </w:rPr>
              <w:t>of</w:t>
            </w:r>
            <w:r w:rsidRPr="00E60448">
              <w:rPr>
                <w:rFonts w:ascii="Arial" w:hAnsi="Arial" w:cs="Arial"/>
                <w:spacing w:val="1"/>
              </w:rPr>
              <w:t xml:space="preserve"> </w:t>
            </w:r>
            <w:r w:rsidRPr="00E60448">
              <w:rPr>
                <w:rFonts w:ascii="Arial" w:hAnsi="Arial" w:cs="Arial"/>
                <w:spacing w:val="-1"/>
              </w:rPr>
              <w:t>training</w:t>
            </w:r>
            <w:r w:rsidRPr="00E60448">
              <w:rPr>
                <w:rFonts w:ascii="Arial" w:hAnsi="Arial" w:cs="Arial"/>
                <w:spacing w:val="23"/>
              </w:rPr>
              <w:t xml:space="preserve"> </w:t>
            </w:r>
            <w:r w:rsidRPr="00E60448">
              <w:rPr>
                <w:rFonts w:ascii="Arial" w:hAnsi="Arial" w:cs="Arial"/>
                <w:spacing w:val="-1"/>
              </w:rPr>
              <w:t>and</w:t>
            </w:r>
            <w:r w:rsidRPr="00E60448">
              <w:rPr>
                <w:rFonts w:ascii="Arial" w:hAnsi="Arial" w:cs="Arial"/>
              </w:rPr>
              <w:t xml:space="preserve"> </w:t>
            </w:r>
            <w:r w:rsidRPr="00E60448">
              <w:rPr>
                <w:rFonts w:ascii="Arial" w:hAnsi="Arial" w:cs="Arial"/>
                <w:spacing w:val="-1"/>
              </w:rPr>
              <w:t xml:space="preserve">educational </w:t>
            </w:r>
            <w:r w:rsidRPr="00E60448">
              <w:rPr>
                <w:rFonts w:ascii="Arial" w:hAnsi="Arial" w:cs="Arial"/>
                <w:spacing w:val="-2"/>
              </w:rPr>
              <w:t>programs</w:t>
            </w:r>
            <w:r w:rsidRPr="00E60448">
              <w:rPr>
                <w:rFonts w:ascii="Arial" w:hAnsi="Arial" w:cs="Arial"/>
                <w:spacing w:val="31"/>
              </w:rPr>
              <w:t xml:space="preserve"> </w:t>
            </w:r>
            <w:r w:rsidRPr="00E60448">
              <w:rPr>
                <w:rFonts w:ascii="Arial" w:hAnsi="Arial" w:cs="Arial"/>
                <w:spacing w:val="-1"/>
              </w:rPr>
              <w:t xml:space="preserve">required </w:t>
            </w:r>
            <w:r w:rsidRPr="00E60448">
              <w:rPr>
                <w:rFonts w:ascii="Arial" w:hAnsi="Arial" w:cs="Arial"/>
              </w:rPr>
              <w:t>for</w:t>
            </w:r>
            <w:r w:rsidRPr="00E60448">
              <w:rPr>
                <w:rFonts w:ascii="Arial" w:hAnsi="Arial" w:cs="Arial"/>
                <w:spacing w:val="-1"/>
              </w:rPr>
              <w:t xml:space="preserve"> priority</w:t>
            </w:r>
            <w:r w:rsidRPr="00E60448">
              <w:rPr>
                <w:rFonts w:ascii="Arial" w:hAnsi="Arial" w:cs="Arial"/>
                <w:spacing w:val="-2"/>
              </w:rPr>
              <w:t xml:space="preserve"> </w:t>
            </w:r>
            <w:r w:rsidRPr="00E60448">
              <w:rPr>
                <w:rFonts w:ascii="Arial" w:hAnsi="Arial" w:cs="Arial"/>
                <w:spacing w:val="-1"/>
              </w:rPr>
              <w:t>and</w:t>
            </w:r>
            <w:r w:rsidRPr="00E60448">
              <w:rPr>
                <w:rFonts w:ascii="Arial" w:hAnsi="Arial" w:cs="Arial"/>
              </w:rPr>
              <w:t xml:space="preserve"> </w:t>
            </w:r>
            <w:r w:rsidRPr="00E60448">
              <w:rPr>
                <w:rFonts w:ascii="Arial" w:hAnsi="Arial" w:cs="Arial"/>
                <w:spacing w:val="-1"/>
              </w:rPr>
              <w:t>critical</w:t>
            </w:r>
            <w:r w:rsidRPr="00E60448">
              <w:rPr>
                <w:rFonts w:ascii="Arial" w:hAnsi="Arial" w:cs="Arial"/>
                <w:spacing w:val="23"/>
              </w:rPr>
              <w:t xml:space="preserve"> </w:t>
            </w:r>
            <w:r w:rsidRPr="00E60448">
              <w:rPr>
                <w:rFonts w:ascii="Arial" w:hAnsi="Arial" w:cs="Arial"/>
                <w:spacing w:val="-1"/>
              </w:rPr>
              <w:t>industries</w:t>
            </w:r>
            <w:r w:rsidRPr="00E60448">
              <w:rPr>
                <w:rFonts w:ascii="Arial" w:hAnsi="Arial" w:cs="Arial"/>
              </w:rPr>
              <w:t xml:space="preserve"> </w:t>
            </w:r>
            <w:r w:rsidRPr="00E60448">
              <w:rPr>
                <w:rFonts w:ascii="Arial" w:hAnsi="Arial" w:cs="Arial"/>
                <w:spacing w:val="-1"/>
              </w:rPr>
              <w:t>which</w:t>
            </w:r>
            <w:r w:rsidRPr="00E60448">
              <w:rPr>
                <w:rFonts w:ascii="Arial" w:hAnsi="Arial" w:cs="Arial"/>
              </w:rPr>
              <w:t xml:space="preserve"> are </w:t>
            </w:r>
            <w:r w:rsidRPr="00E60448">
              <w:rPr>
                <w:rFonts w:ascii="Arial" w:hAnsi="Arial" w:cs="Arial"/>
                <w:spacing w:val="-2"/>
              </w:rPr>
              <w:t>offered</w:t>
            </w:r>
            <w:r w:rsidRPr="00E60448">
              <w:rPr>
                <w:rFonts w:ascii="Arial" w:hAnsi="Arial" w:cs="Arial"/>
                <w:spacing w:val="25"/>
              </w:rPr>
              <w:t xml:space="preserve"> </w:t>
            </w:r>
            <w:r w:rsidRPr="00E60448">
              <w:rPr>
                <w:rFonts w:ascii="Arial" w:hAnsi="Arial" w:cs="Arial"/>
                <w:spacing w:val="-1"/>
              </w:rPr>
              <w:t>within</w:t>
            </w:r>
            <w:r w:rsidRPr="00E60448">
              <w:rPr>
                <w:rFonts w:ascii="Arial" w:hAnsi="Arial" w:cs="Arial"/>
              </w:rPr>
              <w:t xml:space="preserve"> our</w:t>
            </w:r>
            <w:r w:rsidRPr="00E60448">
              <w:rPr>
                <w:rFonts w:ascii="Arial" w:hAnsi="Arial" w:cs="Arial"/>
                <w:spacing w:val="1"/>
              </w:rPr>
              <w:t xml:space="preserve"> </w:t>
            </w:r>
            <w:r w:rsidRPr="00E60448">
              <w:rPr>
                <w:rFonts w:ascii="Arial" w:hAnsi="Arial" w:cs="Arial"/>
                <w:spacing w:val="-1"/>
              </w:rPr>
              <w:t>area</w:t>
            </w:r>
            <w:r w:rsidRPr="00E60448">
              <w:rPr>
                <w:rFonts w:ascii="Arial" w:hAnsi="Arial" w:cs="Arial"/>
              </w:rPr>
              <w:t xml:space="preserve"> </w:t>
            </w:r>
            <w:r w:rsidRPr="00E60448">
              <w:rPr>
                <w:rFonts w:ascii="Arial" w:hAnsi="Arial" w:cs="Arial"/>
                <w:spacing w:val="-1"/>
              </w:rPr>
              <w:t>and</w:t>
            </w:r>
            <w:r w:rsidRPr="00E60448">
              <w:rPr>
                <w:rFonts w:ascii="Arial" w:hAnsi="Arial" w:cs="Arial"/>
                <w:spacing w:val="-2"/>
              </w:rPr>
              <w:t xml:space="preserve"> </w:t>
            </w:r>
            <w:r w:rsidRPr="00E60448">
              <w:rPr>
                <w:rFonts w:ascii="Arial" w:hAnsi="Arial" w:cs="Arial"/>
                <w:spacing w:val="-1"/>
              </w:rPr>
              <w:t>distribute</w:t>
            </w:r>
            <w:r w:rsidRPr="00E60448">
              <w:rPr>
                <w:rFonts w:ascii="Arial" w:hAnsi="Arial" w:cs="Arial"/>
                <w:spacing w:val="-2"/>
              </w:rPr>
              <w:t xml:space="preserve"> </w:t>
            </w:r>
            <w:r w:rsidRPr="00E60448">
              <w:rPr>
                <w:rFonts w:ascii="Arial" w:hAnsi="Arial" w:cs="Arial"/>
              </w:rPr>
              <w:t>to</w:t>
            </w:r>
            <w:r w:rsidRPr="00E60448">
              <w:rPr>
                <w:rFonts w:ascii="Arial" w:hAnsi="Arial" w:cs="Arial"/>
                <w:spacing w:val="27"/>
              </w:rPr>
              <w:t xml:space="preserve"> </w:t>
            </w:r>
            <w:r w:rsidRPr="00E60448">
              <w:rPr>
                <w:rFonts w:ascii="Arial" w:hAnsi="Arial" w:cs="Arial"/>
                <w:spacing w:val="-1"/>
              </w:rPr>
              <w:t>employers</w:t>
            </w:r>
            <w:r w:rsidRPr="00E60448">
              <w:rPr>
                <w:rFonts w:ascii="Arial" w:hAnsi="Arial" w:cs="Arial"/>
                <w:spacing w:val="1"/>
              </w:rPr>
              <w:t xml:space="preserve"> </w:t>
            </w:r>
            <w:r w:rsidRPr="00E60448">
              <w:rPr>
                <w:rFonts w:ascii="Arial" w:hAnsi="Arial" w:cs="Arial"/>
                <w:spacing w:val="-1"/>
              </w:rPr>
              <w:t>and</w:t>
            </w:r>
            <w:r w:rsidRPr="00E60448">
              <w:rPr>
                <w:rFonts w:ascii="Arial" w:hAnsi="Arial" w:cs="Arial"/>
              </w:rPr>
              <w:t xml:space="preserve"> </w:t>
            </w:r>
            <w:r w:rsidRPr="00E60448">
              <w:rPr>
                <w:rFonts w:ascii="Arial" w:hAnsi="Arial" w:cs="Arial"/>
                <w:spacing w:val="-1"/>
              </w:rPr>
              <w:t>educational</w:t>
            </w:r>
            <w:r w:rsidRPr="00E60448">
              <w:rPr>
                <w:rFonts w:ascii="Arial" w:hAnsi="Arial" w:cs="Arial"/>
                <w:spacing w:val="29"/>
              </w:rPr>
              <w:t xml:space="preserve"> </w:t>
            </w:r>
            <w:r w:rsidRPr="00E60448">
              <w:rPr>
                <w:rFonts w:ascii="Arial" w:hAnsi="Arial" w:cs="Arial"/>
                <w:spacing w:val="-1"/>
              </w:rPr>
              <w:t>institutions</w:t>
            </w:r>
            <w:r w:rsidRPr="00E60448">
              <w:rPr>
                <w:rFonts w:ascii="Arial" w:hAnsi="Arial" w:cs="Arial"/>
                <w:spacing w:val="-2"/>
              </w:rPr>
              <w:t xml:space="preserve"> </w:t>
            </w:r>
            <w:r w:rsidRPr="00E60448">
              <w:rPr>
                <w:rFonts w:ascii="Arial" w:hAnsi="Arial" w:cs="Arial"/>
              </w:rPr>
              <w:t>for</w:t>
            </w:r>
            <w:r w:rsidRPr="00E60448">
              <w:rPr>
                <w:rFonts w:ascii="Arial" w:hAnsi="Arial" w:cs="Arial"/>
                <w:spacing w:val="-1"/>
              </w:rPr>
              <w:t xml:space="preserve"> utilization.</w:t>
            </w:r>
          </w:p>
        </w:tc>
        <w:tc>
          <w:tcPr>
            <w:tcW w:w="3600" w:type="dxa"/>
            <w:shd w:val="clear" w:color="auto" w:fill="auto"/>
            <w:tcMar>
              <w:top w:w="72" w:type="dxa"/>
              <w:left w:w="144" w:type="dxa"/>
              <w:bottom w:w="72" w:type="dxa"/>
              <w:right w:w="144" w:type="dxa"/>
            </w:tcMar>
            <w:vAlign w:val="center"/>
          </w:tcPr>
          <w:p w14:paraId="3AD4ED24" w14:textId="3E9FC7A1" w:rsidR="008B61E0" w:rsidRPr="00797A48" w:rsidRDefault="00F7009E" w:rsidP="008B61E0">
            <w:pPr>
              <w:rPr>
                <w:rFonts w:ascii="Garamond" w:hAnsi="Garamond"/>
                <w:sz w:val="24"/>
                <w:szCs w:val="24"/>
              </w:rPr>
            </w:pPr>
            <w:r w:rsidRPr="00797A48">
              <w:rPr>
                <w:rFonts w:ascii="Garamond" w:hAnsi="Garamond"/>
                <w:sz w:val="24"/>
                <w:szCs w:val="24"/>
              </w:rPr>
              <w:t xml:space="preserve">Completed for manufacturing, and healthcare, </w:t>
            </w:r>
            <w:proofErr w:type="gramStart"/>
            <w:r w:rsidRPr="00797A48">
              <w:rPr>
                <w:rFonts w:ascii="Garamond" w:hAnsi="Garamond"/>
                <w:sz w:val="24"/>
                <w:szCs w:val="24"/>
              </w:rPr>
              <w:t>IT  is</w:t>
            </w:r>
            <w:proofErr w:type="gramEnd"/>
            <w:r w:rsidRPr="00797A48">
              <w:rPr>
                <w:rFonts w:ascii="Garamond" w:hAnsi="Garamond"/>
                <w:sz w:val="24"/>
                <w:szCs w:val="24"/>
              </w:rPr>
              <w:t xml:space="preserve"> to follow.</w:t>
            </w:r>
          </w:p>
        </w:tc>
        <w:tc>
          <w:tcPr>
            <w:tcW w:w="4590" w:type="dxa"/>
            <w:shd w:val="clear" w:color="auto" w:fill="auto"/>
            <w:tcMar>
              <w:top w:w="72" w:type="dxa"/>
              <w:left w:w="144" w:type="dxa"/>
              <w:bottom w:w="72" w:type="dxa"/>
              <w:right w:w="144" w:type="dxa"/>
            </w:tcMar>
            <w:vAlign w:val="center"/>
          </w:tcPr>
          <w:p w14:paraId="159A451D" w14:textId="790432BD" w:rsidR="008B61E0" w:rsidRPr="00797A48" w:rsidRDefault="00F7009E" w:rsidP="008B61E0">
            <w:pPr>
              <w:rPr>
                <w:rFonts w:ascii="Garamond" w:hAnsi="Garamond"/>
                <w:sz w:val="24"/>
                <w:szCs w:val="24"/>
              </w:rPr>
            </w:pPr>
            <w:r w:rsidRPr="00797A48">
              <w:rPr>
                <w:rFonts w:ascii="Garamond" w:hAnsi="Garamond"/>
                <w:sz w:val="24"/>
                <w:szCs w:val="24"/>
              </w:rPr>
              <w:t>Completed/continuous</w:t>
            </w:r>
          </w:p>
        </w:tc>
      </w:tr>
      <w:tr w:rsidR="008B61E0" w:rsidRPr="00797A48" w14:paraId="2646540C" w14:textId="77777777" w:rsidTr="00093DF5">
        <w:trPr>
          <w:trHeight w:val="288"/>
        </w:trPr>
        <w:tc>
          <w:tcPr>
            <w:tcW w:w="2345" w:type="dxa"/>
            <w:shd w:val="clear" w:color="auto" w:fill="DEEBF7"/>
            <w:tcMar>
              <w:top w:w="72" w:type="dxa"/>
              <w:left w:w="144" w:type="dxa"/>
              <w:bottom w:w="72" w:type="dxa"/>
              <w:right w:w="144" w:type="dxa"/>
            </w:tcMar>
            <w:vAlign w:val="center"/>
          </w:tcPr>
          <w:p w14:paraId="4F3740D4" w14:textId="356D3312" w:rsidR="008B61E0" w:rsidRPr="00797A48" w:rsidRDefault="00F7009E" w:rsidP="00797A48">
            <w:pPr>
              <w:kinsoku w:val="0"/>
              <w:overflowPunct w:val="0"/>
              <w:autoSpaceDE w:val="0"/>
              <w:autoSpaceDN w:val="0"/>
              <w:adjustRightInd w:val="0"/>
              <w:ind w:left="102" w:right="215"/>
              <w:rPr>
                <w:rFonts w:ascii="Arial" w:hAnsi="Arial" w:cs="Arial"/>
                <w:spacing w:val="-1"/>
              </w:rPr>
            </w:pPr>
            <w:r w:rsidRPr="00E60448">
              <w:rPr>
                <w:rFonts w:ascii="Arial" w:hAnsi="Arial" w:cs="Arial"/>
                <w:spacing w:val="-1"/>
              </w:rPr>
              <w:lastRenderedPageBreak/>
              <w:t>Establish</w:t>
            </w:r>
            <w:r w:rsidRPr="00E60448">
              <w:rPr>
                <w:rFonts w:ascii="Arial" w:hAnsi="Arial" w:cs="Arial"/>
                <w:spacing w:val="1"/>
              </w:rPr>
              <w:t xml:space="preserve"> </w:t>
            </w:r>
            <w:r w:rsidRPr="00E60448">
              <w:rPr>
                <w:rFonts w:ascii="Arial" w:hAnsi="Arial" w:cs="Arial"/>
              </w:rPr>
              <w:t xml:space="preserve">a </w:t>
            </w:r>
            <w:r w:rsidRPr="00E60448">
              <w:rPr>
                <w:rFonts w:ascii="Arial" w:hAnsi="Arial" w:cs="Arial"/>
                <w:spacing w:val="-1"/>
              </w:rPr>
              <w:t>Regional Steering</w:t>
            </w:r>
            <w:r w:rsidRPr="00E60448">
              <w:rPr>
                <w:rFonts w:ascii="Arial" w:hAnsi="Arial" w:cs="Arial"/>
                <w:spacing w:val="29"/>
              </w:rPr>
              <w:t xml:space="preserve"> </w:t>
            </w:r>
            <w:r w:rsidRPr="00E60448">
              <w:rPr>
                <w:rFonts w:ascii="Arial" w:hAnsi="Arial" w:cs="Arial"/>
                <w:spacing w:val="-1"/>
              </w:rPr>
              <w:t>Committee</w:t>
            </w:r>
            <w:r w:rsidRPr="00E60448">
              <w:rPr>
                <w:rFonts w:ascii="Arial" w:hAnsi="Arial" w:cs="Arial"/>
                <w:spacing w:val="-2"/>
              </w:rPr>
              <w:t xml:space="preserve"> </w:t>
            </w:r>
            <w:r w:rsidRPr="00E60448">
              <w:rPr>
                <w:rFonts w:ascii="Arial" w:hAnsi="Arial" w:cs="Arial"/>
                <w:spacing w:val="-1"/>
              </w:rPr>
              <w:t>that oversees</w:t>
            </w:r>
            <w:r w:rsidRPr="00E60448">
              <w:rPr>
                <w:rFonts w:ascii="Arial" w:hAnsi="Arial" w:cs="Arial"/>
                <w:spacing w:val="25"/>
              </w:rPr>
              <w:t xml:space="preserve"> </w:t>
            </w:r>
            <w:r w:rsidRPr="00E60448">
              <w:rPr>
                <w:rFonts w:ascii="Arial" w:hAnsi="Arial" w:cs="Arial"/>
                <w:spacing w:val="-1"/>
              </w:rPr>
              <w:t>implementation</w:t>
            </w:r>
            <w:r w:rsidRPr="00E60448">
              <w:rPr>
                <w:rFonts w:ascii="Arial" w:hAnsi="Arial" w:cs="Arial"/>
              </w:rPr>
              <w:t xml:space="preserve"> </w:t>
            </w:r>
            <w:r w:rsidRPr="00E60448">
              <w:rPr>
                <w:rFonts w:ascii="Arial" w:hAnsi="Arial" w:cs="Arial"/>
                <w:spacing w:val="-2"/>
              </w:rPr>
              <w:t>of</w:t>
            </w:r>
            <w:r w:rsidRPr="00E60448">
              <w:rPr>
                <w:rFonts w:ascii="Arial" w:hAnsi="Arial" w:cs="Arial"/>
                <w:spacing w:val="2"/>
              </w:rPr>
              <w:t xml:space="preserve"> </w:t>
            </w:r>
            <w:r w:rsidRPr="00E60448">
              <w:rPr>
                <w:rFonts w:ascii="Arial" w:hAnsi="Arial" w:cs="Arial"/>
                <w:spacing w:val="-1"/>
              </w:rPr>
              <w:t>strategies</w:t>
            </w:r>
            <w:r w:rsidRPr="00E60448">
              <w:rPr>
                <w:rFonts w:ascii="Arial" w:hAnsi="Arial" w:cs="Arial"/>
              </w:rPr>
              <w:t xml:space="preserve"> and</w:t>
            </w:r>
            <w:r w:rsidRPr="00E60448">
              <w:rPr>
                <w:rFonts w:ascii="Arial" w:hAnsi="Arial" w:cs="Arial"/>
                <w:spacing w:val="27"/>
              </w:rPr>
              <w:t xml:space="preserve"> </w:t>
            </w:r>
            <w:r w:rsidRPr="00E60448">
              <w:rPr>
                <w:rFonts w:ascii="Arial" w:hAnsi="Arial" w:cs="Arial"/>
                <w:spacing w:val="-1"/>
              </w:rPr>
              <w:t>achievement</w:t>
            </w:r>
            <w:r w:rsidRPr="00E60448">
              <w:rPr>
                <w:rFonts w:ascii="Arial" w:hAnsi="Arial" w:cs="Arial"/>
                <w:spacing w:val="1"/>
              </w:rPr>
              <w:t xml:space="preserve"> </w:t>
            </w:r>
            <w:r w:rsidRPr="00E60448">
              <w:rPr>
                <w:rFonts w:ascii="Arial" w:hAnsi="Arial" w:cs="Arial"/>
                <w:spacing w:val="-2"/>
              </w:rPr>
              <w:t>of</w:t>
            </w:r>
            <w:r w:rsidRPr="00E60448">
              <w:rPr>
                <w:rFonts w:ascii="Arial" w:hAnsi="Arial" w:cs="Arial"/>
              </w:rPr>
              <w:t xml:space="preserve"> </w:t>
            </w:r>
            <w:r w:rsidRPr="00E60448">
              <w:rPr>
                <w:rFonts w:ascii="Arial" w:hAnsi="Arial" w:cs="Arial"/>
                <w:spacing w:val="-1"/>
              </w:rPr>
              <w:t>goals.</w:t>
            </w:r>
          </w:p>
        </w:tc>
        <w:tc>
          <w:tcPr>
            <w:tcW w:w="3600" w:type="dxa"/>
            <w:shd w:val="clear" w:color="auto" w:fill="auto"/>
            <w:tcMar>
              <w:top w:w="72" w:type="dxa"/>
              <w:left w:w="144" w:type="dxa"/>
              <w:bottom w:w="72" w:type="dxa"/>
              <w:right w:w="144" w:type="dxa"/>
            </w:tcMar>
            <w:vAlign w:val="center"/>
          </w:tcPr>
          <w:p w14:paraId="15BEE84C" w14:textId="664703F9" w:rsidR="008B61E0" w:rsidRPr="00797A48" w:rsidRDefault="00797A48" w:rsidP="008B61E0">
            <w:pPr>
              <w:rPr>
                <w:rFonts w:ascii="Garamond" w:hAnsi="Garamond"/>
                <w:sz w:val="24"/>
                <w:szCs w:val="24"/>
              </w:rPr>
            </w:pPr>
            <w:r w:rsidRPr="00797A48">
              <w:rPr>
                <w:rFonts w:ascii="Garamond" w:hAnsi="Garamond"/>
                <w:sz w:val="24"/>
                <w:szCs w:val="24"/>
              </w:rPr>
              <w:t>Regional team of stakeholders established.</w:t>
            </w:r>
          </w:p>
        </w:tc>
        <w:tc>
          <w:tcPr>
            <w:tcW w:w="4590" w:type="dxa"/>
            <w:shd w:val="clear" w:color="auto" w:fill="auto"/>
            <w:tcMar>
              <w:top w:w="72" w:type="dxa"/>
              <w:left w:w="144" w:type="dxa"/>
              <w:bottom w:w="72" w:type="dxa"/>
              <w:right w:w="144" w:type="dxa"/>
            </w:tcMar>
            <w:vAlign w:val="center"/>
          </w:tcPr>
          <w:p w14:paraId="57E278EF" w14:textId="55C3BD6C" w:rsidR="008B61E0" w:rsidRPr="00797A48" w:rsidRDefault="00797A48" w:rsidP="008B61E0">
            <w:pPr>
              <w:rPr>
                <w:rFonts w:ascii="Garamond" w:hAnsi="Garamond"/>
                <w:sz w:val="24"/>
                <w:szCs w:val="24"/>
              </w:rPr>
            </w:pPr>
            <w:r w:rsidRPr="00797A48">
              <w:rPr>
                <w:rFonts w:ascii="Garamond" w:hAnsi="Garamond"/>
                <w:sz w:val="24"/>
                <w:szCs w:val="24"/>
              </w:rPr>
              <w:t>Continuous</w:t>
            </w:r>
          </w:p>
        </w:tc>
      </w:tr>
      <w:tr w:rsidR="00F7009E" w:rsidRPr="00797A48" w14:paraId="40892EF7" w14:textId="77777777" w:rsidTr="00093DF5">
        <w:trPr>
          <w:trHeight w:val="288"/>
        </w:trPr>
        <w:tc>
          <w:tcPr>
            <w:tcW w:w="2345" w:type="dxa"/>
            <w:shd w:val="clear" w:color="auto" w:fill="DEEBF7"/>
            <w:tcMar>
              <w:top w:w="72" w:type="dxa"/>
              <w:left w:w="144" w:type="dxa"/>
              <w:bottom w:w="72" w:type="dxa"/>
              <w:right w:w="144" w:type="dxa"/>
            </w:tcMar>
            <w:vAlign w:val="center"/>
          </w:tcPr>
          <w:p w14:paraId="7313276C" w14:textId="394D0DC2" w:rsidR="00F7009E" w:rsidRPr="00797A48" w:rsidRDefault="00F7009E" w:rsidP="00797A48">
            <w:pPr>
              <w:kinsoku w:val="0"/>
              <w:overflowPunct w:val="0"/>
              <w:autoSpaceDE w:val="0"/>
              <w:autoSpaceDN w:val="0"/>
              <w:adjustRightInd w:val="0"/>
              <w:ind w:right="120"/>
              <w:rPr>
                <w:rFonts w:ascii="Arial" w:hAnsi="Arial" w:cs="Arial"/>
                <w:spacing w:val="-1"/>
              </w:rPr>
            </w:pPr>
            <w:r w:rsidRPr="00E60448">
              <w:rPr>
                <w:rFonts w:ascii="Arial" w:hAnsi="Arial" w:cs="Arial"/>
                <w:spacing w:val="-1"/>
              </w:rPr>
              <w:t>Engage</w:t>
            </w:r>
            <w:r w:rsidRPr="00E60448">
              <w:rPr>
                <w:rFonts w:ascii="Arial" w:hAnsi="Arial" w:cs="Arial"/>
              </w:rPr>
              <w:t xml:space="preserve"> in</w:t>
            </w:r>
            <w:r w:rsidRPr="00E60448">
              <w:rPr>
                <w:rFonts w:ascii="Arial" w:hAnsi="Arial" w:cs="Arial"/>
                <w:spacing w:val="-2"/>
              </w:rPr>
              <w:t xml:space="preserve"> </w:t>
            </w:r>
            <w:r w:rsidRPr="00E60448">
              <w:rPr>
                <w:rFonts w:ascii="Arial" w:hAnsi="Arial" w:cs="Arial"/>
                <w:spacing w:val="-1"/>
              </w:rPr>
              <w:t>analysis</w:t>
            </w:r>
            <w:r w:rsidRPr="00E60448">
              <w:rPr>
                <w:rFonts w:ascii="Arial" w:hAnsi="Arial" w:cs="Arial"/>
                <w:spacing w:val="1"/>
              </w:rPr>
              <w:t xml:space="preserve"> </w:t>
            </w:r>
            <w:r w:rsidRPr="00E60448">
              <w:rPr>
                <w:rFonts w:ascii="Arial" w:hAnsi="Arial" w:cs="Arial"/>
              </w:rPr>
              <w:t xml:space="preserve">to </w:t>
            </w:r>
            <w:r w:rsidRPr="00E60448">
              <w:rPr>
                <w:rFonts w:ascii="Arial" w:hAnsi="Arial" w:cs="Arial"/>
                <w:spacing w:val="-1"/>
              </w:rPr>
              <w:t>determine</w:t>
            </w:r>
            <w:r w:rsidRPr="00E60448">
              <w:rPr>
                <w:rFonts w:ascii="Arial" w:hAnsi="Arial" w:cs="Arial"/>
                <w:spacing w:val="27"/>
              </w:rPr>
              <w:t xml:space="preserve"> </w:t>
            </w:r>
            <w:r w:rsidRPr="00E60448">
              <w:rPr>
                <w:rFonts w:ascii="Arial" w:hAnsi="Arial" w:cs="Arial"/>
                <w:spacing w:val="-1"/>
              </w:rPr>
              <w:t>and</w:t>
            </w:r>
            <w:r w:rsidRPr="00E60448">
              <w:rPr>
                <w:rFonts w:ascii="Arial" w:hAnsi="Arial" w:cs="Arial"/>
                <w:spacing w:val="1"/>
              </w:rPr>
              <w:t xml:space="preserve"> </w:t>
            </w:r>
            <w:r w:rsidRPr="00E60448">
              <w:rPr>
                <w:rFonts w:ascii="Arial" w:hAnsi="Arial" w:cs="Arial"/>
                <w:spacing w:val="-1"/>
              </w:rPr>
              <w:t>establish</w:t>
            </w:r>
            <w:r w:rsidRPr="00E60448">
              <w:rPr>
                <w:rFonts w:ascii="Arial" w:hAnsi="Arial" w:cs="Arial"/>
              </w:rPr>
              <w:t xml:space="preserve"> </w:t>
            </w:r>
            <w:r w:rsidRPr="00E60448">
              <w:rPr>
                <w:rFonts w:ascii="Arial" w:hAnsi="Arial" w:cs="Arial"/>
                <w:spacing w:val="-1"/>
              </w:rPr>
              <w:t>current</w:t>
            </w:r>
            <w:r w:rsidRPr="00E60448">
              <w:rPr>
                <w:rFonts w:ascii="Arial" w:hAnsi="Arial" w:cs="Arial"/>
              </w:rPr>
              <w:t xml:space="preserve"> </w:t>
            </w:r>
            <w:r w:rsidRPr="00E60448">
              <w:rPr>
                <w:rFonts w:ascii="Arial" w:hAnsi="Arial" w:cs="Arial"/>
                <w:spacing w:val="-1"/>
              </w:rPr>
              <w:t>baseline</w:t>
            </w:r>
            <w:r w:rsidRPr="00E60448">
              <w:rPr>
                <w:rFonts w:ascii="Arial" w:hAnsi="Arial" w:cs="Arial"/>
                <w:spacing w:val="27"/>
              </w:rPr>
              <w:t xml:space="preserve"> </w:t>
            </w:r>
            <w:r w:rsidRPr="00E60448">
              <w:rPr>
                <w:rFonts w:ascii="Arial" w:hAnsi="Arial" w:cs="Arial"/>
                <w:spacing w:val="-1"/>
              </w:rPr>
              <w:t>measures</w:t>
            </w:r>
            <w:r w:rsidRPr="00E60448">
              <w:rPr>
                <w:rFonts w:ascii="Arial" w:hAnsi="Arial" w:cs="Arial"/>
                <w:spacing w:val="-2"/>
              </w:rPr>
              <w:t xml:space="preserve"> </w:t>
            </w:r>
            <w:r w:rsidRPr="00E60448">
              <w:rPr>
                <w:rFonts w:ascii="Arial" w:hAnsi="Arial" w:cs="Arial"/>
                <w:spacing w:val="-1"/>
              </w:rPr>
              <w:t>in</w:t>
            </w:r>
            <w:r w:rsidRPr="00E60448">
              <w:rPr>
                <w:rFonts w:ascii="Arial" w:hAnsi="Arial" w:cs="Arial"/>
              </w:rPr>
              <w:t xml:space="preserve"> </w:t>
            </w:r>
            <w:r w:rsidRPr="00E60448">
              <w:rPr>
                <w:rFonts w:ascii="Arial" w:hAnsi="Arial" w:cs="Arial"/>
                <w:spacing w:val="-1"/>
              </w:rPr>
              <w:t>credentialed</w:t>
            </w:r>
            <w:r w:rsidRPr="00E60448">
              <w:rPr>
                <w:rFonts w:ascii="Arial" w:hAnsi="Arial" w:cs="Arial"/>
                <w:spacing w:val="29"/>
              </w:rPr>
              <w:t xml:space="preserve"> </w:t>
            </w:r>
            <w:r w:rsidRPr="00E60448">
              <w:rPr>
                <w:rFonts w:ascii="Arial" w:hAnsi="Arial" w:cs="Arial"/>
                <w:spacing w:val="-1"/>
              </w:rPr>
              <w:t>workforce</w:t>
            </w:r>
            <w:r w:rsidRPr="00E60448">
              <w:rPr>
                <w:rFonts w:ascii="Arial" w:hAnsi="Arial" w:cs="Arial"/>
                <w:spacing w:val="1"/>
              </w:rPr>
              <w:t xml:space="preserve"> </w:t>
            </w:r>
            <w:r w:rsidRPr="00E60448">
              <w:rPr>
                <w:rFonts w:ascii="Arial" w:hAnsi="Arial" w:cs="Arial"/>
                <w:spacing w:val="-1"/>
              </w:rPr>
              <w:t>and</w:t>
            </w:r>
            <w:r w:rsidRPr="00E60448">
              <w:rPr>
                <w:rFonts w:ascii="Arial" w:hAnsi="Arial" w:cs="Arial"/>
                <w:spacing w:val="-2"/>
              </w:rPr>
              <w:t xml:space="preserve"> </w:t>
            </w:r>
            <w:r w:rsidRPr="00E60448">
              <w:rPr>
                <w:rFonts w:ascii="Arial" w:hAnsi="Arial" w:cs="Arial"/>
                <w:spacing w:val="-1"/>
              </w:rPr>
              <w:t>career ready</w:t>
            </w:r>
            <w:r w:rsidRPr="00E60448">
              <w:rPr>
                <w:rFonts w:ascii="Arial" w:hAnsi="Arial" w:cs="Arial"/>
                <w:spacing w:val="-2"/>
              </w:rPr>
              <w:t xml:space="preserve"> </w:t>
            </w:r>
            <w:r w:rsidRPr="00E60448">
              <w:rPr>
                <w:rFonts w:ascii="Arial" w:hAnsi="Arial" w:cs="Arial"/>
                <w:spacing w:val="-1"/>
              </w:rPr>
              <w:t>youth</w:t>
            </w:r>
            <w:r w:rsidRPr="00E60448">
              <w:rPr>
                <w:rFonts w:ascii="Arial" w:hAnsi="Arial" w:cs="Arial"/>
                <w:spacing w:val="27"/>
              </w:rPr>
              <w:t xml:space="preserve"> </w:t>
            </w:r>
            <w:r w:rsidRPr="00E60448">
              <w:rPr>
                <w:rFonts w:ascii="Arial" w:hAnsi="Arial" w:cs="Arial"/>
                <w:spacing w:val="-1"/>
              </w:rPr>
              <w:t>and</w:t>
            </w:r>
            <w:r w:rsidRPr="00E60448">
              <w:rPr>
                <w:rFonts w:ascii="Arial" w:hAnsi="Arial" w:cs="Arial"/>
              </w:rPr>
              <w:t xml:space="preserve"> </w:t>
            </w:r>
            <w:r w:rsidRPr="00E60448">
              <w:rPr>
                <w:rFonts w:ascii="Arial" w:hAnsi="Arial" w:cs="Arial"/>
                <w:spacing w:val="-1"/>
              </w:rPr>
              <w:t>adults.</w:t>
            </w:r>
          </w:p>
        </w:tc>
        <w:tc>
          <w:tcPr>
            <w:tcW w:w="3600" w:type="dxa"/>
            <w:shd w:val="clear" w:color="auto" w:fill="auto"/>
            <w:tcMar>
              <w:top w:w="72" w:type="dxa"/>
              <w:left w:w="144" w:type="dxa"/>
              <w:bottom w:w="72" w:type="dxa"/>
              <w:right w:w="144" w:type="dxa"/>
            </w:tcMar>
            <w:vAlign w:val="center"/>
          </w:tcPr>
          <w:p w14:paraId="40DC5CFC" w14:textId="3BB3ACE9" w:rsidR="00F7009E" w:rsidRPr="00797A48" w:rsidRDefault="00797A48" w:rsidP="00F7009E">
            <w:pPr>
              <w:rPr>
                <w:rFonts w:ascii="Garamond" w:hAnsi="Garamond"/>
                <w:sz w:val="24"/>
                <w:szCs w:val="24"/>
              </w:rPr>
            </w:pPr>
            <w:r w:rsidRPr="00797A48">
              <w:rPr>
                <w:rFonts w:ascii="Garamond" w:hAnsi="Garamond"/>
                <w:sz w:val="24"/>
                <w:szCs w:val="24"/>
              </w:rPr>
              <w:t>The region attained resources and dedicated staff to focus on apprenticeships in SE MA for all the priority industries, each WB has dedicated staff to focus on this initiative, sharing information with employers and other stakeholders in the region. This effort is being led by the Greater New Bedford.</w:t>
            </w:r>
          </w:p>
        </w:tc>
        <w:tc>
          <w:tcPr>
            <w:tcW w:w="4590" w:type="dxa"/>
            <w:shd w:val="clear" w:color="auto" w:fill="auto"/>
            <w:tcMar>
              <w:top w:w="72" w:type="dxa"/>
              <w:left w:w="144" w:type="dxa"/>
              <w:bottom w:w="72" w:type="dxa"/>
              <w:right w:w="144" w:type="dxa"/>
            </w:tcMar>
            <w:vAlign w:val="center"/>
          </w:tcPr>
          <w:p w14:paraId="60E80809" w14:textId="711E8A7C" w:rsidR="00F7009E" w:rsidRPr="00797A48" w:rsidRDefault="00797A48" w:rsidP="00F7009E">
            <w:pPr>
              <w:rPr>
                <w:rFonts w:ascii="Garamond" w:hAnsi="Garamond"/>
                <w:sz w:val="24"/>
                <w:szCs w:val="24"/>
              </w:rPr>
            </w:pPr>
            <w:r w:rsidRPr="00797A48">
              <w:rPr>
                <w:rFonts w:ascii="Garamond" w:hAnsi="Garamond"/>
                <w:sz w:val="24"/>
                <w:szCs w:val="24"/>
              </w:rPr>
              <w:t>Continuous</w:t>
            </w:r>
          </w:p>
        </w:tc>
      </w:tr>
    </w:tbl>
    <w:p w14:paraId="69DB9092" w14:textId="77777777" w:rsidR="003908D0" w:rsidRDefault="003908D0" w:rsidP="003908D0"/>
    <w:p w14:paraId="27461EE3" w14:textId="77777777" w:rsidR="00270A71" w:rsidRDefault="00270A71"/>
    <w:p w14:paraId="481BA8E1" w14:textId="77777777" w:rsidR="00205928" w:rsidRPr="00D0661C" w:rsidRDefault="00205928" w:rsidP="00EF2CEC">
      <w:pPr>
        <w:rPr>
          <w:rFonts w:cstheme="minorHAnsi"/>
          <w:szCs w:val="22"/>
        </w:rPr>
      </w:pPr>
    </w:p>
    <w:sectPr w:rsidR="00205928" w:rsidRPr="00D0661C" w:rsidSect="00CD7BDC">
      <w:headerReference w:type="default" r:id="rId10"/>
      <w:footerReference w:type="default" r:id="rId11"/>
      <w:headerReference w:type="first" r:id="rId12"/>
      <w:footerReference w:type="first" r:id="rId13"/>
      <w:pgSz w:w="12240" w:h="15840" w:code="1"/>
      <w:pgMar w:top="1714" w:right="1440" w:bottom="1440" w:left="1440" w:header="432"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21FF3" w14:textId="77777777" w:rsidR="00D125B6" w:rsidRDefault="00D125B6" w:rsidP="002D4171">
      <w:r>
        <w:separator/>
      </w:r>
    </w:p>
  </w:endnote>
  <w:endnote w:type="continuationSeparator" w:id="0">
    <w:p w14:paraId="23DCE881" w14:textId="77777777" w:rsidR="00D125B6" w:rsidRDefault="00D125B6" w:rsidP="002D4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4F122" w14:textId="77777777" w:rsidR="0011084A" w:rsidRDefault="0011084A">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780077">
      <w:rPr>
        <w:caps/>
        <w:noProof/>
        <w:color w:val="5B9BD5" w:themeColor="accent1"/>
      </w:rPr>
      <w:t>12</w:t>
    </w:r>
    <w:r>
      <w:rPr>
        <w:caps/>
        <w:noProof/>
        <w:color w:val="5B9BD5" w:themeColor="accent1"/>
      </w:rPr>
      <w:fldChar w:fldCharType="end"/>
    </w:r>
  </w:p>
  <w:p w14:paraId="54138ABB" w14:textId="77777777" w:rsidR="00A068FC" w:rsidRPr="00A068FC" w:rsidRDefault="00A068FC" w:rsidP="00A068FC">
    <w:pPr>
      <w:pStyle w:val="Header"/>
      <w:jc w:val="center"/>
      <w:rPr>
        <w:caps/>
        <w:color w:val="5B9BD5" w:themeColor="accent1"/>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8B0B3" w14:textId="77777777" w:rsidR="0011084A" w:rsidRPr="0011084A" w:rsidRDefault="0011084A" w:rsidP="0011084A">
    <w:pPr>
      <w:pStyle w:val="Header"/>
      <w:jc w:val="center"/>
      <w:rPr>
        <w:caps/>
        <w:color w:val="1F4D78" w:themeColor="accent1" w:themeShade="7F"/>
        <w:spacing w:val="5"/>
      </w:rPr>
    </w:pPr>
    <w:r w:rsidRPr="0011084A">
      <w:rPr>
        <w:rStyle w:val="Heading5Char"/>
      </w:rPr>
      <w:t>[Name of Region]</w:t>
    </w:r>
    <w:r w:rsidRPr="0011084A">
      <w:rPr>
        <w:rStyle w:val="SubtitleChar"/>
      </w:rPr>
      <w:ptab w:relativeTo="margin" w:alignment="left" w:leader="none"/>
    </w:r>
    <w:r w:rsidRPr="0011084A">
      <w:rPr>
        <w:rStyle w:val="SubtitleChar"/>
      </w:rPr>
      <w:ptab w:relativeTo="margin" w:alignment="left" w:leader="none"/>
    </w:r>
    <w:r w:rsidRPr="0011084A">
      <w:rPr>
        <w:rStyle w:val="SubtitleChar"/>
      </w:rPr>
      <w:t xml:space="preserve"> Regional Labor Market Blueprint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456EA" w14:textId="77777777" w:rsidR="00D125B6" w:rsidRDefault="00D125B6" w:rsidP="002D4171">
      <w:r>
        <w:separator/>
      </w:r>
    </w:p>
  </w:footnote>
  <w:footnote w:type="continuationSeparator" w:id="0">
    <w:p w14:paraId="3C0A5175" w14:textId="77777777" w:rsidR="00D125B6" w:rsidRDefault="00D125B6" w:rsidP="002D4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9FAEA" w14:textId="18D77BB0" w:rsidR="0011084A" w:rsidRPr="0011084A" w:rsidRDefault="00FF6D82" w:rsidP="0011084A">
    <w:pPr>
      <w:pStyle w:val="Header"/>
      <w:jc w:val="center"/>
      <w:rPr>
        <w:rStyle w:val="Emphasis"/>
      </w:rPr>
    </w:pPr>
    <w:r>
      <w:rPr>
        <w:rStyle w:val="Heading5Char"/>
      </w:rPr>
      <w:t>Southeast</w:t>
    </w:r>
    <w:r w:rsidR="0011084A" w:rsidRPr="0011084A">
      <w:rPr>
        <w:rStyle w:val="SubtitleChar"/>
      </w:rPr>
      <w:ptab w:relativeTo="margin" w:alignment="left" w:leader="none"/>
    </w:r>
    <w:r w:rsidR="0011084A" w:rsidRPr="0011084A">
      <w:rPr>
        <w:rStyle w:val="SubtitleChar"/>
      </w:rPr>
      <w:ptab w:relativeTo="margin" w:alignment="left" w:leader="none"/>
    </w:r>
    <w:r w:rsidR="0011084A" w:rsidRPr="0011084A">
      <w:rPr>
        <w:rStyle w:val="SubtitleChar"/>
      </w:rPr>
      <w:t xml:space="preserve"> Regional Labor Market Blueprint Update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54A82" w14:textId="77777777" w:rsidR="0011084A" w:rsidRPr="00B20BC1" w:rsidRDefault="0011084A" w:rsidP="00B20BC1">
    <w:pPr>
      <w:pStyle w:val="Heading6"/>
      <w:jc w:val="center"/>
      <w:rPr>
        <w:i/>
      </w:rPr>
    </w:pPr>
    <w:r w:rsidRPr="00B20BC1">
      <w:rPr>
        <w:i/>
      </w:rPr>
      <w:t>Please send inquiries to:</w:t>
    </w:r>
  </w:p>
  <w:p w14:paraId="53383EC8" w14:textId="07A578FB" w:rsidR="001B1A85" w:rsidRPr="0011084A" w:rsidRDefault="008E1097" w:rsidP="0011084A">
    <w:pPr>
      <w:pStyle w:val="Header"/>
      <w:jc w:val="center"/>
      <w:rPr>
        <w:caps/>
        <w:color w:val="5B9BD5" w:themeColor="accent1"/>
        <w:sz w:val="18"/>
      </w:rPr>
    </w:pPr>
    <w:r>
      <w:rPr>
        <w:caps/>
        <w:color w:val="5B9BD5" w:themeColor="accent1"/>
        <w:sz w:val="18"/>
      </w:rPr>
      <w:t>Sheila Sullivan-Jardim</w:t>
    </w:r>
    <w:r w:rsidR="0011084A" w:rsidRPr="00A068FC">
      <w:rPr>
        <w:caps/>
        <w:color w:val="5B9BD5" w:themeColor="accent1"/>
        <w:sz w:val="18"/>
      </w:rPr>
      <w:ptab w:relativeTo="margin" w:alignment="center" w:leader="none"/>
    </w:r>
    <w:r>
      <w:rPr>
        <w:caps/>
        <w:color w:val="5B9BD5" w:themeColor="accent1"/>
        <w:sz w:val="18"/>
      </w:rPr>
      <w:t>MassHire Greater Brockton Workforce Board</w:t>
    </w:r>
    <w:r w:rsidR="0011084A" w:rsidRPr="00A068FC">
      <w:rPr>
        <w:caps/>
        <w:color w:val="5B9BD5" w:themeColor="accent1"/>
        <w:sz w:val="18"/>
      </w:rPr>
      <w:ptab w:relativeTo="margin" w:alignment="right" w:leader="none"/>
    </w:r>
    <w:r>
      <w:rPr>
        <w:caps/>
        <w:color w:val="5B9BD5" w:themeColor="accent1"/>
        <w:sz w:val="18"/>
      </w:rPr>
      <w:t>SSJardim@MassHiregbwb.org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171F9"/>
    <w:multiLevelType w:val="hybridMultilevel"/>
    <w:tmpl w:val="D89A18F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D5F61"/>
    <w:multiLevelType w:val="hybridMultilevel"/>
    <w:tmpl w:val="1AF229D0"/>
    <w:lvl w:ilvl="0" w:tplc="D7D0EE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F6FE8"/>
    <w:multiLevelType w:val="hybridMultilevel"/>
    <w:tmpl w:val="51AA6E2E"/>
    <w:lvl w:ilvl="0" w:tplc="D7D0EE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240FF"/>
    <w:multiLevelType w:val="hybridMultilevel"/>
    <w:tmpl w:val="1AF229D0"/>
    <w:lvl w:ilvl="0" w:tplc="D7D0EE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961AB"/>
    <w:multiLevelType w:val="hybridMultilevel"/>
    <w:tmpl w:val="F88EF8BA"/>
    <w:lvl w:ilvl="0" w:tplc="8678472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F59EC"/>
    <w:multiLevelType w:val="hybridMultilevel"/>
    <w:tmpl w:val="19C88B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05F6C"/>
    <w:multiLevelType w:val="hybridMultilevel"/>
    <w:tmpl w:val="04D6E9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65E16"/>
    <w:multiLevelType w:val="hybridMultilevel"/>
    <w:tmpl w:val="919461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AE54BD"/>
    <w:multiLevelType w:val="hybridMultilevel"/>
    <w:tmpl w:val="FD7E6AC4"/>
    <w:lvl w:ilvl="0" w:tplc="090ED2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206BF0"/>
    <w:multiLevelType w:val="hybridMultilevel"/>
    <w:tmpl w:val="B032F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255D29"/>
    <w:multiLevelType w:val="hybridMultilevel"/>
    <w:tmpl w:val="36A6F4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D539F"/>
    <w:multiLevelType w:val="hybridMultilevel"/>
    <w:tmpl w:val="9980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D3678"/>
    <w:multiLevelType w:val="hybridMultilevel"/>
    <w:tmpl w:val="752A6EB0"/>
    <w:lvl w:ilvl="0" w:tplc="0409000B">
      <w:start w:val="1"/>
      <w:numFmt w:val="bullet"/>
      <w:lvlText w:val=""/>
      <w:lvlJc w:val="left"/>
      <w:pPr>
        <w:ind w:left="8820" w:hanging="360"/>
      </w:pPr>
      <w:rPr>
        <w:rFonts w:ascii="Wingdings" w:hAnsi="Wingdings" w:hint="default"/>
      </w:rPr>
    </w:lvl>
    <w:lvl w:ilvl="1" w:tplc="04090003">
      <w:start w:val="1"/>
      <w:numFmt w:val="bullet"/>
      <w:lvlText w:val="o"/>
      <w:lvlJc w:val="left"/>
      <w:pPr>
        <w:ind w:left="9540" w:hanging="360"/>
      </w:pPr>
      <w:rPr>
        <w:rFonts w:ascii="Courier New" w:hAnsi="Courier New" w:hint="default"/>
      </w:rPr>
    </w:lvl>
    <w:lvl w:ilvl="2" w:tplc="04090005" w:tentative="1">
      <w:start w:val="1"/>
      <w:numFmt w:val="bullet"/>
      <w:lvlText w:val=""/>
      <w:lvlJc w:val="left"/>
      <w:pPr>
        <w:ind w:left="10260" w:hanging="360"/>
      </w:pPr>
      <w:rPr>
        <w:rFonts w:ascii="Wingdings" w:hAnsi="Wingdings" w:hint="default"/>
      </w:rPr>
    </w:lvl>
    <w:lvl w:ilvl="3" w:tplc="04090001" w:tentative="1">
      <w:start w:val="1"/>
      <w:numFmt w:val="bullet"/>
      <w:lvlText w:val=""/>
      <w:lvlJc w:val="left"/>
      <w:pPr>
        <w:ind w:left="10980" w:hanging="360"/>
      </w:pPr>
      <w:rPr>
        <w:rFonts w:ascii="Symbol" w:hAnsi="Symbol" w:hint="default"/>
      </w:rPr>
    </w:lvl>
    <w:lvl w:ilvl="4" w:tplc="04090003" w:tentative="1">
      <w:start w:val="1"/>
      <w:numFmt w:val="bullet"/>
      <w:lvlText w:val="o"/>
      <w:lvlJc w:val="left"/>
      <w:pPr>
        <w:ind w:left="11700" w:hanging="360"/>
      </w:pPr>
      <w:rPr>
        <w:rFonts w:ascii="Courier New" w:hAnsi="Courier New" w:hint="default"/>
      </w:rPr>
    </w:lvl>
    <w:lvl w:ilvl="5" w:tplc="04090005" w:tentative="1">
      <w:start w:val="1"/>
      <w:numFmt w:val="bullet"/>
      <w:lvlText w:val=""/>
      <w:lvlJc w:val="left"/>
      <w:pPr>
        <w:ind w:left="12420" w:hanging="360"/>
      </w:pPr>
      <w:rPr>
        <w:rFonts w:ascii="Wingdings" w:hAnsi="Wingdings" w:hint="default"/>
      </w:rPr>
    </w:lvl>
    <w:lvl w:ilvl="6" w:tplc="04090001" w:tentative="1">
      <w:start w:val="1"/>
      <w:numFmt w:val="bullet"/>
      <w:lvlText w:val=""/>
      <w:lvlJc w:val="left"/>
      <w:pPr>
        <w:ind w:left="13140" w:hanging="360"/>
      </w:pPr>
      <w:rPr>
        <w:rFonts w:ascii="Symbol" w:hAnsi="Symbol" w:hint="default"/>
      </w:rPr>
    </w:lvl>
    <w:lvl w:ilvl="7" w:tplc="04090003" w:tentative="1">
      <w:start w:val="1"/>
      <w:numFmt w:val="bullet"/>
      <w:lvlText w:val="o"/>
      <w:lvlJc w:val="left"/>
      <w:pPr>
        <w:ind w:left="13860" w:hanging="360"/>
      </w:pPr>
      <w:rPr>
        <w:rFonts w:ascii="Courier New" w:hAnsi="Courier New" w:hint="default"/>
      </w:rPr>
    </w:lvl>
    <w:lvl w:ilvl="8" w:tplc="04090005" w:tentative="1">
      <w:start w:val="1"/>
      <w:numFmt w:val="bullet"/>
      <w:lvlText w:val=""/>
      <w:lvlJc w:val="left"/>
      <w:pPr>
        <w:ind w:left="14580" w:hanging="360"/>
      </w:pPr>
      <w:rPr>
        <w:rFonts w:ascii="Wingdings" w:hAnsi="Wingdings" w:hint="default"/>
      </w:rPr>
    </w:lvl>
  </w:abstractNum>
  <w:abstractNum w:abstractNumId="13" w15:restartNumberingAfterBreak="0">
    <w:nsid w:val="418F5E66"/>
    <w:multiLevelType w:val="hybridMultilevel"/>
    <w:tmpl w:val="E544074A"/>
    <w:lvl w:ilvl="0" w:tplc="D7D0EE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D40AA1"/>
    <w:multiLevelType w:val="hybridMultilevel"/>
    <w:tmpl w:val="0CF43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1E409C"/>
    <w:multiLevelType w:val="hybridMultilevel"/>
    <w:tmpl w:val="0C127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2520D1"/>
    <w:multiLevelType w:val="hybridMultilevel"/>
    <w:tmpl w:val="51AA6E2E"/>
    <w:lvl w:ilvl="0" w:tplc="D7D0EE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FB626B"/>
    <w:multiLevelType w:val="hybridMultilevel"/>
    <w:tmpl w:val="C0061C82"/>
    <w:lvl w:ilvl="0" w:tplc="D7D0EE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1813CD"/>
    <w:multiLevelType w:val="hybridMultilevel"/>
    <w:tmpl w:val="C63C6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5B0DAF"/>
    <w:multiLevelType w:val="hybridMultilevel"/>
    <w:tmpl w:val="B60A35AE"/>
    <w:lvl w:ilvl="0" w:tplc="BF883CAA">
      <w:start w:val="1"/>
      <w:numFmt w:val="bullet"/>
      <w:lvlText w:val=""/>
      <w:lvlJc w:val="left"/>
      <w:pPr>
        <w:tabs>
          <w:tab w:val="num" w:pos="720"/>
        </w:tabs>
        <w:ind w:left="720" w:hanging="360"/>
      </w:pPr>
      <w:rPr>
        <w:rFonts w:ascii="Wingdings 2" w:hAnsi="Wingdings 2" w:hint="default"/>
      </w:rPr>
    </w:lvl>
    <w:lvl w:ilvl="1" w:tplc="A3B6FF02">
      <w:start w:val="1"/>
      <w:numFmt w:val="bullet"/>
      <w:lvlText w:val=""/>
      <w:lvlJc w:val="left"/>
      <w:pPr>
        <w:tabs>
          <w:tab w:val="num" w:pos="1440"/>
        </w:tabs>
        <w:ind w:left="1440" w:hanging="360"/>
      </w:pPr>
      <w:rPr>
        <w:rFonts w:ascii="Wingdings 2" w:hAnsi="Wingdings 2" w:hint="default"/>
      </w:rPr>
    </w:lvl>
    <w:lvl w:ilvl="2" w:tplc="843EDCD4">
      <w:numFmt w:val="none"/>
      <w:lvlText w:val=""/>
      <w:lvlJc w:val="left"/>
      <w:pPr>
        <w:tabs>
          <w:tab w:val="num" w:pos="360"/>
        </w:tabs>
      </w:pPr>
    </w:lvl>
    <w:lvl w:ilvl="3" w:tplc="33165BD0" w:tentative="1">
      <w:start w:val="1"/>
      <w:numFmt w:val="bullet"/>
      <w:lvlText w:val=""/>
      <w:lvlJc w:val="left"/>
      <w:pPr>
        <w:tabs>
          <w:tab w:val="num" w:pos="2880"/>
        </w:tabs>
        <w:ind w:left="2880" w:hanging="360"/>
      </w:pPr>
      <w:rPr>
        <w:rFonts w:ascii="Wingdings 2" w:hAnsi="Wingdings 2" w:hint="default"/>
      </w:rPr>
    </w:lvl>
    <w:lvl w:ilvl="4" w:tplc="D452F974" w:tentative="1">
      <w:start w:val="1"/>
      <w:numFmt w:val="bullet"/>
      <w:lvlText w:val=""/>
      <w:lvlJc w:val="left"/>
      <w:pPr>
        <w:tabs>
          <w:tab w:val="num" w:pos="3600"/>
        </w:tabs>
        <w:ind w:left="3600" w:hanging="360"/>
      </w:pPr>
      <w:rPr>
        <w:rFonts w:ascii="Wingdings 2" w:hAnsi="Wingdings 2" w:hint="default"/>
      </w:rPr>
    </w:lvl>
    <w:lvl w:ilvl="5" w:tplc="9716CEF8" w:tentative="1">
      <w:start w:val="1"/>
      <w:numFmt w:val="bullet"/>
      <w:lvlText w:val=""/>
      <w:lvlJc w:val="left"/>
      <w:pPr>
        <w:tabs>
          <w:tab w:val="num" w:pos="4320"/>
        </w:tabs>
        <w:ind w:left="4320" w:hanging="360"/>
      </w:pPr>
      <w:rPr>
        <w:rFonts w:ascii="Wingdings 2" w:hAnsi="Wingdings 2" w:hint="default"/>
      </w:rPr>
    </w:lvl>
    <w:lvl w:ilvl="6" w:tplc="8034E7CE" w:tentative="1">
      <w:start w:val="1"/>
      <w:numFmt w:val="bullet"/>
      <w:lvlText w:val=""/>
      <w:lvlJc w:val="left"/>
      <w:pPr>
        <w:tabs>
          <w:tab w:val="num" w:pos="5040"/>
        </w:tabs>
        <w:ind w:left="5040" w:hanging="360"/>
      </w:pPr>
      <w:rPr>
        <w:rFonts w:ascii="Wingdings 2" w:hAnsi="Wingdings 2" w:hint="default"/>
      </w:rPr>
    </w:lvl>
    <w:lvl w:ilvl="7" w:tplc="522011F8" w:tentative="1">
      <w:start w:val="1"/>
      <w:numFmt w:val="bullet"/>
      <w:lvlText w:val=""/>
      <w:lvlJc w:val="left"/>
      <w:pPr>
        <w:tabs>
          <w:tab w:val="num" w:pos="5760"/>
        </w:tabs>
        <w:ind w:left="5760" w:hanging="360"/>
      </w:pPr>
      <w:rPr>
        <w:rFonts w:ascii="Wingdings 2" w:hAnsi="Wingdings 2" w:hint="default"/>
      </w:rPr>
    </w:lvl>
    <w:lvl w:ilvl="8" w:tplc="AEB6204E"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537A47A5"/>
    <w:multiLevelType w:val="hybridMultilevel"/>
    <w:tmpl w:val="51AA6E2E"/>
    <w:lvl w:ilvl="0" w:tplc="D7D0EE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4B3313"/>
    <w:multiLevelType w:val="hybridMultilevel"/>
    <w:tmpl w:val="3FF63308"/>
    <w:lvl w:ilvl="0" w:tplc="0FE8B886">
      <w:start w:val="1"/>
      <w:numFmt w:val="bullet"/>
      <w:lvlText w:val=""/>
      <w:lvlJc w:val="left"/>
      <w:pPr>
        <w:tabs>
          <w:tab w:val="num" w:pos="720"/>
        </w:tabs>
        <w:ind w:left="720" w:hanging="360"/>
      </w:pPr>
      <w:rPr>
        <w:rFonts w:ascii="Wingdings" w:hAnsi="Wingdings" w:hint="default"/>
      </w:rPr>
    </w:lvl>
    <w:lvl w:ilvl="1" w:tplc="872AFE06" w:tentative="1">
      <w:start w:val="1"/>
      <w:numFmt w:val="bullet"/>
      <w:lvlText w:val=""/>
      <w:lvlJc w:val="left"/>
      <w:pPr>
        <w:tabs>
          <w:tab w:val="num" w:pos="1440"/>
        </w:tabs>
        <w:ind w:left="1440" w:hanging="360"/>
      </w:pPr>
      <w:rPr>
        <w:rFonts w:ascii="Wingdings" w:hAnsi="Wingdings" w:hint="default"/>
      </w:rPr>
    </w:lvl>
    <w:lvl w:ilvl="2" w:tplc="B7F85C06" w:tentative="1">
      <w:start w:val="1"/>
      <w:numFmt w:val="bullet"/>
      <w:lvlText w:val=""/>
      <w:lvlJc w:val="left"/>
      <w:pPr>
        <w:tabs>
          <w:tab w:val="num" w:pos="2160"/>
        </w:tabs>
        <w:ind w:left="2160" w:hanging="360"/>
      </w:pPr>
      <w:rPr>
        <w:rFonts w:ascii="Wingdings" w:hAnsi="Wingdings" w:hint="default"/>
      </w:rPr>
    </w:lvl>
    <w:lvl w:ilvl="3" w:tplc="DE7CBEB2" w:tentative="1">
      <w:start w:val="1"/>
      <w:numFmt w:val="bullet"/>
      <w:lvlText w:val=""/>
      <w:lvlJc w:val="left"/>
      <w:pPr>
        <w:tabs>
          <w:tab w:val="num" w:pos="2880"/>
        </w:tabs>
        <w:ind w:left="2880" w:hanging="360"/>
      </w:pPr>
      <w:rPr>
        <w:rFonts w:ascii="Wingdings" w:hAnsi="Wingdings" w:hint="default"/>
      </w:rPr>
    </w:lvl>
    <w:lvl w:ilvl="4" w:tplc="2AD22214" w:tentative="1">
      <w:start w:val="1"/>
      <w:numFmt w:val="bullet"/>
      <w:lvlText w:val=""/>
      <w:lvlJc w:val="left"/>
      <w:pPr>
        <w:tabs>
          <w:tab w:val="num" w:pos="3600"/>
        </w:tabs>
        <w:ind w:left="3600" w:hanging="360"/>
      </w:pPr>
      <w:rPr>
        <w:rFonts w:ascii="Wingdings" w:hAnsi="Wingdings" w:hint="default"/>
      </w:rPr>
    </w:lvl>
    <w:lvl w:ilvl="5" w:tplc="B23E93F4" w:tentative="1">
      <w:start w:val="1"/>
      <w:numFmt w:val="bullet"/>
      <w:lvlText w:val=""/>
      <w:lvlJc w:val="left"/>
      <w:pPr>
        <w:tabs>
          <w:tab w:val="num" w:pos="4320"/>
        </w:tabs>
        <w:ind w:left="4320" w:hanging="360"/>
      </w:pPr>
      <w:rPr>
        <w:rFonts w:ascii="Wingdings" w:hAnsi="Wingdings" w:hint="default"/>
      </w:rPr>
    </w:lvl>
    <w:lvl w:ilvl="6" w:tplc="992A5F6C" w:tentative="1">
      <w:start w:val="1"/>
      <w:numFmt w:val="bullet"/>
      <w:lvlText w:val=""/>
      <w:lvlJc w:val="left"/>
      <w:pPr>
        <w:tabs>
          <w:tab w:val="num" w:pos="5040"/>
        </w:tabs>
        <w:ind w:left="5040" w:hanging="360"/>
      </w:pPr>
      <w:rPr>
        <w:rFonts w:ascii="Wingdings" w:hAnsi="Wingdings" w:hint="default"/>
      </w:rPr>
    </w:lvl>
    <w:lvl w:ilvl="7" w:tplc="4ACE57F2" w:tentative="1">
      <w:start w:val="1"/>
      <w:numFmt w:val="bullet"/>
      <w:lvlText w:val=""/>
      <w:lvlJc w:val="left"/>
      <w:pPr>
        <w:tabs>
          <w:tab w:val="num" w:pos="5760"/>
        </w:tabs>
        <w:ind w:left="5760" w:hanging="360"/>
      </w:pPr>
      <w:rPr>
        <w:rFonts w:ascii="Wingdings" w:hAnsi="Wingdings" w:hint="default"/>
      </w:rPr>
    </w:lvl>
    <w:lvl w:ilvl="8" w:tplc="3A44D61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57A0A"/>
    <w:multiLevelType w:val="hybridMultilevel"/>
    <w:tmpl w:val="416E76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CA17F2"/>
    <w:multiLevelType w:val="hybridMultilevel"/>
    <w:tmpl w:val="A066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774258"/>
    <w:multiLevelType w:val="hybridMultilevel"/>
    <w:tmpl w:val="D8F2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FD48FE"/>
    <w:multiLevelType w:val="hybridMultilevel"/>
    <w:tmpl w:val="FB5CA0D2"/>
    <w:lvl w:ilvl="0" w:tplc="3D96F0A0">
      <w:start w:val="1"/>
      <w:numFmt w:val="bullet"/>
      <w:lvlText w:val=""/>
      <w:lvlJc w:val="left"/>
      <w:pPr>
        <w:tabs>
          <w:tab w:val="num" w:pos="-402"/>
        </w:tabs>
        <w:ind w:left="-402" w:hanging="360"/>
      </w:pPr>
      <w:rPr>
        <w:rFonts w:ascii="Wingdings" w:hAnsi="Wingdings" w:hint="default"/>
      </w:rPr>
    </w:lvl>
    <w:lvl w:ilvl="1" w:tplc="AD32EEDA">
      <w:start w:val="1"/>
      <w:numFmt w:val="bullet"/>
      <w:lvlText w:val=""/>
      <w:lvlJc w:val="left"/>
      <w:pPr>
        <w:tabs>
          <w:tab w:val="num" w:pos="318"/>
        </w:tabs>
        <w:ind w:left="318" w:hanging="360"/>
      </w:pPr>
      <w:rPr>
        <w:rFonts w:ascii="Wingdings" w:hAnsi="Wingdings" w:hint="default"/>
      </w:rPr>
    </w:lvl>
    <w:lvl w:ilvl="2" w:tplc="D6CAB340" w:tentative="1">
      <w:start w:val="1"/>
      <w:numFmt w:val="bullet"/>
      <w:lvlText w:val=""/>
      <w:lvlJc w:val="left"/>
      <w:pPr>
        <w:tabs>
          <w:tab w:val="num" w:pos="1038"/>
        </w:tabs>
        <w:ind w:left="1038" w:hanging="360"/>
      </w:pPr>
      <w:rPr>
        <w:rFonts w:ascii="Wingdings" w:hAnsi="Wingdings" w:hint="default"/>
      </w:rPr>
    </w:lvl>
    <w:lvl w:ilvl="3" w:tplc="32CAFBD6" w:tentative="1">
      <w:start w:val="1"/>
      <w:numFmt w:val="bullet"/>
      <w:lvlText w:val=""/>
      <w:lvlJc w:val="left"/>
      <w:pPr>
        <w:tabs>
          <w:tab w:val="num" w:pos="1758"/>
        </w:tabs>
        <w:ind w:left="1758" w:hanging="360"/>
      </w:pPr>
      <w:rPr>
        <w:rFonts w:ascii="Wingdings" w:hAnsi="Wingdings" w:hint="default"/>
      </w:rPr>
    </w:lvl>
    <w:lvl w:ilvl="4" w:tplc="DD8E137C" w:tentative="1">
      <w:start w:val="1"/>
      <w:numFmt w:val="bullet"/>
      <w:lvlText w:val=""/>
      <w:lvlJc w:val="left"/>
      <w:pPr>
        <w:tabs>
          <w:tab w:val="num" w:pos="2478"/>
        </w:tabs>
        <w:ind w:left="2478" w:hanging="360"/>
      </w:pPr>
      <w:rPr>
        <w:rFonts w:ascii="Wingdings" w:hAnsi="Wingdings" w:hint="default"/>
      </w:rPr>
    </w:lvl>
    <w:lvl w:ilvl="5" w:tplc="D69808C0" w:tentative="1">
      <w:start w:val="1"/>
      <w:numFmt w:val="bullet"/>
      <w:lvlText w:val=""/>
      <w:lvlJc w:val="left"/>
      <w:pPr>
        <w:tabs>
          <w:tab w:val="num" w:pos="3198"/>
        </w:tabs>
        <w:ind w:left="3198" w:hanging="360"/>
      </w:pPr>
      <w:rPr>
        <w:rFonts w:ascii="Wingdings" w:hAnsi="Wingdings" w:hint="default"/>
      </w:rPr>
    </w:lvl>
    <w:lvl w:ilvl="6" w:tplc="FEEA0336" w:tentative="1">
      <w:start w:val="1"/>
      <w:numFmt w:val="bullet"/>
      <w:lvlText w:val=""/>
      <w:lvlJc w:val="left"/>
      <w:pPr>
        <w:tabs>
          <w:tab w:val="num" w:pos="3918"/>
        </w:tabs>
        <w:ind w:left="3918" w:hanging="360"/>
      </w:pPr>
      <w:rPr>
        <w:rFonts w:ascii="Wingdings" w:hAnsi="Wingdings" w:hint="default"/>
      </w:rPr>
    </w:lvl>
    <w:lvl w:ilvl="7" w:tplc="6D060FD6" w:tentative="1">
      <w:start w:val="1"/>
      <w:numFmt w:val="bullet"/>
      <w:lvlText w:val=""/>
      <w:lvlJc w:val="left"/>
      <w:pPr>
        <w:tabs>
          <w:tab w:val="num" w:pos="4638"/>
        </w:tabs>
        <w:ind w:left="4638" w:hanging="360"/>
      </w:pPr>
      <w:rPr>
        <w:rFonts w:ascii="Wingdings" w:hAnsi="Wingdings" w:hint="default"/>
      </w:rPr>
    </w:lvl>
    <w:lvl w:ilvl="8" w:tplc="D52209F0" w:tentative="1">
      <w:start w:val="1"/>
      <w:numFmt w:val="bullet"/>
      <w:lvlText w:val=""/>
      <w:lvlJc w:val="left"/>
      <w:pPr>
        <w:tabs>
          <w:tab w:val="num" w:pos="5358"/>
        </w:tabs>
        <w:ind w:left="5358" w:hanging="360"/>
      </w:pPr>
      <w:rPr>
        <w:rFonts w:ascii="Wingdings" w:hAnsi="Wingdings" w:hint="default"/>
      </w:rPr>
    </w:lvl>
  </w:abstractNum>
  <w:abstractNum w:abstractNumId="26" w15:restartNumberingAfterBreak="0">
    <w:nsid w:val="689C0039"/>
    <w:multiLevelType w:val="hybridMultilevel"/>
    <w:tmpl w:val="733AD4D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C11693"/>
    <w:multiLevelType w:val="hybridMultilevel"/>
    <w:tmpl w:val="30581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C4F5987"/>
    <w:multiLevelType w:val="hybridMultilevel"/>
    <w:tmpl w:val="D6588F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5463E6"/>
    <w:multiLevelType w:val="hybridMultilevel"/>
    <w:tmpl w:val="E2A2E9B8"/>
    <w:lvl w:ilvl="0" w:tplc="D7D0EE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4"/>
  </w:num>
  <w:num w:numId="3">
    <w:abstractNumId w:val="4"/>
  </w:num>
  <w:num w:numId="4">
    <w:abstractNumId w:val="12"/>
  </w:num>
  <w:num w:numId="5">
    <w:abstractNumId w:val="27"/>
  </w:num>
  <w:num w:numId="6">
    <w:abstractNumId w:val="7"/>
  </w:num>
  <w:num w:numId="7">
    <w:abstractNumId w:val="6"/>
  </w:num>
  <w:num w:numId="8">
    <w:abstractNumId w:val="26"/>
  </w:num>
  <w:num w:numId="9">
    <w:abstractNumId w:val="19"/>
  </w:num>
  <w:num w:numId="10">
    <w:abstractNumId w:val="0"/>
  </w:num>
  <w:num w:numId="11">
    <w:abstractNumId w:val="11"/>
  </w:num>
  <w:num w:numId="12">
    <w:abstractNumId w:val="28"/>
  </w:num>
  <w:num w:numId="13">
    <w:abstractNumId w:val="10"/>
  </w:num>
  <w:num w:numId="14">
    <w:abstractNumId w:val="29"/>
  </w:num>
  <w:num w:numId="15">
    <w:abstractNumId w:val="23"/>
  </w:num>
  <w:num w:numId="16">
    <w:abstractNumId w:val="8"/>
  </w:num>
  <w:num w:numId="17">
    <w:abstractNumId w:val="3"/>
  </w:num>
  <w:num w:numId="18">
    <w:abstractNumId w:val="1"/>
  </w:num>
  <w:num w:numId="19">
    <w:abstractNumId w:val="5"/>
  </w:num>
  <w:num w:numId="20">
    <w:abstractNumId w:val="22"/>
  </w:num>
  <w:num w:numId="21">
    <w:abstractNumId w:val="13"/>
  </w:num>
  <w:num w:numId="22">
    <w:abstractNumId w:val="20"/>
  </w:num>
  <w:num w:numId="23">
    <w:abstractNumId w:val="21"/>
  </w:num>
  <w:num w:numId="24">
    <w:abstractNumId w:val="25"/>
  </w:num>
  <w:num w:numId="25">
    <w:abstractNumId w:val="16"/>
  </w:num>
  <w:num w:numId="26">
    <w:abstractNumId w:val="2"/>
  </w:num>
  <w:num w:numId="27">
    <w:abstractNumId w:val="17"/>
  </w:num>
  <w:num w:numId="28">
    <w:abstractNumId w:val="9"/>
  </w:num>
  <w:num w:numId="29">
    <w:abstractNumId w:val="1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396"/>
    <w:rsid w:val="000036EE"/>
    <w:rsid w:val="0001033D"/>
    <w:rsid w:val="000106BD"/>
    <w:rsid w:val="00022AF2"/>
    <w:rsid w:val="00023720"/>
    <w:rsid w:val="00025D82"/>
    <w:rsid w:val="00027B83"/>
    <w:rsid w:val="00030D8F"/>
    <w:rsid w:val="000347A2"/>
    <w:rsid w:val="00054473"/>
    <w:rsid w:val="0005499C"/>
    <w:rsid w:val="00055424"/>
    <w:rsid w:val="000801CC"/>
    <w:rsid w:val="00087430"/>
    <w:rsid w:val="000B003A"/>
    <w:rsid w:val="000B411B"/>
    <w:rsid w:val="000D2785"/>
    <w:rsid w:val="000E5070"/>
    <w:rsid w:val="00103E81"/>
    <w:rsid w:val="0011084A"/>
    <w:rsid w:val="00124E5F"/>
    <w:rsid w:val="00130411"/>
    <w:rsid w:val="00156DFF"/>
    <w:rsid w:val="001959A3"/>
    <w:rsid w:val="001A046E"/>
    <w:rsid w:val="001A1272"/>
    <w:rsid w:val="001A1BCC"/>
    <w:rsid w:val="001B1A85"/>
    <w:rsid w:val="001B1DF3"/>
    <w:rsid w:val="001B77A6"/>
    <w:rsid w:val="001E202D"/>
    <w:rsid w:val="00205710"/>
    <w:rsid w:val="00205928"/>
    <w:rsid w:val="00207B31"/>
    <w:rsid w:val="00207B38"/>
    <w:rsid w:val="00212921"/>
    <w:rsid w:val="0022487F"/>
    <w:rsid w:val="002512ED"/>
    <w:rsid w:val="00253583"/>
    <w:rsid w:val="00263A5C"/>
    <w:rsid w:val="00270A71"/>
    <w:rsid w:val="00294A04"/>
    <w:rsid w:val="002A58C0"/>
    <w:rsid w:val="002C5E2A"/>
    <w:rsid w:val="002C68EC"/>
    <w:rsid w:val="002D0F7F"/>
    <w:rsid w:val="002D4171"/>
    <w:rsid w:val="002D6C7A"/>
    <w:rsid w:val="002E47AF"/>
    <w:rsid w:val="002E4840"/>
    <w:rsid w:val="00300139"/>
    <w:rsid w:val="0031222D"/>
    <w:rsid w:val="00312307"/>
    <w:rsid w:val="00315903"/>
    <w:rsid w:val="0034782D"/>
    <w:rsid w:val="00357CA8"/>
    <w:rsid w:val="003857D7"/>
    <w:rsid w:val="003908D0"/>
    <w:rsid w:val="003B2FEF"/>
    <w:rsid w:val="003B46CB"/>
    <w:rsid w:val="003D14E2"/>
    <w:rsid w:val="003E27E5"/>
    <w:rsid w:val="00405A76"/>
    <w:rsid w:val="00406236"/>
    <w:rsid w:val="004170CE"/>
    <w:rsid w:val="00426F04"/>
    <w:rsid w:val="00427A48"/>
    <w:rsid w:val="00447E8E"/>
    <w:rsid w:val="00470BCC"/>
    <w:rsid w:val="004834C2"/>
    <w:rsid w:val="004A7B7A"/>
    <w:rsid w:val="004B1EF9"/>
    <w:rsid w:val="004B71BA"/>
    <w:rsid w:val="004C58A6"/>
    <w:rsid w:val="004C6FC7"/>
    <w:rsid w:val="004E24DD"/>
    <w:rsid w:val="004F04E2"/>
    <w:rsid w:val="00500B1C"/>
    <w:rsid w:val="00513710"/>
    <w:rsid w:val="0051379D"/>
    <w:rsid w:val="005216DD"/>
    <w:rsid w:val="005235B4"/>
    <w:rsid w:val="0052570B"/>
    <w:rsid w:val="00531ADB"/>
    <w:rsid w:val="00534559"/>
    <w:rsid w:val="00534E29"/>
    <w:rsid w:val="00537E31"/>
    <w:rsid w:val="005421E4"/>
    <w:rsid w:val="00542375"/>
    <w:rsid w:val="00551B85"/>
    <w:rsid w:val="005574B0"/>
    <w:rsid w:val="00573C6B"/>
    <w:rsid w:val="005972C9"/>
    <w:rsid w:val="005A2F42"/>
    <w:rsid w:val="005B409C"/>
    <w:rsid w:val="005C0211"/>
    <w:rsid w:val="005C1145"/>
    <w:rsid w:val="005C5FF0"/>
    <w:rsid w:val="005D5F71"/>
    <w:rsid w:val="005D6E74"/>
    <w:rsid w:val="005E3D13"/>
    <w:rsid w:val="005E4E7F"/>
    <w:rsid w:val="0060317F"/>
    <w:rsid w:val="00607B28"/>
    <w:rsid w:val="00613501"/>
    <w:rsid w:val="00631C29"/>
    <w:rsid w:val="00633DCC"/>
    <w:rsid w:val="006347CE"/>
    <w:rsid w:val="006355C3"/>
    <w:rsid w:val="00643E0E"/>
    <w:rsid w:val="00650B9F"/>
    <w:rsid w:val="006569D1"/>
    <w:rsid w:val="006674B5"/>
    <w:rsid w:val="00680FB2"/>
    <w:rsid w:val="00691E47"/>
    <w:rsid w:val="006A0430"/>
    <w:rsid w:val="006A0F65"/>
    <w:rsid w:val="006A12A6"/>
    <w:rsid w:val="006D3236"/>
    <w:rsid w:val="006D3D60"/>
    <w:rsid w:val="006F0CEE"/>
    <w:rsid w:val="00726E7E"/>
    <w:rsid w:val="00735506"/>
    <w:rsid w:val="00744013"/>
    <w:rsid w:val="007637E3"/>
    <w:rsid w:val="0077484D"/>
    <w:rsid w:val="00780077"/>
    <w:rsid w:val="007934F7"/>
    <w:rsid w:val="00793F81"/>
    <w:rsid w:val="0079527E"/>
    <w:rsid w:val="00797A48"/>
    <w:rsid w:val="007B4A06"/>
    <w:rsid w:val="007F0421"/>
    <w:rsid w:val="007F4B76"/>
    <w:rsid w:val="00803AC1"/>
    <w:rsid w:val="008111A2"/>
    <w:rsid w:val="00814770"/>
    <w:rsid w:val="00817F86"/>
    <w:rsid w:val="00835E8E"/>
    <w:rsid w:val="00857CB7"/>
    <w:rsid w:val="00870AF9"/>
    <w:rsid w:val="008852E4"/>
    <w:rsid w:val="00890121"/>
    <w:rsid w:val="008938FF"/>
    <w:rsid w:val="008B37BD"/>
    <w:rsid w:val="008B61E0"/>
    <w:rsid w:val="008C7987"/>
    <w:rsid w:val="008E1097"/>
    <w:rsid w:val="008E194B"/>
    <w:rsid w:val="008E5130"/>
    <w:rsid w:val="008F31E3"/>
    <w:rsid w:val="008F4F74"/>
    <w:rsid w:val="009015A4"/>
    <w:rsid w:val="00901DDA"/>
    <w:rsid w:val="00904A54"/>
    <w:rsid w:val="00905A85"/>
    <w:rsid w:val="00922396"/>
    <w:rsid w:val="00937A34"/>
    <w:rsid w:val="00941A40"/>
    <w:rsid w:val="00946CDB"/>
    <w:rsid w:val="009507A3"/>
    <w:rsid w:val="009567FF"/>
    <w:rsid w:val="00964A6D"/>
    <w:rsid w:val="009653B2"/>
    <w:rsid w:val="00972C90"/>
    <w:rsid w:val="009805DE"/>
    <w:rsid w:val="00984262"/>
    <w:rsid w:val="009853BD"/>
    <w:rsid w:val="009C09FC"/>
    <w:rsid w:val="009D532B"/>
    <w:rsid w:val="009D63CF"/>
    <w:rsid w:val="009F21BB"/>
    <w:rsid w:val="00A068FC"/>
    <w:rsid w:val="00A07EB0"/>
    <w:rsid w:val="00A22DBE"/>
    <w:rsid w:val="00A266D1"/>
    <w:rsid w:val="00A3033B"/>
    <w:rsid w:val="00A44CBB"/>
    <w:rsid w:val="00A55A35"/>
    <w:rsid w:val="00A622D7"/>
    <w:rsid w:val="00A76FC5"/>
    <w:rsid w:val="00A800B4"/>
    <w:rsid w:val="00A92DAD"/>
    <w:rsid w:val="00A97027"/>
    <w:rsid w:val="00AE336B"/>
    <w:rsid w:val="00AF2648"/>
    <w:rsid w:val="00AF7899"/>
    <w:rsid w:val="00B05DBE"/>
    <w:rsid w:val="00B20BC1"/>
    <w:rsid w:val="00B2128C"/>
    <w:rsid w:val="00B22A15"/>
    <w:rsid w:val="00B31F57"/>
    <w:rsid w:val="00B34FF4"/>
    <w:rsid w:val="00B36B88"/>
    <w:rsid w:val="00B543AF"/>
    <w:rsid w:val="00B84AC8"/>
    <w:rsid w:val="00BA69FA"/>
    <w:rsid w:val="00BB374E"/>
    <w:rsid w:val="00BB7528"/>
    <w:rsid w:val="00BD6DF0"/>
    <w:rsid w:val="00C1732E"/>
    <w:rsid w:val="00C20132"/>
    <w:rsid w:val="00C20928"/>
    <w:rsid w:val="00C20B63"/>
    <w:rsid w:val="00C325DC"/>
    <w:rsid w:val="00C369A9"/>
    <w:rsid w:val="00C427F4"/>
    <w:rsid w:val="00C544B5"/>
    <w:rsid w:val="00C55D55"/>
    <w:rsid w:val="00C55E95"/>
    <w:rsid w:val="00C6126E"/>
    <w:rsid w:val="00C63EC6"/>
    <w:rsid w:val="00C64D4A"/>
    <w:rsid w:val="00C660A6"/>
    <w:rsid w:val="00C6663C"/>
    <w:rsid w:val="00C66C82"/>
    <w:rsid w:val="00C941DA"/>
    <w:rsid w:val="00C96D3A"/>
    <w:rsid w:val="00CA3373"/>
    <w:rsid w:val="00CA5510"/>
    <w:rsid w:val="00CB6BA0"/>
    <w:rsid w:val="00CC2354"/>
    <w:rsid w:val="00CD0305"/>
    <w:rsid w:val="00CD402A"/>
    <w:rsid w:val="00CD7BDC"/>
    <w:rsid w:val="00CE27D7"/>
    <w:rsid w:val="00D02E00"/>
    <w:rsid w:val="00D0661C"/>
    <w:rsid w:val="00D125B6"/>
    <w:rsid w:val="00D16977"/>
    <w:rsid w:val="00D1713E"/>
    <w:rsid w:val="00D31A8A"/>
    <w:rsid w:val="00D47D64"/>
    <w:rsid w:val="00D61305"/>
    <w:rsid w:val="00D71A9D"/>
    <w:rsid w:val="00D91FC7"/>
    <w:rsid w:val="00DA4E9E"/>
    <w:rsid w:val="00DA6871"/>
    <w:rsid w:val="00DC21BC"/>
    <w:rsid w:val="00DC28E8"/>
    <w:rsid w:val="00DF18CB"/>
    <w:rsid w:val="00DF18F8"/>
    <w:rsid w:val="00E0060C"/>
    <w:rsid w:val="00E125E5"/>
    <w:rsid w:val="00E25067"/>
    <w:rsid w:val="00E256EF"/>
    <w:rsid w:val="00E267FC"/>
    <w:rsid w:val="00E6546C"/>
    <w:rsid w:val="00E66478"/>
    <w:rsid w:val="00E939B7"/>
    <w:rsid w:val="00EB49C2"/>
    <w:rsid w:val="00EB67F4"/>
    <w:rsid w:val="00EC1F6F"/>
    <w:rsid w:val="00EC2697"/>
    <w:rsid w:val="00EC6208"/>
    <w:rsid w:val="00EF1F72"/>
    <w:rsid w:val="00EF2CEC"/>
    <w:rsid w:val="00EF401B"/>
    <w:rsid w:val="00F058DD"/>
    <w:rsid w:val="00F1107C"/>
    <w:rsid w:val="00F13EBA"/>
    <w:rsid w:val="00F26308"/>
    <w:rsid w:val="00F2658D"/>
    <w:rsid w:val="00F32752"/>
    <w:rsid w:val="00F453D3"/>
    <w:rsid w:val="00F51137"/>
    <w:rsid w:val="00F7009E"/>
    <w:rsid w:val="00F710CF"/>
    <w:rsid w:val="00F752F4"/>
    <w:rsid w:val="00F87E72"/>
    <w:rsid w:val="00F9686F"/>
    <w:rsid w:val="00FA11F7"/>
    <w:rsid w:val="00FA61BA"/>
    <w:rsid w:val="00FC7387"/>
    <w:rsid w:val="00FD12BE"/>
    <w:rsid w:val="00FD6725"/>
    <w:rsid w:val="00FE592D"/>
    <w:rsid w:val="00FF6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54F7885"/>
  <w14:defaultImageDpi w14:val="300"/>
  <w15:docId w15:val="{BB0ECBC0-316A-4CF1-AEF5-4E2987BF9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61C"/>
    <w:rPr>
      <w:sz w:val="22"/>
    </w:rPr>
  </w:style>
  <w:style w:type="paragraph" w:styleId="Heading1">
    <w:name w:val="heading 1"/>
    <w:basedOn w:val="Normal"/>
    <w:next w:val="Normal"/>
    <w:link w:val="Heading1Char"/>
    <w:uiPriority w:val="9"/>
    <w:qFormat/>
    <w:rsid w:val="005D5F7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5D5F7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5D5F71"/>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5D5F71"/>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unhideWhenUsed/>
    <w:qFormat/>
    <w:rsid w:val="005D5F71"/>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unhideWhenUsed/>
    <w:qFormat/>
    <w:rsid w:val="005D5F71"/>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5D5F71"/>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5D5F7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D5F7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2396"/>
    <w:pPr>
      <w:spacing w:beforeAutospacing="1" w:after="100" w:afterAutospacing="1"/>
    </w:pPr>
    <w:rPr>
      <w:rFonts w:ascii="Times" w:hAnsi="Times" w:cs="Times New Roman"/>
    </w:rPr>
  </w:style>
  <w:style w:type="paragraph" w:styleId="Header">
    <w:name w:val="header"/>
    <w:basedOn w:val="Normal"/>
    <w:link w:val="HeaderChar"/>
    <w:uiPriority w:val="99"/>
    <w:unhideWhenUsed/>
    <w:rsid w:val="007637E3"/>
    <w:pPr>
      <w:tabs>
        <w:tab w:val="center" w:pos="4680"/>
        <w:tab w:val="right" w:pos="9360"/>
      </w:tabs>
    </w:pPr>
    <w:rPr>
      <w:rFonts w:ascii="Calibri" w:eastAsia="Calibri" w:hAnsi="Calibri" w:cs="Times New Roman"/>
      <w:szCs w:val="22"/>
    </w:rPr>
  </w:style>
  <w:style w:type="character" w:customStyle="1" w:styleId="HeaderChar">
    <w:name w:val="Header Char"/>
    <w:basedOn w:val="DefaultParagraphFont"/>
    <w:link w:val="Header"/>
    <w:uiPriority w:val="99"/>
    <w:rsid w:val="007637E3"/>
    <w:rPr>
      <w:rFonts w:ascii="Calibri" w:eastAsia="Calibri" w:hAnsi="Calibri" w:cs="Times New Roman"/>
      <w:sz w:val="22"/>
      <w:szCs w:val="22"/>
    </w:rPr>
  </w:style>
  <w:style w:type="character" w:styleId="IntenseEmphasis">
    <w:name w:val="Intense Emphasis"/>
    <w:uiPriority w:val="21"/>
    <w:qFormat/>
    <w:rsid w:val="005D5F71"/>
    <w:rPr>
      <w:b/>
      <w:bCs/>
      <w:caps/>
      <w:color w:val="1F4D78" w:themeColor="accent1" w:themeShade="7F"/>
      <w:spacing w:val="10"/>
    </w:rPr>
  </w:style>
  <w:style w:type="paragraph" w:styleId="ListParagraph">
    <w:name w:val="List Paragraph"/>
    <w:basedOn w:val="Normal"/>
    <w:uiPriority w:val="34"/>
    <w:qFormat/>
    <w:rsid w:val="005D5F71"/>
    <w:pPr>
      <w:ind w:left="720"/>
      <w:contextualSpacing/>
    </w:pPr>
  </w:style>
  <w:style w:type="paragraph" w:styleId="BalloonText">
    <w:name w:val="Balloon Text"/>
    <w:basedOn w:val="Normal"/>
    <w:link w:val="BalloonTextChar"/>
    <w:uiPriority w:val="99"/>
    <w:semiHidden/>
    <w:unhideWhenUsed/>
    <w:rsid w:val="00C201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0132"/>
    <w:rPr>
      <w:rFonts w:ascii="Lucida Grande" w:hAnsi="Lucida Grande" w:cs="Lucida Grande"/>
      <w:sz w:val="18"/>
      <w:szCs w:val="18"/>
    </w:rPr>
  </w:style>
  <w:style w:type="paragraph" w:styleId="Footer">
    <w:name w:val="footer"/>
    <w:basedOn w:val="Normal"/>
    <w:link w:val="FooterChar"/>
    <w:uiPriority w:val="99"/>
    <w:unhideWhenUsed/>
    <w:qFormat/>
    <w:rsid w:val="002D4171"/>
    <w:pPr>
      <w:tabs>
        <w:tab w:val="center" w:pos="4320"/>
        <w:tab w:val="right" w:pos="8640"/>
      </w:tabs>
    </w:pPr>
  </w:style>
  <w:style w:type="character" w:customStyle="1" w:styleId="FooterChar">
    <w:name w:val="Footer Char"/>
    <w:basedOn w:val="DefaultParagraphFont"/>
    <w:link w:val="Footer"/>
    <w:uiPriority w:val="99"/>
    <w:rsid w:val="002D4171"/>
  </w:style>
  <w:style w:type="table" w:styleId="TableGrid">
    <w:name w:val="Table Grid"/>
    <w:basedOn w:val="TableNormal"/>
    <w:uiPriority w:val="59"/>
    <w:rsid w:val="00F87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7B7A"/>
    <w:rPr>
      <w:sz w:val="16"/>
      <w:szCs w:val="16"/>
    </w:rPr>
  </w:style>
  <w:style w:type="paragraph" w:styleId="CommentText">
    <w:name w:val="annotation text"/>
    <w:basedOn w:val="Normal"/>
    <w:link w:val="CommentTextChar"/>
    <w:uiPriority w:val="99"/>
    <w:semiHidden/>
    <w:unhideWhenUsed/>
    <w:rsid w:val="004A7B7A"/>
  </w:style>
  <w:style w:type="character" w:customStyle="1" w:styleId="CommentTextChar">
    <w:name w:val="Comment Text Char"/>
    <w:basedOn w:val="DefaultParagraphFont"/>
    <w:link w:val="CommentText"/>
    <w:uiPriority w:val="99"/>
    <w:semiHidden/>
    <w:rsid w:val="004A7B7A"/>
    <w:rPr>
      <w:sz w:val="20"/>
      <w:szCs w:val="20"/>
    </w:rPr>
  </w:style>
  <w:style w:type="paragraph" w:styleId="CommentSubject">
    <w:name w:val="annotation subject"/>
    <w:basedOn w:val="CommentText"/>
    <w:next w:val="CommentText"/>
    <w:link w:val="CommentSubjectChar"/>
    <w:uiPriority w:val="99"/>
    <w:semiHidden/>
    <w:unhideWhenUsed/>
    <w:rsid w:val="004A7B7A"/>
    <w:rPr>
      <w:b/>
      <w:bCs/>
    </w:rPr>
  </w:style>
  <w:style w:type="character" w:customStyle="1" w:styleId="CommentSubjectChar">
    <w:name w:val="Comment Subject Char"/>
    <w:basedOn w:val="CommentTextChar"/>
    <w:link w:val="CommentSubject"/>
    <w:uiPriority w:val="99"/>
    <w:semiHidden/>
    <w:rsid w:val="004A7B7A"/>
    <w:rPr>
      <w:b/>
      <w:bCs/>
      <w:sz w:val="20"/>
      <w:szCs w:val="20"/>
    </w:rPr>
  </w:style>
  <w:style w:type="character" w:styleId="PageNumber">
    <w:name w:val="page number"/>
    <w:basedOn w:val="DefaultParagraphFont"/>
    <w:uiPriority w:val="99"/>
    <w:semiHidden/>
    <w:unhideWhenUsed/>
    <w:rsid w:val="00972C90"/>
  </w:style>
  <w:style w:type="character" w:customStyle="1" w:styleId="Heading1Char">
    <w:name w:val="Heading 1 Char"/>
    <w:basedOn w:val="DefaultParagraphFont"/>
    <w:link w:val="Heading1"/>
    <w:uiPriority w:val="9"/>
    <w:rsid w:val="005D5F71"/>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5D5F71"/>
    <w:rPr>
      <w:caps/>
      <w:spacing w:val="15"/>
      <w:shd w:val="clear" w:color="auto" w:fill="DEEAF6" w:themeFill="accent1" w:themeFillTint="33"/>
    </w:rPr>
  </w:style>
  <w:style w:type="character" w:customStyle="1" w:styleId="Heading3Char">
    <w:name w:val="Heading 3 Char"/>
    <w:basedOn w:val="DefaultParagraphFont"/>
    <w:link w:val="Heading3"/>
    <w:uiPriority w:val="9"/>
    <w:rsid w:val="005D5F71"/>
    <w:rPr>
      <w:caps/>
      <w:color w:val="1F4D78" w:themeColor="accent1" w:themeShade="7F"/>
      <w:spacing w:val="15"/>
    </w:rPr>
  </w:style>
  <w:style w:type="character" w:customStyle="1" w:styleId="Heading4Char">
    <w:name w:val="Heading 4 Char"/>
    <w:basedOn w:val="DefaultParagraphFont"/>
    <w:link w:val="Heading4"/>
    <w:uiPriority w:val="9"/>
    <w:rsid w:val="005D5F71"/>
    <w:rPr>
      <w:caps/>
      <w:color w:val="2E74B5" w:themeColor="accent1" w:themeShade="BF"/>
      <w:spacing w:val="10"/>
    </w:rPr>
  </w:style>
  <w:style w:type="character" w:customStyle="1" w:styleId="Heading5Char">
    <w:name w:val="Heading 5 Char"/>
    <w:basedOn w:val="DefaultParagraphFont"/>
    <w:link w:val="Heading5"/>
    <w:uiPriority w:val="9"/>
    <w:rsid w:val="005D5F71"/>
    <w:rPr>
      <w:caps/>
      <w:color w:val="2E74B5" w:themeColor="accent1" w:themeShade="BF"/>
      <w:spacing w:val="10"/>
    </w:rPr>
  </w:style>
  <w:style w:type="character" w:customStyle="1" w:styleId="Heading6Char">
    <w:name w:val="Heading 6 Char"/>
    <w:basedOn w:val="DefaultParagraphFont"/>
    <w:link w:val="Heading6"/>
    <w:uiPriority w:val="9"/>
    <w:rsid w:val="005D5F71"/>
    <w:rPr>
      <w:caps/>
      <w:color w:val="2E74B5" w:themeColor="accent1" w:themeShade="BF"/>
      <w:spacing w:val="10"/>
    </w:rPr>
  </w:style>
  <w:style w:type="character" w:customStyle="1" w:styleId="Heading7Char">
    <w:name w:val="Heading 7 Char"/>
    <w:basedOn w:val="DefaultParagraphFont"/>
    <w:link w:val="Heading7"/>
    <w:uiPriority w:val="9"/>
    <w:semiHidden/>
    <w:rsid w:val="005D5F71"/>
    <w:rPr>
      <w:caps/>
      <w:color w:val="2E74B5" w:themeColor="accent1" w:themeShade="BF"/>
      <w:spacing w:val="10"/>
    </w:rPr>
  </w:style>
  <w:style w:type="character" w:customStyle="1" w:styleId="Heading8Char">
    <w:name w:val="Heading 8 Char"/>
    <w:basedOn w:val="DefaultParagraphFont"/>
    <w:link w:val="Heading8"/>
    <w:uiPriority w:val="9"/>
    <w:semiHidden/>
    <w:rsid w:val="005D5F71"/>
    <w:rPr>
      <w:caps/>
      <w:spacing w:val="10"/>
      <w:sz w:val="18"/>
      <w:szCs w:val="18"/>
    </w:rPr>
  </w:style>
  <w:style w:type="character" w:customStyle="1" w:styleId="Heading9Char">
    <w:name w:val="Heading 9 Char"/>
    <w:basedOn w:val="DefaultParagraphFont"/>
    <w:link w:val="Heading9"/>
    <w:uiPriority w:val="9"/>
    <w:semiHidden/>
    <w:rsid w:val="005D5F71"/>
    <w:rPr>
      <w:i/>
      <w:iCs/>
      <w:caps/>
      <w:spacing w:val="10"/>
      <w:sz w:val="18"/>
      <w:szCs w:val="18"/>
    </w:rPr>
  </w:style>
  <w:style w:type="paragraph" w:styleId="Caption">
    <w:name w:val="caption"/>
    <w:basedOn w:val="Normal"/>
    <w:next w:val="Normal"/>
    <w:uiPriority w:val="35"/>
    <w:semiHidden/>
    <w:unhideWhenUsed/>
    <w:qFormat/>
    <w:rsid w:val="005D5F71"/>
    <w:rPr>
      <w:b/>
      <w:bCs/>
      <w:color w:val="2E74B5" w:themeColor="accent1" w:themeShade="BF"/>
      <w:sz w:val="16"/>
      <w:szCs w:val="16"/>
    </w:rPr>
  </w:style>
  <w:style w:type="paragraph" w:styleId="Title">
    <w:name w:val="Title"/>
    <w:basedOn w:val="Normal"/>
    <w:next w:val="Normal"/>
    <w:link w:val="TitleChar"/>
    <w:uiPriority w:val="10"/>
    <w:qFormat/>
    <w:rsid w:val="005D5F71"/>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5D5F71"/>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5D5F7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D5F71"/>
    <w:rPr>
      <w:caps/>
      <w:color w:val="595959" w:themeColor="text1" w:themeTint="A6"/>
      <w:spacing w:val="10"/>
      <w:sz w:val="21"/>
      <w:szCs w:val="21"/>
    </w:rPr>
  </w:style>
  <w:style w:type="character" w:styleId="Strong">
    <w:name w:val="Strong"/>
    <w:uiPriority w:val="22"/>
    <w:qFormat/>
    <w:rsid w:val="005D5F71"/>
    <w:rPr>
      <w:b/>
      <w:bCs/>
    </w:rPr>
  </w:style>
  <w:style w:type="character" w:styleId="Emphasis">
    <w:name w:val="Emphasis"/>
    <w:uiPriority w:val="20"/>
    <w:qFormat/>
    <w:rsid w:val="005D5F71"/>
    <w:rPr>
      <w:caps/>
      <w:color w:val="1F4D78" w:themeColor="accent1" w:themeShade="7F"/>
      <w:spacing w:val="5"/>
    </w:rPr>
  </w:style>
  <w:style w:type="paragraph" w:styleId="NoSpacing">
    <w:name w:val="No Spacing"/>
    <w:link w:val="NoSpacingChar"/>
    <w:uiPriority w:val="1"/>
    <w:qFormat/>
    <w:rsid w:val="005D5F71"/>
    <w:pPr>
      <w:spacing w:after="0" w:line="240" w:lineRule="auto"/>
    </w:pPr>
  </w:style>
  <w:style w:type="character" w:customStyle="1" w:styleId="NoSpacingChar">
    <w:name w:val="No Spacing Char"/>
    <w:basedOn w:val="DefaultParagraphFont"/>
    <w:link w:val="NoSpacing"/>
    <w:uiPriority w:val="1"/>
    <w:rsid w:val="005D5F71"/>
  </w:style>
  <w:style w:type="paragraph" w:styleId="Quote">
    <w:name w:val="Quote"/>
    <w:basedOn w:val="Normal"/>
    <w:next w:val="Normal"/>
    <w:link w:val="QuoteChar"/>
    <w:uiPriority w:val="29"/>
    <w:qFormat/>
    <w:rsid w:val="005D5F71"/>
    <w:rPr>
      <w:i/>
      <w:iCs/>
      <w:sz w:val="24"/>
      <w:szCs w:val="24"/>
    </w:rPr>
  </w:style>
  <w:style w:type="character" w:customStyle="1" w:styleId="QuoteChar">
    <w:name w:val="Quote Char"/>
    <w:basedOn w:val="DefaultParagraphFont"/>
    <w:link w:val="Quote"/>
    <w:uiPriority w:val="29"/>
    <w:rsid w:val="005D5F71"/>
    <w:rPr>
      <w:i/>
      <w:iCs/>
      <w:sz w:val="24"/>
      <w:szCs w:val="24"/>
    </w:rPr>
  </w:style>
  <w:style w:type="paragraph" w:styleId="IntenseQuote">
    <w:name w:val="Intense Quote"/>
    <w:basedOn w:val="Normal"/>
    <w:next w:val="Normal"/>
    <w:link w:val="IntenseQuoteChar"/>
    <w:uiPriority w:val="30"/>
    <w:qFormat/>
    <w:rsid w:val="005D5F71"/>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5D5F71"/>
    <w:rPr>
      <w:color w:val="5B9BD5" w:themeColor="accent1"/>
      <w:sz w:val="24"/>
      <w:szCs w:val="24"/>
    </w:rPr>
  </w:style>
  <w:style w:type="character" w:styleId="SubtleEmphasis">
    <w:name w:val="Subtle Emphasis"/>
    <w:uiPriority w:val="19"/>
    <w:qFormat/>
    <w:rsid w:val="005D5F71"/>
    <w:rPr>
      <w:i/>
      <w:iCs/>
      <w:color w:val="1F4D78" w:themeColor="accent1" w:themeShade="7F"/>
    </w:rPr>
  </w:style>
  <w:style w:type="character" w:styleId="SubtleReference">
    <w:name w:val="Subtle Reference"/>
    <w:uiPriority w:val="31"/>
    <w:qFormat/>
    <w:rsid w:val="005D5F71"/>
    <w:rPr>
      <w:b/>
      <w:bCs/>
      <w:color w:val="5B9BD5" w:themeColor="accent1"/>
    </w:rPr>
  </w:style>
  <w:style w:type="character" w:styleId="IntenseReference">
    <w:name w:val="Intense Reference"/>
    <w:uiPriority w:val="32"/>
    <w:qFormat/>
    <w:rsid w:val="005D5F71"/>
    <w:rPr>
      <w:b/>
      <w:bCs/>
      <w:i/>
      <w:iCs/>
      <w:caps/>
      <w:color w:val="5B9BD5" w:themeColor="accent1"/>
    </w:rPr>
  </w:style>
  <w:style w:type="character" w:styleId="BookTitle">
    <w:name w:val="Book Title"/>
    <w:uiPriority w:val="33"/>
    <w:qFormat/>
    <w:rsid w:val="005D5F71"/>
    <w:rPr>
      <w:b/>
      <w:bCs/>
      <w:i/>
      <w:iCs/>
      <w:spacing w:val="0"/>
    </w:rPr>
  </w:style>
  <w:style w:type="paragraph" w:styleId="TOCHeading">
    <w:name w:val="TOC Heading"/>
    <w:basedOn w:val="Heading1"/>
    <w:next w:val="Normal"/>
    <w:uiPriority w:val="39"/>
    <w:semiHidden/>
    <w:unhideWhenUsed/>
    <w:qFormat/>
    <w:rsid w:val="005D5F71"/>
    <w:pPr>
      <w:outlineLvl w:val="9"/>
    </w:pPr>
  </w:style>
  <w:style w:type="table" w:customStyle="1" w:styleId="TableGrid1">
    <w:name w:val="Table Grid1"/>
    <w:basedOn w:val="TableNormal"/>
    <w:next w:val="TableGrid"/>
    <w:uiPriority w:val="59"/>
    <w:rsid w:val="00811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1A12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Style1">
    <w:name w:val="Style1"/>
    <w:basedOn w:val="TableNormal"/>
    <w:uiPriority w:val="99"/>
    <w:rsid w:val="001A1272"/>
    <w:pPr>
      <w:spacing w:before="0" w:after="0" w:line="240" w:lineRule="auto"/>
    </w:pPr>
    <w:tblPr/>
    <w:tcPr>
      <w:shd w:val="clear" w:color="auto" w:fill="F2F7FC"/>
    </w:tcPr>
    <w:tblStylePr w:type="firstRow">
      <w:rPr>
        <w:rFonts w:asciiTheme="majorHAnsi" w:hAnsiTheme="majorHAnsi"/>
        <w:b/>
      </w:rPr>
      <w:tblPr/>
      <w:tcPr>
        <w:shd w:val="clear" w:color="auto" w:fill="5B9BD5" w:themeFill="accent1"/>
      </w:tcPr>
    </w:tblStylePr>
    <w:tblStylePr w:type="firstCol">
      <w:tblPr/>
      <w:tcPr>
        <w:shd w:val="clear" w:color="auto" w:fill="DEEAF6" w:themeFill="accent1" w:themeFillTint="33"/>
      </w:tcPr>
    </w:tblStylePr>
  </w:style>
  <w:style w:type="character" w:styleId="PlaceholderText">
    <w:name w:val="Placeholder Text"/>
    <w:basedOn w:val="DefaultParagraphFont"/>
    <w:uiPriority w:val="99"/>
    <w:semiHidden/>
    <w:rsid w:val="000D2785"/>
    <w:rPr>
      <w:color w:val="808080"/>
    </w:rPr>
  </w:style>
  <w:style w:type="paragraph" w:styleId="PlainText">
    <w:name w:val="Plain Text"/>
    <w:basedOn w:val="Normal"/>
    <w:link w:val="PlainTextChar"/>
    <w:uiPriority w:val="99"/>
    <w:unhideWhenUsed/>
    <w:rsid w:val="00C63EC6"/>
    <w:pPr>
      <w:spacing w:before="0" w:after="0" w:line="240" w:lineRule="auto"/>
    </w:pPr>
    <w:rPr>
      <w:rFonts w:ascii="Garamond" w:eastAsiaTheme="minorHAnsi" w:hAnsi="Garamond"/>
      <w:sz w:val="24"/>
      <w:szCs w:val="21"/>
    </w:rPr>
  </w:style>
  <w:style w:type="character" w:customStyle="1" w:styleId="PlainTextChar">
    <w:name w:val="Plain Text Char"/>
    <w:basedOn w:val="DefaultParagraphFont"/>
    <w:link w:val="PlainText"/>
    <w:uiPriority w:val="99"/>
    <w:rsid w:val="00C63EC6"/>
    <w:rPr>
      <w:rFonts w:ascii="Garamond" w:eastAsiaTheme="minorHAnsi" w:hAnsi="Garamond"/>
      <w:sz w:val="24"/>
      <w:szCs w:val="21"/>
    </w:rPr>
  </w:style>
  <w:style w:type="character" w:styleId="Hyperlink">
    <w:name w:val="Hyperlink"/>
    <w:basedOn w:val="DefaultParagraphFont"/>
    <w:uiPriority w:val="99"/>
    <w:unhideWhenUsed/>
    <w:rsid w:val="00905A85"/>
    <w:rPr>
      <w:color w:val="0563C1" w:themeColor="hyperlink"/>
      <w:u w:val="single"/>
    </w:rPr>
  </w:style>
  <w:style w:type="character" w:styleId="UnresolvedMention">
    <w:name w:val="Unresolved Mention"/>
    <w:basedOn w:val="DefaultParagraphFont"/>
    <w:uiPriority w:val="99"/>
    <w:semiHidden/>
    <w:unhideWhenUsed/>
    <w:rsid w:val="00905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38885">
      <w:bodyDiv w:val="1"/>
      <w:marLeft w:val="0"/>
      <w:marRight w:val="0"/>
      <w:marTop w:val="0"/>
      <w:marBottom w:val="0"/>
      <w:divBdr>
        <w:top w:val="none" w:sz="0" w:space="0" w:color="auto"/>
        <w:left w:val="none" w:sz="0" w:space="0" w:color="auto"/>
        <w:bottom w:val="none" w:sz="0" w:space="0" w:color="auto"/>
        <w:right w:val="none" w:sz="0" w:space="0" w:color="auto"/>
      </w:divBdr>
    </w:div>
    <w:div w:id="66877422">
      <w:bodyDiv w:val="1"/>
      <w:marLeft w:val="0"/>
      <w:marRight w:val="0"/>
      <w:marTop w:val="0"/>
      <w:marBottom w:val="0"/>
      <w:divBdr>
        <w:top w:val="none" w:sz="0" w:space="0" w:color="auto"/>
        <w:left w:val="none" w:sz="0" w:space="0" w:color="auto"/>
        <w:bottom w:val="none" w:sz="0" w:space="0" w:color="auto"/>
        <w:right w:val="none" w:sz="0" w:space="0" w:color="auto"/>
      </w:divBdr>
      <w:divsChild>
        <w:div w:id="792210773">
          <w:marLeft w:val="547"/>
          <w:marRight w:val="0"/>
          <w:marTop w:val="0"/>
          <w:marBottom w:val="0"/>
          <w:divBdr>
            <w:top w:val="none" w:sz="0" w:space="0" w:color="auto"/>
            <w:left w:val="none" w:sz="0" w:space="0" w:color="auto"/>
            <w:bottom w:val="none" w:sz="0" w:space="0" w:color="auto"/>
            <w:right w:val="none" w:sz="0" w:space="0" w:color="auto"/>
          </w:divBdr>
        </w:div>
        <w:div w:id="635768325">
          <w:marLeft w:val="547"/>
          <w:marRight w:val="0"/>
          <w:marTop w:val="0"/>
          <w:marBottom w:val="0"/>
          <w:divBdr>
            <w:top w:val="none" w:sz="0" w:space="0" w:color="auto"/>
            <w:left w:val="none" w:sz="0" w:space="0" w:color="auto"/>
            <w:bottom w:val="none" w:sz="0" w:space="0" w:color="auto"/>
            <w:right w:val="none" w:sz="0" w:space="0" w:color="auto"/>
          </w:divBdr>
        </w:div>
        <w:div w:id="1752700390">
          <w:marLeft w:val="547"/>
          <w:marRight w:val="0"/>
          <w:marTop w:val="0"/>
          <w:marBottom w:val="0"/>
          <w:divBdr>
            <w:top w:val="none" w:sz="0" w:space="0" w:color="auto"/>
            <w:left w:val="none" w:sz="0" w:space="0" w:color="auto"/>
            <w:bottom w:val="none" w:sz="0" w:space="0" w:color="auto"/>
            <w:right w:val="none" w:sz="0" w:space="0" w:color="auto"/>
          </w:divBdr>
        </w:div>
      </w:divsChild>
    </w:div>
    <w:div w:id="95518524">
      <w:bodyDiv w:val="1"/>
      <w:marLeft w:val="0"/>
      <w:marRight w:val="0"/>
      <w:marTop w:val="0"/>
      <w:marBottom w:val="0"/>
      <w:divBdr>
        <w:top w:val="none" w:sz="0" w:space="0" w:color="auto"/>
        <w:left w:val="none" w:sz="0" w:space="0" w:color="auto"/>
        <w:bottom w:val="none" w:sz="0" w:space="0" w:color="auto"/>
        <w:right w:val="none" w:sz="0" w:space="0" w:color="auto"/>
      </w:divBdr>
    </w:div>
    <w:div w:id="298540785">
      <w:bodyDiv w:val="1"/>
      <w:marLeft w:val="0"/>
      <w:marRight w:val="0"/>
      <w:marTop w:val="0"/>
      <w:marBottom w:val="0"/>
      <w:divBdr>
        <w:top w:val="none" w:sz="0" w:space="0" w:color="auto"/>
        <w:left w:val="none" w:sz="0" w:space="0" w:color="auto"/>
        <w:bottom w:val="none" w:sz="0" w:space="0" w:color="auto"/>
        <w:right w:val="none" w:sz="0" w:space="0" w:color="auto"/>
      </w:divBdr>
    </w:div>
    <w:div w:id="311566773">
      <w:bodyDiv w:val="1"/>
      <w:marLeft w:val="0"/>
      <w:marRight w:val="0"/>
      <w:marTop w:val="0"/>
      <w:marBottom w:val="0"/>
      <w:divBdr>
        <w:top w:val="none" w:sz="0" w:space="0" w:color="auto"/>
        <w:left w:val="none" w:sz="0" w:space="0" w:color="auto"/>
        <w:bottom w:val="none" w:sz="0" w:space="0" w:color="auto"/>
        <w:right w:val="none" w:sz="0" w:space="0" w:color="auto"/>
      </w:divBdr>
    </w:div>
    <w:div w:id="381293708">
      <w:bodyDiv w:val="1"/>
      <w:marLeft w:val="0"/>
      <w:marRight w:val="0"/>
      <w:marTop w:val="0"/>
      <w:marBottom w:val="0"/>
      <w:divBdr>
        <w:top w:val="none" w:sz="0" w:space="0" w:color="auto"/>
        <w:left w:val="none" w:sz="0" w:space="0" w:color="auto"/>
        <w:bottom w:val="none" w:sz="0" w:space="0" w:color="auto"/>
        <w:right w:val="none" w:sz="0" w:space="0" w:color="auto"/>
      </w:divBdr>
    </w:div>
    <w:div w:id="386416776">
      <w:bodyDiv w:val="1"/>
      <w:marLeft w:val="0"/>
      <w:marRight w:val="0"/>
      <w:marTop w:val="0"/>
      <w:marBottom w:val="0"/>
      <w:divBdr>
        <w:top w:val="none" w:sz="0" w:space="0" w:color="auto"/>
        <w:left w:val="none" w:sz="0" w:space="0" w:color="auto"/>
        <w:bottom w:val="none" w:sz="0" w:space="0" w:color="auto"/>
        <w:right w:val="none" w:sz="0" w:space="0" w:color="auto"/>
      </w:divBdr>
      <w:divsChild>
        <w:div w:id="1225214771">
          <w:marLeft w:val="547"/>
          <w:marRight w:val="0"/>
          <w:marTop w:val="0"/>
          <w:marBottom w:val="0"/>
          <w:divBdr>
            <w:top w:val="none" w:sz="0" w:space="0" w:color="auto"/>
            <w:left w:val="none" w:sz="0" w:space="0" w:color="auto"/>
            <w:bottom w:val="none" w:sz="0" w:space="0" w:color="auto"/>
            <w:right w:val="none" w:sz="0" w:space="0" w:color="auto"/>
          </w:divBdr>
        </w:div>
        <w:div w:id="1264453868">
          <w:marLeft w:val="547"/>
          <w:marRight w:val="0"/>
          <w:marTop w:val="0"/>
          <w:marBottom w:val="0"/>
          <w:divBdr>
            <w:top w:val="none" w:sz="0" w:space="0" w:color="auto"/>
            <w:left w:val="none" w:sz="0" w:space="0" w:color="auto"/>
            <w:bottom w:val="none" w:sz="0" w:space="0" w:color="auto"/>
            <w:right w:val="none" w:sz="0" w:space="0" w:color="auto"/>
          </w:divBdr>
        </w:div>
      </w:divsChild>
    </w:div>
    <w:div w:id="400759371">
      <w:bodyDiv w:val="1"/>
      <w:marLeft w:val="0"/>
      <w:marRight w:val="0"/>
      <w:marTop w:val="0"/>
      <w:marBottom w:val="0"/>
      <w:divBdr>
        <w:top w:val="none" w:sz="0" w:space="0" w:color="auto"/>
        <w:left w:val="none" w:sz="0" w:space="0" w:color="auto"/>
        <w:bottom w:val="none" w:sz="0" w:space="0" w:color="auto"/>
        <w:right w:val="none" w:sz="0" w:space="0" w:color="auto"/>
      </w:divBdr>
    </w:div>
    <w:div w:id="464473473">
      <w:bodyDiv w:val="1"/>
      <w:marLeft w:val="0"/>
      <w:marRight w:val="0"/>
      <w:marTop w:val="0"/>
      <w:marBottom w:val="0"/>
      <w:divBdr>
        <w:top w:val="none" w:sz="0" w:space="0" w:color="auto"/>
        <w:left w:val="none" w:sz="0" w:space="0" w:color="auto"/>
        <w:bottom w:val="none" w:sz="0" w:space="0" w:color="auto"/>
        <w:right w:val="none" w:sz="0" w:space="0" w:color="auto"/>
      </w:divBdr>
    </w:div>
    <w:div w:id="516652773">
      <w:bodyDiv w:val="1"/>
      <w:marLeft w:val="0"/>
      <w:marRight w:val="0"/>
      <w:marTop w:val="0"/>
      <w:marBottom w:val="0"/>
      <w:divBdr>
        <w:top w:val="none" w:sz="0" w:space="0" w:color="auto"/>
        <w:left w:val="none" w:sz="0" w:space="0" w:color="auto"/>
        <w:bottom w:val="none" w:sz="0" w:space="0" w:color="auto"/>
        <w:right w:val="none" w:sz="0" w:space="0" w:color="auto"/>
      </w:divBdr>
    </w:div>
    <w:div w:id="530874085">
      <w:bodyDiv w:val="1"/>
      <w:marLeft w:val="0"/>
      <w:marRight w:val="0"/>
      <w:marTop w:val="0"/>
      <w:marBottom w:val="0"/>
      <w:divBdr>
        <w:top w:val="none" w:sz="0" w:space="0" w:color="auto"/>
        <w:left w:val="none" w:sz="0" w:space="0" w:color="auto"/>
        <w:bottom w:val="none" w:sz="0" w:space="0" w:color="auto"/>
        <w:right w:val="none" w:sz="0" w:space="0" w:color="auto"/>
      </w:divBdr>
    </w:div>
    <w:div w:id="538518730">
      <w:bodyDiv w:val="1"/>
      <w:marLeft w:val="0"/>
      <w:marRight w:val="0"/>
      <w:marTop w:val="0"/>
      <w:marBottom w:val="0"/>
      <w:divBdr>
        <w:top w:val="none" w:sz="0" w:space="0" w:color="auto"/>
        <w:left w:val="none" w:sz="0" w:space="0" w:color="auto"/>
        <w:bottom w:val="none" w:sz="0" w:space="0" w:color="auto"/>
        <w:right w:val="none" w:sz="0" w:space="0" w:color="auto"/>
      </w:divBdr>
    </w:div>
    <w:div w:id="582449529">
      <w:bodyDiv w:val="1"/>
      <w:marLeft w:val="0"/>
      <w:marRight w:val="0"/>
      <w:marTop w:val="0"/>
      <w:marBottom w:val="0"/>
      <w:divBdr>
        <w:top w:val="none" w:sz="0" w:space="0" w:color="auto"/>
        <w:left w:val="none" w:sz="0" w:space="0" w:color="auto"/>
        <w:bottom w:val="none" w:sz="0" w:space="0" w:color="auto"/>
        <w:right w:val="none" w:sz="0" w:space="0" w:color="auto"/>
      </w:divBdr>
    </w:div>
    <w:div w:id="738477222">
      <w:bodyDiv w:val="1"/>
      <w:marLeft w:val="0"/>
      <w:marRight w:val="0"/>
      <w:marTop w:val="0"/>
      <w:marBottom w:val="0"/>
      <w:divBdr>
        <w:top w:val="none" w:sz="0" w:space="0" w:color="auto"/>
        <w:left w:val="none" w:sz="0" w:space="0" w:color="auto"/>
        <w:bottom w:val="none" w:sz="0" w:space="0" w:color="auto"/>
        <w:right w:val="none" w:sz="0" w:space="0" w:color="auto"/>
      </w:divBdr>
    </w:div>
    <w:div w:id="798230230">
      <w:bodyDiv w:val="1"/>
      <w:marLeft w:val="0"/>
      <w:marRight w:val="0"/>
      <w:marTop w:val="0"/>
      <w:marBottom w:val="0"/>
      <w:divBdr>
        <w:top w:val="none" w:sz="0" w:space="0" w:color="auto"/>
        <w:left w:val="none" w:sz="0" w:space="0" w:color="auto"/>
        <w:bottom w:val="none" w:sz="0" w:space="0" w:color="auto"/>
        <w:right w:val="none" w:sz="0" w:space="0" w:color="auto"/>
      </w:divBdr>
      <w:divsChild>
        <w:div w:id="228540787">
          <w:marLeft w:val="547"/>
          <w:marRight w:val="0"/>
          <w:marTop w:val="0"/>
          <w:marBottom w:val="0"/>
          <w:divBdr>
            <w:top w:val="none" w:sz="0" w:space="0" w:color="auto"/>
            <w:left w:val="none" w:sz="0" w:space="0" w:color="auto"/>
            <w:bottom w:val="none" w:sz="0" w:space="0" w:color="auto"/>
            <w:right w:val="none" w:sz="0" w:space="0" w:color="auto"/>
          </w:divBdr>
        </w:div>
        <w:div w:id="24449844">
          <w:marLeft w:val="547"/>
          <w:marRight w:val="0"/>
          <w:marTop w:val="0"/>
          <w:marBottom w:val="0"/>
          <w:divBdr>
            <w:top w:val="none" w:sz="0" w:space="0" w:color="auto"/>
            <w:left w:val="none" w:sz="0" w:space="0" w:color="auto"/>
            <w:bottom w:val="none" w:sz="0" w:space="0" w:color="auto"/>
            <w:right w:val="none" w:sz="0" w:space="0" w:color="auto"/>
          </w:divBdr>
        </w:div>
      </w:divsChild>
    </w:div>
    <w:div w:id="984503780">
      <w:bodyDiv w:val="1"/>
      <w:marLeft w:val="0"/>
      <w:marRight w:val="0"/>
      <w:marTop w:val="0"/>
      <w:marBottom w:val="0"/>
      <w:divBdr>
        <w:top w:val="none" w:sz="0" w:space="0" w:color="auto"/>
        <w:left w:val="none" w:sz="0" w:space="0" w:color="auto"/>
        <w:bottom w:val="none" w:sz="0" w:space="0" w:color="auto"/>
        <w:right w:val="none" w:sz="0" w:space="0" w:color="auto"/>
      </w:divBdr>
    </w:div>
    <w:div w:id="1051002741">
      <w:bodyDiv w:val="1"/>
      <w:marLeft w:val="0"/>
      <w:marRight w:val="0"/>
      <w:marTop w:val="0"/>
      <w:marBottom w:val="0"/>
      <w:divBdr>
        <w:top w:val="none" w:sz="0" w:space="0" w:color="auto"/>
        <w:left w:val="none" w:sz="0" w:space="0" w:color="auto"/>
        <w:bottom w:val="none" w:sz="0" w:space="0" w:color="auto"/>
        <w:right w:val="none" w:sz="0" w:space="0" w:color="auto"/>
      </w:divBdr>
    </w:div>
    <w:div w:id="1074351984">
      <w:bodyDiv w:val="1"/>
      <w:marLeft w:val="0"/>
      <w:marRight w:val="0"/>
      <w:marTop w:val="0"/>
      <w:marBottom w:val="0"/>
      <w:divBdr>
        <w:top w:val="none" w:sz="0" w:space="0" w:color="auto"/>
        <w:left w:val="none" w:sz="0" w:space="0" w:color="auto"/>
        <w:bottom w:val="none" w:sz="0" w:space="0" w:color="auto"/>
        <w:right w:val="none" w:sz="0" w:space="0" w:color="auto"/>
      </w:divBdr>
    </w:div>
    <w:div w:id="1089044123">
      <w:bodyDiv w:val="1"/>
      <w:marLeft w:val="0"/>
      <w:marRight w:val="0"/>
      <w:marTop w:val="0"/>
      <w:marBottom w:val="0"/>
      <w:divBdr>
        <w:top w:val="none" w:sz="0" w:space="0" w:color="auto"/>
        <w:left w:val="none" w:sz="0" w:space="0" w:color="auto"/>
        <w:bottom w:val="none" w:sz="0" w:space="0" w:color="auto"/>
        <w:right w:val="none" w:sz="0" w:space="0" w:color="auto"/>
      </w:divBdr>
    </w:div>
    <w:div w:id="1090204037">
      <w:bodyDiv w:val="1"/>
      <w:marLeft w:val="0"/>
      <w:marRight w:val="0"/>
      <w:marTop w:val="0"/>
      <w:marBottom w:val="0"/>
      <w:divBdr>
        <w:top w:val="none" w:sz="0" w:space="0" w:color="auto"/>
        <w:left w:val="none" w:sz="0" w:space="0" w:color="auto"/>
        <w:bottom w:val="none" w:sz="0" w:space="0" w:color="auto"/>
        <w:right w:val="none" w:sz="0" w:space="0" w:color="auto"/>
      </w:divBdr>
    </w:div>
    <w:div w:id="1139609822">
      <w:bodyDiv w:val="1"/>
      <w:marLeft w:val="0"/>
      <w:marRight w:val="0"/>
      <w:marTop w:val="0"/>
      <w:marBottom w:val="0"/>
      <w:divBdr>
        <w:top w:val="none" w:sz="0" w:space="0" w:color="auto"/>
        <w:left w:val="none" w:sz="0" w:space="0" w:color="auto"/>
        <w:bottom w:val="none" w:sz="0" w:space="0" w:color="auto"/>
        <w:right w:val="none" w:sz="0" w:space="0" w:color="auto"/>
      </w:divBdr>
      <w:divsChild>
        <w:div w:id="895169324">
          <w:marLeft w:val="547"/>
          <w:marRight w:val="0"/>
          <w:marTop w:val="0"/>
          <w:marBottom w:val="0"/>
          <w:divBdr>
            <w:top w:val="none" w:sz="0" w:space="0" w:color="auto"/>
            <w:left w:val="none" w:sz="0" w:space="0" w:color="auto"/>
            <w:bottom w:val="none" w:sz="0" w:space="0" w:color="auto"/>
            <w:right w:val="none" w:sz="0" w:space="0" w:color="auto"/>
          </w:divBdr>
        </w:div>
        <w:div w:id="1900432985">
          <w:marLeft w:val="547"/>
          <w:marRight w:val="0"/>
          <w:marTop w:val="0"/>
          <w:marBottom w:val="0"/>
          <w:divBdr>
            <w:top w:val="none" w:sz="0" w:space="0" w:color="auto"/>
            <w:left w:val="none" w:sz="0" w:space="0" w:color="auto"/>
            <w:bottom w:val="none" w:sz="0" w:space="0" w:color="auto"/>
            <w:right w:val="none" w:sz="0" w:space="0" w:color="auto"/>
          </w:divBdr>
        </w:div>
      </w:divsChild>
    </w:div>
    <w:div w:id="1271745570">
      <w:bodyDiv w:val="1"/>
      <w:marLeft w:val="0"/>
      <w:marRight w:val="0"/>
      <w:marTop w:val="0"/>
      <w:marBottom w:val="0"/>
      <w:divBdr>
        <w:top w:val="none" w:sz="0" w:space="0" w:color="auto"/>
        <w:left w:val="none" w:sz="0" w:space="0" w:color="auto"/>
        <w:bottom w:val="none" w:sz="0" w:space="0" w:color="auto"/>
        <w:right w:val="none" w:sz="0" w:space="0" w:color="auto"/>
      </w:divBdr>
    </w:div>
    <w:div w:id="1313876125">
      <w:bodyDiv w:val="1"/>
      <w:marLeft w:val="0"/>
      <w:marRight w:val="0"/>
      <w:marTop w:val="0"/>
      <w:marBottom w:val="0"/>
      <w:divBdr>
        <w:top w:val="none" w:sz="0" w:space="0" w:color="auto"/>
        <w:left w:val="none" w:sz="0" w:space="0" w:color="auto"/>
        <w:bottom w:val="none" w:sz="0" w:space="0" w:color="auto"/>
        <w:right w:val="none" w:sz="0" w:space="0" w:color="auto"/>
      </w:divBdr>
      <w:divsChild>
        <w:div w:id="1206019957">
          <w:marLeft w:val="547"/>
          <w:marRight w:val="0"/>
          <w:marTop w:val="0"/>
          <w:marBottom w:val="0"/>
          <w:divBdr>
            <w:top w:val="none" w:sz="0" w:space="0" w:color="auto"/>
            <w:left w:val="none" w:sz="0" w:space="0" w:color="auto"/>
            <w:bottom w:val="none" w:sz="0" w:space="0" w:color="auto"/>
            <w:right w:val="none" w:sz="0" w:space="0" w:color="auto"/>
          </w:divBdr>
        </w:div>
        <w:div w:id="972830214">
          <w:marLeft w:val="547"/>
          <w:marRight w:val="0"/>
          <w:marTop w:val="0"/>
          <w:marBottom w:val="0"/>
          <w:divBdr>
            <w:top w:val="none" w:sz="0" w:space="0" w:color="auto"/>
            <w:left w:val="none" w:sz="0" w:space="0" w:color="auto"/>
            <w:bottom w:val="none" w:sz="0" w:space="0" w:color="auto"/>
            <w:right w:val="none" w:sz="0" w:space="0" w:color="auto"/>
          </w:divBdr>
        </w:div>
        <w:div w:id="75783001">
          <w:marLeft w:val="547"/>
          <w:marRight w:val="0"/>
          <w:marTop w:val="0"/>
          <w:marBottom w:val="0"/>
          <w:divBdr>
            <w:top w:val="none" w:sz="0" w:space="0" w:color="auto"/>
            <w:left w:val="none" w:sz="0" w:space="0" w:color="auto"/>
            <w:bottom w:val="none" w:sz="0" w:space="0" w:color="auto"/>
            <w:right w:val="none" w:sz="0" w:space="0" w:color="auto"/>
          </w:divBdr>
        </w:div>
      </w:divsChild>
    </w:div>
    <w:div w:id="1471824292">
      <w:bodyDiv w:val="1"/>
      <w:marLeft w:val="0"/>
      <w:marRight w:val="0"/>
      <w:marTop w:val="0"/>
      <w:marBottom w:val="0"/>
      <w:divBdr>
        <w:top w:val="none" w:sz="0" w:space="0" w:color="auto"/>
        <w:left w:val="none" w:sz="0" w:space="0" w:color="auto"/>
        <w:bottom w:val="none" w:sz="0" w:space="0" w:color="auto"/>
        <w:right w:val="none" w:sz="0" w:space="0" w:color="auto"/>
      </w:divBdr>
    </w:div>
    <w:div w:id="1498184589">
      <w:bodyDiv w:val="1"/>
      <w:marLeft w:val="0"/>
      <w:marRight w:val="0"/>
      <w:marTop w:val="0"/>
      <w:marBottom w:val="0"/>
      <w:divBdr>
        <w:top w:val="none" w:sz="0" w:space="0" w:color="auto"/>
        <w:left w:val="none" w:sz="0" w:space="0" w:color="auto"/>
        <w:bottom w:val="none" w:sz="0" w:space="0" w:color="auto"/>
        <w:right w:val="none" w:sz="0" w:space="0" w:color="auto"/>
      </w:divBdr>
    </w:div>
    <w:div w:id="1604342516">
      <w:bodyDiv w:val="1"/>
      <w:marLeft w:val="0"/>
      <w:marRight w:val="0"/>
      <w:marTop w:val="0"/>
      <w:marBottom w:val="0"/>
      <w:divBdr>
        <w:top w:val="none" w:sz="0" w:space="0" w:color="auto"/>
        <w:left w:val="none" w:sz="0" w:space="0" w:color="auto"/>
        <w:bottom w:val="none" w:sz="0" w:space="0" w:color="auto"/>
        <w:right w:val="none" w:sz="0" w:space="0" w:color="auto"/>
      </w:divBdr>
      <w:divsChild>
        <w:div w:id="242303162">
          <w:marLeft w:val="1008"/>
          <w:marRight w:val="0"/>
          <w:marTop w:val="82"/>
          <w:marBottom w:val="0"/>
          <w:divBdr>
            <w:top w:val="none" w:sz="0" w:space="0" w:color="auto"/>
            <w:left w:val="none" w:sz="0" w:space="0" w:color="auto"/>
            <w:bottom w:val="none" w:sz="0" w:space="0" w:color="auto"/>
            <w:right w:val="none" w:sz="0" w:space="0" w:color="auto"/>
          </w:divBdr>
        </w:div>
        <w:div w:id="1167671643">
          <w:marLeft w:val="1008"/>
          <w:marRight w:val="0"/>
          <w:marTop w:val="82"/>
          <w:marBottom w:val="0"/>
          <w:divBdr>
            <w:top w:val="none" w:sz="0" w:space="0" w:color="auto"/>
            <w:left w:val="none" w:sz="0" w:space="0" w:color="auto"/>
            <w:bottom w:val="none" w:sz="0" w:space="0" w:color="auto"/>
            <w:right w:val="none" w:sz="0" w:space="0" w:color="auto"/>
          </w:divBdr>
        </w:div>
        <w:div w:id="1808234417">
          <w:marLeft w:val="1008"/>
          <w:marRight w:val="0"/>
          <w:marTop w:val="82"/>
          <w:marBottom w:val="0"/>
          <w:divBdr>
            <w:top w:val="none" w:sz="0" w:space="0" w:color="auto"/>
            <w:left w:val="none" w:sz="0" w:space="0" w:color="auto"/>
            <w:bottom w:val="none" w:sz="0" w:space="0" w:color="auto"/>
            <w:right w:val="none" w:sz="0" w:space="0" w:color="auto"/>
          </w:divBdr>
        </w:div>
        <w:div w:id="906918867">
          <w:marLeft w:val="1008"/>
          <w:marRight w:val="0"/>
          <w:marTop w:val="82"/>
          <w:marBottom w:val="0"/>
          <w:divBdr>
            <w:top w:val="none" w:sz="0" w:space="0" w:color="auto"/>
            <w:left w:val="none" w:sz="0" w:space="0" w:color="auto"/>
            <w:bottom w:val="none" w:sz="0" w:space="0" w:color="auto"/>
            <w:right w:val="none" w:sz="0" w:space="0" w:color="auto"/>
          </w:divBdr>
        </w:div>
        <w:div w:id="1356418007">
          <w:marLeft w:val="1008"/>
          <w:marRight w:val="0"/>
          <w:marTop w:val="82"/>
          <w:marBottom w:val="0"/>
          <w:divBdr>
            <w:top w:val="none" w:sz="0" w:space="0" w:color="auto"/>
            <w:left w:val="none" w:sz="0" w:space="0" w:color="auto"/>
            <w:bottom w:val="none" w:sz="0" w:space="0" w:color="auto"/>
            <w:right w:val="none" w:sz="0" w:space="0" w:color="auto"/>
          </w:divBdr>
        </w:div>
        <w:div w:id="1889999010">
          <w:marLeft w:val="1440"/>
          <w:marRight w:val="0"/>
          <w:marTop w:val="82"/>
          <w:marBottom w:val="0"/>
          <w:divBdr>
            <w:top w:val="none" w:sz="0" w:space="0" w:color="auto"/>
            <w:left w:val="none" w:sz="0" w:space="0" w:color="auto"/>
            <w:bottom w:val="none" w:sz="0" w:space="0" w:color="auto"/>
            <w:right w:val="none" w:sz="0" w:space="0" w:color="auto"/>
          </w:divBdr>
        </w:div>
        <w:div w:id="216355531">
          <w:marLeft w:val="1008"/>
          <w:marRight w:val="0"/>
          <w:marTop w:val="82"/>
          <w:marBottom w:val="0"/>
          <w:divBdr>
            <w:top w:val="none" w:sz="0" w:space="0" w:color="auto"/>
            <w:left w:val="none" w:sz="0" w:space="0" w:color="auto"/>
            <w:bottom w:val="none" w:sz="0" w:space="0" w:color="auto"/>
            <w:right w:val="none" w:sz="0" w:space="0" w:color="auto"/>
          </w:divBdr>
        </w:div>
      </w:divsChild>
    </w:div>
    <w:div w:id="1779838595">
      <w:bodyDiv w:val="1"/>
      <w:marLeft w:val="0"/>
      <w:marRight w:val="0"/>
      <w:marTop w:val="0"/>
      <w:marBottom w:val="0"/>
      <w:divBdr>
        <w:top w:val="none" w:sz="0" w:space="0" w:color="auto"/>
        <w:left w:val="none" w:sz="0" w:space="0" w:color="auto"/>
        <w:bottom w:val="none" w:sz="0" w:space="0" w:color="auto"/>
        <w:right w:val="none" w:sz="0" w:space="0" w:color="auto"/>
      </w:divBdr>
    </w:div>
    <w:div w:id="1900634301">
      <w:bodyDiv w:val="1"/>
      <w:marLeft w:val="0"/>
      <w:marRight w:val="0"/>
      <w:marTop w:val="0"/>
      <w:marBottom w:val="0"/>
      <w:divBdr>
        <w:top w:val="none" w:sz="0" w:space="0" w:color="auto"/>
        <w:left w:val="none" w:sz="0" w:space="0" w:color="auto"/>
        <w:bottom w:val="none" w:sz="0" w:space="0" w:color="auto"/>
        <w:right w:val="none" w:sz="0" w:space="0" w:color="auto"/>
      </w:divBdr>
    </w:div>
    <w:div w:id="1979217909">
      <w:bodyDiv w:val="1"/>
      <w:marLeft w:val="0"/>
      <w:marRight w:val="0"/>
      <w:marTop w:val="0"/>
      <w:marBottom w:val="0"/>
      <w:divBdr>
        <w:top w:val="none" w:sz="0" w:space="0" w:color="auto"/>
        <w:left w:val="none" w:sz="0" w:space="0" w:color="auto"/>
        <w:bottom w:val="none" w:sz="0" w:space="0" w:color="auto"/>
        <w:right w:val="none" w:sz="0" w:space="0" w:color="auto"/>
      </w:divBdr>
    </w:div>
    <w:div w:id="2058511003">
      <w:bodyDiv w:val="1"/>
      <w:marLeft w:val="0"/>
      <w:marRight w:val="0"/>
      <w:marTop w:val="0"/>
      <w:marBottom w:val="0"/>
      <w:divBdr>
        <w:top w:val="none" w:sz="0" w:space="0" w:color="auto"/>
        <w:left w:val="none" w:sz="0" w:space="0" w:color="auto"/>
        <w:bottom w:val="none" w:sz="0" w:space="0" w:color="auto"/>
        <w:right w:val="none" w:sz="0" w:space="0" w:color="auto"/>
      </w:divBdr>
    </w:div>
    <w:div w:id="21110760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rizzo@masshiresouthshorewb.com" TargetMode="External"/><Relationship Id="rId14" Type="http://schemas.openxmlformats.org/officeDocument/2006/relationships/fontTable" Target="fontTable.xml"/></Relationships>
</file>

<file path=word/theme/theme1.xml><?xml version="1.0" encoding="utf-8"?>
<a:theme xmlns:a="http://schemas.openxmlformats.org/drawingml/2006/main" name="Blueprint Theme 1">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7AD24-59D8-48D4-8029-78A29F8AA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4797</Words>
  <Characters>27348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Regional Labor Market Blueprint Update</vt:lpstr>
    </vt:vector>
  </TitlesOfParts>
  <Company>EOLWD</Company>
  <LinksUpToDate>false</LinksUpToDate>
  <CharactersWithSpaces>32081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Labor Market Blueprint Update</dc:title>
  <dc:creator>Sriyani Diaz-Granados</dc:creator>
  <cp:lastModifiedBy>Sheila Sullivan-Jardim</cp:lastModifiedBy>
  <cp:revision>2</cp:revision>
  <cp:lastPrinted>2019-12-09T19:00:00Z</cp:lastPrinted>
  <dcterms:created xsi:type="dcterms:W3CDTF">2020-07-24T13:09:00Z</dcterms:created>
  <dcterms:modified xsi:type="dcterms:W3CDTF">2020-07-24T13:09:00Z</dcterms:modified>
</cp:coreProperties>
</file>