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35DC346A" w14:textId="77777777" w:rsidR="00720B9B" w:rsidRPr="002A3477" w:rsidRDefault="00720B9B" w:rsidP="007240D3">
      <w:pPr>
        <w:rPr>
          <w:rFonts w:ascii="Calibri" w:hAnsi="Calibri" w:cs="Calibri"/>
          <w:b/>
        </w:rPr>
      </w:pPr>
    </w:p>
    <w:p w14:paraId="5BD39495" w14:textId="77777777" w:rsidR="007F1FA6" w:rsidRPr="002A3477" w:rsidRDefault="00EE30BF" w:rsidP="00EE30BF">
      <w:pPr>
        <w:jc w:val="center"/>
        <w:rPr>
          <w:rFonts w:ascii="Calibri" w:hAnsi="Calibri" w:cs="Calibri"/>
          <w:b/>
        </w:rPr>
      </w:pPr>
      <w:r w:rsidRPr="002A3477">
        <w:rPr>
          <w:rFonts w:ascii="Calibri" w:hAnsi="Calibri" w:cs="Calibri"/>
          <w:b/>
        </w:rPr>
        <w:t>DIVISION OF ADMINISTRATIVE LAW APPEALS</w:t>
      </w:r>
    </w:p>
    <w:p w14:paraId="5EF7FC4E" w14:textId="77777777" w:rsidR="005E1828" w:rsidRPr="002A3477" w:rsidRDefault="00010748" w:rsidP="00720B9B">
      <w:pPr>
        <w:jc w:val="center"/>
        <w:rPr>
          <w:rFonts w:ascii="Calibri" w:hAnsi="Calibri" w:cs="Calibri"/>
          <w:b/>
        </w:rPr>
      </w:pPr>
      <w:r w:rsidRPr="002A3477">
        <w:rPr>
          <w:rFonts w:ascii="Calibri" w:hAnsi="Calibri" w:cs="Calibri"/>
          <w:b/>
        </w:rPr>
        <w:t>20</w:t>
      </w:r>
      <w:r w:rsidR="00EA3503" w:rsidRPr="002A3477">
        <w:rPr>
          <w:rFonts w:ascii="Calibri" w:hAnsi="Calibri" w:cs="Calibri"/>
          <w:b/>
        </w:rPr>
        <w:t>1</w:t>
      </w:r>
      <w:r w:rsidR="007200D3" w:rsidRPr="002A3477">
        <w:rPr>
          <w:rFonts w:ascii="Calibri" w:hAnsi="Calibri" w:cs="Calibri"/>
          <w:b/>
        </w:rPr>
        <w:t>9</w:t>
      </w:r>
      <w:r w:rsidR="00EE30BF" w:rsidRPr="002A3477">
        <w:rPr>
          <w:rFonts w:ascii="Calibri" w:hAnsi="Calibri" w:cs="Calibri"/>
          <w:b/>
        </w:rPr>
        <w:t xml:space="preserve"> REPORT TO THE GENERAL COURT</w:t>
      </w:r>
      <w:r w:rsidR="00A70676" w:rsidRPr="002A3477">
        <w:rPr>
          <w:rFonts w:ascii="Calibri" w:hAnsi="Calibri" w:cs="Calibri"/>
          <w:b/>
        </w:rPr>
        <w:t xml:space="preserve"> PURSUANT TO § 4H OF CHAPTER 7 OF THE GENERAL LAWS</w:t>
      </w:r>
      <w:r w:rsidR="00016D98" w:rsidRPr="002A3477">
        <w:rPr>
          <w:rFonts w:ascii="Calibri" w:hAnsi="Calibri" w:cs="Calibri"/>
        </w:rPr>
        <w:t xml:space="preserve"> </w:t>
      </w:r>
    </w:p>
    <w:p w14:paraId="6A9736EB" w14:textId="77777777" w:rsidR="00EE30BF" w:rsidRPr="002A3477" w:rsidRDefault="00EE30BF" w:rsidP="00EE30BF">
      <w:pPr>
        <w:rPr>
          <w:rFonts w:ascii="Calibri" w:hAnsi="Calibri" w:cs="Calibri"/>
          <w:b/>
        </w:rPr>
      </w:pPr>
    </w:p>
    <w:p w14:paraId="4622B581" w14:textId="77777777" w:rsidR="005E2242" w:rsidRPr="002A3477" w:rsidRDefault="002437F8" w:rsidP="002437F8">
      <w:pPr>
        <w:spacing w:line="480" w:lineRule="auto"/>
        <w:rPr>
          <w:rFonts w:ascii="Calibri" w:hAnsi="Calibri" w:cs="Calibri"/>
        </w:rPr>
      </w:pPr>
      <w:r w:rsidRPr="002A3477">
        <w:rPr>
          <w:rFonts w:ascii="Calibri" w:hAnsi="Calibri" w:cs="Calibri"/>
        </w:rPr>
        <w:t xml:space="preserve">     </w:t>
      </w:r>
      <w:r w:rsidR="00F20467" w:rsidRPr="002A3477">
        <w:rPr>
          <w:rFonts w:ascii="Calibri" w:hAnsi="Calibri" w:cs="Calibri"/>
        </w:rPr>
        <w:t>As the Division of Administrative Law Appeals (“DALA”) prepares to deal with the challenges posed by its expanded jurisdiction, pursuant to c. 19 of the Acts of 2020, we are pleased to report that DALA continues to improve the quality of its service to the people of Massachusetts. As required by</w:t>
      </w:r>
      <w:r w:rsidR="005E2242" w:rsidRPr="002A3477">
        <w:rPr>
          <w:rFonts w:ascii="Calibri" w:hAnsi="Calibri" w:cs="Calibri"/>
        </w:rPr>
        <w:t xml:space="preserve"> § 4H of </w:t>
      </w:r>
      <w:r w:rsidR="007200D3" w:rsidRPr="002A3477">
        <w:rPr>
          <w:rFonts w:ascii="Calibri" w:hAnsi="Calibri" w:cs="Calibri"/>
        </w:rPr>
        <w:t>Chapter 7 of the General Laws</w:t>
      </w:r>
      <w:r w:rsidR="001F5C7C" w:rsidRPr="002A3477">
        <w:rPr>
          <w:rFonts w:ascii="Calibri" w:hAnsi="Calibri" w:cs="Calibri"/>
        </w:rPr>
        <w:t>,</w:t>
      </w:r>
      <w:r w:rsidR="007200D3" w:rsidRPr="002A3477">
        <w:rPr>
          <w:rFonts w:ascii="Calibri" w:hAnsi="Calibri" w:cs="Calibri"/>
        </w:rPr>
        <w:t xml:space="preserve"> </w:t>
      </w:r>
      <w:r w:rsidR="00F20467" w:rsidRPr="002A3477">
        <w:rPr>
          <w:rFonts w:ascii="Calibri" w:hAnsi="Calibri" w:cs="Calibri"/>
        </w:rPr>
        <w:t>we provide</w:t>
      </w:r>
      <w:r w:rsidR="001F5C7C" w:rsidRPr="002A3477">
        <w:rPr>
          <w:rFonts w:ascii="Calibri" w:hAnsi="Calibri" w:cs="Calibri"/>
        </w:rPr>
        <w:t xml:space="preserve"> this overview </w:t>
      </w:r>
      <w:r w:rsidR="005E2242" w:rsidRPr="002A3477">
        <w:rPr>
          <w:rFonts w:ascii="Calibri" w:hAnsi="Calibri" w:cs="Calibri"/>
        </w:rPr>
        <w:t xml:space="preserve">of </w:t>
      </w:r>
      <w:r w:rsidR="00F20467" w:rsidRPr="002A3477">
        <w:rPr>
          <w:rFonts w:ascii="Calibri" w:hAnsi="Calibri" w:cs="Calibri"/>
        </w:rPr>
        <w:t xml:space="preserve">DALA’s performance </w:t>
      </w:r>
      <w:r w:rsidR="005E2242" w:rsidRPr="002A3477">
        <w:rPr>
          <w:rFonts w:ascii="Calibri" w:hAnsi="Calibri" w:cs="Calibri"/>
        </w:rPr>
        <w:t xml:space="preserve">and the </w:t>
      </w:r>
      <w:r w:rsidR="001F5C7C" w:rsidRPr="002A3477">
        <w:rPr>
          <w:rFonts w:ascii="Calibri" w:hAnsi="Calibri" w:cs="Calibri"/>
        </w:rPr>
        <w:t>progress</w:t>
      </w:r>
      <w:r w:rsidR="00F20467" w:rsidRPr="002A3477">
        <w:rPr>
          <w:rFonts w:ascii="Calibri" w:hAnsi="Calibri" w:cs="Calibri"/>
        </w:rPr>
        <w:t xml:space="preserve"> it made </w:t>
      </w:r>
      <w:r w:rsidR="005E2242" w:rsidRPr="002A3477">
        <w:rPr>
          <w:rFonts w:ascii="Calibri" w:hAnsi="Calibri" w:cs="Calibri"/>
        </w:rPr>
        <w:t>in 201</w:t>
      </w:r>
      <w:r w:rsidR="007200D3" w:rsidRPr="002A3477">
        <w:rPr>
          <w:rFonts w:ascii="Calibri" w:hAnsi="Calibri" w:cs="Calibri"/>
        </w:rPr>
        <w:t>9</w:t>
      </w:r>
      <w:r w:rsidR="005E2242" w:rsidRPr="002A3477">
        <w:rPr>
          <w:rFonts w:ascii="Calibri" w:hAnsi="Calibri" w:cs="Calibri"/>
        </w:rPr>
        <w:t xml:space="preserve">.  </w:t>
      </w:r>
    </w:p>
    <w:p w14:paraId="3C99F16D" w14:textId="77777777" w:rsidR="002437F8" w:rsidRPr="002A3477" w:rsidRDefault="00EB18BB" w:rsidP="002437F8">
      <w:pPr>
        <w:numPr>
          <w:ilvl w:val="0"/>
          <w:numId w:val="15"/>
        </w:numPr>
        <w:spacing w:line="480" w:lineRule="auto"/>
        <w:rPr>
          <w:rFonts w:ascii="Calibri" w:hAnsi="Calibri" w:cs="Calibri"/>
        </w:rPr>
      </w:pPr>
      <w:r w:rsidRPr="002A3477">
        <w:rPr>
          <w:rFonts w:ascii="Calibri" w:hAnsi="Calibri" w:cs="Calibri"/>
          <w:b/>
        </w:rPr>
        <w:t>Executive Summary</w:t>
      </w:r>
    </w:p>
    <w:p w14:paraId="78CFBB16" w14:textId="77777777" w:rsidR="00810E57" w:rsidRPr="002A3477" w:rsidRDefault="002437F8" w:rsidP="002437F8">
      <w:pPr>
        <w:spacing w:line="480" w:lineRule="auto"/>
        <w:rPr>
          <w:rFonts w:ascii="Calibri" w:hAnsi="Calibri" w:cs="Calibri"/>
        </w:rPr>
      </w:pPr>
      <w:r w:rsidRPr="002A3477">
        <w:rPr>
          <w:rFonts w:ascii="Calibri" w:hAnsi="Calibri" w:cs="Calibri"/>
          <w:b/>
        </w:rPr>
        <w:t xml:space="preserve">     </w:t>
      </w:r>
      <w:r w:rsidR="00112FBA" w:rsidRPr="002A3477">
        <w:rPr>
          <w:rFonts w:ascii="Calibri" w:hAnsi="Calibri" w:cs="Calibri"/>
        </w:rPr>
        <w:t>DALA is responsible for providing individuals and state agencies with fair and impartial hearings in the most efficient manner possible.  The agency</w:t>
      </w:r>
      <w:r w:rsidR="00112FBA" w:rsidRPr="002A3477">
        <w:rPr>
          <w:rFonts w:ascii="Calibri" w:hAnsi="Calibri" w:cs="Calibri"/>
          <w:b/>
        </w:rPr>
        <w:t xml:space="preserve"> </w:t>
      </w:r>
      <w:r w:rsidR="00FF04D1" w:rsidRPr="002A3477">
        <w:rPr>
          <w:rFonts w:ascii="Calibri" w:hAnsi="Calibri" w:cs="Calibri"/>
        </w:rPr>
        <w:t xml:space="preserve">is made up of two </w:t>
      </w:r>
      <w:r w:rsidR="00112FBA" w:rsidRPr="002A3477">
        <w:rPr>
          <w:rFonts w:ascii="Calibri" w:hAnsi="Calibri" w:cs="Calibri"/>
        </w:rPr>
        <w:t xml:space="preserve">independent </w:t>
      </w:r>
      <w:r w:rsidR="00FF04D1" w:rsidRPr="002A3477">
        <w:rPr>
          <w:rFonts w:ascii="Calibri" w:hAnsi="Calibri" w:cs="Calibri"/>
        </w:rPr>
        <w:t>units:</w:t>
      </w:r>
      <w:r w:rsidR="00B27360" w:rsidRPr="002A3477">
        <w:rPr>
          <w:rFonts w:ascii="Calibri" w:hAnsi="Calibri" w:cs="Calibri"/>
        </w:rPr>
        <w:t xml:space="preserve"> the General Jurisdiction Unit </w:t>
      </w:r>
      <w:r w:rsidR="00DC1EBF" w:rsidRPr="002A3477">
        <w:rPr>
          <w:rFonts w:ascii="Calibri" w:hAnsi="Calibri" w:cs="Calibri"/>
        </w:rPr>
        <w:t xml:space="preserve">(“GJU”) and </w:t>
      </w:r>
      <w:r w:rsidR="00FF04D1" w:rsidRPr="002A3477">
        <w:rPr>
          <w:rFonts w:ascii="Calibri" w:hAnsi="Calibri" w:cs="Calibri"/>
        </w:rPr>
        <w:t>the Bure</w:t>
      </w:r>
      <w:r w:rsidR="00C814A2" w:rsidRPr="002A3477">
        <w:rPr>
          <w:rFonts w:ascii="Calibri" w:hAnsi="Calibri" w:cs="Calibri"/>
        </w:rPr>
        <w:t>au of Special Education Appeals</w:t>
      </w:r>
      <w:r w:rsidR="00FF04D1" w:rsidRPr="002A3477">
        <w:rPr>
          <w:rFonts w:ascii="Calibri" w:hAnsi="Calibri" w:cs="Calibri"/>
        </w:rPr>
        <w:t xml:space="preserve"> (</w:t>
      </w:r>
      <w:r w:rsidR="00DC1EBF" w:rsidRPr="002A3477">
        <w:rPr>
          <w:rFonts w:ascii="Calibri" w:hAnsi="Calibri" w:cs="Calibri"/>
        </w:rPr>
        <w:t>“</w:t>
      </w:r>
      <w:r w:rsidR="00FF04D1" w:rsidRPr="002A3477">
        <w:rPr>
          <w:rFonts w:ascii="Calibri" w:hAnsi="Calibri" w:cs="Calibri"/>
        </w:rPr>
        <w:t>BSEA</w:t>
      </w:r>
      <w:r w:rsidR="00DC1EBF" w:rsidRPr="002A3477">
        <w:rPr>
          <w:rFonts w:ascii="Calibri" w:hAnsi="Calibri" w:cs="Calibri"/>
        </w:rPr>
        <w:t>”</w:t>
      </w:r>
      <w:r w:rsidR="00FF04D1" w:rsidRPr="002A3477">
        <w:rPr>
          <w:rFonts w:ascii="Calibri" w:hAnsi="Calibri" w:cs="Calibri"/>
        </w:rPr>
        <w:t>).</w:t>
      </w:r>
      <w:r w:rsidR="00112FBA" w:rsidRPr="002A3477">
        <w:rPr>
          <w:rFonts w:ascii="Calibri" w:hAnsi="Calibri" w:cs="Calibri"/>
        </w:rPr>
        <w:t xml:space="preserve"> </w:t>
      </w:r>
      <w:r w:rsidR="00FF04D1" w:rsidRPr="002A3477">
        <w:rPr>
          <w:rFonts w:ascii="Calibri" w:hAnsi="Calibri" w:cs="Calibri"/>
        </w:rPr>
        <w:t xml:space="preserve"> </w:t>
      </w:r>
      <w:r w:rsidR="00172215" w:rsidRPr="002A3477">
        <w:rPr>
          <w:rFonts w:ascii="Calibri" w:hAnsi="Calibri" w:cs="Calibri"/>
        </w:rPr>
        <w:t>In 201</w:t>
      </w:r>
      <w:r w:rsidR="007200D3" w:rsidRPr="002A3477">
        <w:rPr>
          <w:rFonts w:ascii="Calibri" w:hAnsi="Calibri" w:cs="Calibri"/>
        </w:rPr>
        <w:t>9</w:t>
      </w:r>
      <w:r w:rsidR="001557D2" w:rsidRPr="002A3477">
        <w:rPr>
          <w:rFonts w:ascii="Calibri" w:hAnsi="Calibri" w:cs="Calibri"/>
        </w:rPr>
        <w:t>,</w:t>
      </w:r>
      <w:r w:rsidR="001B4723" w:rsidRPr="002A3477">
        <w:rPr>
          <w:rFonts w:ascii="Calibri" w:hAnsi="Calibri" w:cs="Calibri"/>
        </w:rPr>
        <w:t xml:space="preserve"> the GJU continued to reduce its inventory of cases and the BSEA continued to provide the children, parents and school districts of Massachusetts with an efficient, impartial avenue to resolve their disputes</w:t>
      </w:r>
    </w:p>
    <w:p w14:paraId="544928B0" w14:textId="77777777" w:rsidR="00720B9B" w:rsidRPr="002A3477" w:rsidRDefault="001571CA" w:rsidP="00810E57">
      <w:pPr>
        <w:numPr>
          <w:ilvl w:val="0"/>
          <w:numId w:val="15"/>
        </w:numPr>
        <w:spacing w:line="480" w:lineRule="auto"/>
        <w:rPr>
          <w:rFonts w:ascii="Calibri" w:hAnsi="Calibri" w:cs="Calibri"/>
          <w:b/>
        </w:rPr>
      </w:pPr>
      <w:r w:rsidRPr="002A3477">
        <w:rPr>
          <w:rFonts w:ascii="Calibri" w:hAnsi="Calibri" w:cs="Calibri"/>
          <w:b/>
        </w:rPr>
        <w:t>DALA</w:t>
      </w:r>
      <w:r w:rsidR="00961D25" w:rsidRPr="002A3477">
        <w:rPr>
          <w:rFonts w:ascii="Calibri" w:hAnsi="Calibri" w:cs="Calibri"/>
          <w:b/>
        </w:rPr>
        <w:t xml:space="preserve"> AND ITS MISSION</w:t>
      </w:r>
    </w:p>
    <w:p w14:paraId="15AABEC8" w14:textId="77777777" w:rsidR="002437F8" w:rsidRPr="002A3477" w:rsidRDefault="00DB1A4F" w:rsidP="002437F8">
      <w:pPr>
        <w:numPr>
          <w:ilvl w:val="0"/>
          <w:numId w:val="7"/>
        </w:numPr>
        <w:spacing w:line="480" w:lineRule="auto"/>
        <w:rPr>
          <w:rFonts w:ascii="Calibri" w:hAnsi="Calibri" w:cs="Calibri"/>
          <w:b/>
        </w:rPr>
      </w:pPr>
      <w:r w:rsidRPr="002A3477">
        <w:rPr>
          <w:rFonts w:ascii="Calibri" w:hAnsi="Calibri" w:cs="Calibri"/>
          <w:b/>
        </w:rPr>
        <w:t>General Jurisdiction Unit</w:t>
      </w:r>
    </w:p>
    <w:p w14:paraId="5265C623" w14:textId="77777777" w:rsidR="00F20467" w:rsidRPr="002A3477" w:rsidRDefault="002437F8" w:rsidP="002437F8">
      <w:pPr>
        <w:spacing w:line="480" w:lineRule="auto"/>
        <w:rPr>
          <w:rFonts w:ascii="Calibri" w:hAnsi="Calibri" w:cs="Calibri"/>
          <w:b/>
        </w:rPr>
      </w:pPr>
      <w:r w:rsidRPr="002A3477">
        <w:rPr>
          <w:rFonts w:ascii="Calibri" w:hAnsi="Calibri" w:cs="Calibri"/>
          <w:lang w:val="en"/>
        </w:rPr>
        <w:t xml:space="preserve">     </w:t>
      </w:r>
      <w:r w:rsidR="00E722DC" w:rsidRPr="002A3477">
        <w:rPr>
          <w:rFonts w:ascii="Calibri" w:hAnsi="Calibri" w:cs="Calibri"/>
          <w:lang w:val="en"/>
        </w:rPr>
        <w:t>The GJU</w:t>
      </w:r>
      <w:r w:rsidR="00B60B67" w:rsidRPr="002A3477">
        <w:rPr>
          <w:rFonts w:ascii="Calibri" w:hAnsi="Calibri" w:cs="Calibri"/>
          <w:lang w:val="en"/>
        </w:rPr>
        <w:t xml:space="preserve">’s mission is to provide </w:t>
      </w:r>
      <w:r w:rsidR="00B60B67" w:rsidRPr="002A3477">
        <w:rPr>
          <w:rFonts w:ascii="Calibri" w:hAnsi="Calibri" w:cs="Calibri"/>
          <w:iCs/>
        </w:rPr>
        <w:t xml:space="preserve">the due process hearings that are the pre-condition of other </w:t>
      </w:r>
      <w:r w:rsidR="00DC1F38" w:rsidRPr="002A3477">
        <w:rPr>
          <w:rFonts w:ascii="Calibri" w:hAnsi="Calibri" w:cs="Calibri"/>
          <w:iCs/>
        </w:rPr>
        <w:t xml:space="preserve">state agencies’ </w:t>
      </w:r>
      <w:proofErr w:type="gramStart"/>
      <w:r w:rsidR="00DC1F38" w:rsidRPr="002A3477">
        <w:rPr>
          <w:rFonts w:ascii="Calibri" w:hAnsi="Calibri" w:cs="Calibri"/>
          <w:iCs/>
        </w:rPr>
        <w:t xml:space="preserve">final </w:t>
      </w:r>
      <w:r w:rsidR="00B60B67" w:rsidRPr="002A3477">
        <w:rPr>
          <w:rFonts w:ascii="Calibri" w:hAnsi="Calibri" w:cs="Calibri"/>
          <w:iCs/>
        </w:rPr>
        <w:t xml:space="preserve"> actions</w:t>
      </w:r>
      <w:proofErr w:type="gramEnd"/>
      <w:r w:rsidR="00B60B67" w:rsidRPr="002A3477">
        <w:rPr>
          <w:rFonts w:ascii="Calibri" w:hAnsi="Calibri" w:cs="Calibri"/>
          <w:lang w:val="en"/>
        </w:rPr>
        <w:t xml:space="preserve"> and, when provided for by statute, to hear </w:t>
      </w:r>
      <w:r w:rsidR="00B60B67" w:rsidRPr="002A3477">
        <w:rPr>
          <w:rFonts w:ascii="Calibri" w:hAnsi="Calibri" w:cs="Calibri"/>
          <w:i/>
          <w:lang w:val="en"/>
        </w:rPr>
        <w:t>de novo</w:t>
      </w:r>
      <w:r w:rsidR="00B60B67" w:rsidRPr="002A3477">
        <w:rPr>
          <w:rFonts w:ascii="Calibri" w:hAnsi="Calibri" w:cs="Calibri"/>
          <w:lang w:val="en"/>
        </w:rPr>
        <w:t xml:space="preserve"> appeals of other agencies’ decisions.   GJU cases come to DALA in two ways: (1) by legislation mandating that certain types of cases be heard at DALA; and (2) upon request of an agency, subject to the approval of the DALA Chief Administrative Magistrate and the Secretary of Administration and Finance (</w:t>
      </w:r>
      <w:r w:rsidR="00E422E5" w:rsidRPr="002A3477">
        <w:rPr>
          <w:rFonts w:ascii="Calibri" w:hAnsi="Calibri" w:cs="Calibri"/>
          <w:lang w:val="en"/>
        </w:rPr>
        <w:t>“</w:t>
      </w:r>
      <w:r w:rsidR="00B60B67" w:rsidRPr="002A3477">
        <w:rPr>
          <w:rFonts w:ascii="Calibri" w:hAnsi="Calibri" w:cs="Calibri"/>
          <w:lang w:val="en"/>
        </w:rPr>
        <w:t>A</w:t>
      </w:r>
      <w:r w:rsidR="007F7B23" w:rsidRPr="002A3477">
        <w:rPr>
          <w:rFonts w:ascii="Calibri" w:hAnsi="Calibri" w:cs="Calibri"/>
          <w:lang w:val="en"/>
        </w:rPr>
        <w:t>&amp;</w:t>
      </w:r>
      <w:r w:rsidR="00B60B67" w:rsidRPr="002A3477">
        <w:rPr>
          <w:rFonts w:ascii="Calibri" w:hAnsi="Calibri" w:cs="Calibri"/>
          <w:lang w:val="en"/>
        </w:rPr>
        <w:t>F</w:t>
      </w:r>
      <w:r w:rsidR="00E422E5" w:rsidRPr="002A3477">
        <w:rPr>
          <w:rFonts w:ascii="Calibri" w:hAnsi="Calibri" w:cs="Calibri"/>
          <w:lang w:val="en"/>
        </w:rPr>
        <w:t>”</w:t>
      </w:r>
      <w:r w:rsidR="00B60B67" w:rsidRPr="002A3477">
        <w:rPr>
          <w:rFonts w:ascii="Calibri" w:hAnsi="Calibri" w:cs="Calibri"/>
          <w:lang w:val="en"/>
        </w:rPr>
        <w:t xml:space="preserve">).  </w:t>
      </w:r>
      <w:r w:rsidR="00B60B67" w:rsidRPr="002A3477">
        <w:rPr>
          <w:rFonts w:ascii="Calibri" w:hAnsi="Calibri" w:cs="Calibri"/>
        </w:rPr>
        <w:t xml:space="preserve">Currently, </w:t>
      </w:r>
      <w:r w:rsidR="004B2D00" w:rsidRPr="002A3477">
        <w:rPr>
          <w:rFonts w:ascii="Calibri" w:hAnsi="Calibri" w:cs="Calibri"/>
        </w:rPr>
        <w:t xml:space="preserve">the </w:t>
      </w:r>
      <w:r w:rsidR="00E722DC" w:rsidRPr="002A3477">
        <w:rPr>
          <w:rFonts w:ascii="Calibri" w:hAnsi="Calibri" w:cs="Calibri"/>
        </w:rPr>
        <w:t>GJU</w:t>
      </w:r>
      <w:r w:rsidR="00B60B67" w:rsidRPr="002A3477">
        <w:rPr>
          <w:rFonts w:ascii="Calibri" w:hAnsi="Calibri" w:cs="Calibri"/>
        </w:rPr>
        <w:t xml:space="preserve"> conducts </w:t>
      </w:r>
      <w:r w:rsidR="00B60B67" w:rsidRPr="002A3477">
        <w:rPr>
          <w:rFonts w:ascii="Calibri" w:hAnsi="Calibri" w:cs="Calibri"/>
        </w:rPr>
        <w:lastRenderedPageBreak/>
        <w:t>hearings for approximately 20 state agencies, including the Contributory Retirement Appeal Board, the Board of Registration in Medicine, the Department of Public Health, and the Fair Labor Division of the O</w:t>
      </w:r>
      <w:r w:rsidR="00ED7898" w:rsidRPr="002A3477">
        <w:rPr>
          <w:rFonts w:ascii="Calibri" w:hAnsi="Calibri" w:cs="Calibri"/>
        </w:rPr>
        <w:t>ffice of the Attorney General. In addition</w:t>
      </w:r>
      <w:r w:rsidR="00DC1F38" w:rsidRPr="002A3477">
        <w:rPr>
          <w:rFonts w:ascii="Calibri" w:hAnsi="Calibri" w:cs="Calibri"/>
        </w:rPr>
        <w:t>,</w:t>
      </w:r>
      <w:r w:rsidR="00F20467" w:rsidRPr="002A3477">
        <w:rPr>
          <w:rFonts w:ascii="Calibri" w:hAnsi="Calibri" w:cs="Calibri"/>
        </w:rPr>
        <w:t xml:space="preserve"> </w:t>
      </w:r>
      <w:r w:rsidR="000F086E" w:rsidRPr="002A3477">
        <w:rPr>
          <w:rFonts w:ascii="Calibri" w:hAnsi="Calibri" w:cs="Calibri"/>
        </w:rPr>
        <w:t>pursuant to c. 19 of the Acts of 2020</w:t>
      </w:r>
      <w:r w:rsidR="004A1F21" w:rsidRPr="002A3477">
        <w:rPr>
          <w:rFonts w:ascii="Calibri" w:hAnsi="Calibri" w:cs="Calibri"/>
        </w:rPr>
        <w:t>,</w:t>
      </w:r>
      <w:r w:rsidR="000F086E" w:rsidRPr="002A3477">
        <w:rPr>
          <w:rFonts w:ascii="Calibri" w:hAnsi="Calibri" w:cs="Calibri"/>
        </w:rPr>
        <w:t xml:space="preserve"> </w:t>
      </w:r>
      <w:r w:rsidR="00F20467" w:rsidRPr="002A3477">
        <w:rPr>
          <w:rFonts w:ascii="Calibri" w:hAnsi="Calibri" w:cs="Calibri"/>
        </w:rPr>
        <w:t xml:space="preserve">starting in </w:t>
      </w:r>
      <w:r w:rsidR="00DC1F38" w:rsidRPr="002A3477">
        <w:rPr>
          <w:rFonts w:ascii="Calibri" w:hAnsi="Calibri" w:cs="Calibri"/>
        </w:rPr>
        <w:t xml:space="preserve">2021 the GJU will begin to hear </w:t>
      </w:r>
      <w:r w:rsidR="00F20467" w:rsidRPr="002A3477">
        <w:rPr>
          <w:rFonts w:ascii="Calibri" w:hAnsi="Calibri" w:cs="Calibri"/>
        </w:rPr>
        <w:t xml:space="preserve">appeals </w:t>
      </w:r>
      <w:r w:rsidR="00DC1F38" w:rsidRPr="002A3477">
        <w:rPr>
          <w:rFonts w:ascii="Calibri" w:hAnsi="Calibri" w:cs="Calibri"/>
        </w:rPr>
        <w:t xml:space="preserve">concerning the decisions </w:t>
      </w:r>
      <w:proofErr w:type="gramStart"/>
      <w:r w:rsidR="00DC1F38" w:rsidRPr="002A3477">
        <w:rPr>
          <w:rFonts w:ascii="Calibri" w:hAnsi="Calibri" w:cs="Calibri"/>
        </w:rPr>
        <w:t>of  the</w:t>
      </w:r>
      <w:proofErr w:type="gramEnd"/>
      <w:r w:rsidR="00DC1F38" w:rsidRPr="002A3477">
        <w:rPr>
          <w:rFonts w:ascii="Calibri" w:hAnsi="Calibri" w:cs="Calibri"/>
        </w:rPr>
        <w:t xml:space="preserve"> </w:t>
      </w:r>
      <w:r w:rsidR="000F086E" w:rsidRPr="002A3477">
        <w:rPr>
          <w:rFonts w:ascii="Calibri" w:hAnsi="Calibri" w:cs="Calibri"/>
          <w:lang w:val="en"/>
        </w:rPr>
        <w:t>Disabled Persons Protection C</w:t>
      </w:r>
      <w:r w:rsidR="00DC1F38" w:rsidRPr="002A3477">
        <w:rPr>
          <w:rFonts w:ascii="Calibri" w:hAnsi="Calibri" w:cs="Calibri"/>
          <w:lang w:val="en"/>
        </w:rPr>
        <w:t>ommission</w:t>
      </w:r>
      <w:r w:rsidR="00F20467" w:rsidRPr="002A3477">
        <w:rPr>
          <w:rFonts w:ascii="Calibri" w:hAnsi="Calibri" w:cs="Calibri"/>
        </w:rPr>
        <w:t>.</w:t>
      </w:r>
    </w:p>
    <w:p w14:paraId="256F117F" w14:textId="77777777" w:rsidR="00B60B67" w:rsidRPr="002A3477" w:rsidRDefault="002437F8" w:rsidP="002437F8">
      <w:pPr>
        <w:spacing w:line="480" w:lineRule="auto"/>
        <w:rPr>
          <w:rFonts w:ascii="Calibri" w:hAnsi="Calibri" w:cs="Calibri"/>
        </w:rPr>
      </w:pPr>
      <w:r w:rsidRPr="002A3477">
        <w:rPr>
          <w:rFonts w:ascii="Calibri" w:hAnsi="Calibri" w:cs="Calibri"/>
        </w:rPr>
        <w:t xml:space="preserve">     </w:t>
      </w:r>
      <w:r w:rsidR="00B60B67" w:rsidRPr="002A3477">
        <w:rPr>
          <w:rFonts w:ascii="Calibri" w:hAnsi="Calibri" w:cs="Calibri"/>
        </w:rPr>
        <w:t xml:space="preserve">The most pressing issue </w:t>
      </w:r>
      <w:proofErr w:type="gramStart"/>
      <w:r w:rsidR="00B60B67" w:rsidRPr="002A3477">
        <w:rPr>
          <w:rFonts w:ascii="Calibri" w:hAnsi="Calibri" w:cs="Calibri"/>
        </w:rPr>
        <w:t>confronting the GJU</w:t>
      </w:r>
      <w:proofErr w:type="gramEnd"/>
      <w:r w:rsidR="00B60B67" w:rsidRPr="002A3477">
        <w:rPr>
          <w:rFonts w:ascii="Calibri" w:hAnsi="Calibri" w:cs="Calibri"/>
        </w:rPr>
        <w:t xml:space="preserve"> is </w:t>
      </w:r>
      <w:r w:rsidR="00E422E5" w:rsidRPr="002A3477">
        <w:rPr>
          <w:rFonts w:ascii="Calibri" w:hAnsi="Calibri" w:cs="Calibri"/>
        </w:rPr>
        <w:t>its</w:t>
      </w:r>
      <w:r w:rsidR="00B60B67" w:rsidRPr="002A3477">
        <w:rPr>
          <w:rFonts w:ascii="Calibri" w:hAnsi="Calibri" w:cs="Calibri"/>
        </w:rPr>
        <w:t xml:space="preserve"> large inventory of cases.</w:t>
      </w:r>
      <w:r w:rsidR="007240D3" w:rsidRPr="002A3477">
        <w:rPr>
          <w:rFonts w:ascii="Calibri" w:hAnsi="Calibri" w:cs="Calibri"/>
        </w:rPr>
        <w:t xml:space="preserve">  The inventory is made up of Rate Setting Cases and Retirement Cases.  Generally, the GJU </w:t>
      </w:r>
      <w:proofErr w:type="gramStart"/>
      <w:r w:rsidR="007240D3" w:rsidRPr="002A3477">
        <w:rPr>
          <w:rFonts w:ascii="Calibri" w:hAnsi="Calibri" w:cs="Calibri"/>
        </w:rPr>
        <w:t>is able to</w:t>
      </w:r>
      <w:proofErr w:type="gramEnd"/>
      <w:r w:rsidR="007240D3" w:rsidRPr="002A3477">
        <w:rPr>
          <w:rFonts w:ascii="Calibri" w:hAnsi="Calibri" w:cs="Calibri"/>
        </w:rPr>
        <w:t xml:space="preserve"> schedule other types of cases when the parties are ready to proceed.</w:t>
      </w:r>
    </w:p>
    <w:p w14:paraId="30FEF461" w14:textId="77777777" w:rsidR="00A705E6" w:rsidRPr="002A3477" w:rsidRDefault="007200D3" w:rsidP="007240D3">
      <w:pPr>
        <w:spacing w:line="480" w:lineRule="auto"/>
        <w:ind w:firstLine="360"/>
        <w:rPr>
          <w:rFonts w:ascii="Calibri" w:hAnsi="Calibri" w:cs="Calibri"/>
        </w:rPr>
      </w:pPr>
      <w:r w:rsidRPr="002A3477">
        <w:rPr>
          <w:rFonts w:ascii="Calibri" w:hAnsi="Calibri" w:cs="Calibri"/>
        </w:rPr>
        <w:t>I</w:t>
      </w:r>
      <w:r w:rsidR="00BF0AE2" w:rsidRPr="002A3477">
        <w:rPr>
          <w:rFonts w:ascii="Calibri" w:hAnsi="Calibri" w:cs="Calibri"/>
        </w:rPr>
        <w:t>n</w:t>
      </w:r>
      <w:r w:rsidR="00147664" w:rsidRPr="002A3477">
        <w:rPr>
          <w:rFonts w:ascii="Calibri" w:hAnsi="Calibri" w:cs="Calibri"/>
        </w:rPr>
        <w:t xml:space="preserve"> 201</w:t>
      </w:r>
      <w:r w:rsidRPr="002A3477">
        <w:rPr>
          <w:rFonts w:ascii="Calibri" w:hAnsi="Calibri" w:cs="Calibri"/>
        </w:rPr>
        <w:t>9</w:t>
      </w:r>
      <w:r w:rsidR="00A603CC" w:rsidRPr="002A3477">
        <w:rPr>
          <w:rFonts w:ascii="Calibri" w:hAnsi="Calibri" w:cs="Calibri"/>
        </w:rPr>
        <w:t>,</w:t>
      </w:r>
      <w:r w:rsidRPr="002A3477">
        <w:rPr>
          <w:rFonts w:ascii="Calibri" w:hAnsi="Calibri" w:cs="Calibri"/>
        </w:rPr>
        <w:t xml:space="preserve"> </w:t>
      </w:r>
      <w:r w:rsidR="003A0EAE" w:rsidRPr="002A3477">
        <w:rPr>
          <w:rFonts w:ascii="Calibri" w:hAnsi="Calibri" w:cs="Calibri"/>
        </w:rPr>
        <w:t>t</w:t>
      </w:r>
      <w:r w:rsidRPr="002A3477">
        <w:rPr>
          <w:rFonts w:ascii="Calibri" w:hAnsi="Calibri" w:cs="Calibri"/>
        </w:rPr>
        <w:t>he GJU decreased the number of open cases on its docket</w:t>
      </w:r>
      <w:r w:rsidR="00B84029" w:rsidRPr="002A3477">
        <w:rPr>
          <w:rFonts w:ascii="Calibri" w:hAnsi="Calibri" w:cs="Calibri"/>
        </w:rPr>
        <w:t>. On January 1, 2019</w:t>
      </w:r>
      <w:r w:rsidR="009223A9" w:rsidRPr="002A3477">
        <w:rPr>
          <w:rFonts w:ascii="Calibri" w:hAnsi="Calibri" w:cs="Calibri"/>
        </w:rPr>
        <w:t>,</w:t>
      </w:r>
      <w:r w:rsidR="00FF60B7" w:rsidRPr="002A3477">
        <w:rPr>
          <w:rFonts w:ascii="Calibri" w:hAnsi="Calibri" w:cs="Calibri"/>
        </w:rPr>
        <w:t xml:space="preserve"> there were </w:t>
      </w:r>
      <w:r w:rsidR="00B84029" w:rsidRPr="002A3477">
        <w:rPr>
          <w:rFonts w:ascii="Calibri" w:hAnsi="Calibri" w:cs="Calibri"/>
        </w:rPr>
        <w:t>3,854</w:t>
      </w:r>
      <w:r w:rsidR="00B84029" w:rsidRPr="002A3477">
        <w:rPr>
          <w:rFonts w:ascii="Calibri" w:hAnsi="Calibri" w:cs="Calibri"/>
          <w:color w:val="FF0000"/>
        </w:rPr>
        <w:t xml:space="preserve"> </w:t>
      </w:r>
      <w:r w:rsidR="00A603CC" w:rsidRPr="002A3477">
        <w:rPr>
          <w:rFonts w:ascii="Calibri" w:hAnsi="Calibri" w:cs="Calibri"/>
        </w:rPr>
        <w:t>open cases on the GJU’s</w:t>
      </w:r>
      <w:r w:rsidR="00B84029" w:rsidRPr="002A3477">
        <w:rPr>
          <w:rFonts w:ascii="Calibri" w:hAnsi="Calibri" w:cs="Calibri"/>
        </w:rPr>
        <w:t xml:space="preserve"> </w:t>
      </w:r>
      <w:r w:rsidR="00FF60B7" w:rsidRPr="002A3477">
        <w:rPr>
          <w:rFonts w:ascii="Calibri" w:hAnsi="Calibri" w:cs="Calibri"/>
        </w:rPr>
        <w:t xml:space="preserve">docket.  </w:t>
      </w:r>
      <w:r w:rsidR="000F086E" w:rsidRPr="002A3477">
        <w:rPr>
          <w:rFonts w:ascii="Calibri" w:hAnsi="Calibri" w:cs="Calibri"/>
        </w:rPr>
        <w:t>Tab 1 contains a list of open GJU cases as of January 1, 2020.  This tab shows that the GJU had 3,336</w:t>
      </w:r>
      <w:r w:rsidR="000F086E" w:rsidRPr="002A3477">
        <w:rPr>
          <w:rFonts w:ascii="Calibri" w:hAnsi="Calibri" w:cs="Calibri"/>
          <w:color w:val="FF0000"/>
        </w:rPr>
        <w:t xml:space="preserve"> </w:t>
      </w:r>
      <w:r w:rsidR="000F086E" w:rsidRPr="002A3477">
        <w:rPr>
          <w:rFonts w:ascii="Calibri" w:hAnsi="Calibri" w:cs="Calibri"/>
        </w:rPr>
        <w:t>open cases as of the first of this year</w:t>
      </w:r>
      <w:r w:rsidR="00A705E6" w:rsidRPr="002A3477">
        <w:rPr>
          <w:rFonts w:ascii="Calibri" w:hAnsi="Calibri" w:cs="Calibri"/>
        </w:rPr>
        <w:t>, a reduction of 518</w:t>
      </w:r>
      <w:r w:rsidR="000F086E" w:rsidRPr="002A3477">
        <w:rPr>
          <w:rFonts w:ascii="Calibri" w:hAnsi="Calibri" w:cs="Calibri"/>
        </w:rPr>
        <w:t>.</w:t>
      </w:r>
    </w:p>
    <w:p w14:paraId="3FF1EC67" w14:textId="77777777" w:rsidR="009223A9" w:rsidRPr="002A3477" w:rsidRDefault="000F086E" w:rsidP="007240D3">
      <w:pPr>
        <w:spacing w:line="480" w:lineRule="auto"/>
        <w:ind w:firstLine="360"/>
        <w:rPr>
          <w:rFonts w:ascii="Calibri" w:hAnsi="Calibri" w:cs="Calibri"/>
        </w:rPr>
      </w:pPr>
      <w:r w:rsidRPr="002A3477">
        <w:rPr>
          <w:rFonts w:ascii="Calibri" w:hAnsi="Calibri" w:cs="Calibri"/>
        </w:rPr>
        <w:t xml:space="preserve">The number of open Retirement Cases stayed about the </w:t>
      </w:r>
      <w:r w:rsidR="00A705E6" w:rsidRPr="002A3477">
        <w:rPr>
          <w:rFonts w:ascii="Calibri" w:hAnsi="Calibri" w:cs="Calibri"/>
        </w:rPr>
        <w:t>same as the GJU closed 14 more Retirement C</w:t>
      </w:r>
      <w:r w:rsidRPr="002A3477">
        <w:rPr>
          <w:rFonts w:ascii="Calibri" w:hAnsi="Calibri" w:cs="Calibri"/>
        </w:rPr>
        <w:t>ases than it opened in</w:t>
      </w:r>
      <w:r w:rsidR="00A705E6" w:rsidRPr="002A3477">
        <w:rPr>
          <w:rFonts w:ascii="Calibri" w:hAnsi="Calibri" w:cs="Calibri"/>
        </w:rPr>
        <w:t xml:space="preserve"> </w:t>
      </w:r>
      <w:r w:rsidRPr="002A3477">
        <w:rPr>
          <w:rFonts w:ascii="Calibri" w:hAnsi="Calibri" w:cs="Calibri"/>
        </w:rPr>
        <w:t>2019.</w:t>
      </w:r>
      <w:r w:rsidR="00074EF7" w:rsidRPr="002A3477">
        <w:rPr>
          <w:rFonts w:ascii="Calibri" w:hAnsi="Calibri" w:cs="Calibri"/>
        </w:rPr>
        <w:t xml:space="preserve"> </w:t>
      </w:r>
      <w:r w:rsidR="00FF60B7" w:rsidRPr="002A3477">
        <w:rPr>
          <w:rFonts w:ascii="Calibri" w:hAnsi="Calibri" w:cs="Calibri"/>
        </w:rPr>
        <w:t>T</w:t>
      </w:r>
      <w:r w:rsidR="00074EF7" w:rsidRPr="002A3477">
        <w:rPr>
          <w:rFonts w:ascii="Calibri" w:hAnsi="Calibri" w:cs="Calibri"/>
        </w:rPr>
        <w:t xml:space="preserve">he number of </w:t>
      </w:r>
      <w:r w:rsidR="00593E0D" w:rsidRPr="002A3477">
        <w:rPr>
          <w:rFonts w:ascii="Calibri" w:hAnsi="Calibri" w:cs="Calibri"/>
        </w:rPr>
        <w:t xml:space="preserve">open </w:t>
      </w:r>
      <w:r w:rsidR="00074EF7" w:rsidRPr="002A3477">
        <w:rPr>
          <w:rFonts w:ascii="Calibri" w:hAnsi="Calibri" w:cs="Calibri"/>
        </w:rPr>
        <w:t xml:space="preserve">Retirement Cases </w:t>
      </w:r>
      <w:r w:rsidR="00FF60B7" w:rsidRPr="002A3477">
        <w:rPr>
          <w:rFonts w:ascii="Calibri" w:hAnsi="Calibri" w:cs="Calibri"/>
        </w:rPr>
        <w:t>was 1</w:t>
      </w:r>
      <w:r w:rsidR="001B4723" w:rsidRPr="002A3477">
        <w:rPr>
          <w:rFonts w:ascii="Calibri" w:hAnsi="Calibri" w:cs="Calibri"/>
        </w:rPr>
        <w:t>,</w:t>
      </w:r>
      <w:r w:rsidR="003A0EAE" w:rsidRPr="002A3477">
        <w:rPr>
          <w:rFonts w:ascii="Calibri" w:hAnsi="Calibri" w:cs="Calibri"/>
        </w:rPr>
        <w:t>126</w:t>
      </w:r>
      <w:r w:rsidR="003A0EAE" w:rsidRPr="002A3477">
        <w:rPr>
          <w:rStyle w:val="FootnoteReference"/>
          <w:rFonts w:ascii="Calibri" w:hAnsi="Calibri" w:cs="Calibri"/>
        </w:rPr>
        <w:footnoteReference w:id="1"/>
      </w:r>
      <w:r w:rsidR="000C46F9" w:rsidRPr="002A3477">
        <w:rPr>
          <w:rFonts w:ascii="Calibri" w:hAnsi="Calibri" w:cs="Calibri"/>
        </w:rPr>
        <w:t xml:space="preserve"> on January 1, 2020</w:t>
      </w:r>
      <w:r w:rsidR="00FF60B7" w:rsidRPr="002A3477">
        <w:rPr>
          <w:rFonts w:ascii="Calibri" w:hAnsi="Calibri" w:cs="Calibri"/>
        </w:rPr>
        <w:t xml:space="preserve">. </w:t>
      </w:r>
      <w:r w:rsidR="00074EF7" w:rsidRPr="002A3477">
        <w:rPr>
          <w:rFonts w:ascii="Calibri" w:hAnsi="Calibri" w:cs="Calibri"/>
        </w:rPr>
        <w:t xml:space="preserve"> </w:t>
      </w:r>
      <w:r w:rsidR="00666A0E" w:rsidRPr="002A3477">
        <w:rPr>
          <w:rFonts w:ascii="Calibri" w:hAnsi="Calibri" w:cs="Calibri"/>
        </w:rPr>
        <w:t>In 201</w:t>
      </w:r>
      <w:r w:rsidR="00A603CC" w:rsidRPr="002A3477">
        <w:rPr>
          <w:rFonts w:ascii="Calibri" w:hAnsi="Calibri" w:cs="Calibri"/>
        </w:rPr>
        <w:t>9</w:t>
      </w:r>
      <w:r w:rsidR="00666A0E" w:rsidRPr="002A3477">
        <w:rPr>
          <w:rFonts w:ascii="Calibri" w:hAnsi="Calibri" w:cs="Calibri"/>
        </w:rPr>
        <w:t xml:space="preserve">, DALA reduced the number of </w:t>
      </w:r>
      <w:r w:rsidR="00F2061A" w:rsidRPr="002A3477">
        <w:rPr>
          <w:rFonts w:ascii="Calibri" w:hAnsi="Calibri" w:cs="Calibri"/>
        </w:rPr>
        <w:t xml:space="preserve">pending </w:t>
      </w:r>
      <w:r w:rsidR="00666A0E" w:rsidRPr="002A3477">
        <w:rPr>
          <w:rFonts w:ascii="Calibri" w:hAnsi="Calibri" w:cs="Calibri"/>
        </w:rPr>
        <w:t>Rate Setting Cases</w:t>
      </w:r>
      <w:r w:rsidR="00FF60B7" w:rsidRPr="002A3477">
        <w:rPr>
          <w:rFonts w:ascii="Calibri" w:hAnsi="Calibri" w:cs="Calibri"/>
        </w:rPr>
        <w:t xml:space="preserve"> on its docket</w:t>
      </w:r>
      <w:r w:rsidR="00666A0E" w:rsidRPr="002A3477">
        <w:rPr>
          <w:rFonts w:ascii="Calibri" w:hAnsi="Calibri" w:cs="Calibri"/>
        </w:rPr>
        <w:t xml:space="preserve"> </w:t>
      </w:r>
      <w:r w:rsidR="00FF60B7" w:rsidRPr="002A3477">
        <w:rPr>
          <w:rFonts w:ascii="Calibri" w:hAnsi="Calibri" w:cs="Calibri"/>
        </w:rPr>
        <w:t>from</w:t>
      </w:r>
      <w:r w:rsidR="000C46F9" w:rsidRPr="002A3477">
        <w:rPr>
          <w:rFonts w:ascii="Calibri" w:hAnsi="Calibri" w:cs="Calibri"/>
        </w:rPr>
        <w:t xml:space="preserve"> 2,586</w:t>
      </w:r>
      <w:r w:rsidR="00A603CC" w:rsidRPr="002A3477">
        <w:rPr>
          <w:rFonts w:ascii="Calibri" w:hAnsi="Calibri" w:cs="Calibri"/>
        </w:rPr>
        <w:t xml:space="preserve"> to 1,981</w:t>
      </w:r>
      <w:r w:rsidR="00666A0E" w:rsidRPr="002A3477">
        <w:rPr>
          <w:rFonts w:ascii="Calibri" w:hAnsi="Calibri" w:cs="Calibri"/>
        </w:rPr>
        <w:t>.</w:t>
      </w:r>
      <w:r w:rsidR="006D381C" w:rsidRPr="002A3477">
        <w:rPr>
          <w:rFonts w:ascii="Calibri" w:hAnsi="Calibri" w:cs="Calibri"/>
        </w:rPr>
        <w:t xml:space="preserve">  DALA prioritizes Retirement Cases, because they typically require more intervention from a magistrate, including a hearing, and t</w:t>
      </w:r>
      <w:r w:rsidR="00273080" w:rsidRPr="002A3477">
        <w:rPr>
          <w:rFonts w:ascii="Calibri" w:hAnsi="Calibri" w:cs="Calibri"/>
        </w:rPr>
        <w:t>he parties to the Rate Setting C</w:t>
      </w:r>
      <w:r w:rsidR="006D381C" w:rsidRPr="002A3477">
        <w:rPr>
          <w:rFonts w:ascii="Calibri" w:hAnsi="Calibri" w:cs="Calibri"/>
        </w:rPr>
        <w:t>ases work to settle them.</w:t>
      </w:r>
    </w:p>
    <w:p w14:paraId="3F0709FA" w14:textId="77777777" w:rsidR="00DF7FA0" w:rsidRPr="002A3477" w:rsidRDefault="00052F3E" w:rsidP="00CB0052">
      <w:pPr>
        <w:spacing w:line="480" w:lineRule="auto"/>
        <w:ind w:firstLine="360"/>
        <w:rPr>
          <w:rFonts w:ascii="Calibri" w:hAnsi="Calibri" w:cs="Calibri"/>
        </w:rPr>
      </w:pPr>
      <w:r w:rsidRPr="002A3477">
        <w:rPr>
          <w:rFonts w:ascii="Calibri" w:hAnsi="Calibri" w:cs="Calibri"/>
        </w:rPr>
        <w:lastRenderedPageBreak/>
        <w:t xml:space="preserve">While the </w:t>
      </w:r>
      <w:r w:rsidR="00E422E5" w:rsidRPr="002A3477">
        <w:rPr>
          <w:rFonts w:ascii="Calibri" w:hAnsi="Calibri" w:cs="Calibri"/>
        </w:rPr>
        <w:t xml:space="preserve">GJU’s </w:t>
      </w:r>
      <w:proofErr w:type="gramStart"/>
      <w:r w:rsidRPr="002A3477">
        <w:rPr>
          <w:rFonts w:ascii="Calibri" w:hAnsi="Calibri" w:cs="Calibri"/>
        </w:rPr>
        <w:t>success</w:t>
      </w:r>
      <w:proofErr w:type="gramEnd"/>
      <w:r w:rsidRPr="002A3477">
        <w:rPr>
          <w:rFonts w:ascii="Calibri" w:hAnsi="Calibri" w:cs="Calibri"/>
        </w:rPr>
        <w:t xml:space="preserve"> </w:t>
      </w:r>
      <w:r w:rsidR="00E422E5" w:rsidRPr="002A3477">
        <w:rPr>
          <w:rFonts w:ascii="Calibri" w:hAnsi="Calibri" w:cs="Calibri"/>
        </w:rPr>
        <w:t>reduc</w:t>
      </w:r>
      <w:r w:rsidRPr="002A3477">
        <w:rPr>
          <w:rFonts w:ascii="Calibri" w:hAnsi="Calibri" w:cs="Calibri"/>
        </w:rPr>
        <w:t>ing</w:t>
      </w:r>
      <w:r w:rsidR="00E422E5" w:rsidRPr="002A3477">
        <w:rPr>
          <w:rFonts w:ascii="Calibri" w:hAnsi="Calibri" w:cs="Calibri"/>
        </w:rPr>
        <w:t xml:space="preserve"> </w:t>
      </w:r>
      <w:r w:rsidRPr="002A3477">
        <w:rPr>
          <w:rFonts w:ascii="Calibri" w:hAnsi="Calibri" w:cs="Calibri"/>
        </w:rPr>
        <w:t xml:space="preserve">the inventory of its cases has resulted in a reduction in the length of time </w:t>
      </w:r>
      <w:r w:rsidR="00E422E5" w:rsidRPr="002A3477">
        <w:rPr>
          <w:rFonts w:ascii="Calibri" w:hAnsi="Calibri" w:cs="Calibri"/>
        </w:rPr>
        <w:t>litigants wait to have their cases reached</w:t>
      </w:r>
      <w:r w:rsidR="004B2D00" w:rsidRPr="002A3477">
        <w:rPr>
          <w:rFonts w:ascii="Calibri" w:hAnsi="Calibri" w:cs="Calibri"/>
        </w:rPr>
        <w:t xml:space="preserve"> for hearing</w:t>
      </w:r>
      <w:r w:rsidRPr="002A3477">
        <w:rPr>
          <w:rFonts w:ascii="Calibri" w:hAnsi="Calibri" w:cs="Calibri"/>
        </w:rPr>
        <w:t xml:space="preserve">, the length of time parties </w:t>
      </w:r>
      <w:proofErr w:type="gramStart"/>
      <w:r w:rsidRPr="002A3477">
        <w:rPr>
          <w:rFonts w:ascii="Calibri" w:hAnsi="Calibri" w:cs="Calibri"/>
        </w:rPr>
        <w:t>are</w:t>
      </w:r>
      <w:proofErr w:type="gramEnd"/>
      <w:r w:rsidRPr="002A3477">
        <w:rPr>
          <w:rFonts w:ascii="Calibri" w:hAnsi="Calibri" w:cs="Calibri"/>
        </w:rPr>
        <w:t xml:space="preserve"> waiting for a written decision is increasing.  Generally</w:t>
      </w:r>
      <w:r w:rsidR="00F813F6" w:rsidRPr="002A3477">
        <w:rPr>
          <w:rFonts w:ascii="Calibri" w:hAnsi="Calibri" w:cs="Calibri"/>
        </w:rPr>
        <w:t>,</w:t>
      </w:r>
      <w:r w:rsidRPr="002A3477">
        <w:rPr>
          <w:rFonts w:ascii="Calibri" w:hAnsi="Calibri" w:cs="Calibri"/>
        </w:rPr>
        <w:t xml:space="preserve"> newer cases require more attention from a magistrate and, therefore, it takes longer to dispose of them</w:t>
      </w:r>
      <w:r w:rsidR="00E422E5" w:rsidRPr="002A3477">
        <w:rPr>
          <w:rFonts w:ascii="Calibri" w:hAnsi="Calibri" w:cs="Calibri"/>
        </w:rPr>
        <w:t>.</w:t>
      </w:r>
      <w:r w:rsidR="00DF7FA0" w:rsidRPr="002A3477">
        <w:rPr>
          <w:rFonts w:ascii="Calibri" w:hAnsi="Calibri" w:cs="Calibri"/>
        </w:rPr>
        <w:t xml:space="preserve"> We will continue to review and modify </w:t>
      </w:r>
      <w:proofErr w:type="gramStart"/>
      <w:r w:rsidR="00E722DC" w:rsidRPr="002A3477">
        <w:rPr>
          <w:rFonts w:ascii="Calibri" w:hAnsi="Calibri" w:cs="Calibri"/>
        </w:rPr>
        <w:t xml:space="preserve">the </w:t>
      </w:r>
      <w:r w:rsidR="00635B9C" w:rsidRPr="002A3477">
        <w:rPr>
          <w:rFonts w:ascii="Calibri" w:hAnsi="Calibri" w:cs="Calibri"/>
        </w:rPr>
        <w:t>GJU’s</w:t>
      </w:r>
      <w:proofErr w:type="gramEnd"/>
      <w:r w:rsidR="00635B9C" w:rsidRPr="002A3477">
        <w:rPr>
          <w:rFonts w:ascii="Calibri" w:hAnsi="Calibri" w:cs="Calibri"/>
        </w:rPr>
        <w:t xml:space="preserve"> practices and procedures</w:t>
      </w:r>
      <w:r w:rsidR="00A436C1" w:rsidRPr="002A3477">
        <w:rPr>
          <w:rFonts w:ascii="Calibri" w:hAnsi="Calibri" w:cs="Calibri"/>
        </w:rPr>
        <w:t xml:space="preserve"> </w:t>
      </w:r>
      <w:r w:rsidR="00DF7FA0" w:rsidRPr="002A3477">
        <w:rPr>
          <w:rFonts w:ascii="Calibri" w:hAnsi="Calibri" w:cs="Calibri"/>
        </w:rPr>
        <w:t>as appropriate to address the ongoing challenges it confronts.</w:t>
      </w:r>
      <w:r w:rsidR="00DF7FA0" w:rsidRPr="002A3477" w:rsidDel="00DF7FA0">
        <w:rPr>
          <w:rFonts w:ascii="Calibri" w:hAnsi="Calibri" w:cs="Calibri"/>
        </w:rPr>
        <w:t xml:space="preserve"> </w:t>
      </w:r>
    </w:p>
    <w:p w14:paraId="0C169E81" w14:textId="77777777" w:rsidR="00FF04D1" w:rsidRPr="002A3477" w:rsidRDefault="00FF04D1" w:rsidP="00DF7FA0">
      <w:pPr>
        <w:numPr>
          <w:ilvl w:val="0"/>
          <w:numId w:val="7"/>
        </w:numPr>
        <w:spacing w:line="480" w:lineRule="auto"/>
        <w:rPr>
          <w:rFonts w:ascii="Calibri" w:hAnsi="Calibri" w:cs="Calibri"/>
        </w:rPr>
      </w:pPr>
      <w:r w:rsidRPr="002A3477">
        <w:rPr>
          <w:rFonts w:ascii="Calibri" w:hAnsi="Calibri" w:cs="Calibri"/>
          <w:b/>
          <w:bCs/>
          <w:iCs/>
        </w:rPr>
        <w:t>Bureau of Special Education Appeals</w:t>
      </w:r>
    </w:p>
    <w:p w14:paraId="5ACB76CE" w14:textId="76907385" w:rsidR="00FF04D1" w:rsidRPr="002A3477" w:rsidRDefault="00651753" w:rsidP="00E0033E">
      <w:pPr>
        <w:spacing w:line="480" w:lineRule="auto"/>
        <w:ind w:firstLine="360"/>
        <w:rPr>
          <w:rFonts w:ascii="Calibri" w:hAnsi="Calibri" w:cs="Calibri"/>
          <w:color w:val="FF0000"/>
        </w:rPr>
      </w:pPr>
      <w:r w:rsidRPr="002A3477">
        <w:rPr>
          <w:rFonts w:ascii="Calibri" w:hAnsi="Calibri" w:cs="Calibri"/>
        </w:rPr>
        <w:t xml:space="preserve">The BSEA is </w:t>
      </w:r>
      <w:r w:rsidR="00FF04D1" w:rsidRPr="002A3477">
        <w:rPr>
          <w:rFonts w:ascii="Calibri" w:hAnsi="Calibri" w:cs="Calibri"/>
        </w:rPr>
        <w:t>an independent unit</w:t>
      </w:r>
      <w:r w:rsidRPr="002A3477">
        <w:rPr>
          <w:rFonts w:ascii="Calibri" w:hAnsi="Calibri" w:cs="Calibri"/>
        </w:rPr>
        <w:t xml:space="preserve"> within DALA.  </w:t>
      </w:r>
      <w:r w:rsidR="0065173E" w:rsidRPr="002A3477">
        <w:rPr>
          <w:rFonts w:ascii="Calibri" w:hAnsi="Calibri" w:cs="Calibri"/>
        </w:rPr>
        <w:t xml:space="preserve">It provides a broad range of services applicable to resolution of disputes with respect to eligibility, evaluation, placement, individualized education programs (IEPs), special education services, and procedural protections for students with disabilities.  The BSEA </w:t>
      </w:r>
      <w:r w:rsidR="00BE1B0C" w:rsidRPr="002A3477">
        <w:rPr>
          <w:rFonts w:ascii="Calibri" w:hAnsi="Calibri" w:cs="Calibri"/>
        </w:rPr>
        <w:t xml:space="preserve">is </w:t>
      </w:r>
      <w:r w:rsidR="00FF04D1" w:rsidRPr="002A3477">
        <w:rPr>
          <w:rFonts w:ascii="Calibri" w:hAnsi="Calibri" w:cs="Calibri"/>
        </w:rPr>
        <w:t>federally funded through a grant managed by the Department of Elementary and Secondary Education (</w:t>
      </w:r>
      <w:r w:rsidR="00372838" w:rsidRPr="002A3477">
        <w:rPr>
          <w:rFonts w:ascii="Calibri" w:hAnsi="Calibri" w:cs="Calibri"/>
        </w:rPr>
        <w:t>“</w:t>
      </w:r>
      <w:r w:rsidR="00FF04D1" w:rsidRPr="002A3477">
        <w:rPr>
          <w:rFonts w:ascii="Calibri" w:hAnsi="Calibri" w:cs="Calibri"/>
        </w:rPr>
        <w:t>DESE</w:t>
      </w:r>
      <w:r w:rsidR="00372838" w:rsidRPr="002A3477">
        <w:rPr>
          <w:rFonts w:ascii="Calibri" w:hAnsi="Calibri" w:cs="Calibri"/>
        </w:rPr>
        <w:t>”</w:t>
      </w:r>
      <w:r w:rsidR="00FF04D1" w:rsidRPr="002A3477">
        <w:rPr>
          <w:rFonts w:ascii="Calibri" w:hAnsi="Calibri" w:cs="Calibri"/>
        </w:rPr>
        <w:t xml:space="preserve">). The Bureau was transferred from the DESE to </w:t>
      </w:r>
      <w:r w:rsidR="00C46A92" w:rsidRPr="002A3477">
        <w:rPr>
          <w:rFonts w:ascii="Calibri" w:hAnsi="Calibri" w:cs="Calibri"/>
        </w:rPr>
        <w:t xml:space="preserve">DALA </w:t>
      </w:r>
      <w:r w:rsidR="00FF04D1" w:rsidRPr="002A3477">
        <w:rPr>
          <w:rFonts w:ascii="Calibri" w:hAnsi="Calibri" w:cs="Calibri"/>
        </w:rPr>
        <w:t>by Chapter 131 of the Acts of 2010 to ensure independence from any educational agency that could be a party to or interested in the proceedings before the Bureau.  Pursuant to the transfer legislation, the Bureau and its caseload are managed independently of DALA’s other operation</w:t>
      </w:r>
      <w:r w:rsidR="002A3477">
        <w:rPr>
          <w:rFonts w:ascii="Calibri" w:hAnsi="Calibri" w:cs="Calibri"/>
        </w:rPr>
        <w:t>s.</w:t>
      </w:r>
    </w:p>
    <w:p w14:paraId="4A99A2AA" w14:textId="77777777" w:rsidR="00FF04D1" w:rsidRPr="002A3477" w:rsidRDefault="00C46A92" w:rsidP="00E0033E">
      <w:pPr>
        <w:spacing w:line="480" w:lineRule="auto"/>
        <w:ind w:firstLine="360"/>
        <w:rPr>
          <w:rFonts w:ascii="Calibri" w:hAnsi="Calibri" w:cs="Calibri"/>
        </w:rPr>
      </w:pPr>
      <w:r w:rsidRPr="002A3477">
        <w:rPr>
          <w:rFonts w:ascii="Calibri" w:hAnsi="Calibri" w:cs="Calibri"/>
        </w:rPr>
        <w:t>In 201</w:t>
      </w:r>
      <w:r w:rsidR="00840972" w:rsidRPr="002A3477">
        <w:rPr>
          <w:rFonts w:ascii="Calibri" w:hAnsi="Calibri" w:cs="Calibri"/>
        </w:rPr>
        <w:t>9</w:t>
      </w:r>
      <w:r w:rsidRPr="002A3477">
        <w:rPr>
          <w:rFonts w:ascii="Calibri" w:hAnsi="Calibri" w:cs="Calibri"/>
        </w:rPr>
        <w:t>, t</w:t>
      </w:r>
      <w:r w:rsidR="00945B06" w:rsidRPr="002A3477">
        <w:rPr>
          <w:rFonts w:ascii="Calibri" w:hAnsi="Calibri" w:cs="Calibri"/>
        </w:rPr>
        <w:t xml:space="preserve">he BSEA, a nationally recognized leader in dispute resolution </w:t>
      </w:r>
      <w:proofErr w:type="gramStart"/>
      <w:r w:rsidR="00945B06" w:rsidRPr="002A3477">
        <w:rPr>
          <w:rFonts w:ascii="Calibri" w:hAnsi="Calibri" w:cs="Calibri"/>
        </w:rPr>
        <w:t>in the area of</w:t>
      </w:r>
      <w:proofErr w:type="gramEnd"/>
      <w:r w:rsidR="00945B06" w:rsidRPr="002A3477">
        <w:rPr>
          <w:rFonts w:ascii="Calibri" w:hAnsi="Calibri" w:cs="Calibri"/>
        </w:rPr>
        <w:t xml:space="preserve"> special education, provided a broad range of dispute resolution services applicable to disputes concerning eligibility, evaluation, placement, IEPs, special education services, and procedural protections for students with disabilities.  </w:t>
      </w:r>
      <w:r w:rsidR="00FF04D1" w:rsidRPr="002A3477">
        <w:rPr>
          <w:rFonts w:ascii="Calibri" w:hAnsi="Calibri" w:cs="Calibri"/>
        </w:rPr>
        <w:t>BSEA’s dispute resolution services include mediations, hearings,</w:t>
      </w:r>
      <w:r w:rsidR="00E56B83" w:rsidRPr="002A3477">
        <w:rPr>
          <w:rFonts w:ascii="Calibri" w:hAnsi="Calibri" w:cs="Calibri"/>
        </w:rPr>
        <w:t xml:space="preserve"> </w:t>
      </w:r>
      <w:r w:rsidR="00032E88" w:rsidRPr="002A3477">
        <w:rPr>
          <w:rFonts w:ascii="Calibri" w:hAnsi="Calibri" w:cs="Calibri"/>
        </w:rPr>
        <w:t xml:space="preserve">and </w:t>
      </w:r>
      <w:r w:rsidR="00FF04D1" w:rsidRPr="002A3477">
        <w:rPr>
          <w:rFonts w:ascii="Calibri" w:hAnsi="Calibri" w:cs="Calibri"/>
        </w:rPr>
        <w:t>settlement conferences</w:t>
      </w:r>
      <w:r w:rsidR="00032E88" w:rsidRPr="002A3477">
        <w:rPr>
          <w:rFonts w:ascii="Calibri" w:hAnsi="Calibri" w:cs="Calibri"/>
        </w:rPr>
        <w:t xml:space="preserve">.  The Bureau also provides facilitators for IEP </w:t>
      </w:r>
      <w:r w:rsidR="00E56B83" w:rsidRPr="002A3477">
        <w:rPr>
          <w:rFonts w:ascii="Calibri" w:hAnsi="Calibri" w:cs="Calibri"/>
        </w:rPr>
        <w:t xml:space="preserve">Team </w:t>
      </w:r>
      <w:r w:rsidR="00032E88" w:rsidRPr="002A3477">
        <w:rPr>
          <w:rFonts w:ascii="Calibri" w:hAnsi="Calibri" w:cs="Calibri"/>
        </w:rPr>
        <w:t xml:space="preserve">meetings.  </w:t>
      </w:r>
      <w:r w:rsidR="00FF04D1" w:rsidRPr="002A3477">
        <w:rPr>
          <w:rFonts w:ascii="Calibri" w:hAnsi="Calibri" w:cs="Calibri"/>
        </w:rPr>
        <w:t>P</w:t>
      </w:r>
      <w:r w:rsidR="00032E88" w:rsidRPr="002A3477">
        <w:rPr>
          <w:rFonts w:ascii="Calibri" w:hAnsi="Calibri" w:cs="Calibri"/>
        </w:rPr>
        <w:t xml:space="preserve">arties to these proceedings </w:t>
      </w:r>
      <w:r w:rsidR="00FF04D1" w:rsidRPr="002A3477">
        <w:rPr>
          <w:rFonts w:ascii="Calibri" w:hAnsi="Calibri" w:cs="Calibri"/>
        </w:rPr>
        <w:t xml:space="preserve">include </w:t>
      </w:r>
      <w:r w:rsidR="00FF04D1" w:rsidRPr="002A3477">
        <w:rPr>
          <w:rFonts w:ascii="Calibri" w:hAnsi="Calibri" w:cs="Calibri"/>
        </w:rPr>
        <w:lastRenderedPageBreak/>
        <w:t xml:space="preserve">parents, school </w:t>
      </w:r>
      <w:r w:rsidR="00431D61" w:rsidRPr="002A3477">
        <w:rPr>
          <w:rFonts w:ascii="Calibri" w:hAnsi="Calibri" w:cs="Calibri"/>
        </w:rPr>
        <w:t xml:space="preserve">districts, private schools, </w:t>
      </w:r>
      <w:r w:rsidR="00FF04D1" w:rsidRPr="002A3477">
        <w:rPr>
          <w:rFonts w:ascii="Calibri" w:hAnsi="Calibri" w:cs="Calibri"/>
        </w:rPr>
        <w:t>DESE, and other state agencies.</w:t>
      </w:r>
      <w:r w:rsidR="00E56B83" w:rsidRPr="002A3477">
        <w:rPr>
          <w:rFonts w:ascii="Calibri" w:hAnsi="Calibri" w:cs="Calibri"/>
        </w:rPr>
        <w:t xml:space="preserve">  The BSEA, through an IS</w:t>
      </w:r>
      <w:r w:rsidR="001314D6" w:rsidRPr="002A3477">
        <w:rPr>
          <w:rFonts w:ascii="Calibri" w:hAnsi="Calibri" w:cs="Calibri"/>
        </w:rPr>
        <w:t xml:space="preserve">A with the Department of Public </w:t>
      </w:r>
      <w:r w:rsidR="00E56B83" w:rsidRPr="002A3477">
        <w:rPr>
          <w:rFonts w:ascii="Calibri" w:hAnsi="Calibri" w:cs="Calibri"/>
        </w:rPr>
        <w:t xml:space="preserve">Health, </w:t>
      </w:r>
      <w:r w:rsidR="00F813F6" w:rsidRPr="002A3477">
        <w:rPr>
          <w:rFonts w:ascii="Calibri" w:hAnsi="Calibri" w:cs="Calibri"/>
        </w:rPr>
        <w:t xml:space="preserve">also </w:t>
      </w:r>
      <w:r w:rsidR="00E56B83" w:rsidRPr="002A3477">
        <w:rPr>
          <w:rFonts w:ascii="Calibri" w:hAnsi="Calibri" w:cs="Calibri"/>
        </w:rPr>
        <w:t>conducts mediations and due process hearings with respect to early intervention.</w:t>
      </w:r>
      <w:r w:rsidR="00FF04D1" w:rsidRPr="002A3477">
        <w:rPr>
          <w:rFonts w:ascii="Calibri" w:hAnsi="Calibri" w:cs="Calibri"/>
        </w:rPr>
        <w:t xml:space="preserve"> </w:t>
      </w:r>
    </w:p>
    <w:p w14:paraId="030227D5" w14:textId="77777777" w:rsidR="006457BF" w:rsidRPr="002A3477" w:rsidRDefault="00A578EB" w:rsidP="006457BF">
      <w:pPr>
        <w:spacing w:line="480" w:lineRule="auto"/>
        <w:ind w:firstLine="360"/>
        <w:rPr>
          <w:rFonts w:ascii="Calibri" w:hAnsi="Calibri" w:cs="Calibri"/>
        </w:rPr>
      </w:pPr>
      <w:r w:rsidRPr="002A3477">
        <w:rPr>
          <w:rFonts w:ascii="Calibri" w:hAnsi="Calibri" w:cs="Calibri"/>
        </w:rPr>
        <w:t xml:space="preserve">In </w:t>
      </w:r>
      <w:r w:rsidR="00EC340B" w:rsidRPr="002A3477">
        <w:rPr>
          <w:rFonts w:ascii="Calibri" w:hAnsi="Calibri" w:cs="Calibri"/>
        </w:rPr>
        <w:t>F</w:t>
      </w:r>
      <w:r w:rsidRPr="002A3477">
        <w:rPr>
          <w:rFonts w:ascii="Calibri" w:hAnsi="Calibri" w:cs="Calibri"/>
        </w:rPr>
        <w:t xml:space="preserve">iscal </w:t>
      </w:r>
      <w:r w:rsidR="00EC340B" w:rsidRPr="002A3477">
        <w:rPr>
          <w:rFonts w:ascii="Calibri" w:hAnsi="Calibri" w:cs="Calibri"/>
        </w:rPr>
        <w:t>Y</w:t>
      </w:r>
      <w:r w:rsidRPr="002A3477">
        <w:rPr>
          <w:rFonts w:ascii="Calibri" w:hAnsi="Calibri" w:cs="Calibri"/>
        </w:rPr>
        <w:t>ear 201</w:t>
      </w:r>
      <w:r w:rsidR="00840972" w:rsidRPr="002A3477">
        <w:rPr>
          <w:rFonts w:ascii="Calibri" w:hAnsi="Calibri" w:cs="Calibri"/>
        </w:rPr>
        <w:t>9</w:t>
      </w:r>
      <w:r w:rsidR="003B271B" w:rsidRPr="002A3477">
        <w:rPr>
          <w:rStyle w:val="FootnoteReference"/>
          <w:rFonts w:ascii="Calibri" w:hAnsi="Calibri" w:cs="Calibri"/>
        </w:rPr>
        <w:footnoteReference w:id="2"/>
      </w:r>
      <w:r w:rsidR="00355B2C" w:rsidRPr="002A3477">
        <w:rPr>
          <w:rFonts w:ascii="Calibri" w:hAnsi="Calibri" w:cs="Calibri"/>
        </w:rPr>
        <w:t xml:space="preserve">, </w:t>
      </w:r>
      <w:r w:rsidR="006457BF" w:rsidRPr="002A3477">
        <w:rPr>
          <w:rFonts w:ascii="Calibri" w:hAnsi="Calibri" w:cs="Calibri"/>
        </w:rPr>
        <w:t>there were</w:t>
      </w:r>
      <w:r w:rsidR="00993C1D" w:rsidRPr="002A3477">
        <w:rPr>
          <w:rFonts w:ascii="Calibri" w:hAnsi="Calibri" w:cs="Calibri"/>
        </w:rPr>
        <w:t xml:space="preserve"> </w:t>
      </w:r>
      <w:r w:rsidR="006457BF" w:rsidRPr="002A3477">
        <w:rPr>
          <w:rFonts w:ascii="Calibri" w:hAnsi="Calibri" w:cs="Calibri"/>
        </w:rPr>
        <w:t>11</w:t>
      </w:r>
      <w:r w:rsidR="00993C1D" w:rsidRPr="002A3477">
        <w:rPr>
          <w:rFonts w:ascii="Calibri" w:hAnsi="Calibri" w:cs="Calibri"/>
        </w:rPr>
        <w:t>,</w:t>
      </w:r>
      <w:r w:rsidR="002C756C" w:rsidRPr="002A3477">
        <w:rPr>
          <w:rFonts w:ascii="Calibri" w:hAnsi="Calibri" w:cs="Calibri"/>
        </w:rPr>
        <w:t>9</w:t>
      </w:r>
      <w:r w:rsidR="00840972" w:rsidRPr="002A3477">
        <w:rPr>
          <w:rFonts w:ascii="Calibri" w:hAnsi="Calibri" w:cs="Calibri"/>
        </w:rPr>
        <w:t>79</w:t>
      </w:r>
      <w:r w:rsidR="006457BF" w:rsidRPr="002A3477">
        <w:rPr>
          <w:rFonts w:ascii="Calibri" w:hAnsi="Calibri" w:cs="Calibri"/>
        </w:rPr>
        <w:t xml:space="preserve"> rejected IEPs received by the BSEA</w:t>
      </w:r>
      <w:r w:rsidR="002C756C" w:rsidRPr="002A3477">
        <w:rPr>
          <w:rFonts w:ascii="Calibri" w:hAnsi="Calibri" w:cs="Calibri"/>
        </w:rPr>
        <w:t xml:space="preserve">, </w:t>
      </w:r>
      <w:r w:rsidR="006457BF" w:rsidRPr="002A3477">
        <w:rPr>
          <w:rFonts w:ascii="Calibri" w:hAnsi="Calibri" w:cs="Calibri"/>
        </w:rPr>
        <w:t>an increase from the 1</w:t>
      </w:r>
      <w:r w:rsidR="002C756C" w:rsidRPr="002A3477">
        <w:rPr>
          <w:rFonts w:ascii="Calibri" w:hAnsi="Calibri" w:cs="Calibri"/>
        </w:rPr>
        <w:t>1</w:t>
      </w:r>
      <w:r w:rsidR="006457BF" w:rsidRPr="002A3477">
        <w:rPr>
          <w:rFonts w:ascii="Calibri" w:hAnsi="Calibri" w:cs="Calibri"/>
        </w:rPr>
        <w:t>,</w:t>
      </w:r>
      <w:r w:rsidR="00840972" w:rsidRPr="002A3477">
        <w:rPr>
          <w:rFonts w:ascii="Calibri" w:hAnsi="Calibri" w:cs="Calibri"/>
        </w:rPr>
        <w:t>9</w:t>
      </w:r>
      <w:r w:rsidR="006457BF" w:rsidRPr="002A3477">
        <w:rPr>
          <w:rFonts w:ascii="Calibri" w:hAnsi="Calibri" w:cs="Calibri"/>
        </w:rPr>
        <w:t>00 received in</w:t>
      </w:r>
      <w:r w:rsidR="00840972" w:rsidRPr="002A3477">
        <w:rPr>
          <w:rFonts w:ascii="Calibri" w:hAnsi="Calibri" w:cs="Calibri"/>
        </w:rPr>
        <w:t xml:space="preserve"> 2018</w:t>
      </w:r>
      <w:r w:rsidR="006457BF" w:rsidRPr="002A3477">
        <w:rPr>
          <w:rFonts w:ascii="Calibri" w:hAnsi="Calibri" w:cs="Calibri"/>
        </w:rPr>
        <w:t xml:space="preserve">.  </w:t>
      </w:r>
      <w:r w:rsidR="00840972" w:rsidRPr="002A3477">
        <w:rPr>
          <w:rFonts w:ascii="Calibri" w:hAnsi="Calibri" w:cs="Calibri"/>
        </w:rPr>
        <w:t>In FY 2019</w:t>
      </w:r>
      <w:r w:rsidR="009C13FD" w:rsidRPr="002A3477">
        <w:rPr>
          <w:rFonts w:ascii="Calibri" w:hAnsi="Calibri" w:cs="Calibri"/>
        </w:rPr>
        <w:t>, the BSEA facilitated 1</w:t>
      </w:r>
      <w:r w:rsidR="00840972" w:rsidRPr="002A3477">
        <w:rPr>
          <w:rFonts w:ascii="Calibri" w:hAnsi="Calibri" w:cs="Calibri"/>
        </w:rPr>
        <w:t>14</w:t>
      </w:r>
      <w:r w:rsidR="009C13FD" w:rsidRPr="002A3477">
        <w:rPr>
          <w:rFonts w:ascii="Calibri" w:hAnsi="Calibri" w:cs="Calibri"/>
        </w:rPr>
        <w:t xml:space="preserve"> IEP Team meetings, a</w:t>
      </w:r>
      <w:r w:rsidR="00840972" w:rsidRPr="002A3477">
        <w:rPr>
          <w:rFonts w:ascii="Calibri" w:hAnsi="Calibri" w:cs="Calibri"/>
        </w:rPr>
        <w:t xml:space="preserve"> de</w:t>
      </w:r>
      <w:r w:rsidR="009C13FD" w:rsidRPr="002A3477">
        <w:rPr>
          <w:rFonts w:ascii="Calibri" w:hAnsi="Calibri" w:cs="Calibri"/>
        </w:rPr>
        <w:t>crease from</w:t>
      </w:r>
      <w:r w:rsidR="009B0347" w:rsidRPr="002A3477">
        <w:rPr>
          <w:rFonts w:ascii="Calibri" w:hAnsi="Calibri" w:cs="Calibri"/>
        </w:rPr>
        <w:t xml:space="preserve"> </w:t>
      </w:r>
      <w:r w:rsidR="009C13FD" w:rsidRPr="002A3477">
        <w:rPr>
          <w:rFonts w:ascii="Calibri" w:hAnsi="Calibri" w:cs="Calibri"/>
        </w:rPr>
        <w:t>1</w:t>
      </w:r>
      <w:r w:rsidR="00840972" w:rsidRPr="002A3477">
        <w:rPr>
          <w:rFonts w:ascii="Calibri" w:hAnsi="Calibri" w:cs="Calibri"/>
        </w:rPr>
        <w:t>42</w:t>
      </w:r>
      <w:r w:rsidR="009C13FD" w:rsidRPr="002A3477">
        <w:rPr>
          <w:rFonts w:ascii="Calibri" w:hAnsi="Calibri" w:cs="Calibri"/>
        </w:rPr>
        <w:t xml:space="preserve"> the previous year.</w:t>
      </w:r>
      <w:r w:rsidR="00840972" w:rsidRPr="002A3477">
        <w:rPr>
          <w:rStyle w:val="FootnoteReference"/>
          <w:rFonts w:ascii="Calibri" w:hAnsi="Calibri" w:cs="Calibri"/>
        </w:rPr>
        <w:footnoteReference w:id="3"/>
      </w:r>
      <w:r w:rsidR="009C13FD" w:rsidRPr="002A3477">
        <w:rPr>
          <w:rFonts w:ascii="Calibri" w:hAnsi="Calibri" w:cs="Calibri"/>
        </w:rPr>
        <w:t xml:space="preserve"> </w:t>
      </w:r>
      <w:r w:rsidR="006457BF" w:rsidRPr="002A3477">
        <w:rPr>
          <w:rFonts w:ascii="Calibri" w:hAnsi="Calibri" w:cs="Calibri"/>
        </w:rPr>
        <w:t>T</w:t>
      </w:r>
      <w:r w:rsidR="006457BF" w:rsidRPr="002A3477">
        <w:rPr>
          <w:rFonts w:ascii="Calibri" w:hAnsi="Calibri" w:cs="Calibri"/>
          <w:color w:val="0D0D0D"/>
        </w:rPr>
        <w:t xml:space="preserve">here were </w:t>
      </w:r>
      <w:r w:rsidR="00CF4034" w:rsidRPr="002A3477">
        <w:rPr>
          <w:rFonts w:ascii="Calibri" w:hAnsi="Calibri" w:cs="Calibri"/>
          <w:color w:val="0D0D0D"/>
        </w:rPr>
        <w:t>714</w:t>
      </w:r>
      <w:r w:rsidR="002C756C" w:rsidRPr="002A3477">
        <w:rPr>
          <w:rFonts w:ascii="Calibri" w:hAnsi="Calibri" w:cs="Calibri"/>
          <w:color w:val="0D0D0D"/>
        </w:rPr>
        <w:t xml:space="preserve"> </w:t>
      </w:r>
      <w:r w:rsidR="006457BF" w:rsidRPr="002A3477">
        <w:rPr>
          <w:rFonts w:ascii="Calibri" w:hAnsi="Calibri" w:cs="Calibri"/>
          <w:color w:val="0D0D0D"/>
        </w:rPr>
        <w:t>mediations conducted in FY 20</w:t>
      </w:r>
      <w:r w:rsidR="00CF4034" w:rsidRPr="002A3477">
        <w:rPr>
          <w:rFonts w:ascii="Calibri" w:hAnsi="Calibri" w:cs="Calibri"/>
          <w:color w:val="0D0D0D"/>
        </w:rPr>
        <w:t>19</w:t>
      </w:r>
      <w:r w:rsidR="002C756C" w:rsidRPr="002A3477">
        <w:rPr>
          <w:rFonts w:ascii="Calibri" w:hAnsi="Calibri" w:cs="Calibri"/>
          <w:color w:val="0D0D0D"/>
        </w:rPr>
        <w:t xml:space="preserve">, </w:t>
      </w:r>
      <w:r w:rsidR="006457BF" w:rsidRPr="002A3477">
        <w:rPr>
          <w:rFonts w:ascii="Calibri" w:hAnsi="Calibri" w:cs="Calibri"/>
          <w:color w:val="0D0D0D"/>
        </w:rPr>
        <w:t>a</w:t>
      </w:r>
      <w:r w:rsidR="00CF4034" w:rsidRPr="002A3477">
        <w:rPr>
          <w:rFonts w:ascii="Calibri" w:hAnsi="Calibri" w:cs="Calibri"/>
          <w:color w:val="0D0D0D"/>
        </w:rPr>
        <w:t>n increase from the 699</w:t>
      </w:r>
      <w:r w:rsidR="006457BF" w:rsidRPr="002A3477">
        <w:rPr>
          <w:rFonts w:ascii="Calibri" w:hAnsi="Calibri" w:cs="Calibri"/>
          <w:color w:val="0D0D0D"/>
        </w:rPr>
        <w:t xml:space="preserve"> conducted during the prior year</w:t>
      </w:r>
      <w:r w:rsidR="002C756C" w:rsidRPr="002A3477">
        <w:rPr>
          <w:rFonts w:ascii="Calibri" w:hAnsi="Calibri" w:cs="Calibri"/>
          <w:color w:val="0D0D0D"/>
        </w:rPr>
        <w:t xml:space="preserve">. We note that the number of mediations requested </w:t>
      </w:r>
      <w:r w:rsidR="00CF4034" w:rsidRPr="002A3477">
        <w:rPr>
          <w:rFonts w:ascii="Calibri" w:hAnsi="Calibri" w:cs="Calibri"/>
          <w:color w:val="0D0D0D"/>
        </w:rPr>
        <w:t>increased from 1,059 in 2018 to 1,084 in 2019</w:t>
      </w:r>
      <w:r w:rsidR="002C756C" w:rsidRPr="002A3477">
        <w:rPr>
          <w:rFonts w:ascii="Calibri" w:hAnsi="Calibri" w:cs="Calibri"/>
          <w:color w:val="0D0D0D"/>
        </w:rPr>
        <w:t xml:space="preserve">. </w:t>
      </w:r>
      <w:r w:rsidR="002437F8" w:rsidRPr="002A3477">
        <w:rPr>
          <w:rFonts w:ascii="Calibri" w:hAnsi="Calibri" w:cs="Calibri"/>
          <w:color w:val="0D0D0D"/>
        </w:rPr>
        <w:t>In FY 2019</w:t>
      </w:r>
      <w:r w:rsidR="009C13FD" w:rsidRPr="002A3477">
        <w:rPr>
          <w:rFonts w:ascii="Calibri" w:hAnsi="Calibri" w:cs="Calibri"/>
          <w:color w:val="0D0D0D"/>
        </w:rPr>
        <w:t>, m</w:t>
      </w:r>
      <w:r w:rsidR="002C756C" w:rsidRPr="002A3477">
        <w:rPr>
          <w:rFonts w:ascii="Calibri" w:hAnsi="Calibri" w:cs="Calibri"/>
          <w:color w:val="0D0D0D"/>
        </w:rPr>
        <w:t xml:space="preserve">ediations resulted in the parties reaching </w:t>
      </w:r>
      <w:proofErr w:type="gramStart"/>
      <w:r w:rsidR="006457BF" w:rsidRPr="002A3477">
        <w:rPr>
          <w:rFonts w:ascii="Calibri" w:hAnsi="Calibri" w:cs="Calibri"/>
          <w:color w:val="0D0D0D"/>
        </w:rPr>
        <w:t>an agreement 8</w:t>
      </w:r>
      <w:r w:rsidR="00CF4034" w:rsidRPr="002A3477">
        <w:rPr>
          <w:rFonts w:ascii="Calibri" w:hAnsi="Calibri" w:cs="Calibri"/>
          <w:color w:val="0D0D0D"/>
        </w:rPr>
        <w:t>3</w:t>
      </w:r>
      <w:r w:rsidR="006457BF" w:rsidRPr="002A3477">
        <w:rPr>
          <w:rFonts w:ascii="Calibri" w:hAnsi="Calibri" w:cs="Calibri"/>
          <w:color w:val="0D0D0D"/>
        </w:rPr>
        <w:t>%</w:t>
      </w:r>
      <w:r w:rsidR="009C13FD" w:rsidRPr="002A3477">
        <w:rPr>
          <w:rFonts w:ascii="Calibri" w:hAnsi="Calibri" w:cs="Calibri"/>
          <w:color w:val="0D0D0D"/>
        </w:rPr>
        <w:t xml:space="preserve"> of the time</w:t>
      </w:r>
      <w:proofErr w:type="gramEnd"/>
      <w:r w:rsidR="006457BF" w:rsidRPr="002A3477">
        <w:rPr>
          <w:rFonts w:ascii="Calibri" w:hAnsi="Calibri" w:cs="Calibri"/>
          <w:color w:val="0D0D0D"/>
        </w:rPr>
        <w:t>.</w:t>
      </w:r>
      <w:r w:rsidR="00CB0052" w:rsidRPr="002A3477">
        <w:rPr>
          <w:rFonts w:ascii="Calibri" w:hAnsi="Calibri" w:cs="Calibri"/>
          <w:color w:val="0D0D0D"/>
        </w:rPr>
        <w:t xml:space="preserve"> The BSEA </w:t>
      </w:r>
      <w:r w:rsidR="00293A39" w:rsidRPr="002A3477">
        <w:rPr>
          <w:rFonts w:ascii="Calibri" w:hAnsi="Calibri" w:cs="Calibri"/>
          <w:color w:val="0D0D0D"/>
        </w:rPr>
        <w:t xml:space="preserve">also </w:t>
      </w:r>
      <w:r w:rsidR="00CF4034" w:rsidRPr="002A3477">
        <w:rPr>
          <w:rFonts w:ascii="Calibri" w:hAnsi="Calibri" w:cs="Calibri"/>
          <w:color w:val="0D0D0D"/>
        </w:rPr>
        <w:t>conducted 76</w:t>
      </w:r>
      <w:r w:rsidR="00CB0052" w:rsidRPr="002A3477">
        <w:rPr>
          <w:rFonts w:ascii="Calibri" w:hAnsi="Calibri" w:cs="Calibri"/>
          <w:color w:val="0D0D0D"/>
        </w:rPr>
        <w:t xml:space="preserve"> settlement conferences</w:t>
      </w:r>
      <w:r w:rsidR="00CF4034" w:rsidRPr="002A3477">
        <w:rPr>
          <w:rFonts w:ascii="Calibri" w:hAnsi="Calibri" w:cs="Calibri"/>
          <w:color w:val="0D0D0D"/>
        </w:rPr>
        <w:t xml:space="preserve"> and 67 of those cases settled, a success rate of 88%</w:t>
      </w:r>
      <w:r w:rsidR="001571CA" w:rsidRPr="002A3477">
        <w:rPr>
          <w:rFonts w:ascii="Calibri" w:hAnsi="Calibri" w:cs="Calibri"/>
          <w:color w:val="0D0D0D"/>
        </w:rPr>
        <w:t xml:space="preserve">. </w:t>
      </w:r>
      <w:r w:rsidR="00CB0052" w:rsidRPr="002A3477">
        <w:rPr>
          <w:rFonts w:ascii="Calibri" w:hAnsi="Calibri" w:cs="Calibri"/>
          <w:color w:val="0D0D0D"/>
        </w:rPr>
        <w:t xml:space="preserve"> </w:t>
      </w:r>
    </w:p>
    <w:p w14:paraId="04BEC237" w14:textId="77777777" w:rsidR="003602F8" w:rsidRPr="002A3477" w:rsidRDefault="006457BF" w:rsidP="00EC340B">
      <w:pPr>
        <w:spacing w:line="480" w:lineRule="auto"/>
        <w:ind w:firstLine="360"/>
        <w:rPr>
          <w:rFonts w:ascii="Calibri" w:hAnsi="Calibri" w:cs="Calibri"/>
        </w:rPr>
      </w:pPr>
      <w:r w:rsidRPr="002A3477">
        <w:rPr>
          <w:rFonts w:ascii="Calibri" w:eastAsia="Arial Unicode MS" w:hAnsi="Calibri" w:cs="Calibri"/>
          <w:color w:val="000000"/>
        </w:rPr>
        <w:t>The BSEA received</w:t>
      </w:r>
      <w:r w:rsidR="00CF4034" w:rsidRPr="002A3477">
        <w:rPr>
          <w:rFonts w:ascii="Calibri" w:eastAsia="Arial Unicode MS" w:hAnsi="Calibri" w:cs="Calibri"/>
          <w:color w:val="000000"/>
        </w:rPr>
        <w:t xml:space="preserve"> 483</w:t>
      </w:r>
      <w:r w:rsidRPr="002A3477">
        <w:rPr>
          <w:rFonts w:ascii="Calibri" w:eastAsia="Arial Unicode MS" w:hAnsi="Calibri" w:cs="Calibri"/>
          <w:color w:val="000000"/>
        </w:rPr>
        <w:t xml:space="preserve"> hearing requests during FY 201</w:t>
      </w:r>
      <w:r w:rsidR="00CF4034" w:rsidRPr="002A3477">
        <w:rPr>
          <w:rFonts w:ascii="Calibri" w:eastAsia="Arial Unicode MS" w:hAnsi="Calibri" w:cs="Calibri"/>
          <w:color w:val="000000"/>
        </w:rPr>
        <w:t>9</w:t>
      </w:r>
      <w:r w:rsidR="001571CA" w:rsidRPr="002A3477">
        <w:rPr>
          <w:rFonts w:ascii="Calibri" w:eastAsia="Arial Unicode MS" w:hAnsi="Calibri" w:cs="Calibri"/>
          <w:color w:val="000000"/>
        </w:rPr>
        <w:t>,</w:t>
      </w:r>
      <w:r w:rsidRPr="002A3477">
        <w:rPr>
          <w:rFonts w:ascii="Calibri" w:eastAsia="Arial Unicode MS" w:hAnsi="Calibri" w:cs="Calibri"/>
          <w:color w:val="000000"/>
        </w:rPr>
        <w:t xml:space="preserve"> a</w:t>
      </w:r>
      <w:r w:rsidR="00CF4034" w:rsidRPr="002A3477">
        <w:rPr>
          <w:rFonts w:ascii="Calibri" w:eastAsia="Arial Unicode MS" w:hAnsi="Calibri" w:cs="Calibri"/>
          <w:color w:val="000000"/>
        </w:rPr>
        <w:t xml:space="preserve">s </w:t>
      </w:r>
      <w:r w:rsidR="00AD2CC6" w:rsidRPr="002A3477">
        <w:rPr>
          <w:rFonts w:ascii="Calibri" w:eastAsia="Arial Unicode MS" w:hAnsi="Calibri" w:cs="Calibri"/>
          <w:color w:val="000000"/>
        </w:rPr>
        <w:t xml:space="preserve">compared to </w:t>
      </w:r>
      <w:r w:rsidR="00CF4034" w:rsidRPr="002A3477">
        <w:rPr>
          <w:rFonts w:ascii="Calibri" w:eastAsia="Arial Unicode MS" w:hAnsi="Calibri" w:cs="Calibri"/>
          <w:color w:val="000000"/>
        </w:rPr>
        <w:t>481</w:t>
      </w:r>
      <w:r w:rsidR="009C13FD" w:rsidRPr="002A3477">
        <w:rPr>
          <w:rFonts w:ascii="Calibri" w:eastAsia="Arial Unicode MS" w:hAnsi="Calibri" w:cs="Calibri"/>
          <w:color w:val="000000"/>
        </w:rPr>
        <w:t xml:space="preserve"> hearing</w:t>
      </w:r>
      <w:r w:rsidRPr="002A3477">
        <w:rPr>
          <w:rFonts w:ascii="Calibri" w:eastAsia="Arial Unicode MS" w:hAnsi="Calibri" w:cs="Calibri"/>
          <w:color w:val="000000"/>
        </w:rPr>
        <w:t xml:space="preserve"> requests </w:t>
      </w:r>
      <w:r w:rsidR="009C13FD" w:rsidRPr="002A3477">
        <w:rPr>
          <w:rFonts w:ascii="Calibri" w:eastAsia="Arial Unicode MS" w:hAnsi="Calibri" w:cs="Calibri"/>
          <w:color w:val="000000"/>
        </w:rPr>
        <w:t xml:space="preserve">received </w:t>
      </w:r>
      <w:r w:rsidRPr="002A3477">
        <w:rPr>
          <w:rFonts w:ascii="Calibri" w:eastAsia="Arial Unicode MS" w:hAnsi="Calibri" w:cs="Calibri"/>
          <w:color w:val="000000"/>
        </w:rPr>
        <w:t xml:space="preserve">in the prior year.  BSEA hearing officers conducted full </w:t>
      </w:r>
      <w:r w:rsidR="00911052" w:rsidRPr="002A3477">
        <w:rPr>
          <w:rFonts w:ascii="Calibri" w:eastAsia="Arial Unicode MS" w:hAnsi="Calibri" w:cs="Calibri"/>
          <w:color w:val="000000"/>
        </w:rPr>
        <w:t xml:space="preserve">evidentiary </w:t>
      </w:r>
      <w:r w:rsidRPr="002A3477">
        <w:rPr>
          <w:rFonts w:ascii="Calibri" w:eastAsia="Arial Unicode MS" w:hAnsi="Calibri" w:cs="Calibri"/>
          <w:color w:val="000000"/>
        </w:rPr>
        <w:t xml:space="preserve">hearings resulting in the issuance of </w:t>
      </w:r>
      <w:r w:rsidR="00AD2CC6" w:rsidRPr="002A3477">
        <w:rPr>
          <w:rFonts w:ascii="Calibri" w:eastAsia="Arial Unicode MS" w:hAnsi="Calibri" w:cs="Calibri"/>
          <w:color w:val="000000"/>
        </w:rPr>
        <w:t>19</w:t>
      </w:r>
      <w:r w:rsidRPr="002A3477">
        <w:rPr>
          <w:rFonts w:ascii="Calibri" w:eastAsia="Arial Unicode MS" w:hAnsi="Calibri" w:cs="Calibri"/>
          <w:color w:val="000000"/>
        </w:rPr>
        <w:t xml:space="preserve"> decisions</w:t>
      </w:r>
      <w:r w:rsidR="00911052" w:rsidRPr="002A3477">
        <w:rPr>
          <w:rFonts w:ascii="Calibri" w:eastAsia="Arial Unicode MS" w:hAnsi="Calibri" w:cs="Calibri"/>
          <w:color w:val="000000"/>
        </w:rPr>
        <w:t xml:space="preserve">, </w:t>
      </w:r>
      <w:r w:rsidRPr="002A3477">
        <w:rPr>
          <w:rFonts w:ascii="Calibri" w:eastAsia="Arial Unicode MS" w:hAnsi="Calibri" w:cs="Calibri"/>
          <w:color w:val="000000"/>
        </w:rPr>
        <w:t>a</w:t>
      </w:r>
      <w:r w:rsidR="00911052" w:rsidRPr="002A3477">
        <w:rPr>
          <w:rFonts w:ascii="Calibri" w:eastAsia="Arial Unicode MS" w:hAnsi="Calibri" w:cs="Calibri"/>
          <w:color w:val="000000"/>
        </w:rPr>
        <w:t>n increase from</w:t>
      </w:r>
      <w:r w:rsidR="001314D6" w:rsidRPr="002A3477">
        <w:rPr>
          <w:rFonts w:ascii="Calibri" w:eastAsia="Arial Unicode MS" w:hAnsi="Calibri" w:cs="Calibri"/>
          <w:color w:val="000000"/>
        </w:rPr>
        <w:t xml:space="preserve"> the 13 decisions issued in the previous ye</w:t>
      </w:r>
      <w:r w:rsidR="00911052" w:rsidRPr="002A3477">
        <w:rPr>
          <w:rFonts w:ascii="Calibri" w:eastAsia="Arial Unicode MS" w:hAnsi="Calibri" w:cs="Calibri"/>
          <w:color w:val="000000"/>
        </w:rPr>
        <w:t>ar</w:t>
      </w:r>
      <w:r w:rsidR="001314D6" w:rsidRPr="002A3477">
        <w:rPr>
          <w:rFonts w:ascii="Calibri" w:eastAsia="Arial Unicode MS" w:hAnsi="Calibri" w:cs="Calibri"/>
          <w:color w:val="000000"/>
        </w:rPr>
        <w:t>.</w:t>
      </w:r>
      <w:r w:rsidRPr="002A3477">
        <w:rPr>
          <w:rFonts w:ascii="Calibri" w:eastAsia="Arial Unicode MS" w:hAnsi="Calibri" w:cs="Calibri"/>
          <w:color w:val="000000"/>
        </w:rPr>
        <w:t xml:space="preserve"> </w:t>
      </w:r>
      <w:r w:rsidR="001314D6" w:rsidRPr="002A3477">
        <w:rPr>
          <w:rFonts w:ascii="Calibri" w:eastAsia="Arial Unicode MS" w:hAnsi="Calibri" w:cs="Calibri"/>
          <w:color w:val="000000"/>
        </w:rPr>
        <w:t xml:space="preserve">In addition, </w:t>
      </w:r>
      <w:r w:rsidR="00AD2CC6" w:rsidRPr="002A3477">
        <w:rPr>
          <w:rFonts w:ascii="Calibri" w:eastAsia="Arial Unicode MS" w:hAnsi="Calibri" w:cs="Calibri"/>
          <w:bCs/>
          <w:color w:val="000000"/>
        </w:rPr>
        <w:t>48</w:t>
      </w:r>
      <w:r w:rsidRPr="002A3477">
        <w:rPr>
          <w:rFonts w:ascii="Calibri" w:eastAsia="Arial Unicode MS" w:hAnsi="Calibri" w:cs="Calibri"/>
          <w:bCs/>
          <w:color w:val="000000"/>
        </w:rPr>
        <w:t xml:space="preserve"> substantive written rulings were issued </w:t>
      </w:r>
      <w:r w:rsidR="00AD2CC6" w:rsidRPr="002A3477">
        <w:rPr>
          <w:rFonts w:ascii="Calibri" w:eastAsia="Arial Unicode MS" w:hAnsi="Calibri" w:cs="Calibri"/>
          <w:bCs/>
          <w:color w:val="000000"/>
        </w:rPr>
        <w:t>in FY 2019</w:t>
      </w:r>
      <w:r w:rsidR="00293A39" w:rsidRPr="002A3477">
        <w:rPr>
          <w:rFonts w:ascii="Calibri" w:eastAsia="Arial Unicode MS" w:hAnsi="Calibri" w:cs="Calibri"/>
          <w:bCs/>
          <w:color w:val="000000"/>
        </w:rPr>
        <w:t xml:space="preserve"> </w:t>
      </w:r>
      <w:r w:rsidRPr="002A3477">
        <w:rPr>
          <w:rFonts w:ascii="Calibri" w:eastAsia="Arial Unicode MS" w:hAnsi="Calibri" w:cs="Calibri"/>
          <w:bCs/>
          <w:color w:val="000000"/>
        </w:rPr>
        <w:t xml:space="preserve">as compared to </w:t>
      </w:r>
      <w:r w:rsidR="00AD2CC6" w:rsidRPr="002A3477">
        <w:rPr>
          <w:rFonts w:ascii="Calibri" w:eastAsia="Arial Unicode MS" w:hAnsi="Calibri" w:cs="Calibri"/>
          <w:bCs/>
          <w:color w:val="000000"/>
        </w:rPr>
        <w:t>35</w:t>
      </w:r>
      <w:r w:rsidRPr="002A3477">
        <w:rPr>
          <w:rFonts w:ascii="Calibri" w:eastAsia="Arial Unicode MS" w:hAnsi="Calibri" w:cs="Calibri"/>
          <w:bCs/>
          <w:color w:val="000000"/>
        </w:rPr>
        <w:t xml:space="preserve"> </w:t>
      </w:r>
      <w:r w:rsidR="00293A39" w:rsidRPr="002A3477">
        <w:rPr>
          <w:rFonts w:ascii="Calibri" w:eastAsia="Arial Unicode MS" w:hAnsi="Calibri" w:cs="Calibri"/>
          <w:bCs/>
          <w:color w:val="000000"/>
        </w:rPr>
        <w:t xml:space="preserve">during </w:t>
      </w:r>
      <w:r w:rsidRPr="002A3477">
        <w:rPr>
          <w:rFonts w:ascii="Calibri" w:eastAsia="Arial Unicode MS" w:hAnsi="Calibri" w:cs="Calibri"/>
          <w:bCs/>
          <w:color w:val="000000"/>
        </w:rPr>
        <w:t>the previous year</w:t>
      </w:r>
      <w:r w:rsidR="00293A39" w:rsidRPr="002A3477">
        <w:rPr>
          <w:rFonts w:ascii="Calibri" w:eastAsia="Arial Unicode MS" w:hAnsi="Calibri" w:cs="Calibri"/>
          <w:bCs/>
          <w:color w:val="000000"/>
        </w:rPr>
        <w:t xml:space="preserve">. </w:t>
      </w:r>
      <w:r w:rsidR="008D2B6C" w:rsidRPr="002A3477">
        <w:rPr>
          <w:rFonts w:ascii="Calibri" w:hAnsi="Calibri" w:cs="Calibri"/>
        </w:rPr>
        <w:t>Tab 2</w:t>
      </w:r>
      <w:r w:rsidR="00FF04D1" w:rsidRPr="002A3477">
        <w:rPr>
          <w:rFonts w:ascii="Calibri" w:hAnsi="Calibri" w:cs="Calibri"/>
        </w:rPr>
        <w:t xml:space="preserve"> contains a multi-year summary of the BSEA’s annual statistics</w:t>
      </w:r>
      <w:r w:rsidR="00BE1B0C" w:rsidRPr="002A3477">
        <w:rPr>
          <w:rFonts w:ascii="Calibri" w:hAnsi="Calibri" w:cs="Calibri"/>
        </w:rPr>
        <w:t>.</w:t>
      </w:r>
      <w:r w:rsidR="00FF04D1" w:rsidRPr="002A3477">
        <w:rPr>
          <w:rFonts w:ascii="Calibri" w:hAnsi="Calibri" w:cs="Calibri"/>
        </w:rPr>
        <w:t xml:space="preserve"> </w:t>
      </w:r>
    </w:p>
    <w:p w14:paraId="252D756D" w14:textId="77777777" w:rsidR="007409BC" w:rsidRPr="002A3477" w:rsidRDefault="00CB0052" w:rsidP="00810E57">
      <w:pPr>
        <w:spacing w:line="480" w:lineRule="auto"/>
        <w:ind w:firstLine="360"/>
        <w:rPr>
          <w:rFonts w:ascii="Calibri" w:hAnsi="Calibri" w:cs="Calibri"/>
        </w:rPr>
      </w:pPr>
      <w:r w:rsidRPr="002A3477">
        <w:rPr>
          <w:rFonts w:ascii="Calibri" w:hAnsi="Calibri" w:cs="Calibri"/>
        </w:rPr>
        <w:t xml:space="preserve">In </w:t>
      </w:r>
      <w:r w:rsidR="001A0F4F" w:rsidRPr="002A3477">
        <w:rPr>
          <w:rFonts w:ascii="Calibri" w:hAnsi="Calibri" w:cs="Calibri"/>
        </w:rPr>
        <w:t xml:space="preserve">FY </w:t>
      </w:r>
      <w:r w:rsidR="00CF7CB5" w:rsidRPr="002A3477">
        <w:rPr>
          <w:rFonts w:ascii="Calibri" w:hAnsi="Calibri" w:cs="Calibri"/>
        </w:rPr>
        <w:t>201</w:t>
      </w:r>
      <w:r w:rsidR="00AD2CC6" w:rsidRPr="002A3477">
        <w:rPr>
          <w:rFonts w:ascii="Calibri" w:hAnsi="Calibri" w:cs="Calibri"/>
        </w:rPr>
        <w:t>9</w:t>
      </w:r>
      <w:r w:rsidR="00CF7CB5" w:rsidRPr="002A3477">
        <w:rPr>
          <w:rFonts w:ascii="Calibri" w:hAnsi="Calibri" w:cs="Calibri"/>
        </w:rPr>
        <w:t xml:space="preserve">, BSEA staff </w:t>
      </w:r>
      <w:r w:rsidR="00AD2CC6" w:rsidRPr="002A3477">
        <w:rPr>
          <w:rFonts w:ascii="Calibri" w:hAnsi="Calibri" w:cs="Calibri"/>
        </w:rPr>
        <w:t xml:space="preserve">continued to provide </w:t>
      </w:r>
      <w:proofErr w:type="gramStart"/>
      <w:r w:rsidR="006D381C" w:rsidRPr="002A3477">
        <w:rPr>
          <w:rFonts w:ascii="Calibri" w:hAnsi="Calibri" w:cs="Calibri"/>
        </w:rPr>
        <w:t>trainings</w:t>
      </w:r>
      <w:proofErr w:type="gramEnd"/>
      <w:r w:rsidR="006D381C" w:rsidRPr="002A3477">
        <w:rPr>
          <w:rFonts w:ascii="Calibri" w:hAnsi="Calibri" w:cs="Calibri"/>
        </w:rPr>
        <w:t xml:space="preserve"> and presentations for constituent groups, including </w:t>
      </w:r>
      <w:r w:rsidR="00E56B83" w:rsidRPr="002A3477">
        <w:rPr>
          <w:rFonts w:ascii="Calibri" w:hAnsi="Calibri" w:cs="Calibri"/>
        </w:rPr>
        <w:t xml:space="preserve">Special Education Parent Advisory Councils, parent </w:t>
      </w:r>
      <w:r w:rsidR="00E56B83" w:rsidRPr="002A3477">
        <w:rPr>
          <w:rFonts w:ascii="Calibri" w:hAnsi="Calibri" w:cs="Calibri"/>
        </w:rPr>
        <w:lastRenderedPageBreak/>
        <w:t>advocacy groups, school district personnel, non-profit groups, Massachusetts Continuing Legal Education presentations and other interested groups around the Commonwealth. This commitment to increasing the visibility of BSEA’s service</w:t>
      </w:r>
      <w:r w:rsidR="007F7B7A" w:rsidRPr="002A3477">
        <w:rPr>
          <w:rFonts w:ascii="Calibri" w:hAnsi="Calibri" w:cs="Calibri"/>
        </w:rPr>
        <w:t>s</w:t>
      </w:r>
      <w:r w:rsidR="00E56B83" w:rsidRPr="002A3477">
        <w:rPr>
          <w:rFonts w:ascii="Calibri" w:hAnsi="Calibri" w:cs="Calibri"/>
        </w:rPr>
        <w:t xml:space="preserve"> will continue.    </w:t>
      </w:r>
    </w:p>
    <w:p w14:paraId="5BFE9EF8" w14:textId="77777777" w:rsidR="00675F66" w:rsidRPr="002A3477" w:rsidRDefault="00024666" w:rsidP="00E0033E">
      <w:pPr>
        <w:spacing w:line="480" w:lineRule="auto"/>
        <w:ind w:firstLine="720"/>
        <w:rPr>
          <w:rFonts w:ascii="Calibri" w:eastAsia="Calibri" w:hAnsi="Calibri" w:cs="Calibri"/>
        </w:rPr>
      </w:pPr>
      <w:r w:rsidRPr="002A3477">
        <w:rPr>
          <w:rFonts w:ascii="Calibri" w:eastAsia="Calibri" w:hAnsi="Calibri" w:cs="Calibri"/>
          <w:b/>
        </w:rPr>
        <w:t>III</w:t>
      </w:r>
      <w:r w:rsidR="0021022C" w:rsidRPr="002A3477">
        <w:rPr>
          <w:rFonts w:ascii="Calibri" w:eastAsia="Calibri" w:hAnsi="Calibri" w:cs="Calibri"/>
          <w:b/>
        </w:rPr>
        <w:t>.</w:t>
      </w:r>
      <w:r w:rsidR="0021022C" w:rsidRPr="002A3477">
        <w:rPr>
          <w:rFonts w:ascii="Calibri" w:eastAsia="Calibri" w:hAnsi="Calibri" w:cs="Calibri"/>
        </w:rPr>
        <w:t xml:space="preserve"> </w:t>
      </w:r>
      <w:r w:rsidR="0087106C" w:rsidRPr="002A3477">
        <w:rPr>
          <w:rFonts w:ascii="Calibri" w:hAnsi="Calibri" w:cs="Calibri"/>
          <w:b/>
        </w:rPr>
        <w:t>AN</w:t>
      </w:r>
      <w:r w:rsidR="00EB369D" w:rsidRPr="002A3477">
        <w:rPr>
          <w:rFonts w:ascii="Calibri" w:hAnsi="Calibri" w:cs="Calibri"/>
          <w:b/>
        </w:rPr>
        <w:t xml:space="preserve">ALYSIS OF </w:t>
      </w:r>
      <w:r w:rsidR="00D43721" w:rsidRPr="002A3477">
        <w:rPr>
          <w:rFonts w:ascii="Calibri" w:hAnsi="Calibri" w:cs="Calibri"/>
          <w:b/>
        </w:rPr>
        <w:t xml:space="preserve">GJU </w:t>
      </w:r>
      <w:r w:rsidR="00EB369D" w:rsidRPr="002A3477">
        <w:rPr>
          <w:rFonts w:ascii="Calibri" w:hAnsi="Calibri" w:cs="Calibri"/>
          <w:b/>
        </w:rPr>
        <w:t xml:space="preserve">CASES </w:t>
      </w:r>
      <w:r w:rsidR="00552FAC" w:rsidRPr="002A3477">
        <w:rPr>
          <w:rFonts w:ascii="Calibri" w:hAnsi="Calibri" w:cs="Calibri"/>
          <w:b/>
        </w:rPr>
        <w:t>OPENED AND CLOSED</w:t>
      </w:r>
      <w:r w:rsidR="00EB369D" w:rsidRPr="002A3477">
        <w:rPr>
          <w:rFonts w:ascii="Calibri" w:hAnsi="Calibri" w:cs="Calibri"/>
          <w:b/>
        </w:rPr>
        <w:t xml:space="preserve"> IN 20</w:t>
      </w:r>
      <w:r w:rsidR="00323F11" w:rsidRPr="002A3477">
        <w:rPr>
          <w:rFonts w:ascii="Calibri" w:hAnsi="Calibri" w:cs="Calibri"/>
          <w:b/>
        </w:rPr>
        <w:t>1</w:t>
      </w:r>
      <w:r w:rsidR="009116B5" w:rsidRPr="002A3477">
        <w:rPr>
          <w:rFonts w:ascii="Calibri" w:hAnsi="Calibri" w:cs="Calibri"/>
          <w:b/>
        </w:rPr>
        <w:t>9</w:t>
      </w:r>
    </w:p>
    <w:p w14:paraId="52256C84" w14:textId="77777777" w:rsidR="00F813F6" w:rsidRPr="002A3477" w:rsidRDefault="00024666" w:rsidP="00CC077B">
      <w:pPr>
        <w:spacing w:line="480" w:lineRule="auto"/>
        <w:ind w:firstLine="720"/>
        <w:rPr>
          <w:rFonts w:ascii="Calibri" w:hAnsi="Calibri" w:cs="Calibri"/>
        </w:rPr>
      </w:pPr>
      <w:r w:rsidRPr="002A3477">
        <w:rPr>
          <w:rFonts w:ascii="Calibri" w:hAnsi="Calibri" w:cs="Calibri"/>
        </w:rPr>
        <w:t>As required by § 4H of Chapter 7 of the General Laws</w:t>
      </w:r>
      <w:r w:rsidR="00E40D4C" w:rsidRPr="002A3477">
        <w:rPr>
          <w:rFonts w:ascii="Calibri" w:hAnsi="Calibri" w:cs="Calibri"/>
        </w:rPr>
        <w:t xml:space="preserve">, we </w:t>
      </w:r>
      <w:r w:rsidR="00D72BD9" w:rsidRPr="002A3477">
        <w:rPr>
          <w:rFonts w:ascii="Calibri" w:hAnsi="Calibri" w:cs="Calibri"/>
        </w:rPr>
        <w:t xml:space="preserve">now </w:t>
      </w:r>
      <w:r w:rsidR="00E40D4C" w:rsidRPr="002A3477">
        <w:rPr>
          <w:rFonts w:ascii="Calibri" w:hAnsi="Calibri" w:cs="Calibri"/>
        </w:rPr>
        <w:t>foc</w:t>
      </w:r>
      <w:r w:rsidR="007033F5" w:rsidRPr="002A3477">
        <w:rPr>
          <w:rFonts w:ascii="Calibri" w:hAnsi="Calibri" w:cs="Calibri"/>
        </w:rPr>
        <w:t xml:space="preserve">us on the </w:t>
      </w:r>
      <w:r w:rsidR="00E0139F" w:rsidRPr="002A3477">
        <w:rPr>
          <w:rFonts w:ascii="Calibri" w:hAnsi="Calibri" w:cs="Calibri"/>
        </w:rPr>
        <w:t xml:space="preserve">GJU </w:t>
      </w:r>
      <w:r w:rsidR="007033F5" w:rsidRPr="002A3477">
        <w:rPr>
          <w:rFonts w:ascii="Calibri" w:hAnsi="Calibri" w:cs="Calibri"/>
        </w:rPr>
        <w:t>cases received in 20</w:t>
      </w:r>
      <w:r w:rsidR="00323F11" w:rsidRPr="002A3477">
        <w:rPr>
          <w:rFonts w:ascii="Calibri" w:hAnsi="Calibri" w:cs="Calibri"/>
        </w:rPr>
        <w:t>1</w:t>
      </w:r>
      <w:r w:rsidR="009116B5" w:rsidRPr="002A3477">
        <w:rPr>
          <w:rFonts w:ascii="Calibri" w:hAnsi="Calibri" w:cs="Calibri"/>
        </w:rPr>
        <w:t>9</w:t>
      </w:r>
      <w:r w:rsidRPr="002A3477">
        <w:rPr>
          <w:rFonts w:ascii="Calibri" w:hAnsi="Calibri" w:cs="Calibri"/>
        </w:rPr>
        <w:t xml:space="preserve"> and their disposition</w:t>
      </w:r>
      <w:r w:rsidR="00E40D4C" w:rsidRPr="002A3477">
        <w:rPr>
          <w:rFonts w:ascii="Calibri" w:hAnsi="Calibri" w:cs="Calibri"/>
        </w:rPr>
        <w:t xml:space="preserve">. </w:t>
      </w:r>
      <w:r w:rsidR="007033F5" w:rsidRPr="002A3477">
        <w:rPr>
          <w:rFonts w:ascii="Calibri" w:hAnsi="Calibri" w:cs="Calibri"/>
        </w:rPr>
        <w:t xml:space="preserve">Tab </w:t>
      </w:r>
      <w:r w:rsidR="008D2B6C" w:rsidRPr="002A3477">
        <w:rPr>
          <w:rFonts w:ascii="Calibri" w:hAnsi="Calibri" w:cs="Calibri"/>
        </w:rPr>
        <w:t>3</w:t>
      </w:r>
      <w:r w:rsidR="00517B66" w:rsidRPr="002A3477">
        <w:rPr>
          <w:rFonts w:ascii="Calibri" w:hAnsi="Calibri" w:cs="Calibri"/>
        </w:rPr>
        <w:t xml:space="preserve"> contains a </w:t>
      </w:r>
      <w:r w:rsidR="0087106C" w:rsidRPr="002A3477">
        <w:rPr>
          <w:rFonts w:ascii="Calibri" w:hAnsi="Calibri" w:cs="Calibri"/>
        </w:rPr>
        <w:t>re</w:t>
      </w:r>
      <w:r w:rsidR="004C4C70" w:rsidRPr="002A3477">
        <w:rPr>
          <w:rFonts w:ascii="Calibri" w:hAnsi="Calibri" w:cs="Calibri"/>
        </w:rPr>
        <w:t>port of the cases opened in 20</w:t>
      </w:r>
      <w:r w:rsidR="00D5404D" w:rsidRPr="002A3477">
        <w:rPr>
          <w:rFonts w:ascii="Calibri" w:hAnsi="Calibri" w:cs="Calibri"/>
        </w:rPr>
        <w:t>1</w:t>
      </w:r>
      <w:r w:rsidR="009116B5" w:rsidRPr="002A3477">
        <w:rPr>
          <w:rFonts w:ascii="Calibri" w:hAnsi="Calibri" w:cs="Calibri"/>
        </w:rPr>
        <w:t>9</w:t>
      </w:r>
      <w:r w:rsidR="00517B66" w:rsidRPr="002A3477">
        <w:rPr>
          <w:rFonts w:ascii="Calibri" w:hAnsi="Calibri" w:cs="Calibri"/>
        </w:rPr>
        <w:t xml:space="preserve">.  The </w:t>
      </w:r>
      <w:r w:rsidR="0087106C" w:rsidRPr="002A3477">
        <w:rPr>
          <w:rFonts w:ascii="Calibri" w:hAnsi="Calibri" w:cs="Calibri"/>
        </w:rPr>
        <w:t>repor</w:t>
      </w:r>
      <w:r w:rsidR="00937D2F" w:rsidRPr="002A3477">
        <w:rPr>
          <w:rFonts w:ascii="Calibri" w:hAnsi="Calibri" w:cs="Calibri"/>
        </w:rPr>
        <w:t xml:space="preserve">t </w:t>
      </w:r>
      <w:r w:rsidR="009116B5" w:rsidRPr="002A3477">
        <w:rPr>
          <w:rFonts w:ascii="Calibri" w:hAnsi="Calibri" w:cs="Calibri"/>
        </w:rPr>
        <w:t xml:space="preserve">shows </w:t>
      </w:r>
      <w:r w:rsidR="00A7028B" w:rsidRPr="002A3477">
        <w:rPr>
          <w:rFonts w:ascii="Calibri" w:hAnsi="Calibri" w:cs="Calibri"/>
        </w:rPr>
        <w:t xml:space="preserve">that </w:t>
      </w:r>
      <w:r w:rsidR="009116B5" w:rsidRPr="002A3477">
        <w:rPr>
          <w:rFonts w:ascii="Calibri" w:hAnsi="Calibri" w:cs="Calibri"/>
        </w:rPr>
        <w:t>DALA</w:t>
      </w:r>
      <w:r w:rsidR="00A7028B" w:rsidRPr="002A3477">
        <w:rPr>
          <w:rFonts w:ascii="Calibri" w:hAnsi="Calibri" w:cs="Calibri"/>
        </w:rPr>
        <w:t>’s GJU</w:t>
      </w:r>
      <w:r w:rsidR="009116B5" w:rsidRPr="002A3477">
        <w:rPr>
          <w:rFonts w:ascii="Calibri" w:hAnsi="Calibri" w:cs="Calibri"/>
        </w:rPr>
        <w:t xml:space="preserve"> opened 663 cases in 2019</w:t>
      </w:r>
      <w:r w:rsidR="00CC077B" w:rsidRPr="002A3477">
        <w:rPr>
          <w:rFonts w:ascii="Calibri" w:hAnsi="Calibri" w:cs="Calibri"/>
        </w:rPr>
        <w:t xml:space="preserve">. The GJU opened 401 Retirement Cases and 55 Rate Setting Cases in 2019.  Tab 3 </w:t>
      </w:r>
      <w:r w:rsidR="00A7028B" w:rsidRPr="002A3477">
        <w:rPr>
          <w:rFonts w:ascii="Calibri" w:hAnsi="Calibri" w:cs="Calibri"/>
        </w:rPr>
        <w:t xml:space="preserve">identifies each case by name </w:t>
      </w:r>
      <w:r w:rsidR="00937D2F" w:rsidRPr="002A3477">
        <w:rPr>
          <w:rFonts w:ascii="Calibri" w:hAnsi="Calibri" w:cs="Calibri"/>
        </w:rPr>
        <w:t xml:space="preserve">and docket number. The type of case is described in the </w:t>
      </w:r>
      <w:r w:rsidR="00A7028B" w:rsidRPr="002A3477">
        <w:rPr>
          <w:rFonts w:ascii="Calibri" w:hAnsi="Calibri" w:cs="Calibri"/>
        </w:rPr>
        <w:t>prefix of the file number</w:t>
      </w:r>
      <w:r w:rsidR="00937D2F" w:rsidRPr="002A3477">
        <w:rPr>
          <w:rFonts w:ascii="Calibri" w:hAnsi="Calibri" w:cs="Calibri"/>
        </w:rPr>
        <w:t>.  For example, “C</w:t>
      </w:r>
      <w:r w:rsidR="0046230B" w:rsidRPr="002A3477">
        <w:rPr>
          <w:rFonts w:ascii="Calibri" w:hAnsi="Calibri" w:cs="Calibri"/>
        </w:rPr>
        <w:t>R</w:t>
      </w:r>
      <w:r w:rsidR="00937D2F" w:rsidRPr="002A3477">
        <w:rPr>
          <w:rFonts w:ascii="Calibri" w:hAnsi="Calibri" w:cs="Calibri"/>
        </w:rPr>
        <w:t>” is Contributory Retirement,</w:t>
      </w:r>
      <w:r w:rsidR="00D43721" w:rsidRPr="002A3477">
        <w:rPr>
          <w:rFonts w:ascii="Calibri" w:hAnsi="Calibri" w:cs="Calibri"/>
        </w:rPr>
        <w:t xml:space="preserve"> </w:t>
      </w:r>
      <w:r w:rsidR="00937D2F" w:rsidRPr="002A3477">
        <w:rPr>
          <w:rFonts w:ascii="Calibri" w:hAnsi="Calibri" w:cs="Calibri"/>
        </w:rPr>
        <w:t xml:space="preserve">“RM” is Registration in Medicine, and “RS” is Rate </w:t>
      </w:r>
      <w:r w:rsidR="00E722DC" w:rsidRPr="002A3477">
        <w:rPr>
          <w:rFonts w:ascii="Calibri" w:hAnsi="Calibri" w:cs="Calibri"/>
        </w:rPr>
        <w:t>S</w:t>
      </w:r>
      <w:r w:rsidR="00937D2F" w:rsidRPr="002A3477">
        <w:rPr>
          <w:rFonts w:ascii="Calibri" w:hAnsi="Calibri" w:cs="Calibri"/>
        </w:rPr>
        <w:t>etting.</w:t>
      </w:r>
      <w:r w:rsidR="00FA4EB6" w:rsidRPr="002A3477">
        <w:rPr>
          <w:rFonts w:ascii="Calibri" w:hAnsi="Calibri" w:cs="Calibri"/>
        </w:rPr>
        <w:t xml:space="preserve"> </w:t>
      </w:r>
      <w:r w:rsidR="00D72BD9" w:rsidRPr="002A3477">
        <w:rPr>
          <w:rFonts w:ascii="Calibri" w:hAnsi="Calibri" w:cs="Calibri"/>
        </w:rPr>
        <w:t xml:space="preserve"> </w:t>
      </w:r>
      <w:r w:rsidR="00552FAC" w:rsidRPr="002A3477">
        <w:rPr>
          <w:rFonts w:ascii="Calibri" w:hAnsi="Calibri" w:cs="Calibri"/>
        </w:rPr>
        <w:t>The “Status” column reflects the status of the case on the date that the report was</w:t>
      </w:r>
      <w:r w:rsidR="00D1443B" w:rsidRPr="002A3477">
        <w:rPr>
          <w:rFonts w:ascii="Calibri" w:hAnsi="Calibri" w:cs="Calibri"/>
        </w:rPr>
        <w:t xml:space="preserve"> prepared, March 5, 2020.  128 o</w:t>
      </w:r>
      <w:r w:rsidR="00CC077B" w:rsidRPr="002A3477">
        <w:rPr>
          <w:rFonts w:ascii="Calibri" w:hAnsi="Calibri" w:cs="Calibri"/>
        </w:rPr>
        <w:t>f the cases opened in 2019 have be</w:t>
      </w:r>
      <w:r w:rsidR="00911052" w:rsidRPr="002A3477">
        <w:rPr>
          <w:rFonts w:ascii="Calibri" w:hAnsi="Calibri" w:cs="Calibri"/>
        </w:rPr>
        <w:t>e</w:t>
      </w:r>
      <w:r w:rsidR="00CC077B" w:rsidRPr="002A3477">
        <w:rPr>
          <w:rFonts w:ascii="Calibri" w:hAnsi="Calibri" w:cs="Calibri"/>
        </w:rPr>
        <w:t xml:space="preserve">n </w:t>
      </w:r>
      <w:r w:rsidR="00D1443B" w:rsidRPr="002A3477">
        <w:rPr>
          <w:rFonts w:ascii="Calibri" w:hAnsi="Calibri" w:cs="Calibri"/>
        </w:rPr>
        <w:t>clos</w:t>
      </w:r>
      <w:r w:rsidR="00CC077B" w:rsidRPr="002A3477">
        <w:rPr>
          <w:rFonts w:ascii="Calibri" w:hAnsi="Calibri" w:cs="Calibri"/>
        </w:rPr>
        <w:t>ed</w:t>
      </w:r>
      <w:r w:rsidR="00A7028B" w:rsidRPr="002A3477">
        <w:rPr>
          <w:rFonts w:ascii="Calibri" w:hAnsi="Calibri" w:cs="Calibri"/>
        </w:rPr>
        <w:t xml:space="preserve">. </w:t>
      </w:r>
    </w:p>
    <w:p w14:paraId="00C0F300" w14:textId="77777777" w:rsidR="006D381C" w:rsidRDefault="00475B6F" w:rsidP="002977D7">
      <w:pPr>
        <w:spacing w:line="480" w:lineRule="auto"/>
        <w:ind w:firstLine="720"/>
        <w:rPr>
          <w:rFonts w:ascii="Calibri" w:hAnsi="Calibri" w:cs="Calibri"/>
        </w:rPr>
      </w:pPr>
      <w:r w:rsidRPr="002A3477">
        <w:rPr>
          <w:rFonts w:ascii="Calibri" w:hAnsi="Calibri" w:cs="Calibri"/>
        </w:rPr>
        <w:t xml:space="preserve">Tab 4 is a report of </w:t>
      </w:r>
      <w:proofErr w:type="gramStart"/>
      <w:r w:rsidRPr="002A3477">
        <w:rPr>
          <w:rFonts w:ascii="Calibri" w:hAnsi="Calibri" w:cs="Calibri"/>
        </w:rPr>
        <w:t>the cases</w:t>
      </w:r>
      <w:proofErr w:type="gramEnd"/>
      <w:r w:rsidRPr="002A3477">
        <w:rPr>
          <w:rFonts w:ascii="Calibri" w:hAnsi="Calibri" w:cs="Calibri"/>
        </w:rPr>
        <w:t xml:space="preserve"> closed in 2019. </w:t>
      </w:r>
      <w:r w:rsidR="00D12675" w:rsidRPr="002A3477">
        <w:rPr>
          <w:rFonts w:ascii="Calibri" w:hAnsi="Calibri" w:cs="Calibri"/>
        </w:rPr>
        <w:t xml:space="preserve">The GJU closed </w:t>
      </w:r>
      <w:r w:rsidR="009116B5" w:rsidRPr="002A3477">
        <w:rPr>
          <w:rFonts w:ascii="Calibri" w:hAnsi="Calibri" w:cs="Calibri"/>
        </w:rPr>
        <w:t>1,328 cases in 2019</w:t>
      </w:r>
      <w:r w:rsidR="00D1443B" w:rsidRPr="002A3477">
        <w:rPr>
          <w:rFonts w:ascii="Calibri" w:hAnsi="Calibri" w:cs="Calibri"/>
        </w:rPr>
        <w:t xml:space="preserve">. This total </w:t>
      </w:r>
      <w:proofErr w:type="gramStart"/>
      <w:r w:rsidR="00D1443B" w:rsidRPr="002A3477">
        <w:rPr>
          <w:rFonts w:ascii="Calibri" w:hAnsi="Calibri" w:cs="Calibri"/>
        </w:rPr>
        <w:t xml:space="preserve">includes </w:t>
      </w:r>
      <w:r w:rsidRPr="002A3477">
        <w:rPr>
          <w:rFonts w:ascii="Calibri" w:hAnsi="Calibri" w:cs="Calibri"/>
        </w:rPr>
        <w:t xml:space="preserve"> </w:t>
      </w:r>
      <w:r w:rsidR="00CC077B" w:rsidRPr="002A3477">
        <w:rPr>
          <w:rFonts w:ascii="Calibri" w:hAnsi="Calibri" w:cs="Calibri"/>
        </w:rPr>
        <w:t>the</w:t>
      </w:r>
      <w:proofErr w:type="gramEnd"/>
      <w:r w:rsidR="00CC077B" w:rsidRPr="002A3477">
        <w:rPr>
          <w:rFonts w:ascii="Calibri" w:hAnsi="Calibri" w:cs="Calibri"/>
        </w:rPr>
        <w:t xml:space="preserve"> </w:t>
      </w:r>
      <w:r w:rsidRPr="002A3477">
        <w:rPr>
          <w:rFonts w:ascii="Calibri" w:hAnsi="Calibri" w:cs="Calibri"/>
        </w:rPr>
        <w:t>415 Retirement C</w:t>
      </w:r>
      <w:r w:rsidR="00D1443B" w:rsidRPr="002A3477">
        <w:rPr>
          <w:rFonts w:ascii="Calibri" w:hAnsi="Calibri" w:cs="Calibri"/>
        </w:rPr>
        <w:t>ases</w:t>
      </w:r>
      <w:r w:rsidR="00711759" w:rsidRPr="002A3477">
        <w:rPr>
          <w:rFonts w:ascii="Calibri" w:hAnsi="Calibri" w:cs="Calibri"/>
        </w:rPr>
        <w:t xml:space="preserve">, </w:t>
      </w:r>
      <w:r w:rsidRPr="002A3477">
        <w:rPr>
          <w:rFonts w:ascii="Calibri" w:hAnsi="Calibri" w:cs="Calibri"/>
        </w:rPr>
        <w:t>729 Rate Setting Cases</w:t>
      </w:r>
      <w:r w:rsidR="00D1443B" w:rsidRPr="002A3477">
        <w:rPr>
          <w:rFonts w:ascii="Calibri" w:hAnsi="Calibri" w:cs="Calibri"/>
        </w:rPr>
        <w:t xml:space="preserve"> </w:t>
      </w:r>
      <w:r w:rsidR="00711759" w:rsidRPr="002A3477">
        <w:rPr>
          <w:rFonts w:ascii="Calibri" w:hAnsi="Calibri" w:cs="Calibri"/>
        </w:rPr>
        <w:t xml:space="preserve">and the other types of cases </w:t>
      </w:r>
      <w:r w:rsidR="00D1443B" w:rsidRPr="002A3477">
        <w:rPr>
          <w:rFonts w:ascii="Calibri" w:hAnsi="Calibri" w:cs="Calibri"/>
        </w:rPr>
        <w:t>that were closed</w:t>
      </w:r>
      <w:r w:rsidR="00CC077B" w:rsidRPr="002A3477">
        <w:rPr>
          <w:rFonts w:ascii="Calibri" w:hAnsi="Calibri" w:cs="Calibri"/>
        </w:rPr>
        <w:t xml:space="preserve"> in 2019</w:t>
      </w:r>
      <w:r w:rsidR="00D12675" w:rsidRPr="002A3477">
        <w:rPr>
          <w:rFonts w:ascii="Calibri" w:hAnsi="Calibri" w:cs="Calibri"/>
        </w:rPr>
        <w:t xml:space="preserve">. </w:t>
      </w:r>
      <w:r w:rsidR="00711759" w:rsidRPr="002A3477">
        <w:rPr>
          <w:rFonts w:ascii="Calibri" w:hAnsi="Calibri" w:cs="Calibri"/>
        </w:rPr>
        <w:t>This</w:t>
      </w:r>
      <w:r w:rsidR="00053D7C" w:rsidRPr="002A3477">
        <w:rPr>
          <w:rFonts w:ascii="Calibri" w:hAnsi="Calibri" w:cs="Calibri"/>
        </w:rPr>
        <w:t xml:space="preserve"> figure</w:t>
      </w:r>
      <w:r w:rsidR="00D1443B" w:rsidRPr="002A3477">
        <w:rPr>
          <w:rFonts w:ascii="Calibri" w:hAnsi="Calibri" w:cs="Calibri"/>
        </w:rPr>
        <w:t xml:space="preserve"> include</w:t>
      </w:r>
      <w:r w:rsidR="00711759" w:rsidRPr="002A3477">
        <w:rPr>
          <w:rFonts w:ascii="Calibri" w:hAnsi="Calibri" w:cs="Calibri"/>
        </w:rPr>
        <w:t>s</w:t>
      </w:r>
      <w:r w:rsidR="00053D7C" w:rsidRPr="002A3477">
        <w:rPr>
          <w:rFonts w:ascii="Calibri" w:hAnsi="Calibri" w:cs="Calibri"/>
        </w:rPr>
        <w:t xml:space="preserve"> all cases disposed of by a magistrate’s order and settlement.  </w:t>
      </w:r>
      <w:r w:rsidR="00E40D4C" w:rsidRPr="002A3477">
        <w:rPr>
          <w:rFonts w:ascii="Calibri" w:hAnsi="Calibri" w:cs="Calibri"/>
        </w:rPr>
        <w:t xml:space="preserve">The </w:t>
      </w:r>
      <w:r w:rsidR="004D5BFD" w:rsidRPr="002A3477">
        <w:rPr>
          <w:rFonts w:ascii="Calibri" w:hAnsi="Calibri" w:cs="Calibri"/>
        </w:rPr>
        <w:t xml:space="preserve">closed </w:t>
      </w:r>
      <w:r w:rsidR="00E40D4C" w:rsidRPr="002A3477">
        <w:rPr>
          <w:rFonts w:ascii="Calibri" w:hAnsi="Calibri" w:cs="Calibri"/>
        </w:rPr>
        <w:t>cases ar</w:t>
      </w:r>
      <w:r w:rsidR="00517B66" w:rsidRPr="002A3477">
        <w:rPr>
          <w:rFonts w:ascii="Calibri" w:hAnsi="Calibri" w:cs="Calibri"/>
        </w:rPr>
        <w:t xml:space="preserve">e listed by </w:t>
      </w:r>
      <w:r w:rsidR="00CC077B" w:rsidRPr="002A3477">
        <w:rPr>
          <w:rFonts w:ascii="Calibri" w:hAnsi="Calibri" w:cs="Calibri"/>
        </w:rPr>
        <w:t>the case name and f</w:t>
      </w:r>
      <w:r w:rsidR="001A0F4F" w:rsidRPr="002A3477">
        <w:rPr>
          <w:rFonts w:ascii="Calibri" w:hAnsi="Calibri" w:cs="Calibri"/>
        </w:rPr>
        <w:t xml:space="preserve">ile </w:t>
      </w:r>
      <w:r w:rsidR="00CC077B" w:rsidRPr="002A3477">
        <w:rPr>
          <w:rFonts w:ascii="Calibri" w:hAnsi="Calibri" w:cs="Calibri"/>
        </w:rPr>
        <w:t>n</w:t>
      </w:r>
      <w:r w:rsidR="001A0F4F" w:rsidRPr="002A3477">
        <w:rPr>
          <w:rFonts w:ascii="Calibri" w:hAnsi="Calibri" w:cs="Calibri"/>
        </w:rPr>
        <w:t>umber beginning with case code.</w:t>
      </w:r>
      <w:r w:rsidR="00F2061A" w:rsidRPr="002A3477">
        <w:rPr>
          <w:rFonts w:ascii="Calibri" w:hAnsi="Calibri" w:cs="Calibri"/>
        </w:rPr>
        <w:t xml:space="preserve"> </w:t>
      </w:r>
      <w:r w:rsidRPr="002A3477">
        <w:rPr>
          <w:rFonts w:ascii="Calibri" w:hAnsi="Calibri" w:cs="Calibri"/>
        </w:rPr>
        <w:t>Also provided is the closed date in the column labeled “Closed dt</w:t>
      </w:r>
      <w:r w:rsidR="00B60ED1" w:rsidRPr="002A3477">
        <w:rPr>
          <w:rFonts w:ascii="Calibri" w:hAnsi="Calibri" w:cs="Calibri"/>
        </w:rPr>
        <w:t>.”</w:t>
      </w:r>
    </w:p>
    <w:p w14:paraId="23FE157B" w14:textId="77777777" w:rsidR="002A3477" w:rsidRDefault="002A3477" w:rsidP="002977D7">
      <w:pPr>
        <w:spacing w:line="480" w:lineRule="auto"/>
        <w:ind w:firstLine="720"/>
        <w:rPr>
          <w:rFonts w:ascii="Calibri" w:hAnsi="Calibri" w:cs="Calibri"/>
        </w:rPr>
      </w:pPr>
    </w:p>
    <w:p w14:paraId="14FAD163" w14:textId="77777777" w:rsidR="002A3477" w:rsidRPr="002A3477" w:rsidRDefault="002A3477" w:rsidP="002977D7">
      <w:pPr>
        <w:spacing w:line="480" w:lineRule="auto"/>
        <w:ind w:firstLine="720"/>
        <w:rPr>
          <w:rFonts w:ascii="Calibri" w:hAnsi="Calibri" w:cs="Calibri"/>
          <w:b/>
        </w:rPr>
      </w:pPr>
    </w:p>
    <w:p w14:paraId="053701D3" w14:textId="77777777" w:rsidR="00E40D4C" w:rsidRPr="002A3477" w:rsidRDefault="00E0139F" w:rsidP="00E0033E">
      <w:pPr>
        <w:spacing w:line="480" w:lineRule="auto"/>
        <w:ind w:firstLine="720"/>
        <w:rPr>
          <w:rFonts w:ascii="Calibri" w:hAnsi="Calibri" w:cs="Calibri"/>
        </w:rPr>
      </w:pPr>
      <w:r w:rsidRPr="002A3477">
        <w:rPr>
          <w:rFonts w:ascii="Calibri" w:hAnsi="Calibri" w:cs="Calibri"/>
          <w:b/>
        </w:rPr>
        <w:lastRenderedPageBreak/>
        <w:t xml:space="preserve">IV. GJU </w:t>
      </w:r>
      <w:r w:rsidR="00181C6F" w:rsidRPr="002A3477">
        <w:rPr>
          <w:rFonts w:ascii="Calibri" w:hAnsi="Calibri" w:cs="Calibri"/>
          <w:b/>
        </w:rPr>
        <w:t>HEARINGS HELD AND DECISIONS ISSUED</w:t>
      </w:r>
    </w:p>
    <w:p w14:paraId="2A4D9F52" w14:textId="77777777" w:rsidR="00810E57" w:rsidRPr="002A3477" w:rsidRDefault="00AE583D" w:rsidP="0013389A">
      <w:pPr>
        <w:spacing w:line="480" w:lineRule="auto"/>
        <w:rPr>
          <w:rFonts w:ascii="Calibri" w:hAnsi="Calibri" w:cs="Calibri"/>
        </w:rPr>
      </w:pPr>
      <w:r w:rsidRPr="002A3477">
        <w:rPr>
          <w:rFonts w:ascii="Calibri" w:hAnsi="Calibri" w:cs="Calibri"/>
        </w:rPr>
        <w:tab/>
      </w:r>
      <w:r w:rsidR="009D4FE8" w:rsidRPr="002A3477">
        <w:rPr>
          <w:rFonts w:ascii="Calibri" w:hAnsi="Calibri" w:cs="Calibri"/>
        </w:rPr>
        <w:t>In 201</w:t>
      </w:r>
      <w:r w:rsidR="009116B5" w:rsidRPr="002A3477">
        <w:rPr>
          <w:rFonts w:ascii="Calibri" w:hAnsi="Calibri" w:cs="Calibri"/>
        </w:rPr>
        <w:t>9</w:t>
      </w:r>
      <w:r w:rsidR="00E0139F" w:rsidRPr="002A3477">
        <w:rPr>
          <w:rFonts w:ascii="Calibri" w:hAnsi="Calibri" w:cs="Calibri"/>
        </w:rPr>
        <w:t xml:space="preserve">, </w:t>
      </w:r>
      <w:r w:rsidR="00C46A92" w:rsidRPr="002A3477">
        <w:rPr>
          <w:rFonts w:ascii="Calibri" w:hAnsi="Calibri" w:cs="Calibri"/>
        </w:rPr>
        <w:t xml:space="preserve">the </w:t>
      </w:r>
      <w:r w:rsidR="00E0139F" w:rsidRPr="002A3477">
        <w:rPr>
          <w:rFonts w:ascii="Calibri" w:hAnsi="Calibri" w:cs="Calibri"/>
        </w:rPr>
        <w:t xml:space="preserve">GJU </w:t>
      </w:r>
      <w:r w:rsidR="00763711" w:rsidRPr="002A3477">
        <w:rPr>
          <w:rFonts w:ascii="Calibri" w:hAnsi="Calibri" w:cs="Calibri"/>
        </w:rPr>
        <w:t xml:space="preserve">conducted </w:t>
      </w:r>
      <w:r w:rsidR="009116B5" w:rsidRPr="002A3477">
        <w:rPr>
          <w:rFonts w:ascii="Calibri" w:hAnsi="Calibri" w:cs="Calibri"/>
        </w:rPr>
        <w:t xml:space="preserve">approximately 120 </w:t>
      </w:r>
      <w:r w:rsidR="00CA1CDD" w:rsidRPr="002A3477">
        <w:rPr>
          <w:rFonts w:ascii="Calibri" w:hAnsi="Calibri" w:cs="Calibri"/>
        </w:rPr>
        <w:t>hearings</w:t>
      </w:r>
      <w:r w:rsidR="00810E57" w:rsidRPr="002A3477">
        <w:rPr>
          <w:rFonts w:ascii="Calibri" w:hAnsi="Calibri" w:cs="Calibri"/>
        </w:rPr>
        <w:t>, a</w:t>
      </w:r>
      <w:r w:rsidR="002437F8" w:rsidRPr="002A3477">
        <w:rPr>
          <w:rFonts w:ascii="Calibri" w:hAnsi="Calibri" w:cs="Calibri"/>
        </w:rPr>
        <w:t>n</w:t>
      </w:r>
      <w:r w:rsidR="00810E57" w:rsidRPr="002A3477">
        <w:rPr>
          <w:rFonts w:ascii="Calibri" w:hAnsi="Calibri" w:cs="Calibri"/>
        </w:rPr>
        <w:t xml:space="preserve"> in</w:t>
      </w:r>
      <w:r w:rsidR="001571CA" w:rsidRPr="002A3477">
        <w:rPr>
          <w:rFonts w:ascii="Calibri" w:hAnsi="Calibri" w:cs="Calibri"/>
        </w:rPr>
        <w:t>creas</w:t>
      </w:r>
      <w:r w:rsidR="009116B5" w:rsidRPr="002A3477">
        <w:rPr>
          <w:rFonts w:ascii="Calibri" w:hAnsi="Calibri" w:cs="Calibri"/>
        </w:rPr>
        <w:t>e from the 73</w:t>
      </w:r>
      <w:r w:rsidR="001571CA" w:rsidRPr="002A3477">
        <w:rPr>
          <w:rFonts w:ascii="Calibri" w:hAnsi="Calibri" w:cs="Calibri"/>
        </w:rPr>
        <w:t xml:space="preserve"> eviden</w:t>
      </w:r>
      <w:r w:rsidR="009116B5" w:rsidRPr="002A3477">
        <w:rPr>
          <w:rFonts w:ascii="Calibri" w:hAnsi="Calibri" w:cs="Calibri"/>
        </w:rPr>
        <w:t>tiary hearings scheduled in 2018</w:t>
      </w:r>
      <w:r w:rsidR="00E0139F" w:rsidRPr="002A3477">
        <w:rPr>
          <w:rFonts w:ascii="Calibri" w:hAnsi="Calibri" w:cs="Calibri"/>
        </w:rPr>
        <w:t xml:space="preserve">. </w:t>
      </w:r>
      <w:r w:rsidR="009116B5" w:rsidRPr="002A3477">
        <w:rPr>
          <w:rFonts w:ascii="Calibri" w:hAnsi="Calibri" w:cs="Calibri"/>
        </w:rPr>
        <w:t>The in</w:t>
      </w:r>
      <w:r w:rsidR="001571CA" w:rsidRPr="002A3477">
        <w:rPr>
          <w:rFonts w:ascii="Calibri" w:hAnsi="Calibri" w:cs="Calibri"/>
        </w:rPr>
        <w:t>crease in the number of scheduled he</w:t>
      </w:r>
      <w:r w:rsidR="00FC3E23" w:rsidRPr="002A3477">
        <w:rPr>
          <w:rFonts w:ascii="Calibri" w:hAnsi="Calibri" w:cs="Calibri"/>
        </w:rPr>
        <w:t xml:space="preserve">arings is a return to the usual pattern after DALA completed its move in 2018. Because of the uncertainty surrounding </w:t>
      </w:r>
      <w:r w:rsidR="00810E57" w:rsidRPr="002A3477">
        <w:rPr>
          <w:rFonts w:ascii="Calibri" w:hAnsi="Calibri" w:cs="Calibri"/>
        </w:rPr>
        <w:t>DALA</w:t>
      </w:r>
      <w:r w:rsidR="00FC3E23" w:rsidRPr="002A3477">
        <w:rPr>
          <w:rFonts w:ascii="Calibri" w:hAnsi="Calibri" w:cs="Calibri"/>
        </w:rPr>
        <w:t>’s move to Malden</w:t>
      </w:r>
      <w:r w:rsidR="00810E57" w:rsidRPr="002A3477">
        <w:rPr>
          <w:rFonts w:ascii="Calibri" w:hAnsi="Calibri" w:cs="Calibri"/>
        </w:rPr>
        <w:t xml:space="preserve"> it scheduled fewer hearings </w:t>
      </w:r>
      <w:r w:rsidR="00FC3E23" w:rsidRPr="002A3477">
        <w:rPr>
          <w:rFonts w:ascii="Calibri" w:hAnsi="Calibri" w:cs="Calibri"/>
        </w:rPr>
        <w:t>in 2018.</w:t>
      </w:r>
    </w:p>
    <w:p w14:paraId="7EE5DD71" w14:textId="77777777" w:rsidR="00052F3E" w:rsidRPr="002A3477" w:rsidRDefault="00810E57" w:rsidP="002437F8">
      <w:pPr>
        <w:spacing w:line="480" w:lineRule="auto"/>
        <w:ind w:firstLine="720"/>
        <w:rPr>
          <w:rFonts w:ascii="Calibri" w:hAnsi="Calibri" w:cs="Calibri"/>
          <w:b/>
          <w:bCs/>
        </w:rPr>
      </w:pPr>
      <w:r w:rsidRPr="002A3477">
        <w:rPr>
          <w:rFonts w:ascii="Calibri" w:hAnsi="Calibri" w:cs="Calibri"/>
        </w:rPr>
        <w:t>T</w:t>
      </w:r>
      <w:r w:rsidR="001571CA" w:rsidRPr="002A3477">
        <w:rPr>
          <w:rFonts w:ascii="Calibri" w:hAnsi="Calibri" w:cs="Calibri"/>
        </w:rPr>
        <w:t>he number of dispositive orders</w:t>
      </w:r>
      <w:r w:rsidR="00911052" w:rsidRPr="002A3477">
        <w:rPr>
          <w:rFonts w:ascii="Calibri" w:hAnsi="Calibri" w:cs="Calibri"/>
        </w:rPr>
        <w:t xml:space="preserve"> (final decisions and dismissals)</w:t>
      </w:r>
      <w:r w:rsidR="001571CA" w:rsidRPr="002A3477">
        <w:rPr>
          <w:rFonts w:ascii="Calibri" w:hAnsi="Calibri" w:cs="Calibri"/>
        </w:rPr>
        <w:t xml:space="preserve"> i</w:t>
      </w:r>
      <w:r w:rsidRPr="002A3477">
        <w:rPr>
          <w:rFonts w:ascii="Calibri" w:hAnsi="Calibri" w:cs="Calibri"/>
        </w:rPr>
        <w:t>ssued</w:t>
      </w:r>
      <w:r w:rsidR="00431D61" w:rsidRPr="002A3477">
        <w:rPr>
          <w:rFonts w:ascii="Calibri" w:hAnsi="Calibri" w:cs="Calibri"/>
        </w:rPr>
        <w:t xml:space="preserve"> in 2019</w:t>
      </w:r>
      <w:r w:rsidRPr="002A3477">
        <w:rPr>
          <w:rFonts w:ascii="Calibri" w:hAnsi="Calibri" w:cs="Calibri"/>
        </w:rPr>
        <w:t xml:space="preserve"> by the GJU </w:t>
      </w:r>
      <w:r w:rsidR="002437F8" w:rsidRPr="002A3477">
        <w:rPr>
          <w:rFonts w:ascii="Calibri" w:hAnsi="Calibri" w:cs="Calibri"/>
        </w:rPr>
        <w:t xml:space="preserve">magistrates </w:t>
      </w:r>
      <w:r w:rsidRPr="002A3477">
        <w:rPr>
          <w:rFonts w:ascii="Calibri" w:hAnsi="Calibri" w:cs="Calibri"/>
        </w:rPr>
        <w:t xml:space="preserve">was 331.  </w:t>
      </w:r>
    </w:p>
    <w:p w14:paraId="536D31FF" w14:textId="77777777" w:rsidR="00D744A3" w:rsidRPr="002A3477" w:rsidRDefault="00052F3E" w:rsidP="00CD4625">
      <w:pPr>
        <w:tabs>
          <w:tab w:val="left" w:pos="720"/>
        </w:tabs>
        <w:spacing w:line="480" w:lineRule="auto"/>
        <w:rPr>
          <w:rFonts w:ascii="Calibri" w:hAnsi="Calibri" w:cs="Calibri"/>
          <w:bCs/>
        </w:rPr>
      </w:pPr>
      <w:r w:rsidRPr="002A3477">
        <w:rPr>
          <w:rFonts w:ascii="Calibri" w:hAnsi="Calibri" w:cs="Calibri"/>
          <w:b/>
          <w:bCs/>
        </w:rPr>
        <w:tab/>
      </w:r>
      <w:r w:rsidR="00E56B83" w:rsidRPr="002A3477">
        <w:rPr>
          <w:rFonts w:ascii="Calibri" w:hAnsi="Calibri" w:cs="Calibri"/>
          <w:b/>
          <w:bCs/>
        </w:rPr>
        <w:t>V.</w:t>
      </w:r>
      <w:r w:rsidR="0021022C" w:rsidRPr="002A3477">
        <w:rPr>
          <w:rFonts w:ascii="Calibri" w:hAnsi="Calibri" w:cs="Calibri"/>
          <w:b/>
          <w:bCs/>
        </w:rPr>
        <w:t xml:space="preserve"> </w:t>
      </w:r>
      <w:r w:rsidR="00D744A3" w:rsidRPr="002A3477">
        <w:rPr>
          <w:rFonts w:ascii="Calibri" w:hAnsi="Calibri" w:cs="Calibri"/>
          <w:b/>
          <w:bCs/>
        </w:rPr>
        <w:t>CONCLUSION</w:t>
      </w:r>
    </w:p>
    <w:p w14:paraId="1F23E220" w14:textId="77777777" w:rsidR="00693A3D" w:rsidRPr="002A3477" w:rsidRDefault="00293A39" w:rsidP="00693A3D">
      <w:pPr>
        <w:tabs>
          <w:tab w:val="left" w:pos="720"/>
        </w:tabs>
        <w:spacing w:line="480" w:lineRule="auto"/>
        <w:rPr>
          <w:rFonts w:ascii="Calibri" w:hAnsi="Calibri" w:cs="Calibri"/>
          <w:bCs/>
        </w:rPr>
      </w:pPr>
      <w:r w:rsidRPr="002A3477">
        <w:rPr>
          <w:rFonts w:ascii="Calibri" w:hAnsi="Calibri" w:cs="Calibri"/>
          <w:bCs/>
        </w:rPr>
        <w:tab/>
      </w:r>
      <w:r w:rsidR="00693A3D" w:rsidRPr="002A3477">
        <w:rPr>
          <w:rFonts w:ascii="Calibri" w:hAnsi="Calibri" w:cs="Calibri"/>
          <w:bCs/>
        </w:rPr>
        <w:t xml:space="preserve">DALA’s work provides a vital service to the </w:t>
      </w:r>
      <w:r w:rsidR="00CC4A00" w:rsidRPr="002A3477">
        <w:rPr>
          <w:rFonts w:ascii="Calibri" w:hAnsi="Calibri" w:cs="Calibri"/>
          <w:bCs/>
        </w:rPr>
        <w:t xml:space="preserve">Commonwealth and its citizens. The independent “central panel” approach to the review of state agency actions is the fairest, most efficient and cost effective one available. </w:t>
      </w:r>
      <w:r w:rsidR="00693A3D" w:rsidRPr="002A3477">
        <w:rPr>
          <w:rFonts w:ascii="Calibri" w:hAnsi="Calibri" w:cs="Calibri"/>
          <w:bCs/>
        </w:rPr>
        <w:t>Our magistrates, hearing officers, mediators and staff are proud of the</w:t>
      </w:r>
      <w:r w:rsidR="00C03B78" w:rsidRPr="002A3477">
        <w:rPr>
          <w:rFonts w:ascii="Calibri" w:hAnsi="Calibri" w:cs="Calibri"/>
          <w:bCs/>
        </w:rPr>
        <w:t>ir</w:t>
      </w:r>
      <w:r w:rsidR="00693A3D" w:rsidRPr="002A3477">
        <w:rPr>
          <w:rFonts w:ascii="Calibri" w:hAnsi="Calibri" w:cs="Calibri"/>
          <w:bCs/>
        </w:rPr>
        <w:t xml:space="preserve"> </w:t>
      </w:r>
      <w:proofErr w:type="gramStart"/>
      <w:r w:rsidR="00693A3D" w:rsidRPr="002A3477">
        <w:rPr>
          <w:rFonts w:ascii="Calibri" w:hAnsi="Calibri" w:cs="Calibri"/>
          <w:bCs/>
        </w:rPr>
        <w:t>work</w:t>
      </w:r>
      <w:proofErr w:type="gramEnd"/>
      <w:r w:rsidR="00C03B78" w:rsidRPr="002A3477">
        <w:rPr>
          <w:rFonts w:ascii="Calibri" w:hAnsi="Calibri" w:cs="Calibri"/>
          <w:bCs/>
        </w:rPr>
        <w:t xml:space="preserve"> </w:t>
      </w:r>
      <w:r w:rsidR="00693A3D" w:rsidRPr="002A3477">
        <w:rPr>
          <w:rFonts w:ascii="Calibri" w:hAnsi="Calibri" w:cs="Calibri"/>
          <w:bCs/>
        </w:rPr>
        <w:t>and we look forward to meeting the challenges addres</w:t>
      </w:r>
      <w:r w:rsidR="00E0139F" w:rsidRPr="002A3477">
        <w:rPr>
          <w:rFonts w:ascii="Calibri" w:hAnsi="Calibri" w:cs="Calibri"/>
          <w:bCs/>
        </w:rPr>
        <w:t xml:space="preserve">sed in this report. </w:t>
      </w:r>
    </w:p>
    <w:p w14:paraId="3EA69AF9" w14:textId="77777777" w:rsidR="00EC340B" w:rsidRPr="002A3477" w:rsidRDefault="00CC4A00" w:rsidP="00EC340B">
      <w:pPr>
        <w:tabs>
          <w:tab w:val="left" w:pos="720"/>
        </w:tabs>
        <w:spacing w:line="480" w:lineRule="auto"/>
        <w:rPr>
          <w:rFonts w:ascii="Calibri" w:hAnsi="Calibri" w:cs="Calibri"/>
          <w:bCs/>
        </w:rPr>
      </w:pPr>
      <w:r w:rsidRPr="002A3477">
        <w:rPr>
          <w:rFonts w:ascii="Calibri" w:hAnsi="Calibri" w:cs="Calibri"/>
          <w:bCs/>
        </w:rPr>
        <w:tab/>
        <w:t>Thank you for</w:t>
      </w:r>
      <w:r w:rsidR="00701664" w:rsidRPr="002A3477">
        <w:rPr>
          <w:rFonts w:ascii="Calibri" w:hAnsi="Calibri" w:cs="Calibri"/>
          <w:bCs/>
        </w:rPr>
        <w:t xml:space="preserve"> this opportunity to tell you about our progress and we </w:t>
      </w:r>
      <w:r w:rsidR="00827C47" w:rsidRPr="002A3477">
        <w:rPr>
          <w:rFonts w:ascii="Calibri" w:hAnsi="Calibri" w:cs="Calibri"/>
          <w:bCs/>
        </w:rPr>
        <w:t xml:space="preserve">look forward to working with you to continue </w:t>
      </w:r>
      <w:r w:rsidR="00EC340B" w:rsidRPr="002A3477">
        <w:rPr>
          <w:rFonts w:ascii="Calibri" w:hAnsi="Calibri" w:cs="Calibri"/>
          <w:bCs/>
        </w:rPr>
        <w:t>improving the quality of</w:t>
      </w:r>
      <w:r w:rsidR="00701664" w:rsidRPr="002A3477">
        <w:rPr>
          <w:rFonts w:ascii="Calibri" w:hAnsi="Calibri" w:cs="Calibri"/>
          <w:bCs/>
        </w:rPr>
        <w:t xml:space="preserve"> the </w:t>
      </w:r>
      <w:r w:rsidR="00827C47" w:rsidRPr="002A3477">
        <w:rPr>
          <w:rFonts w:ascii="Calibri" w:hAnsi="Calibri" w:cs="Calibri"/>
          <w:bCs/>
        </w:rPr>
        <w:t>service</w:t>
      </w:r>
      <w:r w:rsidR="00701664" w:rsidRPr="002A3477">
        <w:rPr>
          <w:rFonts w:ascii="Calibri" w:hAnsi="Calibri" w:cs="Calibri"/>
          <w:bCs/>
        </w:rPr>
        <w:t xml:space="preserve"> DALA provides</w:t>
      </w:r>
      <w:r w:rsidR="00827C47" w:rsidRPr="002A3477">
        <w:rPr>
          <w:rFonts w:ascii="Calibri" w:hAnsi="Calibri" w:cs="Calibri"/>
          <w:bCs/>
        </w:rPr>
        <w:t xml:space="preserve"> to the people of Massachusetts and its agencies.</w:t>
      </w:r>
    </w:p>
    <w:p w14:paraId="189428E3" w14:textId="77777777" w:rsidR="00EC340B" w:rsidRPr="002A3477" w:rsidRDefault="00EC340B" w:rsidP="007240D3">
      <w:pPr>
        <w:tabs>
          <w:tab w:val="left" w:pos="720"/>
        </w:tabs>
        <w:spacing w:line="480" w:lineRule="auto"/>
        <w:rPr>
          <w:rFonts w:ascii="Calibri" w:hAnsi="Calibri" w:cs="Calibri"/>
          <w:bCs/>
        </w:rPr>
      </w:pPr>
      <w:r w:rsidRPr="002A3477">
        <w:rPr>
          <w:rFonts w:ascii="Calibri" w:hAnsi="Calibri" w:cs="Calibri"/>
          <w:bCs/>
        </w:rPr>
        <w:t xml:space="preserve">                                                 </w:t>
      </w:r>
      <w:r w:rsidR="00A70676" w:rsidRPr="002A3477">
        <w:rPr>
          <w:rFonts w:ascii="Calibri" w:hAnsi="Calibri" w:cs="Calibri"/>
          <w:bCs/>
        </w:rPr>
        <w:t>DIVISI</w:t>
      </w:r>
      <w:r w:rsidR="00720B9B" w:rsidRPr="002A3477">
        <w:rPr>
          <w:rFonts w:ascii="Calibri" w:hAnsi="Calibri" w:cs="Calibri"/>
          <w:bCs/>
        </w:rPr>
        <w:t xml:space="preserve">ON OF ADMINISTRATIVE LAW APPEALS       </w:t>
      </w:r>
      <w:r w:rsidR="00E0139F" w:rsidRPr="002A3477">
        <w:rPr>
          <w:rFonts w:ascii="Calibri" w:hAnsi="Calibri" w:cs="Calibri"/>
          <w:bCs/>
        </w:rPr>
        <w:t xml:space="preserve">       </w:t>
      </w:r>
    </w:p>
    <w:p w14:paraId="06F14B8F" w14:textId="77777777" w:rsidR="006D381C" w:rsidRPr="002A3477" w:rsidRDefault="00EC340B" w:rsidP="00A70676">
      <w:pPr>
        <w:tabs>
          <w:tab w:val="left" w:pos="720"/>
        </w:tabs>
        <w:rPr>
          <w:rFonts w:ascii="Calibri" w:hAnsi="Calibri" w:cs="Calibri"/>
          <w:bCs/>
        </w:rPr>
      </w:pPr>
      <w:r w:rsidRPr="002A3477">
        <w:rPr>
          <w:rFonts w:ascii="Calibri" w:hAnsi="Calibri" w:cs="Calibri"/>
          <w:bCs/>
        </w:rPr>
        <w:t xml:space="preserve">                                                </w:t>
      </w:r>
    </w:p>
    <w:p w14:paraId="71EC5E2D" w14:textId="19759B9A" w:rsidR="00A70676" w:rsidRPr="002A3477" w:rsidRDefault="006D381C" w:rsidP="00A70676">
      <w:pPr>
        <w:tabs>
          <w:tab w:val="left" w:pos="720"/>
        </w:tabs>
        <w:rPr>
          <w:rFonts w:ascii="Calibri" w:hAnsi="Calibri" w:cs="Calibri"/>
          <w:bCs/>
          <w:u w:val="single"/>
        </w:rPr>
      </w:pPr>
      <w:r w:rsidRPr="002A3477">
        <w:rPr>
          <w:rFonts w:ascii="Calibri" w:hAnsi="Calibri" w:cs="Calibri"/>
          <w:bCs/>
        </w:rPr>
        <w:t xml:space="preserve">                                                </w:t>
      </w:r>
      <w:r w:rsidR="00EC340B" w:rsidRPr="002A3477">
        <w:rPr>
          <w:rFonts w:ascii="Calibri" w:hAnsi="Calibri" w:cs="Calibri"/>
          <w:bCs/>
        </w:rPr>
        <w:t xml:space="preserve"> </w:t>
      </w:r>
      <w:r w:rsidR="00A8202F" w:rsidRPr="003B4A05">
        <w:rPr>
          <w:rFonts w:ascii="Brush Script MT" w:hAnsi="Brush Script MT" w:cs="Calibri"/>
          <w:bCs/>
          <w:sz w:val="36"/>
          <w:szCs w:val="36"/>
          <w:u w:val="single"/>
        </w:rPr>
        <w:t>Edward B. McGrath</w:t>
      </w:r>
      <w:r w:rsidR="00A70676" w:rsidRPr="002A3477">
        <w:rPr>
          <w:rFonts w:ascii="Calibri" w:hAnsi="Calibri" w:cs="Calibri"/>
          <w:bCs/>
          <w:u w:val="single"/>
        </w:rPr>
        <w:tab/>
      </w:r>
      <w:r w:rsidR="00A70676" w:rsidRPr="002A3477">
        <w:rPr>
          <w:rFonts w:ascii="Calibri" w:hAnsi="Calibri" w:cs="Calibri"/>
          <w:bCs/>
          <w:u w:val="single"/>
        </w:rPr>
        <w:tab/>
      </w:r>
    </w:p>
    <w:p w14:paraId="13E5CB27" w14:textId="77777777" w:rsidR="00A70676" w:rsidRPr="002A3477" w:rsidRDefault="0013389A" w:rsidP="00A70676">
      <w:pPr>
        <w:tabs>
          <w:tab w:val="left" w:pos="720"/>
        </w:tabs>
        <w:rPr>
          <w:rFonts w:ascii="Calibri" w:hAnsi="Calibri" w:cs="Calibri"/>
          <w:bCs/>
        </w:rPr>
      </w:pPr>
      <w:r w:rsidRPr="002A3477">
        <w:rPr>
          <w:rFonts w:ascii="Calibri" w:hAnsi="Calibri" w:cs="Calibri"/>
          <w:bCs/>
        </w:rPr>
        <w:t xml:space="preserve">      </w:t>
      </w:r>
      <w:r w:rsidR="00056188" w:rsidRPr="002A3477">
        <w:rPr>
          <w:rFonts w:ascii="Calibri" w:hAnsi="Calibri" w:cs="Calibri"/>
          <w:bCs/>
        </w:rPr>
        <w:t xml:space="preserve">                                           </w:t>
      </w:r>
      <w:r w:rsidR="00827C47" w:rsidRPr="002A3477">
        <w:rPr>
          <w:rFonts w:ascii="Calibri" w:hAnsi="Calibri" w:cs="Calibri"/>
          <w:bCs/>
        </w:rPr>
        <w:t>Edward B. McGrath</w:t>
      </w:r>
    </w:p>
    <w:p w14:paraId="71AF52BC" w14:textId="09D4BEA4" w:rsidR="00381361" w:rsidRPr="002A3477" w:rsidRDefault="00A70676" w:rsidP="00A70676">
      <w:pPr>
        <w:tabs>
          <w:tab w:val="left" w:pos="720"/>
        </w:tabs>
        <w:rPr>
          <w:rFonts w:ascii="Calibri" w:hAnsi="Calibri" w:cs="Calibri"/>
          <w:bCs/>
        </w:rPr>
      </w:pPr>
      <w:r w:rsidRPr="002A3477">
        <w:rPr>
          <w:rFonts w:ascii="Calibri" w:hAnsi="Calibri" w:cs="Calibri"/>
          <w:bCs/>
        </w:rPr>
        <w:tab/>
      </w:r>
      <w:r w:rsidRPr="002A3477">
        <w:rPr>
          <w:rFonts w:ascii="Calibri" w:hAnsi="Calibri" w:cs="Calibri"/>
          <w:bCs/>
        </w:rPr>
        <w:tab/>
      </w:r>
      <w:r w:rsidRPr="002A3477">
        <w:rPr>
          <w:rFonts w:ascii="Calibri" w:hAnsi="Calibri" w:cs="Calibri"/>
          <w:bCs/>
        </w:rPr>
        <w:tab/>
      </w:r>
      <w:r w:rsidR="00E0139F" w:rsidRPr="002A3477">
        <w:rPr>
          <w:rFonts w:ascii="Calibri" w:hAnsi="Calibri" w:cs="Calibri"/>
          <w:bCs/>
        </w:rPr>
        <w:t xml:space="preserve">         </w:t>
      </w:r>
      <w:r w:rsidRPr="002A3477">
        <w:rPr>
          <w:rFonts w:ascii="Calibri" w:hAnsi="Calibri" w:cs="Calibri"/>
          <w:bCs/>
        </w:rPr>
        <w:t>Chief Administrative Magistrate</w:t>
      </w:r>
    </w:p>
    <w:p w14:paraId="6E05DFA5" w14:textId="77777777" w:rsidR="003869C8" w:rsidRPr="002A3477" w:rsidRDefault="007240D3" w:rsidP="00A70676">
      <w:pPr>
        <w:tabs>
          <w:tab w:val="left" w:pos="720"/>
        </w:tabs>
        <w:rPr>
          <w:rFonts w:ascii="Calibri" w:hAnsi="Calibri" w:cs="Calibri"/>
          <w:bCs/>
        </w:rPr>
      </w:pPr>
      <w:r w:rsidRPr="002A3477">
        <w:rPr>
          <w:rFonts w:ascii="Calibri" w:hAnsi="Calibri" w:cs="Calibri"/>
          <w:bCs/>
        </w:rPr>
        <w:t xml:space="preserve"> </w:t>
      </w:r>
      <w:r w:rsidR="00056188" w:rsidRPr="002A3477">
        <w:rPr>
          <w:rFonts w:ascii="Calibri" w:hAnsi="Calibri" w:cs="Calibri"/>
          <w:bCs/>
        </w:rPr>
        <w:t>Dated</w:t>
      </w:r>
      <w:proofErr w:type="gramStart"/>
      <w:r w:rsidR="00056188" w:rsidRPr="002A3477">
        <w:rPr>
          <w:rFonts w:ascii="Calibri" w:hAnsi="Calibri" w:cs="Calibri"/>
          <w:bCs/>
        </w:rPr>
        <w:t>:  April</w:t>
      </w:r>
      <w:proofErr w:type="gramEnd"/>
      <w:r w:rsidR="00056188" w:rsidRPr="002A3477">
        <w:rPr>
          <w:rFonts w:ascii="Calibri" w:hAnsi="Calibri" w:cs="Calibri"/>
          <w:bCs/>
        </w:rPr>
        <w:t xml:space="preserve"> </w:t>
      </w:r>
      <w:r w:rsidR="001F5C7C" w:rsidRPr="002A3477">
        <w:rPr>
          <w:rFonts w:ascii="Calibri" w:hAnsi="Calibri" w:cs="Calibri"/>
          <w:bCs/>
        </w:rPr>
        <w:t>1, 2020</w:t>
      </w:r>
      <w:r w:rsidR="00056188" w:rsidRPr="002A3477">
        <w:rPr>
          <w:rFonts w:ascii="Calibri" w:hAnsi="Calibri" w:cs="Calibri"/>
          <w:bCs/>
        </w:rPr>
        <w:tab/>
      </w:r>
    </w:p>
    <w:sectPr w:rsidR="003869C8" w:rsidRPr="002A3477" w:rsidSect="00224A9C">
      <w:footerReference w:type="even" r:id="rId8"/>
      <w:footerReference w:type="defaul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D918" w14:textId="77777777" w:rsidR="00940F92" w:rsidRDefault="00940F92">
      <w:r>
        <w:separator/>
      </w:r>
    </w:p>
  </w:endnote>
  <w:endnote w:type="continuationSeparator" w:id="0">
    <w:p w14:paraId="1B79C963" w14:textId="77777777" w:rsidR="00940F92" w:rsidRDefault="0094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DD80" w14:textId="77777777" w:rsidR="00283EA9" w:rsidRDefault="00283EA9" w:rsidP="00BD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467947" w14:textId="77777777" w:rsidR="00283EA9" w:rsidRDefault="00283EA9">
    <w:pPr>
      <w:pStyle w:val="Footer"/>
    </w:pPr>
  </w:p>
  <w:p w14:paraId="06A7635A" w14:textId="77777777" w:rsidR="00283EA9" w:rsidRDefault="00283EA9"/>
  <w:p w14:paraId="5E9B1CE8" w14:textId="77777777" w:rsidR="00283EA9" w:rsidRDefault="00283E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1F67" w14:textId="77777777" w:rsidR="00283EA9" w:rsidRPr="00181A78" w:rsidRDefault="00283EA9" w:rsidP="00BD061F">
    <w:pPr>
      <w:pStyle w:val="Footer"/>
      <w:framePr w:wrap="around" w:vAnchor="text" w:hAnchor="margin" w:xAlign="center" w:y="1"/>
      <w:rPr>
        <w:rStyle w:val="PageNumber"/>
        <w:rFonts w:ascii="Arial" w:hAnsi="Arial" w:cs="Arial"/>
      </w:rPr>
    </w:pPr>
    <w:r w:rsidRPr="00181A78">
      <w:rPr>
        <w:rStyle w:val="PageNumber"/>
        <w:rFonts w:ascii="Arial" w:hAnsi="Arial" w:cs="Arial"/>
      </w:rPr>
      <w:fldChar w:fldCharType="begin"/>
    </w:r>
    <w:r w:rsidRPr="00181A78">
      <w:rPr>
        <w:rStyle w:val="PageNumber"/>
        <w:rFonts w:ascii="Arial" w:hAnsi="Arial" w:cs="Arial"/>
      </w:rPr>
      <w:instrText xml:space="preserve">PAGE  </w:instrText>
    </w:r>
    <w:r w:rsidRPr="00181A78">
      <w:rPr>
        <w:rStyle w:val="PageNumber"/>
        <w:rFonts w:ascii="Arial" w:hAnsi="Arial" w:cs="Arial"/>
      </w:rPr>
      <w:fldChar w:fldCharType="separate"/>
    </w:r>
    <w:r w:rsidR="00036E1F">
      <w:rPr>
        <w:rStyle w:val="PageNumber"/>
        <w:rFonts w:ascii="Arial" w:hAnsi="Arial" w:cs="Arial"/>
        <w:noProof/>
      </w:rPr>
      <w:t>6</w:t>
    </w:r>
    <w:r w:rsidRPr="00181A78">
      <w:rPr>
        <w:rStyle w:val="PageNumber"/>
        <w:rFonts w:ascii="Arial" w:hAnsi="Arial" w:cs="Arial"/>
      </w:rPr>
      <w:fldChar w:fldCharType="end"/>
    </w:r>
  </w:p>
  <w:p w14:paraId="7B3C73AD" w14:textId="77777777" w:rsidR="00283EA9" w:rsidRPr="001314D6" w:rsidRDefault="00283EA9">
    <w:pPr>
      <w:pStyle w:val="Footer"/>
      <w:rPr>
        <w:rFonts w:ascii="Arial" w:hAnsi="Arial" w:cs="Arial"/>
      </w:rPr>
    </w:pPr>
  </w:p>
  <w:p w14:paraId="592EBC11" w14:textId="77777777" w:rsidR="00283EA9" w:rsidRDefault="00283EA9"/>
  <w:p w14:paraId="70F1BAB4" w14:textId="77777777" w:rsidR="00283EA9" w:rsidRDefault="00283E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2E8A" w14:textId="77777777" w:rsidR="00940F92" w:rsidRDefault="00940F92">
      <w:r>
        <w:separator/>
      </w:r>
    </w:p>
  </w:footnote>
  <w:footnote w:type="continuationSeparator" w:id="0">
    <w:p w14:paraId="78A15FD1" w14:textId="77777777" w:rsidR="00940F92" w:rsidRDefault="00940F92">
      <w:r>
        <w:continuationSeparator/>
      </w:r>
    </w:p>
  </w:footnote>
  <w:footnote w:id="1">
    <w:p w14:paraId="45DEECF1" w14:textId="77777777" w:rsidR="003A0EAE" w:rsidRPr="002A3477" w:rsidRDefault="003A0EAE">
      <w:pPr>
        <w:pStyle w:val="FootnoteText"/>
        <w:rPr>
          <w:rFonts w:ascii="Calibri" w:hAnsi="Calibri" w:cs="Calibri"/>
          <w:sz w:val="24"/>
          <w:szCs w:val="24"/>
        </w:rPr>
      </w:pPr>
      <w:r w:rsidRPr="002A3477">
        <w:rPr>
          <w:rStyle w:val="FootnoteReference"/>
          <w:rFonts w:ascii="Calibri" w:hAnsi="Calibri" w:cs="Calibri"/>
          <w:sz w:val="24"/>
          <w:szCs w:val="24"/>
        </w:rPr>
        <w:footnoteRef/>
      </w:r>
      <w:r w:rsidRPr="002A3477">
        <w:rPr>
          <w:rFonts w:ascii="Calibri" w:hAnsi="Calibri" w:cs="Calibri"/>
          <w:sz w:val="24"/>
          <w:szCs w:val="24"/>
        </w:rPr>
        <w:t xml:space="preserve"> In our 2018 report, this figure was stated as 1,080.  The inconsistency was caused by </w:t>
      </w:r>
      <w:proofErr w:type="gramStart"/>
      <w:r w:rsidRPr="002A3477">
        <w:rPr>
          <w:rFonts w:ascii="Calibri" w:hAnsi="Calibri" w:cs="Calibri"/>
          <w:sz w:val="24"/>
          <w:szCs w:val="24"/>
        </w:rPr>
        <w:t>a number of</w:t>
      </w:r>
      <w:proofErr w:type="gramEnd"/>
      <w:r w:rsidRPr="002A3477">
        <w:rPr>
          <w:rFonts w:ascii="Calibri" w:hAnsi="Calibri" w:cs="Calibri"/>
          <w:sz w:val="24"/>
          <w:szCs w:val="24"/>
        </w:rPr>
        <w:t xml:space="preserve"> cases filed concerning the Teachers </w:t>
      </w:r>
      <w:r w:rsidR="000C46F9" w:rsidRPr="002A3477">
        <w:rPr>
          <w:rFonts w:ascii="Calibri" w:hAnsi="Calibri" w:cs="Calibri"/>
          <w:sz w:val="24"/>
          <w:szCs w:val="24"/>
        </w:rPr>
        <w:t>R</w:t>
      </w:r>
      <w:r w:rsidRPr="002A3477">
        <w:rPr>
          <w:rFonts w:ascii="Calibri" w:hAnsi="Calibri" w:cs="Calibri"/>
          <w:sz w:val="24"/>
          <w:szCs w:val="24"/>
        </w:rPr>
        <w:t>etirement System</w:t>
      </w:r>
      <w:r w:rsidR="00251689" w:rsidRPr="002A3477">
        <w:rPr>
          <w:rFonts w:ascii="Calibri" w:hAnsi="Calibri" w:cs="Calibri"/>
          <w:sz w:val="24"/>
          <w:szCs w:val="24"/>
        </w:rPr>
        <w:t>’</w:t>
      </w:r>
      <w:r w:rsidRPr="002A3477">
        <w:rPr>
          <w:rFonts w:ascii="Calibri" w:hAnsi="Calibri" w:cs="Calibri"/>
          <w:sz w:val="24"/>
          <w:szCs w:val="24"/>
        </w:rPr>
        <w:t xml:space="preserve">s </w:t>
      </w:r>
      <w:proofErr w:type="spellStart"/>
      <w:r w:rsidRPr="002A3477">
        <w:rPr>
          <w:rFonts w:ascii="Calibri" w:hAnsi="Calibri" w:cs="Calibri"/>
          <w:sz w:val="24"/>
          <w:szCs w:val="24"/>
        </w:rPr>
        <w:t>RetirementPlus</w:t>
      </w:r>
      <w:proofErr w:type="spellEnd"/>
      <w:r w:rsidRPr="002A3477">
        <w:rPr>
          <w:rFonts w:ascii="Calibri" w:hAnsi="Calibri" w:cs="Calibri"/>
          <w:sz w:val="24"/>
          <w:szCs w:val="24"/>
        </w:rPr>
        <w:t xml:space="preserve"> program.  About 80 of these cases were not docketed when received</w:t>
      </w:r>
      <w:r w:rsidR="002437F8" w:rsidRPr="002A3477">
        <w:rPr>
          <w:rFonts w:ascii="Calibri" w:hAnsi="Calibri" w:cs="Calibri"/>
          <w:sz w:val="24"/>
          <w:szCs w:val="24"/>
        </w:rPr>
        <w:t xml:space="preserve"> in 2017 and 2018</w:t>
      </w:r>
      <w:r w:rsidRPr="002A3477">
        <w:rPr>
          <w:rFonts w:ascii="Calibri" w:hAnsi="Calibri" w:cs="Calibri"/>
          <w:sz w:val="24"/>
          <w:szCs w:val="24"/>
        </w:rPr>
        <w:t>, because of missing information when they wer</w:t>
      </w:r>
      <w:r w:rsidR="000F086E" w:rsidRPr="002A3477">
        <w:rPr>
          <w:rFonts w:ascii="Calibri" w:hAnsi="Calibri" w:cs="Calibri"/>
          <w:sz w:val="24"/>
          <w:szCs w:val="24"/>
        </w:rPr>
        <w:t xml:space="preserve">e filed.  These cases were </w:t>
      </w:r>
      <w:r w:rsidR="00251689" w:rsidRPr="002A3477">
        <w:rPr>
          <w:rFonts w:ascii="Calibri" w:hAnsi="Calibri" w:cs="Calibri"/>
          <w:sz w:val="24"/>
          <w:szCs w:val="24"/>
        </w:rPr>
        <w:t>docketed in 2019 and 2020</w:t>
      </w:r>
      <w:r w:rsidRPr="002A3477">
        <w:rPr>
          <w:rFonts w:ascii="Calibri" w:hAnsi="Calibri" w:cs="Calibri"/>
          <w:sz w:val="24"/>
          <w:szCs w:val="24"/>
        </w:rPr>
        <w:t xml:space="preserve"> and may be identified by co</w:t>
      </w:r>
      <w:r w:rsidR="00ED7898" w:rsidRPr="002A3477">
        <w:rPr>
          <w:rFonts w:ascii="Calibri" w:hAnsi="Calibri" w:cs="Calibri"/>
          <w:sz w:val="24"/>
          <w:szCs w:val="24"/>
        </w:rPr>
        <w:t xml:space="preserve">mparing the year beginning the </w:t>
      </w:r>
      <w:r w:rsidRPr="002A3477">
        <w:rPr>
          <w:rFonts w:ascii="Calibri" w:hAnsi="Calibri" w:cs="Calibri"/>
          <w:sz w:val="24"/>
          <w:szCs w:val="24"/>
        </w:rPr>
        <w:t xml:space="preserve">docket number with the </w:t>
      </w:r>
      <w:r w:rsidR="00A603CC" w:rsidRPr="002A3477">
        <w:rPr>
          <w:rFonts w:ascii="Calibri" w:hAnsi="Calibri" w:cs="Calibri"/>
          <w:sz w:val="24"/>
          <w:szCs w:val="24"/>
        </w:rPr>
        <w:t xml:space="preserve">year of </w:t>
      </w:r>
      <w:r w:rsidRPr="002A3477">
        <w:rPr>
          <w:rFonts w:ascii="Calibri" w:hAnsi="Calibri" w:cs="Calibri"/>
          <w:sz w:val="24"/>
          <w:szCs w:val="24"/>
        </w:rPr>
        <w:t>the filing date.</w:t>
      </w:r>
    </w:p>
  </w:footnote>
  <w:footnote w:id="2">
    <w:p w14:paraId="1434AA8D" w14:textId="77777777" w:rsidR="003B271B" w:rsidRPr="002A3477" w:rsidRDefault="003B271B">
      <w:pPr>
        <w:pStyle w:val="FootnoteText"/>
        <w:rPr>
          <w:rFonts w:ascii="Calibri" w:hAnsi="Calibri" w:cs="Calibri"/>
          <w:sz w:val="24"/>
          <w:szCs w:val="24"/>
        </w:rPr>
      </w:pPr>
      <w:r w:rsidRPr="002A3477">
        <w:rPr>
          <w:rStyle w:val="FootnoteReference"/>
          <w:rFonts w:ascii="Calibri" w:hAnsi="Calibri" w:cs="Calibri"/>
          <w:sz w:val="24"/>
          <w:szCs w:val="24"/>
        </w:rPr>
        <w:footnoteRef/>
      </w:r>
      <w:r w:rsidRPr="002A3477">
        <w:rPr>
          <w:rFonts w:ascii="Calibri" w:hAnsi="Calibri" w:cs="Calibri"/>
          <w:sz w:val="24"/>
          <w:szCs w:val="24"/>
        </w:rPr>
        <w:t xml:space="preserve"> The BSEA keeps statistics by federal fiscal year. </w:t>
      </w:r>
    </w:p>
  </w:footnote>
  <w:footnote w:id="3">
    <w:p w14:paraId="437FA443" w14:textId="77777777" w:rsidR="00840972" w:rsidRPr="009116B5" w:rsidRDefault="00840972">
      <w:pPr>
        <w:pStyle w:val="FootnoteText"/>
        <w:rPr>
          <w:rFonts w:ascii="Arial" w:hAnsi="Arial" w:cs="Arial"/>
        </w:rPr>
      </w:pPr>
      <w:r w:rsidRPr="002A3477">
        <w:rPr>
          <w:rStyle w:val="FootnoteReference"/>
          <w:rFonts w:ascii="Calibri" w:hAnsi="Calibri" w:cs="Calibri"/>
          <w:sz w:val="24"/>
          <w:szCs w:val="24"/>
        </w:rPr>
        <w:footnoteRef/>
      </w:r>
      <w:r w:rsidRPr="002A3477">
        <w:rPr>
          <w:rFonts w:ascii="Calibri" w:hAnsi="Calibri" w:cs="Calibri"/>
          <w:sz w:val="24"/>
          <w:szCs w:val="24"/>
        </w:rPr>
        <w:t xml:space="preserve"> We note that</w:t>
      </w:r>
      <w:r w:rsidR="00CF4034" w:rsidRPr="002A3477">
        <w:rPr>
          <w:rFonts w:ascii="Calibri" w:hAnsi="Calibri" w:cs="Calibri"/>
          <w:sz w:val="24"/>
          <w:szCs w:val="24"/>
        </w:rPr>
        <w:t xml:space="preserve"> 29 requests for FIEP meetings could not be accommodated because of staffing issues.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1A4"/>
    <w:multiLevelType w:val="hybridMultilevel"/>
    <w:tmpl w:val="9514AD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7C8D"/>
    <w:multiLevelType w:val="hybridMultilevel"/>
    <w:tmpl w:val="8B06F1E8"/>
    <w:lvl w:ilvl="0" w:tplc="4E267C6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652C"/>
    <w:multiLevelType w:val="hybridMultilevel"/>
    <w:tmpl w:val="08449C34"/>
    <w:lvl w:ilvl="0" w:tplc="60B0A4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01B2D"/>
    <w:multiLevelType w:val="hybridMultilevel"/>
    <w:tmpl w:val="6A9E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D70C17"/>
    <w:multiLevelType w:val="hybridMultilevel"/>
    <w:tmpl w:val="61845E78"/>
    <w:lvl w:ilvl="0" w:tplc="9F889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362B9"/>
    <w:multiLevelType w:val="hybridMultilevel"/>
    <w:tmpl w:val="6628A6A8"/>
    <w:lvl w:ilvl="0" w:tplc="E8662C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7049A"/>
    <w:multiLevelType w:val="hybridMultilevel"/>
    <w:tmpl w:val="02B4227C"/>
    <w:lvl w:ilvl="0" w:tplc="8DBA9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CF24A2"/>
    <w:multiLevelType w:val="hybridMultilevel"/>
    <w:tmpl w:val="3B6870BE"/>
    <w:lvl w:ilvl="0" w:tplc="B05C4C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01DB3"/>
    <w:multiLevelType w:val="hybridMultilevel"/>
    <w:tmpl w:val="45FAF2C8"/>
    <w:lvl w:ilvl="0" w:tplc="F3A0DDDA">
      <w:start w:val="1"/>
      <w:numFmt w:val="bullet"/>
      <w:lvlText w:val=""/>
      <w:lvlJc w:val="left"/>
      <w:pPr>
        <w:ind w:left="360" w:hanging="360"/>
      </w:pPr>
      <w:rPr>
        <w:rFonts w:ascii="Symbol" w:hAnsi="Symbol" w:hint="default"/>
        <w:color w:val="F796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9F4759"/>
    <w:multiLevelType w:val="hybridMultilevel"/>
    <w:tmpl w:val="E354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4230CD"/>
    <w:multiLevelType w:val="hybridMultilevel"/>
    <w:tmpl w:val="805012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6B6060"/>
    <w:multiLevelType w:val="hybridMultilevel"/>
    <w:tmpl w:val="A350E080"/>
    <w:lvl w:ilvl="0" w:tplc="15083848">
      <w:start w:val="1"/>
      <w:numFmt w:val="decimal"/>
      <w:lvlText w:val="%1."/>
      <w:lvlJc w:val="left"/>
      <w:pPr>
        <w:tabs>
          <w:tab w:val="num" w:pos="1440"/>
        </w:tabs>
        <w:ind w:left="0" w:firstLine="720"/>
      </w:pPr>
      <w:rPr>
        <w:rFonts w:ascii="Times New Roman" w:hAnsi="Times New Roman" w:hint="default"/>
        <w:b w:val="0"/>
        <w:i w:val="0"/>
        <w:sz w:val="24"/>
      </w:rPr>
    </w:lvl>
    <w:lvl w:ilvl="1" w:tplc="152A3A06">
      <w:start w:val="1"/>
      <w:numFmt w:val="lowerLetter"/>
      <w:lvlText w:val="%2."/>
      <w:lvlJc w:val="left"/>
      <w:pPr>
        <w:tabs>
          <w:tab w:val="num" w:pos="1440"/>
        </w:tabs>
        <w:ind w:left="0" w:firstLine="144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640405"/>
    <w:multiLevelType w:val="multilevel"/>
    <w:tmpl w:val="BF84AF30"/>
    <w:lvl w:ilvl="0">
      <w:start w:val="1"/>
      <w:numFmt w:val="upperRoman"/>
      <w:pStyle w:val="Heading1"/>
      <w:lvlText w:val="%1."/>
      <w:lvlJc w:val="left"/>
      <w:pPr>
        <w:tabs>
          <w:tab w:val="num" w:pos="720"/>
        </w:tabs>
        <w:ind w:left="1440" w:hanging="1440"/>
      </w:pPr>
      <w:rPr>
        <w:rFonts w:ascii="Times New Roman" w:hAnsi="Times New Roman"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67A31787"/>
    <w:multiLevelType w:val="hybridMultilevel"/>
    <w:tmpl w:val="ADF07F3E"/>
    <w:lvl w:ilvl="0" w:tplc="F6AC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77323"/>
    <w:multiLevelType w:val="hybridMultilevel"/>
    <w:tmpl w:val="53682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5284387">
    <w:abstractNumId w:val="12"/>
  </w:num>
  <w:num w:numId="2" w16cid:durableId="994141532">
    <w:abstractNumId w:val="11"/>
  </w:num>
  <w:num w:numId="3" w16cid:durableId="1216771686">
    <w:abstractNumId w:val="8"/>
  </w:num>
  <w:num w:numId="4" w16cid:durableId="1961841769">
    <w:abstractNumId w:val="3"/>
  </w:num>
  <w:num w:numId="5" w16cid:durableId="2014724410">
    <w:abstractNumId w:val="14"/>
  </w:num>
  <w:num w:numId="6" w16cid:durableId="49807503">
    <w:abstractNumId w:val="9"/>
  </w:num>
  <w:num w:numId="7" w16cid:durableId="561713982">
    <w:abstractNumId w:val="5"/>
  </w:num>
  <w:num w:numId="8" w16cid:durableId="1977880438">
    <w:abstractNumId w:val="6"/>
  </w:num>
  <w:num w:numId="9" w16cid:durableId="1380669142">
    <w:abstractNumId w:val="7"/>
  </w:num>
  <w:num w:numId="10" w16cid:durableId="514659556">
    <w:abstractNumId w:val="2"/>
  </w:num>
  <w:num w:numId="11" w16cid:durableId="608971809">
    <w:abstractNumId w:val="13"/>
  </w:num>
  <w:num w:numId="12" w16cid:durableId="673337957">
    <w:abstractNumId w:val="4"/>
  </w:num>
  <w:num w:numId="13" w16cid:durableId="551815250">
    <w:abstractNumId w:val="1"/>
  </w:num>
  <w:num w:numId="14" w16cid:durableId="1839614586">
    <w:abstractNumId w:val="0"/>
  </w:num>
  <w:num w:numId="15" w16cid:durableId="1835144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6"/>
    <w:rsid w:val="00010748"/>
    <w:rsid w:val="00015D76"/>
    <w:rsid w:val="00016D98"/>
    <w:rsid w:val="0002015B"/>
    <w:rsid w:val="00023122"/>
    <w:rsid w:val="000245BC"/>
    <w:rsid w:val="00024666"/>
    <w:rsid w:val="00030A7C"/>
    <w:rsid w:val="00032E88"/>
    <w:rsid w:val="00034275"/>
    <w:rsid w:val="00036425"/>
    <w:rsid w:val="00036E1F"/>
    <w:rsid w:val="0005026C"/>
    <w:rsid w:val="00052F3E"/>
    <w:rsid w:val="00053D7C"/>
    <w:rsid w:val="00056188"/>
    <w:rsid w:val="000575AD"/>
    <w:rsid w:val="00062C46"/>
    <w:rsid w:val="000656EA"/>
    <w:rsid w:val="00065930"/>
    <w:rsid w:val="0007287E"/>
    <w:rsid w:val="00074EF7"/>
    <w:rsid w:val="0008738B"/>
    <w:rsid w:val="00090935"/>
    <w:rsid w:val="00091FE9"/>
    <w:rsid w:val="00094F77"/>
    <w:rsid w:val="000953F4"/>
    <w:rsid w:val="00096A94"/>
    <w:rsid w:val="000A36B3"/>
    <w:rsid w:val="000B0B36"/>
    <w:rsid w:val="000B35E5"/>
    <w:rsid w:val="000C05D1"/>
    <w:rsid w:val="000C2A7D"/>
    <w:rsid w:val="000C46F9"/>
    <w:rsid w:val="000F086E"/>
    <w:rsid w:val="000F4BE5"/>
    <w:rsid w:val="000F4E7C"/>
    <w:rsid w:val="000F67CE"/>
    <w:rsid w:val="00100303"/>
    <w:rsid w:val="00102B63"/>
    <w:rsid w:val="001072FC"/>
    <w:rsid w:val="00112FBA"/>
    <w:rsid w:val="00121206"/>
    <w:rsid w:val="00123910"/>
    <w:rsid w:val="00124D6D"/>
    <w:rsid w:val="001314D6"/>
    <w:rsid w:val="0013389A"/>
    <w:rsid w:val="001369AB"/>
    <w:rsid w:val="0014317C"/>
    <w:rsid w:val="00147664"/>
    <w:rsid w:val="001557D2"/>
    <w:rsid w:val="001561D6"/>
    <w:rsid w:val="001571CA"/>
    <w:rsid w:val="00172215"/>
    <w:rsid w:val="001729C6"/>
    <w:rsid w:val="00174141"/>
    <w:rsid w:val="00181A78"/>
    <w:rsid w:val="00181C6F"/>
    <w:rsid w:val="001A0F4F"/>
    <w:rsid w:val="001B4723"/>
    <w:rsid w:val="001B5868"/>
    <w:rsid w:val="001B777F"/>
    <w:rsid w:val="001E41D4"/>
    <w:rsid w:val="001E6AF9"/>
    <w:rsid w:val="001F05F0"/>
    <w:rsid w:val="001F5C7C"/>
    <w:rsid w:val="002021F3"/>
    <w:rsid w:val="002023BA"/>
    <w:rsid w:val="00202C99"/>
    <w:rsid w:val="0021022C"/>
    <w:rsid w:val="002137FC"/>
    <w:rsid w:val="00224553"/>
    <w:rsid w:val="00224A9C"/>
    <w:rsid w:val="00227AF5"/>
    <w:rsid w:val="00235526"/>
    <w:rsid w:val="00243379"/>
    <w:rsid w:val="002437F8"/>
    <w:rsid w:val="002501E2"/>
    <w:rsid w:val="00251689"/>
    <w:rsid w:val="00263870"/>
    <w:rsid w:val="00265394"/>
    <w:rsid w:val="00267D01"/>
    <w:rsid w:val="00271A97"/>
    <w:rsid w:val="00271E31"/>
    <w:rsid w:val="00273080"/>
    <w:rsid w:val="00273D5A"/>
    <w:rsid w:val="00276EBD"/>
    <w:rsid w:val="00282D62"/>
    <w:rsid w:val="00283EA9"/>
    <w:rsid w:val="002849BE"/>
    <w:rsid w:val="00293A39"/>
    <w:rsid w:val="002977D7"/>
    <w:rsid w:val="002A2367"/>
    <w:rsid w:val="002A3477"/>
    <w:rsid w:val="002B01F2"/>
    <w:rsid w:val="002B08A5"/>
    <w:rsid w:val="002B3256"/>
    <w:rsid w:val="002C4EA4"/>
    <w:rsid w:val="002C756C"/>
    <w:rsid w:val="002D42AD"/>
    <w:rsid w:val="002D4BE8"/>
    <w:rsid w:val="002D58CD"/>
    <w:rsid w:val="002E155A"/>
    <w:rsid w:val="002E164F"/>
    <w:rsid w:val="002F1D4B"/>
    <w:rsid w:val="002F321D"/>
    <w:rsid w:val="003119E1"/>
    <w:rsid w:val="00313C1F"/>
    <w:rsid w:val="00315B6F"/>
    <w:rsid w:val="003173A2"/>
    <w:rsid w:val="0031741F"/>
    <w:rsid w:val="00323F11"/>
    <w:rsid w:val="0033055B"/>
    <w:rsid w:val="00332F26"/>
    <w:rsid w:val="003431DA"/>
    <w:rsid w:val="00354438"/>
    <w:rsid w:val="00355B2C"/>
    <w:rsid w:val="003602F8"/>
    <w:rsid w:val="00372838"/>
    <w:rsid w:val="00372BAA"/>
    <w:rsid w:val="003762C7"/>
    <w:rsid w:val="00380F34"/>
    <w:rsid w:val="00381361"/>
    <w:rsid w:val="003869C8"/>
    <w:rsid w:val="0039192A"/>
    <w:rsid w:val="00394E4E"/>
    <w:rsid w:val="003A0EAE"/>
    <w:rsid w:val="003A3B26"/>
    <w:rsid w:val="003B0810"/>
    <w:rsid w:val="003B0A7A"/>
    <w:rsid w:val="003B271B"/>
    <w:rsid w:val="003B34DD"/>
    <w:rsid w:val="003C49DD"/>
    <w:rsid w:val="003D70C0"/>
    <w:rsid w:val="003E5615"/>
    <w:rsid w:val="00400B0D"/>
    <w:rsid w:val="00423A24"/>
    <w:rsid w:val="00431D61"/>
    <w:rsid w:val="00447B9D"/>
    <w:rsid w:val="00451D18"/>
    <w:rsid w:val="004574B5"/>
    <w:rsid w:val="0046230B"/>
    <w:rsid w:val="004669A6"/>
    <w:rsid w:val="004701E8"/>
    <w:rsid w:val="00471FC6"/>
    <w:rsid w:val="00475B6F"/>
    <w:rsid w:val="00482AF6"/>
    <w:rsid w:val="004933F3"/>
    <w:rsid w:val="00495AE6"/>
    <w:rsid w:val="00496B58"/>
    <w:rsid w:val="004A1F21"/>
    <w:rsid w:val="004B2D00"/>
    <w:rsid w:val="004B53C6"/>
    <w:rsid w:val="004C4C70"/>
    <w:rsid w:val="004C763D"/>
    <w:rsid w:val="004D5BFD"/>
    <w:rsid w:val="004D5F18"/>
    <w:rsid w:val="004E03C0"/>
    <w:rsid w:val="004F2FC2"/>
    <w:rsid w:val="00507360"/>
    <w:rsid w:val="00510A4A"/>
    <w:rsid w:val="00515E78"/>
    <w:rsid w:val="00517B66"/>
    <w:rsid w:val="00526FFC"/>
    <w:rsid w:val="00536E8E"/>
    <w:rsid w:val="005370DF"/>
    <w:rsid w:val="00537E6A"/>
    <w:rsid w:val="005402B8"/>
    <w:rsid w:val="00552FAC"/>
    <w:rsid w:val="0056164C"/>
    <w:rsid w:val="00563270"/>
    <w:rsid w:val="00576DAE"/>
    <w:rsid w:val="00581897"/>
    <w:rsid w:val="0058190C"/>
    <w:rsid w:val="00582731"/>
    <w:rsid w:val="005857E9"/>
    <w:rsid w:val="00593E0D"/>
    <w:rsid w:val="005A2F4F"/>
    <w:rsid w:val="005A44A2"/>
    <w:rsid w:val="005B7396"/>
    <w:rsid w:val="005E0B34"/>
    <w:rsid w:val="005E1828"/>
    <w:rsid w:val="005E2242"/>
    <w:rsid w:val="005E278C"/>
    <w:rsid w:val="005E3FBD"/>
    <w:rsid w:val="005E62BE"/>
    <w:rsid w:val="005F0F0F"/>
    <w:rsid w:val="005F79AF"/>
    <w:rsid w:val="00602580"/>
    <w:rsid w:val="006052B5"/>
    <w:rsid w:val="00612270"/>
    <w:rsid w:val="00616AD0"/>
    <w:rsid w:val="00625FA9"/>
    <w:rsid w:val="00626201"/>
    <w:rsid w:val="006262FA"/>
    <w:rsid w:val="00630E9B"/>
    <w:rsid w:val="00634640"/>
    <w:rsid w:val="00635B9C"/>
    <w:rsid w:val="00635BA1"/>
    <w:rsid w:val="00641D91"/>
    <w:rsid w:val="006457BF"/>
    <w:rsid w:val="0065173E"/>
    <w:rsid w:val="00651753"/>
    <w:rsid w:val="00666A0E"/>
    <w:rsid w:val="00675F66"/>
    <w:rsid w:val="006837B0"/>
    <w:rsid w:val="00685F4A"/>
    <w:rsid w:val="00690AA6"/>
    <w:rsid w:val="00691C56"/>
    <w:rsid w:val="00693A3D"/>
    <w:rsid w:val="006B7D16"/>
    <w:rsid w:val="006C0A1B"/>
    <w:rsid w:val="006C4CDB"/>
    <w:rsid w:val="006D381C"/>
    <w:rsid w:val="006E41D9"/>
    <w:rsid w:val="006F117B"/>
    <w:rsid w:val="006F1B10"/>
    <w:rsid w:val="006F3DB9"/>
    <w:rsid w:val="006F508D"/>
    <w:rsid w:val="007015D4"/>
    <w:rsid w:val="00701664"/>
    <w:rsid w:val="007020C1"/>
    <w:rsid w:val="007033F5"/>
    <w:rsid w:val="00707215"/>
    <w:rsid w:val="00711759"/>
    <w:rsid w:val="0071184D"/>
    <w:rsid w:val="00711E26"/>
    <w:rsid w:val="00712B82"/>
    <w:rsid w:val="007144A8"/>
    <w:rsid w:val="007200D3"/>
    <w:rsid w:val="00720B9B"/>
    <w:rsid w:val="00722329"/>
    <w:rsid w:val="007240D3"/>
    <w:rsid w:val="0073110C"/>
    <w:rsid w:val="007409BC"/>
    <w:rsid w:val="0074364D"/>
    <w:rsid w:val="0075571E"/>
    <w:rsid w:val="00756211"/>
    <w:rsid w:val="0075702E"/>
    <w:rsid w:val="0076254C"/>
    <w:rsid w:val="00763711"/>
    <w:rsid w:val="00765108"/>
    <w:rsid w:val="007655AF"/>
    <w:rsid w:val="00766FD7"/>
    <w:rsid w:val="00775131"/>
    <w:rsid w:val="00783140"/>
    <w:rsid w:val="00792820"/>
    <w:rsid w:val="007A24D0"/>
    <w:rsid w:val="007A4024"/>
    <w:rsid w:val="007A6816"/>
    <w:rsid w:val="007C0AB7"/>
    <w:rsid w:val="007D55A8"/>
    <w:rsid w:val="007E20FF"/>
    <w:rsid w:val="007F0CF0"/>
    <w:rsid w:val="007F1FA6"/>
    <w:rsid w:val="007F53B5"/>
    <w:rsid w:val="007F6FE0"/>
    <w:rsid w:val="007F7B23"/>
    <w:rsid w:val="007F7B7A"/>
    <w:rsid w:val="00803168"/>
    <w:rsid w:val="008041AD"/>
    <w:rsid w:val="00810E57"/>
    <w:rsid w:val="00813907"/>
    <w:rsid w:val="00827C47"/>
    <w:rsid w:val="00831994"/>
    <w:rsid w:val="00831AA3"/>
    <w:rsid w:val="00840972"/>
    <w:rsid w:val="008523D3"/>
    <w:rsid w:val="008537C7"/>
    <w:rsid w:val="0085732A"/>
    <w:rsid w:val="00862E69"/>
    <w:rsid w:val="0086434C"/>
    <w:rsid w:val="008705CB"/>
    <w:rsid w:val="0087106C"/>
    <w:rsid w:val="00880366"/>
    <w:rsid w:val="00881906"/>
    <w:rsid w:val="008A1AFF"/>
    <w:rsid w:val="008A426F"/>
    <w:rsid w:val="008A4B62"/>
    <w:rsid w:val="008B0302"/>
    <w:rsid w:val="008B72F4"/>
    <w:rsid w:val="008D2B6C"/>
    <w:rsid w:val="008D52B5"/>
    <w:rsid w:val="008E514F"/>
    <w:rsid w:val="008F2ACB"/>
    <w:rsid w:val="0090273D"/>
    <w:rsid w:val="00911052"/>
    <w:rsid w:val="009116B5"/>
    <w:rsid w:val="00914B2F"/>
    <w:rsid w:val="009223A9"/>
    <w:rsid w:val="009312CE"/>
    <w:rsid w:val="0093441C"/>
    <w:rsid w:val="00934716"/>
    <w:rsid w:val="00936C8A"/>
    <w:rsid w:val="00937C47"/>
    <w:rsid w:val="00937D2F"/>
    <w:rsid w:val="00940F92"/>
    <w:rsid w:val="00941F02"/>
    <w:rsid w:val="00945B06"/>
    <w:rsid w:val="0096108C"/>
    <w:rsid w:val="00961D25"/>
    <w:rsid w:val="00964FCB"/>
    <w:rsid w:val="00973EAB"/>
    <w:rsid w:val="009819F5"/>
    <w:rsid w:val="009862F5"/>
    <w:rsid w:val="00993C1D"/>
    <w:rsid w:val="009967DC"/>
    <w:rsid w:val="009A5A85"/>
    <w:rsid w:val="009A6839"/>
    <w:rsid w:val="009B0347"/>
    <w:rsid w:val="009B08D2"/>
    <w:rsid w:val="009C13FD"/>
    <w:rsid w:val="009D25F3"/>
    <w:rsid w:val="009D4FE8"/>
    <w:rsid w:val="009D6E4F"/>
    <w:rsid w:val="009E4D67"/>
    <w:rsid w:val="009E533E"/>
    <w:rsid w:val="009E5C8E"/>
    <w:rsid w:val="00A007F0"/>
    <w:rsid w:val="00A01102"/>
    <w:rsid w:val="00A047A5"/>
    <w:rsid w:val="00A06F2C"/>
    <w:rsid w:val="00A20B13"/>
    <w:rsid w:val="00A2289B"/>
    <w:rsid w:val="00A373D3"/>
    <w:rsid w:val="00A37E37"/>
    <w:rsid w:val="00A436C1"/>
    <w:rsid w:val="00A578EB"/>
    <w:rsid w:val="00A603CC"/>
    <w:rsid w:val="00A6129E"/>
    <w:rsid w:val="00A63346"/>
    <w:rsid w:val="00A7028B"/>
    <w:rsid w:val="00A705E6"/>
    <w:rsid w:val="00A70676"/>
    <w:rsid w:val="00A72171"/>
    <w:rsid w:val="00A75AC3"/>
    <w:rsid w:val="00A8202F"/>
    <w:rsid w:val="00A91EB8"/>
    <w:rsid w:val="00A92EDC"/>
    <w:rsid w:val="00A93D73"/>
    <w:rsid w:val="00AA127E"/>
    <w:rsid w:val="00AA6230"/>
    <w:rsid w:val="00AA6856"/>
    <w:rsid w:val="00AA6C7C"/>
    <w:rsid w:val="00AA6FF2"/>
    <w:rsid w:val="00AB4F8F"/>
    <w:rsid w:val="00AC3B82"/>
    <w:rsid w:val="00AD1325"/>
    <w:rsid w:val="00AD1419"/>
    <w:rsid w:val="00AD2CC6"/>
    <w:rsid w:val="00AE583D"/>
    <w:rsid w:val="00AE7326"/>
    <w:rsid w:val="00AF7219"/>
    <w:rsid w:val="00B00F3D"/>
    <w:rsid w:val="00B05574"/>
    <w:rsid w:val="00B15464"/>
    <w:rsid w:val="00B203E9"/>
    <w:rsid w:val="00B25A6C"/>
    <w:rsid w:val="00B27360"/>
    <w:rsid w:val="00B35098"/>
    <w:rsid w:val="00B363BB"/>
    <w:rsid w:val="00B47F56"/>
    <w:rsid w:val="00B60B67"/>
    <w:rsid w:val="00B60ED1"/>
    <w:rsid w:val="00B73865"/>
    <w:rsid w:val="00B73DBB"/>
    <w:rsid w:val="00B74678"/>
    <w:rsid w:val="00B760BC"/>
    <w:rsid w:val="00B762FB"/>
    <w:rsid w:val="00B81FB7"/>
    <w:rsid w:val="00B84029"/>
    <w:rsid w:val="00B90353"/>
    <w:rsid w:val="00B92E41"/>
    <w:rsid w:val="00B9513E"/>
    <w:rsid w:val="00BA3AC9"/>
    <w:rsid w:val="00BB33C7"/>
    <w:rsid w:val="00BB6873"/>
    <w:rsid w:val="00BC5807"/>
    <w:rsid w:val="00BC5BF8"/>
    <w:rsid w:val="00BC5DA1"/>
    <w:rsid w:val="00BD061F"/>
    <w:rsid w:val="00BD6DCF"/>
    <w:rsid w:val="00BE1AF6"/>
    <w:rsid w:val="00BE1B0C"/>
    <w:rsid w:val="00BE587B"/>
    <w:rsid w:val="00BF0AE2"/>
    <w:rsid w:val="00C01C39"/>
    <w:rsid w:val="00C03B78"/>
    <w:rsid w:val="00C3039A"/>
    <w:rsid w:val="00C31522"/>
    <w:rsid w:val="00C34872"/>
    <w:rsid w:val="00C458F3"/>
    <w:rsid w:val="00C46A92"/>
    <w:rsid w:val="00C51350"/>
    <w:rsid w:val="00C55FAB"/>
    <w:rsid w:val="00C57F0B"/>
    <w:rsid w:val="00C707AD"/>
    <w:rsid w:val="00C7540F"/>
    <w:rsid w:val="00C766E9"/>
    <w:rsid w:val="00C814A2"/>
    <w:rsid w:val="00C833E4"/>
    <w:rsid w:val="00C935B9"/>
    <w:rsid w:val="00CA057D"/>
    <w:rsid w:val="00CA1CDD"/>
    <w:rsid w:val="00CA7A45"/>
    <w:rsid w:val="00CB0052"/>
    <w:rsid w:val="00CB1374"/>
    <w:rsid w:val="00CB1E85"/>
    <w:rsid w:val="00CB373A"/>
    <w:rsid w:val="00CB61C8"/>
    <w:rsid w:val="00CC077B"/>
    <w:rsid w:val="00CC26FF"/>
    <w:rsid w:val="00CC4A00"/>
    <w:rsid w:val="00CD04FE"/>
    <w:rsid w:val="00CD2F82"/>
    <w:rsid w:val="00CD4625"/>
    <w:rsid w:val="00CF4034"/>
    <w:rsid w:val="00CF7CB5"/>
    <w:rsid w:val="00D00C77"/>
    <w:rsid w:val="00D0208F"/>
    <w:rsid w:val="00D029ED"/>
    <w:rsid w:val="00D04168"/>
    <w:rsid w:val="00D12675"/>
    <w:rsid w:val="00D1443B"/>
    <w:rsid w:val="00D225C7"/>
    <w:rsid w:val="00D23430"/>
    <w:rsid w:val="00D24461"/>
    <w:rsid w:val="00D25AAC"/>
    <w:rsid w:val="00D3412C"/>
    <w:rsid w:val="00D358B9"/>
    <w:rsid w:val="00D4352F"/>
    <w:rsid w:val="00D43721"/>
    <w:rsid w:val="00D4639C"/>
    <w:rsid w:val="00D47110"/>
    <w:rsid w:val="00D5404D"/>
    <w:rsid w:val="00D62124"/>
    <w:rsid w:val="00D665A9"/>
    <w:rsid w:val="00D67505"/>
    <w:rsid w:val="00D72BD9"/>
    <w:rsid w:val="00D744A3"/>
    <w:rsid w:val="00D818DC"/>
    <w:rsid w:val="00D907B3"/>
    <w:rsid w:val="00D9675D"/>
    <w:rsid w:val="00DB1A4F"/>
    <w:rsid w:val="00DB2706"/>
    <w:rsid w:val="00DC1EBF"/>
    <w:rsid w:val="00DC1F38"/>
    <w:rsid w:val="00DC4E49"/>
    <w:rsid w:val="00DC51CE"/>
    <w:rsid w:val="00DF7FA0"/>
    <w:rsid w:val="00E0033E"/>
    <w:rsid w:val="00E0139F"/>
    <w:rsid w:val="00E10D6E"/>
    <w:rsid w:val="00E20272"/>
    <w:rsid w:val="00E2154C"/>
    <w:rsid w:val="00E23E4B"/>
    <w:rsid w:val="00E353E7"/>
    <w:rsid w:val="00E40A9E"/>
    <w:rsid w:val="00E40D4C"/>
    <w:rsid w:val="00E41A09"/>
    <w:rsid w:val="00E422E5"/>
    <w:rsid w:val="00E46C86"/>
    <w:rsid w:val="00E55459"/>
    <w:rsid w:val="00E56B83"/>
    <w:rsid w:val="00E56FEE"/>
    <w:rsid w:val="00E65679"/>
    <w:rsid w:val="00E661AC"/>
    <w:rsid w:val="00E67110"/>
    <w:rsid w:val="00E722DC"/>
    <w:rsid w:val="00E76ED8"/>
    <w:rsid w:val="00EA0213"/>
    <w:rsid w:val="00EA3503"/>
    <w:rsid w:val="00EA7566"/>
    <w:rsid w:val="00EB149A"/>
    <w:rsid w:val="00EB18BB"/>
    <w:rsid w:val="00EB369D"/>
    <w:rsid w:val="00EC340B"/>
    <w:rsid w:val="00ED5C36"/>
    <w:rsid w:val="00ED7898"/>
    <w:rsid w:val="00EE30BF"/>
    <w:rsid w:val="00EE4238"/>
    <w:rsid w:val="00EF1B61"/>
    <w:rsid w:val="00EF59D7"/>
    <w:rsid w:val="00F00452"/>
    <w:rsid w:val="00F11143"/>
    <w:rsid w:val="00F11C7C"/>
    <w:rsid w:val="00F20467"/>
    <w:rsid w:val="00F2061A"/>
    <w:rsid w:val="00F23C96"/>
    <w:rsid w:val="00F24B59"/>
    <w:rsid w:val="00F252C3"/>
    <w:rsid w:val="00F3334D"/>
    <w:rsid w:val="00F35E92"/>
    <w:rsid w:val="00F435A1"/>
    <w:rsid w:val="00F631F6"/>
    <w:rsid w:val="00F660F0"/>
    <w:rsid w:val="00F67133"/>
    <w:rsid w:val="00F731C9"/>
    <w:rsid w:val="00F813F6"/>
    <w:rsid w:val="00F84A75"/>
    <w:rsid w:val="00F94B12"/>
    <w:rsid w:val="00F96CC9"/>
    <w:rsid w:val="00FA4EB6"/>
    <w:rsid w:val="00FA5B26"/>
    <w:rsid w:val="00FB0677"/>
    <w:rsid w:val="00FB3EAF"/>
    <w:rsid w:val="00FC0F1F"/>
    <w:rsid w:val="00FC3E23"/>
    <w:rsid w:val="00FC5C0E"/>
    <w:rsid w:val="00FC5FCE"/>
    <w:rsid w:val="00FD2FD8"/>
    <w:rsid w:val="00FD6D46"/>
    <w:rsid w:val="00FE66B2"/>
    <w:rsid w:val="00FF04D1"/>
    <w:rsid w:val="00FF60B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E4B9CC"/>
  <w15:chartTrackingRefBased/>
  <w15:docId w15:val="{3E870495-76AF-47D4-9A71-C5A9D10C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rsid w:val="00181C6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81C6F"/>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181C6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181C6F"/>
    <w:pPr>
      <w:keepNext/>
      <w:numPr>
        <w:ilvl w:val="3"/>
        <w:numId w:val="1"/>
      </w:numPr>
      <w:spacing w:before="240" w:after="60"/>
      <w:outlineLvl w:val="3"/>
    </w:pPr>
    <w:rPr>
      <w:b/>
      <w:bCs/>
      <w:sz w:val="28"/>
      <w:szCs w:val="28"/>
    </w:rPr>
  </w:style>
  <w:style w:type="paragraph" w:styleId="Heading5">
    <w:name w:val="heading 5"/>
    <w:basedOn w:val="Normal"/>
    <w:next w:val="Normal"/>
    <w:qFormat/>
    <w:rsid w:val="00181C6F"/>
    <w:pPr>
      <w:numPr>
        <w:ilvl w:val="4"/>
        <w:numId w:val="1"/>
      </w:numPr>
      <w:spacing w:before="240" w:after="60"/>
      <w:outlineLvl w:val="4"/>
    </w:pPr>
    <w:rPr>
      <w:b/>
      <w:bCs/>
      <w:i/>
      <w:iCs/>
      <w:sz w:val="26"/>
      <w:szCs w:val="26"/>
    </w:rPr>
  </w:style>
  <w:style w:type="paragraph" w:styleId="Heading6">
    <w:name w:val="heading 6"/>
    <w:basedOn w:val="Normal"/>
    <w:next w:val="Normal"/>
    <w:qFormat/>
    <w:rsid w:val="00181C6F"/>
    <w:pPr>
      <w:numPr>
        <w:ilvl w:val="5"/>
        <w:numId w:val="1"/>
      </w:numPr>
      <w:spacing w:before="240" w:after="60"/>
      <w:outlineLvl w:val="5"/>
    </w:pPr>
    <w:rPr>
      <w:sz w:val="22"/>
      <w:szCs w:val="22"/>
    </w:rPr>
  </w:style>
  <w:style w:type="paragraph" w:styleId="Heading7">
    <w:name w:val="heading 7"/>
    <w:basedOn w:val="Normal"/>
    <w:next w:val="Normal"/>
    <w:qFormat/>
    <w:rsid w:val="00181C6F"/>
    <w:pPr>
      <w:numPr>
        <w:ilvl w:val="6"/>
        <w:numId w:val="1"/>
      </w:numPr>
      <w:spacing w:before="240" w:after="60"/>
      <w:outlineLvl w:val="6"/>
    </w:pPr>
    <w:rPr>
      <w:b/>
      <w:bCs/>
    </w:rPr>
  </w:style>
  <w:style w:type="paragraph" w:styleId="Heading8">
    <w:name w:val="heading 8"/>
    <w:basedOn w:val="Normal"/>
    <w:next w:val="Normal"/>
    <w:qFormat/>
    <w:rsid w:val="00181C6F"/>
    <w:pPr>
      <w:numPr>
        <w:ilvl w:val="7"/>
        <w:numId w:val="1"/>
      </w:numPr>
      <w:spacing w:before="240" w:after="60"/>
      <w:outlineLvl w:val="7"/>
    </w:pPr>
    <w:rPr>
      <w:b/>
      <w:bCs/>
      <w:i/>
      <w:iCs/>
    </w:rPr>
  </w:style>
  <w:style w:type="paragraph" w:styleId="Heading9">
    <w:name w:val="heading 9"/>
    <w:basedOn w:val="Normal"/>
    <w:next w:val="Normal"/>
    <w:qFormat/>
    <w:rsid w:val="00181C6F"/>
    <w:pPr>
      <w:numPr>
        <w:ilvl w:val="8"/>
        <w:numId w:val="1"/>
      </w:numPr>
      <w:spacing w:before="240" w:after="60"/>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0208F"/>
    <w:rPr>
      <w:sz w:val="20"/>
      <w:szCs w:val="20"/>
    </w:rPr>
  </w:style>
  <w:style w:type="character" w:styleId="FootnoteReference">
    <w:name w:val="footnote reference"/>
    <w:semiHidden/>
    <w:rsid w:val="00D0208F"/>
    <w:rPr>
      <w:vertAlign w:val="superscript"/>
    </w:rPr>
  </w:style>
  <w:style w:type="character" w:styleId="CommentReference">
    <w:name w:val="annotation reference"/>
    <w:semiHidden/>
    <w:rsid w:val="00F435A1"/>
    <w:rPr>
      <w:sz w:val="16"/>
      <w:szCs w:val="16"/>
    </w:rPr>
  </w:style>
  <w:style w:type="paragraph" w:styleId="CommentText">
    <w:name w:val="annotation text"/>
    <w:basedOn w:val="Normal"/>
    <w:semiHidden/>
    <w:rsid w:val="00F435A1"/>
    <w:rPr>
      <w:sz w:val="20"/>
      <w:szCs w:val="20"/>
    </w:rPr>
  </w:style>
  <w:style w:type="paragraph" w:styleId="CommentSubject">
    <w:name w:val="annotation subject"/>
    <w:basedOn w:val="CommentText"/>
    <w:next w:val="CommentText"/>
    <w:semiHidden/>
    <w:rsid w:val="00F435A1"/>
    <w:rPr>
      <w:b/>
      <w:bCs/>
    </w:rPr>
  </w:style>
  <w:style w:type="paragraph" w:styleId="BalloonText">
    <w:name w:val="Balloon Text"/>
    <w:basedOn w:val="Normal"/>
    <w:semiHidden/>
    <w:rsid w:val="00F435A1"/>
    <w:rPr>
      <w:rFonts w:ascii="Tahoma" w:hAnsi="Tahoma" w:cs="Tahoma"/>
      <w:sz w:val="16"/>
      <w:szCs w:val="16"/>
    </w:rPr>
  </w:style>
  <w:style w:type="paragraph" w:styleId="Footer">
    <w:name w:val="footer"/>
    <w:basedOn w:val="Normal"/>
    <w:link w:val="FooterChar"/>
    <w:uiPriority w:val="99"/>
    <w:rsid w:val="00C51350"/>
    <w:pPr>
      <w:tabs>
        <w:tab w:val="center" w:pos="4320"/>
        <w:tab w:val="right" w:pos="8640"/>
      </w:tabs>
    </w:pPr>
  </w:style>
  <w:style w:type="character" w:styleId="PageNumber">
    <w:name w:val="page number"/>
    <w:basedOn w:val="DefaultParagraphFont"/>
    <w:rsid w:val="00C51350"/>
  </w:style>
  <w:style w:type="paragraph" w:styleId="ListParagraph">
    <w:name w:val="List Paragraph"/>
    <w:basedOn w:val="Normal"/>
    <w:uiPriority w:val="34"/>
    <w:qFormat/>
    <w:rsid w:val="004933F3"/>
    <w:pPr>
      <w:ind w:left="720"/>
    </w:pPr>
  </w:style>
  <w:style w:type="table" w:styleId="TableGrid">
    <w:name w:val="Table Grid"/>
    <w:basedOn w:val="TableNormal"/>
    <w:uiPriority w:val="59"/>
    <w:rsid w:val="00BA3A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4FCB"/>
    <w:pPr>
      <w:tabs>
        <w:tab w:val="center" w:pos="4680"/>
        <w:tab w:val="right" w:pos="9360"/>
      </w:tabs>
    </w:pPr>
  </w:style>
  <w:style w:type="character" w:customStyle="1" w:styleId="HeaderChar">
    <w:name w:val="Header Char"/>
    <w:link w:val="Header"/>
    <w:rsid w:val="00964FCB"/>
    <w:rPr>
      <w:sz w:val="24"/>
      <w:szCs w:val="24"/>
    </w:rPr>
  </w:style>
  <w:style w:type="character" w:customStyle="1" w:styleId="FooterChar">
    <w:name w:val="Footer Char"/>
    <w:link w:val="Footer"/>
    <w:uiPriority w:val="99"/>
    <w:rsid w:val="00964FCB"/>
    <w:rPr>
      <w:sz w:val="24"/>
      <w:szCs w:val="24"/>
    </w:rPr>
  </w:style>
  <w:style w:type="paragraph" w:styleId="NoSpacing">
    <w:name w:val="No Spacing"/>
    <w:uiPriority w:val="1"/>
    <w:qFormat/>
    <w:rsid w:val="003A3B26"/>
    <w:rPr>
      <w:sz w:val="24"/>
      <w:szCs w:val="24"/>
      <w:lang w:eastAsia="en-US" w:bidi="ar-SA"/>
    </w:rPr>
  </w:style>
  <w:style w:type="paragraph" w:styleId="EndnoteText">
    <w:name w:val="endnote text"/>
    <w:basedOn w:val="Normal"/>
    <w:link w:val="EndnoteTextChar"/>
    <w:rsid w:val="008705CB"/>
    <w:rPr>
      <w:sz w:val="20"/>
      <w:szCs w:val="20"/>
    </w:rPr>
  </w:style>
  <w:style w:type="character" w:customStyle="1" w:styleId="EndnoteTextChar">
    <w:name w:val="Endnote Text Char"/>
    <w:basedOn w:val="DefaultParagraphFont"/>
    <w:link w:val="EndnoteText"/>
    <w:rsid w:val="008705CB"/>
  </w:style>
  <w:style w:type="character" w:styleId="EndnoteReference">
    <w:name w:val="endnote reference"/>
    <w:rsid w:val="00870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1279">
      <w:bodyDiv w:val="1"/>
      <w:marLeft w:val="0"/>
      <w:marRight w:val="0"/>
      <w:marTop w:val="0"/>
      <w:marBottom w:val="0"/>
      <w:divBdr>
        <w:top w:val="none" w:sz="0" w:space="0" w:color="auto"/>
        <w:left w:val="none" w:sz="0" w:space="0" w:color="auto"/>
        <w:bottom w:val="none" w:sz="0" w:space="0" w:color="auto"/>
        <w:right w:val="none" w:sz="0" w:space="0" w:color="auto"/>
      </w:divBdr>
    </w:div>
    <w:div w:id="787624121">
      <w:bodyDiv w:val="1"/>
      <w:marLeft w:val="0"/>
      <w:marRight w:val="0"/>
      <w:marTop w:val="0"/>
      <w:marBottom w:val="0"/>
      <w:divBdr>
        <w:top w:val="none" w:sz="0" w:space="0" w:color="auto"/>
        <w:left w:val="none" w:sz="0" w:space="0" w:color="auto"/>
        <w:bottom w:val="none" w:sz="0" w:space="0" w:color="auto"/>
        <w:right w:val="none" w:sz="0" w:space="0" w:color="auto"/>
      </w:divBdr>
    </w:div>
    <w:div w:id="908417433">
      <w:bodyDiv w:val="1"/>
      <w:marLeft w:val="0"/>
      <w:marRight w:val="0"/>
      <w:marTop w:val="0"/>
      <w:marBottom w:val="0"/>
      <w:divBdr>
        <w:top w:val="none" w:sz="0" w:space="0" w:color="auto"/>
        <w:left w:val="none" w:sz="0" w:space="0" w:color="auto"/>
        <w:bottom w:val="none" w:sz="0" w:space="0" w:color="auto"/>
        <w:right w:val="none" w:sz="0" w:space="0" w:color="auto"/>
      </w:divBdr>
    </w:div>
    <w:div w:id="929117190">
      <w:bodyDiv w:val="1"/>
      <w:marLeft w:val="0"/>
      <w:marRight w:val="0"/>
      <w:marTop w:val="0"/>
      <w:marBottom w:val="0"/>
      <w:divBdr>
        <w:top w:val="none" w:sz="0" w:space="0" w:color="auto"/>
        <w:left w:val="none" w:sz="0" w:space="0" w:color="auto"/>
        <w:bottom w:val="none" w:sz="0" w:space="0" w:color="auto"/>
        <w:right w:val="none" w:sz="0" w:space="0" w:color="auto"/>
      </w:divBdr>
    </w:div>
    <w:div w:id="18105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8A91-6C97-466D-86AF-E80F27C5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DIVISION OF ADMINISTRATIVE LAW APPEALS</vt:lpstr>
    </vt:vector>
  </TitlesOfParts>
  <Company>Home</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ADMINISTRATIVE LAW APPEALS</dc:title>
  <dc:subject/>
  <dc:creator>Richard Heidlage</dc:creator>
  <cp:keywords/>
  <cp:lastModifiedBy>Tennen, Eric (ALA)</cp:lastModifiedBy>
  <cp:revision>3</cp:revision>
  <cp:lastPrinted>2020-04-01T12:44:00Z</cp:lastPrinted>
  <dcterms:created xsi:type="dcterms:W3CDTF">2025-10-31T13:25:00Z</dcterms:created>
  <dcterms:modified xsi:type="dcterms:W3CDTF">2025-11-04T13:03:00Z</dcterms:modified>
</cp:coreProperties>
</file>